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257D2" w14:textId="77777777" w:rsidR="00600DEE" w:rsidRDefault="00600DEE">
      <w:pPr>
        <w:widowControl w:val="0"/>
        <w:pBdr>
          <w:top w:val="nil"/>
          <w:left w:val="nil"/>
          <w:bottom w:val="nil"/>
          <w:right w:val="nil"/>
          <w:between w:val="nil"/>
        </w:pBdr>
        <w:spacing w:line="276" w:lineRule="auto"/>
      </w:pPr>
      <w:bookmarkStart w:id="0" w:name="_GoBack"/>
      <w:bookmarkEnd w:id="0"/>
    </w:p>
    <w:p w14:paraId="053FEB55" w14:textId="77777777" w:rsidR="00600DEE" w:rsidRDefault="00600DEE">
      <w:pPr>
        <w:ind w:right="26"/>
        <w:jc w:val="center"/>
        <w:rPr>
          <w:rFonts w:ascii="Calibri" w:eastAsia="Calibri" w:hAnsi="Calibri" w:cs="Calibri"/>
          <w:b/>
          <w:color w:val="333399"/>
        </w:rPr>
      </w:pPr>
    </w:p>
    <w:p w14:paraId="0033DFC5" w14:textId="77777777" w:rsidR="00600DEE" w:rsidRDefault="00641FB5">
      <w:pPr>
        <w:ind w:right="26"/>
        <w:jc w:val="center"/>
        <w:rPr>
          <w:rFonts w:ascii="Calibri" w:eastAsia="Calibri" w:hAnsi="Calibri" w:cs="Calibri"/>
          <w:b/>
          <w:color w:val="333399"/>
        </w:rPr>
      </w:pPr>
      <w:r>
        <w:rPr>
          <w:rFonts w:ascii="Calibri" w:eastAsia="Calibri" w:hAnsi="Calibri" w:cs="Calibri"/>
          <w:b/>
          <w:noProof/>
          <w:color w:val="333399"/>
          <w:lang w:eastAsia="pl-PL"/>
        </w:rPr>
        <w:drawing>
          <wp:inline distT="0" distB="0" distL="0" distR="0" wp14:anchorId="5F5CCA0D" wp14:editId="05C03037">
            <wp:extent cx="2663825" cy="1359535"/>
            <wp:effectExtent l="0" t="0" r="0" b="0"/>
            <wp:docPr id="539"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9"/>
                    <a:srcRect/>
                    <a:stretch>
                      <a:fillRect/>
                    </a:stretch>
                  </pic:blipFill>
                  <pic:spPr>
                    <a:xfrm>
                      <a:off x="0" y="0"/>
                      <a:ext cx="2663825" cy="1359535"/>
                    </a:xfrm>
                    <a:prstGeom prst="rect">
                      <a:avLst/>
                    </a:prstGeom>
                    <a:ln/>
                  </pic:spPr>
                </pic:pic>
              </a:graphicData>
            </a:graphic>
          </wp:inline>
        </w:drawing>
      </w:r>
    </w:p>
    <w:p w14:paraId="611C2B68" w14:textId="77777777" w:rsidR="00600DEE" w:rsidRDefault="00600DEE">
      <w:pPr>
        <w:ind w:right="26"/>
        <w:jc w:val="center"/>
        <w:rPr>
          <w:rFonts w:ascii="Calibri" w:eastAsia="Calibri" w:hAnsi="Calibri" w:cs="Calibri"/>
          <w:b/>
          <w:color w:val="333399"/>
        </w:rPr>
      </w:pPr>
    </w:p>
    <w:p w14:paraId="10BA2062" w14:textId="77777777" w:rsidR="00600DEE" w:rsidRDefault="00600DEE">
      <w:pPr>
        <w:ind w:right="26"/>
        <w:jc w:val="center"/>
        <w:rPr>
          <w:rFonts w:ascii="Calibri" w:eastAsia="Calibri" w:hAnsi="Calibri" w:cs="Calibri"/>
          <w:b/>
          <w:color w:val="333399"/>
        </w:rPr>
      </w:pPr>
    </w:p>
    <w:p w14:paraId="4F790B2B" w14:textId="77777777" w:rsidR="00600DEE" w:rsidRDefault="00600DEE">
      <w:pPr>
        <w:pBdr>
          <w:top w:val="nil"/>
          <w:left w:val="nil"/>
          <w:bottom w:val="nil"/>
          <w:right w:val="nil"/>
          <w:between w:val="nil"/>
        </w:pBdr>
        <w:spacing w:before="120"/>
        <w:ind w:right="26"/>
        <w:jc w:val="both"/>
        <w:rPr>
          <w:rFonts w:ascii="Calibri" w:eastAsia="Calibri" w:hAnsi="Calibri" w:cs="Calibri"/>
          <w:b/>
          <w:color w:val="333399"/>
        </w:rPr>
      </w:pPr>
    </w:p>
    <w:p w14:paraId="71AE59F8" w14:textId="77777777" w:rsidR="00600DEE" w:rsidRDefault="00641FB5">
      <w:pPr>
        <w:pBdr>
          <w:top w:val="nil"/>
          <w:left w:val="nil"/>
          <w:bottom w:val="nil"/>
          <w:right w:val="nil"/>
          <w:between w:val="nil"/>
        </w:pBdr>
        <w:spacing w:before="120"/>
        <w:jc w:val="center"/>
        <w:rPr>
          <w:rFonts w:ascii="Calibri" w:eastAsia="Calibri" w:hAnsi="Calibri" w:cs="Calibri"/>
          <w:b/>
          <w:color w:val="4F81BD"/>
          <w:sz w:val="96"/>
          <w:szCs w:val="96"/>
        </w:rPr>
      </w:pPr>
      <w:r>
        <w:rPr>
          <w:rFonts w:ascii="Calibri" w:eastAsia="Calibri" w:hAnsi="Calibri" w:cs="Calibri"/>
          <w:b/>
          <w:color w:val="4F81BD"/>
          <w:sz w:val="96"/>
          <w:szCs w:val="96"/>
        </w:rPr>
        <w:t>Niebieska Księga</w:t>
      </w:r>
    </w:p>
    <w:p w14:paraId="48BE67C5" w14:textId="77777777" w:rsidR="00600DEE" w:rsidRDefault="00641FB5">
      <w:pPr>
        <w:pBdr>
          <w:top w:val="nil"/>
          <w:left w:val="nil"/>
          <w:bottom w:val="nil"/>
          <w:right w:val="nil"/>
          <w:between w:val="nil"/>
        </w:pBdr>
        <w:spacing w:before="120"/>
        <w:jc w:val="center"/>
        <w:rPr>
          <w:rFonts w:ascii="Calibri" w:eastAsia="Calibri" w:hAnsi="Calibri" w:cs="Calibri"/>
          <w:b/>
          <w:color w:val="4F81BD"/>
          <w:sz w:val="96"/>
          <w:szCs w:val="96"/>
        </w:rPr>
      </w:pPr>
      <w:r>
        <w:rPr>
          <w:rFonts w:ascii="Calibri" w:eastAsia="Calibri" w:hAnsi="Calibri" w:cs="Calibri"/>
          <w:b/>
          <w:color w:val="4F81BD"/>
          <w:sz w:val="96"/>
          <w:szCs w:val="96"/>
        </w:rPr>
        <w:t>Blue Book</w:t>
      </w:r>
    </w:p>
    <w:p w14:paraId="4B9FC0F7" w14:textId="77777777" w:rsidR="00600DEE" w:rsidRDefault="00600DEE">
      <w:pPr>
        <w:pBdr>
          <w:top w:val="nil"/>
          <w:left w:val="nil"/>
          <w:bottom w:val="nil"/>
          <w:right w:val="nil"/>
          <w:between w:val="nil"/>
        </w:pBdr>
        <w:spacing w:before="120"/>
        <w:ind w:right="26"/>
        <w:jc w:val="center"/>
        <w:rPr>
          <w:rFonts w:ascii="Calibri" w:eastAsia="Calibri" w:hAnsi="Calibri" w:cs="Calibri"/>
          <w:b/>
          <w:color w:val="4F81BD"/>
          <w:sz w:val="48"/>
          <w:szCs w:val="48"/>
        </w:rPr>
      </w:pPr>
    </w:p>
    <w:p w14:paraId="4ABA99BF" w14:textId="77777777" w:rsidR="00600DEE" w:rsidRDefault="00600DEE">
      <w:pPr>
        <w:pBdr>
          <w:top w:val="nil"/>
          <w:left w:val="nil"/>
          <w:bottom w:val="nil"/>
          <w:right w:val="nil"/>
          <w:between w:val="nil"/>
        </w:pBdr>
        <w:spacing w:before="120"/>
        <w:ind w:right="26"/>
        <w:jc w:val="center"/>
        <w:rPr>
          <w:rFonts w:ascii="Calibri" w:eastAsia="Calibri" w:hAnsi="Calibri" w:cs="Calibri"/>
          <w:b/>
          <w:color w:val="4F81BD"/>
          <w:sz w:val="32"/>
          <w:szCs w:val="32"/>
        </w:rPr>
      </w:pPr>
    </w:p>
    <w:p w14:paraId="73A9224E" w14:textId="77777777" w:rsidR="00600DEE" w:rsidRPr="00132C08" w:rsidRDefault="00641FB5">
      <w:pPr>
        <w:pBdr>
          <w:top w:val="nil"/>
          <w:left w:val="nil"/>
          <w:bottom w:val="nil"/>
          <w:right w:val="nil"/>
          <w:between w:val="nil"/>
        </w:pBdr>
        <w:spacing w:before="120"/>
        <w:jc w:val="center"/>
        <w:rPr>
          <w:rFonts w:ascii="Calibri" w:eastAsia="Calibri" w:hAnsi="Calibri" w:cs="Calibri"/>
          <w:b/>
          <w:color w:val="4F81BD"/>
          <w:sz w:val="32"/>
          <w:szCs w:val="32"/>
        </w:rPr>
      </w:pPr>
      <w:r w:rsidRPr="00132C08">
        <w:rPr>
          <w:rFonts w:ascii="Calibri" w:eastAsia="Calibri" w:hAnsi="Calibri" w:cs="Calibri"/>
          <w:b/>
          <w:color w:val="4F81BD"/>
          <w:sz w:val="32"/>
          <w:szCs w:val="32"/>
        </w:rPr>
        <w:t>Wydanie uaktualnione</w:t>
      </w:r>
    </w:p>
    <w:p w14:paraId="3A95F615" w14:textId="77777777" w:rsidR="00600DEE" w:rsidRPr="008C4407" w:rsidRDefault="00641FB5">
      <w:pPr>
        <w:pBdr>
          <w:top w:val="nil"/>
          <w:left w:val="nil"/>
          <w:bottom w:val="nil"/>
          <w:right w:val="nil"/>
          <w:between w:val="nil"/>
        </w:pBdr>
        <w:spacing w:before="120"/>
        <w:jc w:val="center"/>
        <w:rPr>
          <w:rFonts w:ascii="Calibri" w:eastAsia="Calibri" w:hAnsi="Calibri" w:cs="Calibri"/>
          <w:b/>
          <w:color w:val="4F81BD"/>
          <w:sz w:val="32"/>
          <w:szCs w:val="32"/>
        </w:rPr>
      </w:pPr>
      <w:r w:rsidRPr="008C4407">
        <w:rPr>
          <w:rFonts w:ascii="Calibri" w:eastAsia="Calibri" w:hAnsi="Calibri" w:cs="Calibri"/>
          <w:b/>
          <w:color w:val="4F81BD"/>
          <w:sz w:val="32"/>
          <w:szCs w:val="32"/>
        </w:rPr>
        <w:t>Revised edition</w:t>
      </w:r>
    </w:p>
    <w:p w14:paraId="3F2F2958" w14:textId="77777777" w:rsidR="00132C08" w:rsidRPr="008C4407" w:rsidRDefault="00132C08">
      <w:pPr>
        <w:pBdr>
          <w:top w:val="nil"/>
          <w:left w:val="nil"/>
          <w:bottom w:val="nil"/>
          <w:right w:val="nil"/>
          <w:between w:val="nil"/>
        </w:pBdr>
        <w:spacing w:before="120"/>
        <w:jc w:val="center"/>
        <w:rPr>
          <w:rFonts w:ascii="Calibri" w:eastAsia="Calibri" w:hAnsi="Calibri" w:cs="Calibri"/>
          <w:b/>
          <w:color w:val="4F81BD"/>
          <w:sz w:val="32"/>
          <w:szCs w:val="32"/>
        </w:rPr>
      </w:pPr>
    </w:p>
    <w:p w14:paraId="260E6543" w14:textId="76ED4ACE" w:rsidR="00600DEE" w:rsidRPr="008C4407" w:rsidRDefault="007463B9">
      <w:pPr>
        <w:pBdr>
          <w:top w:val="nil"/>
          <w:left w:val="nil"/>
          <w:bottom w:val="nil"/>
          <w:right w:val="nil"/>
          <w:between w:val="nil"/>
        </w:pBdr>
        <w:spacing w:before="120"/>
        <w:jc w:val="center"/>
        <w:rPr>
          <w:rFonts w:ascii="Calibri" w:eastAsia="Calibri" w:hAnsi="Calibri" w:cs="Calibri"/>
          <w:b/>
          <w:color w:val="4F81BD"/>
          <w:sz w:val="32"/>
          <w:szCs w:val="32"/>
        </w:rPr>
      </w:pPr>
      <w:r w:rsidRPr="008C4407">
        <w:rPr>
          <w:rFonts w:ascii="Calibri" w:eastAsia="Calibri" w:hAnsi="Calibri" w:cs="Calibri"/>
          <w:b/>
          <w:color w:val="4F81BD"/>
          <w:sz w:val="32"/>
          <w:szCs w:val="32"/>
        </w:rPr>
        <w:t>March</w:t>
      </w:r>
      <w:r w:rsidR="008C36AC" w:rsidRPr="008C4407">
        <w:rPr>
          <w:rFonts w:ascii="Calibri" w:eastAsia="Calibri" w:hAnsi="Calibri" w:cs="Calibri"/>
          <w:b/>
          <w:color w:val="4F81BD"/>
          <w:sz w:val="32"/>
          <w:szCs w:val="32"/>
        </w:rPr>
        <w:t xml:space="preserve"> </w:t>
      </w:r>
      <w:r w:rsidR="00641FB5" w:rsidRPr="008C4407">
        <w:rPr>
          <w:rFonts w:ascii="Calibri" w:eastAsia="Calibri" w:hAnsi="Calibri" w:cs="Calibri"/>
          <w:b/>
          <w:color w:val="4F81BD"/>
          <w:sz w:val="32"/>
          <w:szCs w:val="32"/>
        </w:rPr>
        <w:t>202</w:t>
      </w:r>
      <w:r w:rsidR="008C36AC" w:rsidRPr="008C4407">
        <w:rPr>
          <w:rFonts w:ascii="Calibri" w:eastAsia="Calibri" w:hAnsi="Calibri" w:cs="Calibri"/>
          <w:b/>
          <w:color w:val="4F81BD"/>
          <w:sz w:val="32"/>
          <w:szCs w:val="32"/>
        </w:rPr>
        <w:t>2</w:t>
      </w:r>
    </w:p>
    <w:p w14:paraId="33408CB9" w14:textId="6340CD20" w:rsidR="00600DEE" w:rsidRPr="008C4407" w:rsidRDefault="007463B9">
      <w:pPr>
        <w:pBdr>
          <w:top w:val="nil"/>
          <w:left w:val="nil"/>
          <w:bottom w:val="nil"/>
          <w:right w:val="nil"/>
          <w:between w:val="nil"/>
        </w:pBdr>
        <w:spacing w:before="120"/>
        <w:jc w:val="center"/>
        <w:rPr>
          <w:rFonts w:ascii="Calibri" w:eastAsia="Calibri" w:hAnsi="Calibri" w:cs="Calibri"/>
          <w:b/>
          <w:color w:val="4F81BD"/>
          <w:sz w:val="32"/>
          <w:szCs w:val="32"/>
        </w:rPr>
      </w:pPr>
      <w:r w:rsidRPr="008C4407">
        <w:rPr>
          <w:rFonts w:ascii="Calibri" w:eastAsia="Calibri" w:hAnsi="Calibri" w:cs="Calibri"/>
          <w:b/>
          <w:color w:val="4F81BD"/>
          <w:sz w:val="32"/>
          <w:szCs w:val="32"/>
        </w:rPr>
        <w:t>Marzec</w:t>
      </w:r>
      <w:r w:rsidR="004D5549" w:rsidRPr="008C4407">
        <w:rPr>
          <w:rFonts w:ascii="Calibri" w:eastAsia="Calibri" w:hAnsi="Calibri" w:cs="Calibri"/>
          <w:b/>
          <w:color w:val="4F81BD"/>
          <w:sz w:val="32"/>
          <w:szCs w:val="32"/>
        </w:rPr>
        <w:t xml:space="preserve"> 2022</w:t>
      </w:r>
      <w:r w:rsidR="00641FB5" w:rsidRPr="008C4407">
        <w:rPr>
          <w:rFonts w:ascii="Calibri" w:eastAsia="Calibri" w:hAnsi="Calibri" w:cs="Calibri"/>
          <w:b/>
          <w:color w:val="4F81BD"/>
          <w:sz w:val="32"/>
          <w:szCs w:val="32"/>
        </w:rPr>
        <w:t xml:space="preserve"> </w:t>
      </w:r>
    </w:p>
    <w:p w14:paraId="0E67CB5F" w14:textId="77777777" w:rsidR="00600DEE" w:rsidRPr="008C4407" w:rsidRDefault="00600DEE">
      <w:pPr>
        <w:jc w:val="center"/>
        <w:rPr>
          <w:rFonts w:ascii="Calibri" w:eastAsia="Calibri" w:hAnsi="Calibri" w:cs="Calibri"/>
          <w:b/>
          <w:color w:val="4F81BD"/>
          <w:sz w:val="48"/>
          <w:szCs w:val="48"/>
        </w:rPr>
      </w:pPr>
    </w:p>
    <w:p w14:paraId="3EF1B907" w14:textId="77777777" w:rsidR="00600DEE" w:rsidRPr="008C4407" w:rsidRDefault="00641FB5">
      <w:pPr>
        <w:jc w:val="center"/>
        <w:rPr>
          <w:rFonts w:ascii="Calibri" w:eastAsia="Calibri" w:hAnsi="Calibri" w:cs="Calibri"/>
          <w:b/>
          <w:color w:val="4F81BD"/>
          <w:sz w:val="56"/>
          <w:szCs w:val="56"/>
        </w:rPr>
      </w:pPr>
      <w:r w:rsidRPr="008C4407">
        <w:rPr>
          <w:rFonts w:ascii="Calibri" w:eastAsia="Calibri" w:hAnsi="Calibri" w:cs="Calibri"/>
          <w:b/>
          <w:color w:val="4F81BD"/>
          <w:sz w:val="56"/>
          <w:szCs w:val="56"/>
        </w:rPr>
        <w:t>Infrastruktura drogowa</w:t>
      </w:r>
    </w:p>
    <w:p w14:paraId="5A542040" w14:textId="77777777" w:rsidR="00600DEE" w:rsidRPr="00132C08" w:rsidRDefault="00641FB5">
      <w:pPr>
        <w:jc w:val="center"/>
        <w:rPr>
          <w:rFonts w:ascii="Calibri" w:eastAsia="Calibri" w:hAnsi="Calibri" w:cs="Calibri"/>
          <w:b/>
          <w:color w:val="4F81BD"/>
          <w:sz w:val="56"/>
          <w:szCs w:val="56"/>
          <w:lang w:val="en-GB"/>
        </w:rPr>
      </w:pPr>
      <w:r w:rsidRPr="00132C08">
        <w:rPr>
          <w:rFonts w:ascii="Calibri" w:eastAsia="Calibri" w:hAnsi="Calibri" w:cs="Calibri"/>
          <w:b/>
          <w:color w:val="4F81BD"/>
          <w:sz w:val="56"/>
          <w:szCs w:val="56"/>
          <w:lang w:val="en-GB"/>
        </w:rPr>
        <w:t>Road Infrastructure</w:t>
      </w:r>
    </w:p>
    <w:p w14:paraId="686627DD" w14:textId="7F3CEB36" w:rsidR="00600DEE" w:rsidRPr="00132C08" w:rsidRDefault="00600DEE">
      <w:pPr>
        <w:pBdr>
          <w:top w:val="nil"/>
          <w:left w:val="nil"/>
          <w:bottom w:val="nil"/>
          <w:right w:val="nil"/>
          <w:between w:val="nil"/>
        </w:pBdr>
        <w:tabs>
          <w:tab w:val="left" w:pos="357"/>
          <w:tab w:val="right" w:pos="8222"/>
        </w:tabs>
        <w:spacing w:before="120"/>
        <w:rPr>
          <w:rFonts w:ascii="Calibri" w:eastAsia="Calibri" w:hAnsi="Calibri" w:cs="Calibri"/>
          <w:color w:val="333399"/>
          <w:sz w:val="48"/>
          <w:szCs w:val="48"/>
          <w:lang w:val="en-GB"/>
        </w:rPr>
      </w:pPr>
      <w:bookmarkStart w:id="1" w:name="_heading=h.gjdgxs" w:colFirst="0" w:colLast="0"/>
      <w:bookmarkEnd w:id="1"/>
    </w:p>
    <w:p w14:paraId="32804534" w14:textId="77777777" w:rsidR="008C36AC" w:rsidRPr="00132C08" w:rsidRDefault="008C36AC">
      <w:pPr>
        <w:pBdr>
          <w:top w:val="nil"/>
          <w:left w:val="nil"/>
          <w:bottom w:val="nil"/>
          <w:right w:val="nil"/>
          <w:between w:val="nil"/>
        </w:pBdr>
        <w:tabs>
          <w:tab w:val="left" w:pos="357"/>
          <w:tab w:val="right" w:pos="8222"/>
        </w:tabs>
        <w:spacing w:before="120"/>
        <w:rPr>
          <w:rFonts w:ascii="Calibri" w:eastAsia="Calibri" w:hAnsi="Calibri" w:cs="Calibri"/>
          <w:color w:val="333399"/>
          <w:sz w:val="48"/>
          <w:szCs w:val="48"/>
          <w:lang w:val="en-GB"/>
        </w:rPr>
      </w:pPr>
    </w:p>
    <w:p w14:paraId="62C5F609" w14:textId="77777777" w:rsidR="00AA44B4" w:rsidRPr="00132C08" w:rsidRDefault="00641FB5" w:rsidP="00AA44B4">
      <w:pPr>
        <w:pBdr>
          <w:top w:val="nil"/>
          <w:left w:val="nil"/>
          <w:bottom w:val="nil"/>
          <w:right w:val="nil"/>
          <w:between w:val="nil"/>
        </w:pBdr>
        <w:tabs>
          <w:tab w:val="left" w:pos="357"/>
          <w:tab w:val="right" w:pos="8222"/>
        </w:tabs>
        <w:spacing w:before="120"/>
        <w:rPr>
          <w:rFonts w:ascii="Calibri" w:eastAsia="Calibri" w:hAnsi="Calibri" w:cs="Calibri"/>
          <w:color w:val="333399"/>
          <w:lang w:val="en-GB"/>
        </w:rPr>
      </w:pPr>
      <w:r w:rsidRPr="00132C08">
        <w:rPr>
          <w:rFonts w:ascii="Calibri" w:eastAsia="Calibri" w:hAnsi="Calibri" w:cs="Calibri"/>
          <w:color w:val="333399"/>
          <w:lang w:val="en-GB"/>
        </w:rPr>
        <w:t xml:space="preserve"> </w:t>
      </w:r>
    </w:p>
    <w:p w14:paraId="3219C6B1" w14:textId="4C187ED1" w:rsidR="00600DEE" w:rsidRPr="00132C08" w:rsidRDefault="00641FB5" w:rsidP="00AA44B4">
      <w:pPr>
        <w:pBdr>
          <w:top w:val="nil"/>
          <w:left w:val="nil"/>
          <w:bottom w:val="nil"/>
          <w:right w:val="nil"/>
          <w:between w:val="nil"/>
        </w:pBdr>
        <w:tabs>
          <w:tab w:val="left" w:pos="357"/>
          <w:tab w:val="right" w:pos="8222"/>
        </w:tabs>
        <w:spacing w:before="120"/>
        <w:rPr>
          <w:rFonts w:ascii="Calibri" w:eastAsia="Calibri" w:hAnsi="Calibri" w:cs="Calibri"/>
          <w:color w:val="0070C0"/>
          <w:sz w:val="32"/>
          <w:szCs w:val="32"/>
          <w:lang w:val="en-GB"/>
        </w:rPr>
      </w:pPr>
      <w:r w:rsidRPr="00132C08">
        <w:rPr>
          <w:rFonts w:ascii="Calibri" w:eastAsia="Calibri" w:hAnsi="Calibri" w:cs="Calibri"/>
          <w:color w:val="0070C0"/>
          <w:sz w:val="32"/>
          <w:szCs w:val="32"/>
          <w:lang w:val="en-GB"/>
        </w:rPr>
        <w:lastRenderedPageBreak/>
        <w:t xml:space="preserve">Spis treści </w:t>
      </w:r>
      <w:r w:rsidRPr="00132C08">
        <w:rPr>
          <w:rFonts w:ascii="Calibri" w:eastAsia="Calibri" w:hAnsi="Calibri" w:cs="Calibri"/>
          <w:i/>
          <w:color w:val="0070C0"/>
          <w:sz w:val="32"/>
          <w:szCs w:val="32"/>
          <w:lang w:val="en-GB"/>
        </w:rPr>
        <w:t>Table of Contents</w:t>
      </w:r>
    </w:p>
    <w:sdt>
      <w:sdtPr>
        <w:rPr>
          <w:rFonts w:ascii="Times New Roman" w:eastAsia="Times New Roman" w:hAnsi="Times New Roman" w:cs="Times New Roman"/>
          <w:noProof/>
          <w:snapToGrid w:val="0"/>
          <w:color w:val="auto"/>
          <w:sz w:val="24"/>
          <w:szCs w:val="24"/>
          <w:lang w:val="en-US" w:eastAsia="ja-JP"/>
        </w:rPr>
        <w:id w:val="-20241564"/>
        <w:docPartObj>
          <w:docPartGallery w:val="Table of Contents"/>
          <w:docPartUnique/>
        </w:docPartObj>
      </w:sdtPr>
      <w:sdtEndPr>
        <w:rPr>
          <w:rFonts w:ascii="Arial Narrow" w:hAnsi="Arial Narrow"/>
          <w:b/>
          <w:bCs/>
          <w:color w:val="333399"/>
        </w:rPr>
      </w:sdtEndPr>
      <w:sdtContent>
        <w:p w14:paraId="7B847D23" w14:textId="1C7D4848" w:rsidR="006543EE" w:rsidRPr="00132C08" w:rsidRDefault="008F06BF" w:rsidP="003365B1">
          <w:pPr>
            <w:pStyle w:val="Nagwekspisutreci"/>
            <w:rPr>
              <w:rFonts w:ascii="Calibri" w:eastAsia="Calibri" w:hAnsi="Calibri" w:cs="Calibri"/>
              <w:color w:val="0070C0"/>
              <w:sz w:val="24"/>
              <w:szCs w:val="24"/>
              <w:lang w:val="en-GB"/>
            </w:rPr>
          </w:pPr>
          <w:r w:rsidRPr="00D4323B">
            <w:rPr>
              <w:sz w:val="22"/>
              <w:szCs w:val="22"/>
            </w:rPr>
            <w:fldChar w:fldCharType="begin"/>
          </w:r>
          <w:r w:rsidRPr="00132C08">
            <w:rPr>
              <w:sz w:val="22"/>
              <w:szCs w:val="22"/>
              <w:lang w:val="en-GB"/>
            </w:rPr>
            <w:instrText xml:space="preserve"> TOC \o "1-3" \u </w:instrText>
          </w:r>
          <w:r w:rsidRPr="00D4323B">
            <w:rPr>
              <w:sz w:val="22"/>
              <w:szCs w:val="22"/>
            </w:rPr>
            <w:fldChar w:fldCharType="separate"/>
          </w:r>
          <w:r w:rsidR="00343533" w:rsidRPr="00132C08">
            <w:rPr>
              <w:rFonts w:ascii="Noto Sans Symbols" w:eastAsia="Noto Sans Symbols" w:hAnsi="Noto Sans Symbols" w:cs="Noto Sans Symbols"/>
              <w:color w:val="0070C0"/>
              <w:sz w:val="24"/>
              <w:szCs w:val="24"/>
              <w:lang w:val="en-GB"/>
            </w:rPr>
            <w:t>▪</w:t>
          </w:r>
          <w:r w:rsidR="00343533" w:rsidRPr="00132C08">
            <w:rPr>
              <w:rFonts w:asciiTheme="minorHAnsi" w:eastAsiaTheme="minorEastAsia" w:hAnsiTheme="minorHAnsi" w:cstheme="minorBidi"/>
              <w:color w:val="auto"/>
              <w:sz w:val="24"/>
              <w:szCs w:val="24"/>
              <w:lang w:val="en-GB" w:eastAsia="en-GB"/>
            </w:rPr>
            <w:tab/>
          </w:r>
          <w:r w:rsidR="00343533" w:rsidRPr="00132C08">
            <w:rPr>
              <w:rFonts w:ascii="Calibri" w:eastAsia="Calibri" w:hAnsi="Calibri" w:cs="Calibri"/>
              <w:color w:val="0070C0"/>
              <w:sz w:val="24"/>
              <w:szCs w:val="24"/>
              <w:lang w:val="en-GB"/>
            </w:rPr>
            <w:t xml:space="preserve">Wprowadzenie           </w:t>
          </w:r>
        </w:p>
        <w:p w14:paraId="4969D27C" w14:textId="58DEEF05" w:rsidR="00343533" w:rsidRPr="00374F74" w:rsidRDefault="00343533">
          <w:pPr>
            <w:pStyle w:val="Spistreci1"/>
            <w:rPr>
              <w:rFonts w:asciiTheme="minorHAnsi" w:eastAsiaTheme="minorEastAsia" w:hAnsiTheme="minorHAnsi" w:cstheme="minorBidi"/>
              <w:snapToGrid/>
              <w:color w:val="auto"/>
              <w:sz w:val="22"/>
              <w:szCs w:val="22"/>
              <w:lang w:val="en-GB" w:eastAsia="en-GB"/>
            </w:rPr>
          </w:pPr>
          <w:r w:rsidRPr="00374F74">
            <w:rPr>
              <w:rFonts w:ascii="Calibri" w:eastAsia="Calibri" w:hAnsi="Calibri" w:cs="Calibri"/>
              <w:i/>
              <w:color w:val="0070C0"/>
              <w:lang w:val="en-GB"/>
            </w:rPr>
            <w:t>Background</w:t>
          </w:r>
          <w:r w:rsidRPr="00374F74">
            <w:rPr>
              <w:lang w:val="en-GB"/>
            </w:rPr>
            <w:tab/>
          </w:r>
          <w:r>
            <w:fldChar w:fldCharType="begin"/>
          </w:r>
          <w:r w:rsidRPr="00374F74">
            <w:rPr>
              <w:lang w:val="en-GB"/>
            </w:rPr>
            <w:instrText xml:space="preserve"> PAGEREF _Toc95377958 \h </w:instrText>
          </w:r>
          <w:r>
            <w:fldChar w:fldCharType="separate"/>
          </w:r>
          <w:r w:rsidRPr="00374F74">
            <w:rPr>
              <w:lang w:val="en-GB"/>
            </w:rPr>
            <w:t>5</w:t>
          </w:r>
          <w:r>
            <w:fldChar w:fldCharType="end"/>
          </w:r>
        </w:p>
        <w:p w14:paraId="62A7DEA9" w14:textId="77777777" w:rsidR="006543EE" w:rsidRDefault="00343533">
          <w:pPr>
            <w:pStyle w:val="Spistreci2"/>
            <w:tabs>
              <w:tab w:val="left" w:pos="1989"/>
            </w:tabs>
            <w:rPr>
              <w:rFonts w:ascii="Calibri" w:eastAsia="Calibri" w:hAnsi="Calibri" w:cs="Calibri"/>
              <w:color w:val="4F81BD"/>
            </w:rPr>
          </w:pPr>
          <w:r w:rsidRPr="003D16D1">
            <w:rPr>
              <w:rFonts w:ascii="Calibri" w:eastAsia="Calibri" w:hAnsi="Calibri" w:cs="Calibri"/>
              <w:color w:val="4F81BD"/>
            </w:rPr>
            <w:t>Cel podręcznika</w:t>
          </w:r>
          <w:r>
            <w:rPr>
              <w:rFonts w:asciiTheme="minorHAnsi" w:eastAsiaTheme="minorEastAsia" w:hAnsiTheme="minorHAnsi" w:cstheme="minorBidi"/>
              <w:snapToGrid/>
              <w:color w:val="auto"/>
              <w:szCs w:val="22"/>
              <w:lang w:val="en-GB" w:eastAsia="en-GB"/>
            </w:rPr>
            <w:tab/>
          </w:r>
          <w:r w:rsidRPr="003D16D1">
            <w:rPr>
              <w:rFonts w:ascii="Calibri" w:eastAsia="Calibri" w:hAnsi="Calibri" w:cs="Calibri"/>
              <w:color w:val="4F81BD"/>
            </w:rPr>
            <w:t xml:space="preserve">             </w:t>
          </w:r>
        </w:p>
        <w:p w14:paraId="7BBCB031" w14:textId="5B302FD5" w:rsidR="00343533" w:rsidRDefault="00343533">
          <w:pPr>
            <w:pStyle w:val="Spistreci2"/>
            <w:tabs>
              <w:tab w:val="left" w:pos="1989"/>
            </w:tabs>
            <w:rPr>
              <w:rFonts w:asciiTheme="minorHAnsi" w:eastAsiaTheme="minorEastAsia" w:hAnsiTheme="minorHAnsi" w:cstheme="minorBidi"/>
              <w:snapToGrid/>
              <w:color w:val="auto"/>
              <w:szCs w:val="22"/>
              <w:lang w:val="en-GB" w:eastAsia="en-GB"/>
            </w:rPr>
          </w:pPr>
          <w:r w:rsidRPr="003D16D1">
            <w:rPr>
              <w:rFonts w:ascii="Calibri" w:eastAsia="Calibri" w:hAnsi="Calibri" w:cs="Calibri"/>
              <w:color w:val="4F81BD"/>
            </w:rPr>
            <w:t xml:space="preserve"> </w:t>
          </w:r>
          <w:r w:rsidRPr="003D16D1">
            <w:rPr>
              <w:rFonts w:ascii="Calibri" w:eastAsia="Calibri" w:hAnsi="Calibri" w:cs="Calibri"/>
              <w:i/>
              <w:color w:val="4F81BD"/>
            </w:rPr>
            <w:t>Purpose of the manual</w:t>
          </w:r>
          <w:r>
            <w:tab/>
          </w:r>
          <w:r>
            <w:fldChar w:fldCharType="begin"/>
          </w:r>
          <w:r>
            <w:instrText xml:space="preserve"> PAGEREF _Toc95377959 \h </w:instrText>
          </w:r>
          <w:r>
            <w:fldChar w:fldCharType="separate"/>
          </w:r>
          <w:r>
            <w:t>5</w:t>
          </w:r>
          <w:r>
            <w:fldChar w:fldCharType="end"/>
          </w:r>
        </w:p>
        <w:p w14:paraId="2107D3DA" w14:textId="77777777" w:rsidR="006543EE" w:rsidRPr="00374F74" w:rsidRDefault="00343533">
          <w:pPr>
            <w:pStyle w:val="Spistreci2"/>
            <w:tabs>
              <w:tab w:val="left" w:pos="3361"/>
            </w:tabs>
            <w:rPr>
              <w:rFonts w:ascii="Calibri" w:eastAsia="Calibri" w:hAnsi="Calibri" w:cs="Calibri"/>
              <w:color w:val="4F81BD"/>
              <w:lang w:val="pl-PL"/>
            </w:rPr>
          </w:pPr>
          <w:r w:rsidRPr="00374F74">
            <w:rPr>
              <w:rFonts w:ascii="Calibri" w:eastAsia="Calibri" w:hAnsi="Calibri" w:cs="Calibri"/>
              <w:color w:val="4F81BD"/>
              <w:lang w:val="pl-PL"/>
            </w:rPr>
            <w:t>Tło przygotowania podręcznika</w:t>
          </w:r>
          <w:r w:rsidRPr="00374F74">
            <w:rPr>
              <w:rFonts w:asciiTheme="minorHAnsi" w:eastAsiaTheme="minorEastAsia" w:hAnsiTheme="minorHAnsi" w:cstheme="minorBidi"/>
              <w:snapToGrid/>
              <w:color w:val="auto"/>
              <w:szCs w:val="22"/>
              <w:lang w:val="pl-PL" w:eastAsia="en-GB"/>
            </w:rPr>
            <w:tab/>
          </w:r>
          <w:r w:rsidRPr="00374F74">
            <w:rPr>
              <w:rFonts w:ascii="Calibri" w:eastAsia="Calibri" w:hAnsi="Calibri" w:cs="Calibri"/>
              <w:color w:val="4F81BD"/>
              <w:lang w:val="pl-PL"/>
            </w:rPr>
            <w:t xml:space="preserve">          </w:t>
          </w:r>
        </w:p>
        <w:p w14:paraId="10C03D24" w14:textId="7B485593" w:rsidR="00343533" w:rsidRPr="00374F74" w:rsidRDefault="00343533">
          <w:pPr>
            <w:pStyle w:val="Spistreci2"/>
            <w:tabs>
              <w:tab w:val="left" w:pos="3361"/>
            </w:tabs>
            <w:rPr>
              <w:rFonts w:asciiTheme="minorHAnsi" w:eastAsiaTheme="minorEastAsia" w:hAnsiTheme="minorHAnsi" w:cstheme="minorBidi"/>
              <w:snapToGrid/>
              <w:color w:val="auto"/>
              <w:szCs w:val="22"/>
              <w:lang w:val="pl-PL" w:eastAsia="en-GB"/>
            </w:rPr>
          </w:pPr>
          <w:r w:rsidRPr="00374F74">
            <w:rPr>
              <w:rFonts w:ascii="Calibri" w:eastAsia="Calibri" w:hAnsi="Calibri" w:cs="Calibri"/>
              <w:color w:val="4F81BD"/>
              <w:lang w:val="pl-PL"/>
            </w:rPr>
            <w:t xml:space="preserve"> </w:t>
          </w:r>
          <w:r w:rsidRPr="00374F74">
            <w:rPr>
              <w:rFonts w:ascii="Calibri" w:eastAsia="Calibri" w:hAnsi="Calibri" w:cs="Calibri"/>
              <w:i/>
              <w:color w:val="4F81BD"/>
              <w:lang w:val="pl-PL"/>
            </w:rPr>
            <w:t>Background of the manual preparation</w:t>
          </w:r>
          <w:r w:rsidRPr="00374F74">
            <w:rPr>
              <w:lang w:val="pl-PL"/>
            </w:rPr>
            <w:tab/>
          </w:r>
          <w:r>
            <w:fldChar w:fldCharType="begin"/>
          </w:r>
          <w:r w:rsidRPr="00374F74">
            <w:rPr>
              <w:lang w:val="pl-PL"/>
            </w:rPr>
            <w:instrText xml:space="preserve"> PAGEREF _Toc95377960 \h </w:instrText>
          </w:r>
          <w:r>
            <w:fldChar w:fldCharType="separate"/>
          </w:r>
          <w:r w:rsidRPr="00374F74">
            <w:rPr>
              <w:lang w:val="pl-PL"/>
            </w:rPr>
            <w:t>7</w:t>
          </w:r>
          <w:r>
            <w:fldChar w:fldCharType="end"/>
          </w:r>
        </w:p>
        <w:p w14:paraId="1728C8FE" w14:textId="77777777" w:rsidR="006543EE" w:rsidRPr="00374F74" w:rsidRDefault="00343533">
          <w:pPr>
            <w:pStyle w:val="Spistreci2"/>
            <w:tabs>
              <w:tab w:val="left" w:pos="2292"/>
            </w:tabs>
            <w:rPr>
              <w:rFonts w:ascii="Calibri" w:eastAsia="Calibri" w:hAnsi="Calibri" w:cs="Calibri"/>
              <w:color w:val="4F81BD"/>
              <w:lang w:val="pl-PL"/>
            </w:rPr>
          </w:pPr>
          <w:r w:rsidRPr="00374F74">
            <w:rPr>
              <w:rFonts w:ascii="Calibri" w:eastAsia="Calibri" w:hAnsi="Calibri" w:cs="Calibri"/>
              <w:color w:val="4F81BD"/>
              <w:lang w:val="pl-PL"/>
            </w:rPr>
            <w:t>Zakres podręcznika</w:t>
          </w:r>
          <w:r w:rsidRPr="00374F74">
            <w:rPr>
              <w:rFonts w:asciiTheme="minorHAnsi" w:eastAsiaTheme="minorEastAsia" w:hAnsiTheme="minorHAnsi" w:cstheme="minorBidi"/>
              <w:snapToGrid/>
              <w:color w:val="auto"/>
              <w:szCs w:val="22"/>
              <w:lang w:val="pl-PL" w:eastAsia="en-GB"/>
            </w:rPr>
            <w:tab/>
          </w:r>
          <w:r w:rsidRPr="00374F74">
            <w:rPr>
              <w:rFonts w:ascii="Calibri" w:eastAsia="Calibri" w:hAnsi="Calibri" w:cs="Calibri"/>
              <w:color w:val="4F81BD"/>
              <w:lang w:val="pl-PL"/>
            </w:rPr>
            <w:t xml:space="preserve">            </w:t>
          </w:r>
        </w:p>
        <w:p w14:paraId="39F652F0" w14:textId="37FACA18" w:rsidR="00343533" w:rsidRPr="00374F74" w:rsidRDefault="00343533">
          <w:pPr>
            <w:pStyle w:val="Spistreci2"/>
            <w:tabs>
              <w:tab w:val="left" w:pos="2292"/>
            </w:tabs>
            <w:rPr>
              <w:rFonts w:asciiTheme="minorHAnsi" w:eastAsiaTheme="minorEastAsia" w:hAnsiTheme="minorHAnsi" w:cstheme="minorBidi"/>
              <w:snapToGrid/>
              <w:color w:val="auto"/>
              <w:szCs w:val="22"/>
              <w:lang w:val="pl-PL" w:eastAsia="en-GB"/>
            </w:rPr>
          </w:pPr>
          <w:r w:rsidRPr="00374F74">
            <w:rPr>
              <w:rFonts w:ascii="Calibri" w:eastAsia="Calibri" w:hAnsi="Calibri" w:cs="Calibri"/>
              <w:color w:val="4F81BD"/>
              <w:lang w:val="pl-PL"/>
            </w:rPr>
            <w:t xml:space="preserve"> </w:t>
          </w:r>
          <w:r w:rsidRPr="00374F74">
            <w:rPr>
              <w:rFonts w:ascii="Calibri" w:eastAsia="Calibri" w:hAnsi="Calibri" w:cs="Calibri"/>
              <w:i/>
              <w:color w:val="4F81BD"/>
              <w:lang w:val="pl-PL"/>
            </w:rPr>
            <w:t>Scope of the manual</w:t>
          </w:r>
          <w:r w:rsidRPr="00374F74">
            <w:rPr>
              <w:lang w:val="pl-PL"/>
            </w:rPr>
            <w:tab/>
          </w:r>
          <w:r w:rsidR="00573A14" w:rsidRPr="00374F74">
            <w:rPr>
              <w:lang w:val="pl-PL"/>
            </w:rPr>
            <w:tab/>
          </w:r>
          <w:r>
            <w:fldChar w:fldCharType="begin"/>
          </w:r>
          <w:r w:rsidRPr="00374F74">
            <w:rPr>
              <w:lang w:val="pl-PL"/>
            </w:rPr>
            <w:instrText xml:space="preserve"> PAGEREF _Toc95377961 \h </w:instrText>
          </w:r>
          <w:r>
            <w:fldChar w:fldCharType="separate"/>
          </w:r>
          <w:r w:rsidRPr="00374F74">
            <w:rPr>
              <w:lang w:val="pl-PL"/>
            </w:rPr>
            <w:t>9</w:t>
          </w:r>
          <w:r>
            <w:fldChar w:fldCharType="end"/>
          </w:r>
        </w:p>
        <w:p w14:paraId="6379987A" w14:textId="77777777" w:rsidR="006543EE" w:rsidRPr="00374F74" w:rsidRDefault="00343533">
          <w:pPr>
            <w:pStyle w:val="Spistreci2"/>
            <w:tabs>
              <w:tab w:val="left" w:pos="6088"/>
            </w:tabs>
            <w:rPr>
              <w:rFonts w:asciiTheme="minorHAnsi" w:eastAsiaTheme="minorEastAsia" w:hAnsiTheme="minorHAnsi" w:cstheme="minorBidi"/>
              <w:snapToGrid/>
              <w:color w:val="auto"/>
              <w:szCs w:val="22"/>
              <w:lang w:val="pl-PL" w:eastAsia="en-GB"/>
            </w:rPr>
          </w:pPr>
          <w:r w:rsidRPr="00374F74">
            <w:rPr>
              <w:rFonts w:ascii="Calibri" w:eastAsia="Calibri" w:hAnsi="Calibri" w:cs="Calibri"/>
              <w:color w:val="4F81BD"/>
              <w:lang w:val="pl-PL"/>
            </w:rPr>
            <w:t>Zawartość i zakres analizy kosztów i korzyści oraz jej struktura</w:t>
          </w:r>
          <w:r w:rsidRPr="00374F74">
            <w:rPr>
              <w:rFonts w:asciiTheme="minorHAnsi" w:eastAsiaTheme="minorEastAsia" w:hAnsiTheme="minorHAnsi" w:cstheme="minorBidi"/>
              <w:snapToGrid/>
              <w:color w:val="auto"/>
              <w:szCs w:val="22"/>
              <w:lang w:val="pl-PL" w:eastAsia="en-GB"/>
            </w:rPr>
            <w:tab/>
          </w:r>
        </w:p>
        <w:p w14:paraId="39D89841" w14:textId="66E7BE3A" w:rsidR="00343533" w:rsidRDefault="00343533">
          <w:pPr>
            <w:pStyle w:val="Spistreci2"/>
            <w:tabs>
              <w:tab w:val="left" w:pos="6088"/>
            </w:tabs>
            <w:rPr>
              <w:rFonts w:asciiTheme="minorHAnsi" w:eastAsiaTheme="minorEastAsia" w:hAnsiTheme="minorHAnsi" w:cstheme="minorBidi"/>
              <w:snapToGrid/>
              <w:color w:val="auto"/>
              <w:szCs w:val="22"/>
              <w:lang w:val="en-GB" w:eastAsia="en-GB"/>
            </w:rPr>
          </w:pPr>
          <w:r w:rsidRPr="00374F74">
            <w:rPr>
              <w:rFonts w:ascii="Calibri" w:eastAsia="Calibri" w:hAnsi="Calibri" w:cs="Calibri"/>
              <w:color w:val="4F81BD"/>
              <w:lang w:val="pl-PL"/>
            </w:rPr>
            <w:t xml:space="preserve">         </w:t>
          </w:r>
          <w:r w:rsidRPr="003D16D1">
            <w:rPr>
              <w:rFonts w:ascii="Calibri" w:eastAsia="Calibri" w:hAnsi="Calibri" w:cs="Calibri"/>
              <w:i/>
              <w:color w:val="4F81BD"/>
            </w:rPr>
            <w:t>Content and scope of the Cost-Benefit Analysis and its structure</w:t>
          </w:r>
          <w:r>
            <w:tab/>
          </w:r>
          <w:r>
            <w:fldChar w:fldCharType="begin"/>
          </w:r>
          <w:r>
            <w:instrText xml:space="preserve"> PAGEREF _Toc95377962 \h </w:instrText>
          </w:r>
          <w:r>
            <w:fldChar w:fldCharType="separate"/>
          </w:r>
          <w:r>
            <w:t>13</w:t>
          </w:r>
          <w:r>
            <w:fldChar w:fldCharType="end"/>
          </w:r>
        </w:p>
        <w:p w14:paraId="7C168109" w14:textId="77777777" w:rsidR="006543EE" w:rsidRPr="00374F74" w:rsidRDefault="00343533">
          <w:pPr>
            <w:pStyle w:val="Spistreci1"/>
            <w:rPr>
              <w:rFonts w:ascii="Calibri" w:eastAsia="Calibri" w:hAnsi="Calibri" w:cs="Calibri"/>
              <w:color w:val="0070C0"/>
              <w:lang w:val="pl-PL"/>
            </w:rPr>
          </w:pPr>
          <w:r w:rsidRPr="00374F74">
            <w:rPr>
              <w:rFonts w:ascii="Calibri" w:eastAsia="Calibri" w:hAnsi="Calibri" w:cs="Calibri"/>
              <w:color w:val="0070C0"/>
              <w:lang w:val="pl-PL"/>
            </w:rPr>
            <w:t>1.</w:t>
          </w:r>
          <w:r w:rsidRPr="00374F74">
            <w:rPr>
              <w:rFonts w:asciiTheme="minorHAnsi" w:eastAsiaTheme="minorEastAsia" w:hAnsiTheme="minorHAnsi" w:cstheme="minorBidi"/>
              <w:snapToGrid/>
              <w:color w:val="auto"/>
              <w:sz w:val="22"/>
              <w:szCs w:val="22"/>
              <w:lang w:val="pl-PL" w:eastAsia="en-GB"/>
            </w:rPr>
            <w:tab/>
          </w:r>
          <w:r w:rsidRPr="00374F74">
            <w:rPr>
              <w:rFonts w:ascii="Calibri" w:eastAsia="Calibri" w:hAnsi="Calibri" w:cs="Calibri"/>
              <w:color w:val="0070C0"/>
              <w:lang w:val="pl-PL"/>
            </w:rPr>
            <w:t>Faza I: Identyfikacja wariantów i przygotowanie danych wejściowych</w:t>
          </w:r>
        </w:p>
        <w:p w14:paraId="4555D200" w14:textId="2F236640" w:rsidR="00343533" w:rsidRDefault="00343533">
          <w:pPr>
            <w:pStyle w:val="Spistreci1"/>
            <w:rPr>
              <w:rFonts w:asciiTheme="minorHAnsi" w:eastAsiaTheme="minorEastAsia" w:hAnsiTheme="minorHAnsi" w:cstheme="minorBidi"/>
              <w:snapToGrid/>
              <w:color w:val="auto"/>
              <w:sz w:val="22"/>
              <w:szCs w:val="22"/>
              <w:lang w:val="en-GB" w:eastAsia="en-GB"/>
            </w:rPr>
          </w:pPr>
          <w:r w:rsidRPr="00374F74">
            <w:rPr>
              <w:rFonts w:ascii="Calibri" w:eastAsia="Calibri" w:hAnsi="Calibri" w:cs="Calibri"/>
              <w:color w:val="0070C0"/>
              <w:lang w:val="pl-PL"/>
            </w:rPr>
            <w:t xml:space="preserve">  </w:t>
          </w:r>
          <w:r w:rsidRPr="00374F74">
            <w:rPr>
              <w:rFonts w:ascii="Calibri" w:eastAsia="Calibri" w:hAnsi="Calibri" w:cs="Calibri"/>
              <w:i/>
              <w:color w:val="0070C0"/>
              <w:lang w:val="pl-PL"/>
            </w:rPr>
            <w:t xml:space="preserve">       </w:t>
          </w:r>
          <w:r w:rsidRPr="003D16D1">
            <w:rPr>
              <w:rFonts w:ascii="Calibri" w:eastAsia="Calibri" w:hAnsi="Calibri" w:cs="Calibri"/>
              <w:i/>
              <w:color w:val="0070C0"/>
            </w:rPr>
            <w:t>Phase I: Identification of project options and preparation of input       data</w:t>
          </w:r>
          <w:r>
            <w:tab/>
          </w:r>
          <w:r>
            <w:fldChar w:fldCharType="begin"/>
          </w:r>
          <w:r>
            <w:instrText xml:space="preserve"> PAGEREF _Toc95377963 \h </w:instrText>
          </w:r>
          <w:r>
            <w:fldChar w:fldCharType="separate"/>
          </w:r>
          <w:r>
            <w:t>16</w:t>
          </w:r>
          <w:r>
            <w:fldChar w:fldCharType="end"/>
          </w:r>
        </w:p>
        <w:p w14:paraId="5AC388D3" w14:textId="77777777" w:rsidR="006543EE" w:rsidRPr="00374F74" w:rsidRDefault="00343533">
          <w:pPr>
            <w:pStyle w:val="Spistreci2"/>
            <w:rPr>
              <w:rFonts w:ascii="Calibri" w:eastAsia="Calibri" w:hAnsi="Calibri" w:cs="Calibri"/>
              <w:color w:val="4F81BD"/>
              <w:lang w:val="pl-PL"/>
            </w:rPr>
          </w:pPr>
          <w:r w:rsidRPr="00374F74">
            <w:rPr>
              <w:rFonts w:ascii="Calibri" w:eastAsia="Calibri" w:hAnsi="Calibri" w:cs="Calibri"/>
              <w:color w:val="4F81BD"/>
              <w:lang w:val="pl-PL"/>
            </w:rPr>
            <w:t>1.1</w:t>
          </w:r>
          <w:r w:rsidRPr="00374F74">
            <w:rPr>
              <w:rFonts w:asciiTheme="minorHAnsi" w:eastAsiaTheme="minorEastAsia" w:hAnsiTheme="minorHAnsi" w:cstheme="minorBidi"/>
              <w:snapToGrid/>
              <w:color w:val="auto"/>
              <w:szCs w:val="22"/>
              <w:lang w:val="pl-PL" w:eastAsia="en-GB"/>
            </w:rPr>
            <w:tab/>
          </w:r>
          <w:r w:rsidRPr="00374F74">
            <w:rPr>
              <w:rFonts w:ascii="Calibri" w:eastAsia="Calibri" w:hAnsi="Calibri" w:cs="Calibri"/>
              <w:color w:val="4F81BD"/>
              <w:lang w:val="pl-PL"/>
            </w:rPr>
            <w:t xml:space="preserve">Podsumowanie wcześniejszych prac studialnych         </w:t>
          </w:r>
        </w:p>
        <w:p w14:paraId="0866226B" w14:textId="41FE7B0D" w:rsidR="00343533" w:rsidRPr="00374F74" w:rsidRDefault="00343533">
          <w:pPr>
            <w:pStyle w:val="Spistreci2"/>
            <w:rPr>
              <w:rFonts w:asciiTheme="minorHAnsi" w:eastAsiaTheme="minorEastAsia" w:hAnsiTheme="minorHAnsi" w:cstheme="minorBidi"/>
              <w:snapToGrid/>
              <w:color w:val="auto"/>
              <w:szCs w:val="22"/>
              <w:lang w:val="pl-PL" w:eastAsia="en-GB"/>
            </w:rPr>
          </w:pPr>
          <w:r w:rsidRPr="00374F74">
            <w:rPr>
              <w:rFonts w:ascii="Calibri" w:eastAsia="Calibri" w:hAnsi="Calibri" w:cs="Calibri"/>
              <w:i/>
              <w:color w:val="4F81BD"/>
              <w:lang w:val="pl-PL"/>
            </w:rPr>
            <w:t>1.1   Summary of previous project studies</w:t>
          </w:r>
          <w:r w:rsidRPr="00374F74">
            <w:rPr>
              <w:lang w:val="pl-PL"/>
            </w:rPr>
            <w:tab/>
          </w:r>
          <w:r>
            <w:fldChar w:fldCharType="begin"/>
          </w:r>
          <w:r w:rsidRPr="00374F74">
            <w:rPr>
              <w:lang w:val="pl-PL"/>
            </w:rPr>
            <w:instrText xml:space="preserve"> PAGEREF _Toc95377964 \h </w:instrText>
          </w:r>
          <w:r>
            <w:fldChar w:fldCharType="separate"/>
          </w:r>
          <w:r w:rsidRPr="00374F74">
            <w:rPr>
              <w:lang w:val="pl-PL"/>
            </w:rPr>
            <w:t>16</w:t>
          </w:r>
          <w:r>
            <w:fldChar w:fldCharType="end"/>
          </w:r>
        </w:p>
        <w:p w14:paraId="197685C6" w14:textId="77777777" w:rsidR="006543EE" w:rsidRPr="00374F74" w:rsidRDefault="00343533">
          <w:pPr>
            <w:pStyle w:val="Spistreci2"/>
            <w:rPr>
              <w:rFonts w:ascii="Calibri" w:eastAsia="Calibri" w:hAnsi="Calibri" w:cs="Calibri"/>
              <w:color w:val="4F81BD"/>
              <w:lang w:val="en-GB"/>
            </w:rPr>
          </w:pPr>
          <w:r w:rsidRPr="00374F74">
            <w:rPr>
              <w:rFonts w:ascii="Calibri" w:eastAsia="Calibri" w:hAnsi="Calibri" w:cs="Calibri"/>
              <w:color w:val="4F81BD"/>
              <w:lang w:val="en-GB"/>
            </w:rPr>
            <w:t>1.2</w:t>
          </w:r>
          <w:r w:rsidRPr="00374F74">
            <w:rPr>
              <w:rFonts w:asciiTheme="minorHAnsi" w:eastAsiaTheme="minorEastAsia" w:hAnsiTheme="minorHAnsi" w:cstheme="minorBidi"/>
              <w:snapToGrid/>
              <w:color w:val="auto"/>
              <w:szCs w:val="22"/>
              <w:lang w:val="en-GB" w:eastAsia="en-GB"/>
            </w:rPr>
            <w:tab/>
          </w:r>
          <w:r w:rsidRPr="00374F74">
            <w:rPr>
              <w:rFonts w:ascii="Calibri" w:eastAsia="Calibri" w:hAnsi="Calibri" w:cs="Calibri"/>
              <w:color w:val="4F81BD"/>
              <w:lang w:val="en-GB"/>
            </w:rPr>
            <w:t xml:space="preserve">Stan istniejący               </w:t>
          </w:r>
        </w:p>
        <w:p w14:paraId="5143233C" w14:textId="3154B37D" w:rsidR="00343533" w:rsidRPr="00374F74" w:rsidRDefault="00343533">
          <w:pPr>
            <w:pStyle w:val="Spistreci2"/>
            <w:rPr>
              <w:rFonts w:asciiTheme="minorHAnsi" w:eastAsiaTheme="minorEastAsia" w:hAnsiTheme="minorHAnsi" w:cstheme="minorBidi"/>
              <w:snapToGrid/>
              <w:color w:val="auto"/>
              <w:szCs w:val="22"/>
              <w:lang w:val="en-GB" w:eastAsia="en-GB"/>
            </w:rPr>
          </w:pPr>
          <w:r w:rsidRPr="00374F74">
            <w:rPr>
              <w:rFonts w:ascii="Calibri" w:eastAsia="Calibri" w:hAnsi="Calibri" w:cs="Calibri"/>
              <w:i/>
              <w:color w:val="4F81BD"/>
              <w:lang w:val="en-GB"/>
            </w:rPr>
            <w:t>1.2   Existing conditions</w:t>
          </w:r>
          <w:r w:rsidRPr="00374F74">
            <w:rPr>
              <w:lang w:val="en-GB"/>
            </w:rPr>
            <w:tab/>
          </w:r>
          <w:r>
            <w:fldChar w:fldCharType="begin"/>
          </w:r>
          <w:r w:rsidRPr="00374F74">
            <w:rPr>
              <w:lang w:val="en-GB"/>
            </w:rPr>
            <w:instrText xml:space="preserve"> PAGEREF _Toc95377965 \h </w:instrText>
          </w:r>
          <w:r>
            <w:fldChar w:fldCharType="separate"/>
          </w:r>
          <w:r w:rsidRPr="00374F74">
            <w:rPr>
              <w:lang w:val="en-GB"/>
            </w:rPr>
            <w:t>17</w:t>
          </w:r>
          <w:r>
            <w:fldChar w:fldCharType="end"/>
          </w:r>
        </w:p>
        <w:p w14:paraId="20AF73A3" w14:textId="77777777" w:rsidR="006543EE" w:rsidRPr="00374F74" w:rsidRDefault="00343533">
          <w:pPr>
            <w:pStyle w:val="Spistreci2"/>
            <w:rPr>
              <w:rFonts w:ascii="Calibri" w:eastAsia="Calibri" w:hAnsi="Calibri" w:cs="Calibri"/>
              <w:color w:val="4F81BD"/>
              <w:lang w:val="en-GB"/>
            </w:rPr>
          </w:pPr>
          <w:r w:rsidRPr="00374F74">
            <w:rPr>
              <w:rFonts w:ascii="Calibri" w:eastAsia="Calibri" w:hAnsi="Calibri" w:cs="Calibri"/>
              <w:color w:val="4F81BD"/>
              <w:lang w:val="en-GB"/>
            </w:rPr>
            <w:t>1.3</w:t>
          </w:r>
          <w:r w:rsidRPr="00374F74">
            <w:rPr>
              <w:rFonts w:asciiTheme="minorHAnsi" w:eastAsiaTheme="minorEastAsia" w:hAnsiTheme="minorHAnsi" w:cstheme="minorBidi"/>
              <w:snapToGrid/>
              <w:color w:val="auto"/>
              <w:szCs w:val="22"/>
              <w:lang w:val="en-GB" w:eastAsia="en-GB"/>
            </w:rPr>
            <w:tab/>
          </w:r>
          <w:r w:rsidRPr="00374F74">
            <w:rPr>
              <w:rFonts w:ascii="Calibri" w:eastAsia="Calibri" w:hAnsi="Calibri" w:cs="Calibri"/>
              <w:color w:val="4F81BD"/>
              <w:lang w:val="en-GB"/>
            </w:rPr>
            <w:t xml:space="preserve">Cele projektu               </w:t>
          </w:r>
        </w:p>
        <w:p w14:paraId="17AB8FC3" w14:textId="6298F302" w:rsidR="00343533" w:rsidRPr="00343533" w:rsidRDefault="00343533">
          <w:pPr>
            <w:pStyle w:val="Spistreci2"/>
            <w:rPr>
              <w:rFonts w:asciiTheme="minorHAnsi" w:eastAsiaTheme="minorEastAsia" w:hAnsiTheme="minorHAnsi" w:cstheme="minorBidi"/>
              <w:snapToGrid/>
              <w:color w:val="auto"/>
              <w:szCs w:val="22"/>
              <w:lang w:val="pl-PL" w:eastAsia="en-GB"/>
            </w:rPr>
          </w:pPr>
          <w:r w:rsidRPr="00343533">
            <w:rPr>
              <w:rFonts w:ascii="Calibri" w:eastAsia="Calibri" w:hAnsi="Calibri" w:cs="Calibri"/>
              <w:i/>
              <w:color w:val="4F81BD"/>
              <w:lang w:val="pl-PL"/>
            </w:rPr>
            <w:t>1.3   Project objectives</w:t>
          </w:r>
          <w:r w:rsidRPr="00343533">
            <w:rPr>
              <w:lang w:val="pl-PL"/>
            </w:rPr>
            <w:tab/>
          </w:r>
          <w:r>
            <w:fldChar w:fldCharType="begin"/>
          </w:r>
          <w:r w:rsidRPr="00343533">
            <w:rPr>
              <w:lang w:val="pl-PL"/>
            </w:rPr>
            <w:instrText xml:space="preserve"> PAGEREF _Toc95377966 \h </w:instrText>
          </w:r>
          <w:r>
            <w:fldChar w:fldCharType="separate"/>
          </w:r>
          <w:r w:rsidRPr="00343533">
            <w:rPr>
              <w:lang w:val="pl-PL"/>
            </w:rPr>
            <w:t>18</w:t>
          </w:r>
          <w:r>
            <w:fldChar w:fldCharType="end"/>
          </w:r>
        </w:p>
        <w:p w14:paraId="60A22A9C" w14:textId="77777777" w:rsidR="006543EE" w:rsidRDefault="00343533">
          <w:pPr>
            <w:pStyle w:val="Spistreci2"/>
            <w:rPr>
              <w:rFonts w:ascii="Calibri" w:eastAsia="Calibri" w:hAnsi="Calibri" w:cs="Calibri"/>
              <w:color w:val="4F81BD"/>
              <w:lang w:val="pl-PL"/>
            </w:rPr>
          </w:pPr>
          <w:r w:rsidRPr="00343533">
            <w:rPr>
              <w:rFonts w:ascii="Calibri" w:eastAsia="Calibri" w:hAnsi="Calibri" w:cs="Calibri"/>
              <w:color w:val="4F81BD"/>
              <w:lang w:val="pl-PL"/>
            </w:rPr>
            <w:t>1.4</w:t>
          </w:r>
          <w:r w:rsidRPr="00343533">
            <w:rPr>
              <w:rFonts w:asciiTheme="minorHAnsi" w:eastAsiaTheme="minorEastAsia" w:hAnsiTheme="minorHAnsi" w:cstheme="minorBidi"/>
              <w:snapToGrid/>
              <w:color w:val="auto"/>
              <w:szCs w:val="22"/>
              <w:lang w:val="pl-PL" w:eastAsia="en-GB"/>
            </w:rPr>
            <w:tab/>
          </w:r>
          <w:r w:rsidRPr="00343533">
            <w:rPr>
              <w:rFonts w:ascii="Calibri" w:eastAsia="Calibri" w:hAnsi="Calibri" w:cs="Calibri"/>
              <w:color w:val="4F81BD"/>
              <w:lang w:val="pl-PL"/>
            </w:rPr>
            <w:t>Identyfikacja efektywnych wariantów inwestycyjnych projektu</w:t>
          </w:r>
        </w:p>
        <w:p w14:paraId="24931637" w14:textId="21AF40F3" w:rsidR="00343533" w:rsidRDefault="00343533">
          <w:pPr>
            <w:pStyle w:val="Spistreci2"/>
            <w:rPr>
              <w:rFonts w:asciiTheme="minorHAnsi" w:eastAsiaTheme="minorEastAsia" w:hAnsiTheme="minorHAnsi" w:cstheme="minorBidi"/>
              <w:snapToGrid/>
              <w:color w:val="auto"/>
              <w:szCs w:val="22"/>
              <w:lang w:val="en-GB" w:eastAsia="en-GB"/>
            </w:rPr>
          </w:pPr>
          <w:r w:rsidRPr="003D16D1">
            <w:rPr>
              <w:rFonts w:ascii="Calibri" w:eastAsia="Calibri" w:hAnsi="Calibri" w:cs="Calibri"/>
              <w:i/>
              <w:color w:val="4F81BD"/>
            </w:rPr>
            <w:t>Identification of effective project Investment Options</w:t>
          </w:r>
          <w:r>
            <w:tab/>
          </w:r>
          <w:r>
            <w:fldChar w:fldCharType="begin"/>
          </w:r>
          <w:r>
            <w:instrText xml:space="preserve"> PAGEREF _Toc95377968 \h </w:instrText>
          </w:r>
          <w:r>
            <w:fldChar w:fldCharType="separate"/>
          </w:r>
          <w:r>
            <w:t>19</w:t>
          </w:r>
          <w:r>
            <w:fldChar w:fldCharType="end"/>
          </w:r>
        </w:p>
        <w:p w14:paraId="3138C7CB" w14:textId="77777777" w:rsidR="006543EE" w:rsidRDefault="00343533">
          <w:pPr>
            <w:pStyle w:val="Spistreci2"/>
            <w:rPr>
              <w:rFonts w:ascii="Calibri" w:eastAsia="Calibri" w:hAnsi="Calibri" w:cs="Calibri"/>
              <w:color w:val="4F81BD"/>
            </w:rPr>
          </w:pPr>
          <w:r w:rsidRPr="003D16D1">
            <w:rPr>
              <w:rFonts w:ascii="Calibri" w:eastAsia="Calibri" w:hAnsi="Calibri" w:cs="Calibri"/>
              <w:color w:val="4F81BD"/>
            </w:rPr>
            <w:t>1.5</w:t>
          </w:r>
          <w:r>
            <w:rPr>
              <w:rFonts w:asciiTheme="minorHAnsi" w:eastAsiaTheme="minorEastAsia" w:hAnsiTheme="minorHAnsi" w:cstheme="minorBidi"/>
              <w:snapToGrid/>
              <w:color w:val="auto"/>
              <w:szCs w:val="22"/>
              <w:lang w:val="en-GB" w:eastAsia="en-GB"/>
            </w:rPr>
            <w:tab/>
          </w:r>
          <w:r w:rsidRPr="003D16D1">
            <w:rPr>
              <w:rFonts w:ascii="Calibri" w:eastAsia="Calibri" w:hAnsi="Calibri" w:cs="Calibri"/>
              <w:color w:val="4F81BD"/>
            </w:rPr>
            <w:t xml:space="preserve">Definicja wariantu bezinwestycyjnego          </w:t>
          </w:r>
        </w:p>
        <w:p w14:paraId="39C80FD3" w14:textId="0857F403" w:rsidR="00343533" w:rsidRDefault="00343533">
          <w:pPr>
            <w:pStyle w:val="Spistreci2"/>
            <w:rPr>
              <w:rFonts w:asciiTheme="minorHAnsi" w:eastAsiaTheme="minorEastAsia" w:hAnsiTheme="minorHAnsi" w:cstheme="minorBidi"/>
              <w:snapToGrid/>
              <w:color w:val="auto"/>
              <w:szCs w:val="22"/>
              <w:lang w:val="en-GB" w:eastAsia="en-GB"/>
            </w:rPr>
          </w:pPr>
          <w:r w:rsidRPr="003D16D1">
            <w:rPr>
              <w:rFonts w:ascii="Calibri" w:eastAsia="Calibri" w:hAnsi="Calibri" w:cs="Calibri"/>
              <w:i/>
              <w:color w:val="4F81BD"/>
            </w:rPr>
            <w:t>1.5   Definition of the Without-the-Project Option</w:t>
          </w:r>
          <w:r>
            <w:tab/>
          </w:r>
          <w:r>
            <w:fldChar w:fldCharType="begin"/>
          </w:r>
          <w:r>
            <w:instrText xml:space="preserve"> PAGEREF _Toc95377969 \h </w:instrText>
          </w:r>
          <w:r>
            <w:fldChar w:fldCharType="separate"/>
          </w:r>
          <w:r>
            <w:t>26</w:t>
          </w:r>
          <w:r>
            <w:fldChar w:fldCharType="end"/>
          </w:r>
        </w:p>
        <w:p w14:paraId="1360329D" w14:textId="77777777" w:rsidR="006543EE" w:rsidRDefault="00343533">
          <w:pPr>
            <w:pStyle w:val="Spistreci2"/>
            <w:rPr>
              <w:rFonts w:ascii="Calibri" w:eastAsia="Calibri" w:hAnsi="Calibri" w:cs="Calibri"/>
              <w:color w:val="4F81BD"/>
              <w:lang w:val="pl-PL"/>
            </w:rPr>
          </w:pPr>
          <w:r w:rsidRPr="003D16D1">
            <w:rPr>
              <w:rFonts w:ascii="Calibri" w:eastAsia="Calibri" w:hAnsi="Calibri" w:cs="Calibri"/>
              <w:color w:val="4F81BD"/>
              <w:lang w:val="pl-PL"/>
            </w:rPr>
            <w:t>1.6</w:t>
          </w:r>
          <w:r w:rsidRPr="00343533">
            <w:rPr>
              <w:rFonts w:asciiTheme="minorHAnsi" w:eastAsiaTheme="minorEastAsia" w:hAnsiTheme="minorHAnsi" w:cstheme="minorBidi"/>
              <w:snapToGrid/>
              <w:color w:val="auto"/>
              <w:szCs w:val="22"/>
              <w:lang w:val="pl-PL" w:eastAsia="en-GB"/>
            </w:rPr>
            <w:tab/>
          </w:r>
          <w:r w:rsidRPr="003D16D1">
            <w:rPr>
              <w:rFonts w:ascii="Calibri" w:eastAsia="Calibri" w:hAnsi="Calibri" w:cs="Calibri"/>
              <w:color w:val="4F81BD"/>
              <w:lang w:val="pl-PL"/>
            </w:rPr>
            <w:t xml:space="preserve">Określenie okresu referencyjnego projektu          </w:t>
          </w:r>
        </w:p>
        <w:p w14:paraId="4B13F54E" w14:textId="0EBA1264" w:rsidR="00343533" w:rsidRPr="00374F74" w:rsidRDefault="00343533">
          <w:pPr>
            <w:pStyle w:val="Spistreci2"/>
            <w:rPr>
              <w:rFonts w:asciiTheme="minorHAnsi" w:eastAsiaTheme="minorEastAsia" w:hAnsiTheme="minorHAnsi" w:cstheme="minorBidi"/>
              <w:snapToGrid/>
              <w:color w:val="auto"/>
              <w:szCs w:val="22"/>
              <w:lang w:val="pl-PL" w:eastAsia="en-GB"/>
            </w:rPr>
          </w:pPr>
          <w:r w:rsidRPr="00374F74">
            <w:rPr>
              <w:rFonts w:ascii="Calibri" w:eastAsia="Calibri" w:hAnsi="Calibri" w:cs="Calibri"/>
              <w:i/>
              <w:color w:val="4F81BD"/>
              <w:lang w:val="pl-PL"/>
            </w:rPr>
            <w:t>1.6   Determination of the project reference period</w:t>
          </w:r>
          <w:r w:rsidRPr="00374F74">
            <w:rPr>
              <w:lang w:val="pl-PL"/>
            </w:rPr>
            <w:tab/>
          </w:r>
          <w:r>
            <w:fldChar w:fldCharType="begin"/>
          </w:r>
          <w:r w:rsidRPr="00374F74">
            <w:rPr>
              <w:lang w:val="pl-PL"/>
            </w:rPr>
            <w:instrText xml:space="preserve"> PAGEREF _Toc95377970 \h </w:instrText>
          </w:r>
          <w:r>
            <w:fldChar w:fldCharType="separate"/>
          </w:r>
          <w:r w:rsidRPr="00374F74">
            <w:rPr>
              <w:lang w:val="pl-PL"/>
            </w:rPr>
            <w:t>28</w:t>
          </w:r>
          <w:r>
            <w:fldChar w:fldCharType="end"/>
          </w:r>
        </w:p>
        <w:p w14:paraId="57B6A181" w14:textId="32702626" w:rsidR="00343533" w:rsidRPr="00343533" w:rsidRDefault="00343533">
          <w:pPr>
            <w:pStyle w:val="Spistreci2"/>
            <w:rPr>
              <w:rFonts w:asciiTheme="minorHAnsi" w:eastAsiaTheme="minorEastAsia" w:hAnsiTheme="minorHAnsi" w:cstheme="minorBidi"/>
              <w:snapToGrid/>
              <w:color w:val="auto"/>
              <w:szCs w:val="22"/>
              <w:lang w:val="pl-PL" w:eastAsia="en-GB"/>
            </w:rPr>
          </w:pPr>
          <w:r w:rsidRPr="00343533">
            <w:rPr>
              <w:rFonts w:ascii="Calibri" w:eastAsia="Calibri" w:hAnsi="Calibri" w:cs="Calibri"/>
              <w:color w:val="4F81BD"/>
              <w:lang w:val="pl-PL"/>
            </w:rPr>
            <w:t>1.7</w:t>
          </w:r>
          <w:r w:rsidRPr="00343533">
            <w:rPr>
              <w:rFonts w:asciiTheme="minorHAnsi" w:eastAsiaTheme="minorEastAsia" w:hAnsiTheme="minorHAnsi" w:cstheme="minorBidi"/>
              <w:snapToGrid/>
              <w:color w:val="auto"/>
              <w:szCs w:val="22"/>
              <w:lang w:val="pl-PL" w:eastAsia="en-GB"/>
            </w:rPr>
            <w:tab/>
          </w:r>
          <w:r w:rsidRPr="00343533">
            <w:rPr>
              <w:rFonts w:ascii="Calibri" w:eastAsia="Calibri" w:hAnsi="Calibri" w:cs="Calibri"/>
              <w:color w:val="4F81BD"/>
              <w:lang w:val="pl-PL"/>
            </w:rPr>
            <w:t>Przygotowanie makroekonomicznych danych wejściowych</w:t>
          </w:r>
        </w:p>
        <w:p w14:paraId="145EA87C" w14:textId="18547A93" w:rsidR="00343533" w:rsidRDefault="00343533">
          <w:pPr>
            <w:pStyle w:val="Spistreci2"/>
            <w:rPr>
              <w:rFonts w:asciiTheme="minorHAnsi" w:eastAsiaTheme="minorEastAsia" w:hAnsiTheme="minorHAnsi" w:cstheme="minorBidi"/>
              <w:snapToGrid/>
              <w:color w:val="auto"/>
              <w:szCs w:val="22"/>
              <w:lang w:val="en-GB" w:eastAsia="en-GB"/>
            </w:rPr>
          </w:pPr>
          <w:r w:rsidRPr="003D16D1">
            <w:rPr>
              <w:rFonts w:ascii="Calibri" w:eastAsia="Calibri" w:hAnsi="Calibri" w:cs="Calibri"/>
              <w:i/>
              <w:color w:val="4F81BD"/>
            </w:rPr>
            <w:t>Preparation of macro-economic inputs</w:t>
          </w:r>
          <w:r>
            <w:tab/>
          </w:r>
          <w:r>
            <w:fldChar w:fldCharType="begin"/>
          </w:r>
          <w:r>
            <w:instrText xml:space="preserve"> PAGEREF _Toc95377972 \h </w:instrText>
          </w:r>
          <w:r>
            <w:fldChar w:fldCharType="separate"/>
          </w:r>
          <w:r>
            <w:t>29</w:t>
          </w:r>
          <w:r>
            <w:fldChar w:fldCharType="end"/>
          </w:r>
        </w:p>
        <w:p w14:paraId="0CBC0D94" w14:textId="77777777" w:rsidR="006543EE" w:rsidRDefault="00343533">
          <w:pPr>
            <w:pStyle w:val="Spistreci2"/>
            <w:rPr>
              <w:rFonts w:ascii="Calibri" w:eastAsia="Calibri" w:hAnsi="Calibri" w:cs="Calibri"/>
              <w:color w:val="4F81BD"/>
              <w:lang w:val="pl-PL"/>
            </w:rPr>
          </w:pPr>
          <w:r w:rsidRPr="00343533">
            <w:rPr>
              <w:rFonts w:ascii="Calibri" w:eastAsia="Calibri" w:hAnsi="Calibri" w:cs="Calibri"/>
              <w:color w:val="4F81BD"/>
              <w:lang w:val="pl-PL"/>
            </w:rPr>
            <w:t>1.8</w:t>
          </w:r>
          <w:r w:rsidRPr="00343533">
            <w:rPr>
              <w:rFonts w:asciiTheme="minorHAnsi" w:eastAsiaTheme="minorEastAsia" w:hAnsiTheme="minorHAnsi" w:cstheme="minorBidi"/>
              <w:snapToGrid/>
              <w:color w:val="auto"/>
              <w:szCs w:val="22"/>
              <w:lang w:val="pl-PL" w:eastAsia="en-GB"/>
            </w:rPr>
            <w:tab/>
          </w:r>
          <w:r w:rsidRPr="00343533">
            <w:rPr>
              <w:rFonts w:ascii="Calibri" w:eastAsia="Calibri" w:hAnsi="Calibri" w:cs="Calibri"/>
              <w:color w:val="4F81BD"/>
              <w:lang w:val="pl-PL"/>
            </w:rPr>
            <w:t xml:space="preserve">Prognozy ruchu                </w:t>
          </w:r>
        </w:p>
        <w:p w14:paraId="0E724FA0" w14:textId="75AD199A" w:rsidR="00343533" w:rsidRPr="00343533" w:rsidRDefault="00343533">
          <w:pPr>
            <w:pStyle w:val="Spistreci2"/>
            <w:rPr>
              <w:rFonts w:asciiTheme="minorHAnsi" w:eastAsiaTheme="minorEastAsia" w:hAnsiTheme="minorHAnsi" w:cstheme="minorBidi"/>
              <w:snapToGrid/>
              <w:color w:val="auto"/>
              <w:szCs w:val="22"/>
              <w:lang w:val="pl-PL" w:eastAsia="en-GB"/>
            </w:rPr>
          </w:pPr>
          <w:r w:rsidRPr="00343533">
            <w:rPr>
              <w:rFonts w:ascii="Calibri" w:eastAsia="Calibri" w:hAnsi="Calibri" w:cs="Calibri"/>
              <w:i/>
              <w:color w:val="4F81BD"/>
              <w:lang w:val="pl-PL"/>
            </w:rPr>
            <w:t>1.8   Traffic forecasts</w:t>
          </w:r>
          <w:r w:rsidRPr="00343533">
            <w:rPr>
              <w:lang w:val="pl-PL"/>
            </w:rPr>
            <w:tab/>
          </w:r>
          <w:r>
            <w:fldChar w:fldCharType="begin"/>
          </w:r>
          <w:r w:rsidRPr="00343533">
            <w:rPr>
              <w:lang w:val="pl-PL"/>
            </w:rPr>
            <w:instrText xml:space="preserve"> PAGEREF _Toc95377973 \h </w:instrText>
          </w:r>
          <w:r>
            <w:fldChar w:fldCharType="separate"/>
          </w:r>
          <w:r w:rsidRPr="00343533">
            <w:rPr>
              <w:lang w:val="pl-PL"/>
            </w:rPr>
            <w:t>31</w:t>
          </w:r>
          <w:r>
            <w:fldChar w:fldCharType="end"/>
          </w:r>
        </w:p>
        <w:p w14:paraId="526577E7" w14:textId="65CB021B" w:rsidR="00343533" w:rsidRPr="00343533" w:rsidRDefault="00343533">
          <w:pPr>
            <w:pStyle w:val="Spistreci3"/>
            <w:rPr>
              <w:rFonts w:asciiTheme="minorHAnsi" w:eastAsiaTheme="minorEastAsia" w:hAnsiTheme="minorHAnsi" w:cstheme="minorBidi"/>
              <w:snapToGrid/>
              <w:color w:val="auto"/>
              <w:sz w:val="22"/>
              <w:szCs w:val="22"/>
              <w:lang w:val="pl-PL" w:eastAsia="en-GB"/>
            </w:rPr>
          </w:pPr>
          <w:r w:rsidRPr="00343533">
            <w:rPr>
              <w:rFonts w:ascii="Calibri" w:eastAsia="Calibri" w:hAnsi="Calibri" w:cs="Calibri"/>
              <w:color w:val="4F81BD"/>
              <w:lang w:val="pl-PL"/>
            </w:rPr>
            <w:t>1.8.1</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Klasyfikacja projektów ze względu na zalecane indywidualne podejście do prognozowania</w:t>
          </w:r>
        </w:p>
        <w:p w14:paraId="19B5BD66" w14:textId="66C0C5AE" w:rsidR="00343533" w:rsidRDefault="00343533">
          <w:pPr>
            <w:pStyle w:val="Spistreci3"/>
            <w:rPr>
              <w:rFonts w:asciiTheme="minorHAnsi" w:eastAsiaTheme="minorEastAsia" w:hAnsiTheme="minorHAnsi" w:cstheme="minorBidi"/>
              <w:snapToGrid/>
              <w:color w:val="auto"/>
              <w:sz w:val="22"/>
              <w:szCs w:val="22"/>
              <w:lang w:val="en-GB" w:eastAsia="en-GB"/>
            </w:rPr>
          </w:pPr>
          <w:r w:rsidRPr="003D16D1">
            <w:rPr>
              <w:rFonts w:ascii="Calibri" w:eastAsia="Calibri" w:hAnsi="Calibri" w:cs="Calibri"/>
              <w:i/>
              <w:color w:val="4F81BD"/>
              <w:lang w:val="en-GB"/>
            </w:rPr>
            <w:t>1.8.1   Classification of projects based on the recommended forecasting method</w:t>
          </w:r>
          <w:r>
            <w:tab/>
          </w:r>
          <w:r>
            <w:fldChar w:fldCharType="begin"/>
          </w:r>
          <w:r>
            <w:instrText xml:space="preserve"> PAGEREF _Toc95377975 \h </w:instrText>
          </w:r>
          <w:r>
            <w:fldChar w:fldCharType="separate"/>
          </w:r>
          <w:r>
            <w:t>33</w:t>
          </w:r>
          <w:r>
            <w:fldChar w:fldCharType="end"/>
          </w:r>
        </w:p>
        <w:p w14:paraId="17D54763" w14:textId="77777777" w:rsidR="006543EE" w:rsidRPr="00374F74" w:rsidRDefault="00343533">
          <w:pPr>
            <w:pStyle w:val="Spistreci3"/>
            <w:rPr>
              <w:rFonts w:ascii="Calibri" w:eastAsia="Calibri" w:hAnsi="Calibri" w:cs="Calibri"/>
              <w:color w:val="4F81BD"/>
              <w:lang w:val="pl-PL"/>
            </w:rPr>
          </w:pPr>
          <w:r w:rsidRPr="00374F74">
            <w:rPr>
              <w:rFonts w:ascii="Calibri" w:eastAsia="Calibri" w:hAnsi="Calibri" w:cs="Calibri"/>
              <w:color w:val="4F81BD"/>
              <w:lang w:val="pl-PL"/>
            </w:rPr>
            <w:t>1.8.2</w:t>
          </w:r>
          <w:r w:rsidRPr="00374F74">
            <w:rPr>
              <w:rFonts w:asciiTheme="minorHAnsi" w:eastAsiaTheme="minorEastAsia" w:hAnsiTheme="minorHAnsi" w:cstheme="minorBidi"/>
              <w:snapToGrid/>
              <w:color w:val="auto"/>
              <w:sz w:val="22"/>
              <w:szCs w:val="22"/>
              <w:lang w:val="pl-PL" w:eastAsia="en-GB"/>
            </w:rPr>
            <w:tab/>
          </w:r>
          <w:r w:rsidRPr="00374F74">
            <w:rPr>
              <w:rFonts w:ascii="Calibri" w:eastAsia="Calibri" w:hAnsi="Calibri" w:cs="Calibri"/>
              <w:color w:val="4F81BD"/>
              <w:lang w:val="pl-PL"/>
            </w:rPr>
            <w:t xml:space="preserve">Model ruchu, ogólne zasady              </w:t>
          </w:r>
        </w:p>
        <w:p w14:paraId="6C2FBBC8" w14:textId="3536F156" w:rsidR="00343533" w:rsidRPr="00374F74" w:rsidRDefault="00343533">
          <w:pPr>
            <w:pStyle w:val="Spistreci3"/>
            <w:rPr>
              <w:rFonts w:asciiTheme="minorHAnsi" w:eastAsiaTheme="minorEastAsia" w:hAnsiTheme="minorHAnsi" w:cstheme="minorBidi"/>
              <w:snapToGrid/>
              <w:color w:val="auto"/>
              <w:sz w:val="22"/>
              <w:szCs w:val="22"/>
              <w:lang w:val="pl-PL" w:eastAsia="en-GB"/>
            </w:rPr>
          </w:pPr>
          <w:r w:rsidRPr="00374F74">
            <w:rPr>
              <w:rFonts w:ascii="Calibri" w:eastAsia="Calibri" w:hAnsi="Calibri" w:cs="Calibri"/>
              <w:i/>
              <w:color w:val="4F81BD"/>
              <w:lang w:val="pl-PL"/>
            </w:rPr>
            <w:t>1.8.2   Traffic model, general considerations</w:t>
          </w:r>
          <w:r w:rsidRPr="00374F74">
            <w:rPr>
              <w:lang w:val="pl-PL"/>
            </w:rPr>
            <w:tab/>
          </w:r>
          <w:r>
            <w:fldChar w:fldCharType="begin"/>
          </w:r>
          <w:r w:rsidRPr="00374F74">
            <w:rPr>
              <w:lang w:val="pl-PL"/>
            </w:rPr>
            <w:instrText xml:space="preserve"> PAGEREF _Toc95377976 \h </w:instrText>
          </w:r>
          <w:r>
            <w:fldChar w:fldCharType="separate"/>
          </w:r>
          <w:r w:rsidRPr="00374F74">
            <w:rPr>
              <w:lang w:val="pl-PL"/>
            </w:rPr>
            <w:t>35</w:t>
          </w:r>
          <w:r>
            <w:fldChar w:fldCharType="end"/>
          </w:r>
        </w:p>
        <w:p w14:paraId="719D172A" w14:textId="77777777" w:rsidR="006543EE" w:rsidRPr="00374F74" w:rsidRDefault="00343533">
          <w:pPr>
            <w:pStyle w:val="Spistreci3"/>
            <w:rPr>
              <w:rFonts w:ascii="Calibri" w:eastAsia="Calibri" w:hAnsi="Calibri" w:cs="Calibri"/>
              <w:color w:val="4F81BD"/>
              <w:lang w:val="pl-PL"/>
            </w:rPr>
          </w:pPr>
          <w:r w:rsidRPr="00374F74">
            <w:rPr>
              <w:rFonts w:ascii="Calibri" w:eastAsia="Calibri" w:hAnsi="Calibri" w:cs="Calibri"/>
              <w:color w:val="4F81BD"/>
              <w:lang w:val="pl-PL"/>
            </w:rPr>
            <w:t>1.8.3</w:t>
          </w:r>
          <w:r w:rsidRPr="00374F74">
            <w:rPr>
              <w:rFonts w:asciiTheme="minorHAnsi" w:eastAsiaTheme="minorEastAsia" w:hAnsiTheme="minorHAnsi" w:cstheme="minorBidi"/>
              <w:snapToGrid/>
              <w:color w:val="auto"/>
              <w:sz w:val="22"/>
              <w:szCs w:val="22"/>
              <w:lang w:val="pl-PL" w:eastAsia="en-GB"/>
            </w:rPr>
            <w:tab/>
          </w:r>
          <w:r w:rsidRPr="00374F74">
            <w:rPr>
              <w:rFonts w:ascii="Calibri" w:eastAsia="Calibri" w:hAnsi="Calibri" w:cs="Calibri"/>
              <w:color w:val="4F81BD"/>
              <w:lang w:val="pl-PL"/>
            </w:rPr>
            <w:t xml:space="preserve">Wyniki prognozy ruchu                </w:t>
          </w:r>
        </w:p>
        <w:p w14:paraId="7E43DDAA" w14:textId="15261916" w:rsidR="00343533" w:rsidRPr="00374F74" w:rsidRDefault="00343533">
          <w:pPr>
            <w:pStyle w:val="Spistreci3"/>
            <w:rPr>
              <w:rFonts w:asciiTheme="minorHAnsi" w:eastAsiaTheme="minorEastAsia" w:hAnsiTheme="minorHAnsi" w:cstheme="minorBidi"/>
              <w:snapToGrid/>
              <w:color w:val="auto"/>
              <w:sz w:val="22"/>
              <w:szCs w:val="22"/>
              <w:lang w:val="pl-PL" w:eastAsia="en-GB"/>
            </w:rPr>
          </w:pPr>
          <w:r w:rsidRPr="00374F74">
            <w:rPr>
              <w:rFonts w:ascii="Calibri" w:eastAsia="Calibri" w:hAnsi="Calibri" w:cs="Calibri"/>
              <w:i/>
              <w:color w:val="4F81BD"/>
              <w:lang w:val="pl-PL"/>
            </w:rPr>
            <w:t>1.8.3   Traffic forecast outputs</w:t>
          </w:r>
          <w:r w:rsidRPr="00374F74">
            <w:rPr>
              <w:lang w:val="pl-PL"/>
            </w:rPr>
            <w:tab/>
          </w:r>
          <w:r>
            <w:fldChar w:fldCharType="begin"/>
          </w:r>
          <w:r w:rsidRPr="00374F74">
            <w:rPr>
              <w:lang w:val="pl-PL"/>
            </w:rPr>
            <w:instrText xml:space="preserve"> PAGEREF _Toc95377977 \h </w:instrText>
          </w:r>
          <w:r>
            <w:fldChar w:fldCharType="separate"/>
          </w:r>
          <w:r w:rsidRPr="00374F74">
            <w:rPr>
              <w:lang w:val="pl-PL"/>
            </w:rPr>
            <w:t>38</w:t>
          </w:r>
          <w:r>
            <w:fldChar w:fldCharType="end"/>
          </w:r>
        </w:p>
        <w:p w14:paraId="606A7340" w14:textId="77777777" w:rsidR="00573A14" w:rsidRPr="00374F74" w:rsidRDefault="00343533">
          <w:pPr>
            <w:pStyle w:val="Spistreci2"/>
            <w:rPr>
              <w:rFonts w:ascii="Calibri" w:eastAsia="Calibri" w:hAnsi="Calibri" w:cs="Calibri"/>
              <w:color w:val="4F81BD"/>
              <w:lang w:val="pl-PL"/>
            </w:rPr>
          </w:pPr>
          <w:r w:rsidRPr="00374F74">
            <w:rPr>
              <w:rFonts w:ascii="Calibri" w:eastAsia="Calibri" w:hAnsi="Calibri" w:cs="Calibri"/>
              <w:color w:val="4F81BD"/>
              <w:lang w:val="pl-PL"/>
            </w:rPr>
            <w:t>1.9</w:t>
          </w:r>
          <w:r w:rsidRPr="00374F74">
            <w:rPr>
              <w:rFonts w:asciiTheme="minorHAnsi" w:eastAsiaTheme="minorEastAsia" w:hAnsiTheme="minorHAnsi" w:cstheme="minorBidi"/>
              <w:snapToGrid/>
              <w:color w:val="auto"/>
              <w:szCs w:val="22"/>
              <w:lang w:val="pl-PL" w:eastAsia="en-GB"/>
            </w:rPr>
            <w:tab/>
          </w:r>
          <w:r w:rsidRPr="00374F74">
            <w:rPr>
              <w:rFonts w:ascii="Calibri" w:eastAsia="Calibri" w:hAnsi="Calibri" w:cs="Calibri"/>
              <w:color w:val="4F81BD"/>
              <w:lang w:val="pl-PL"/>
            </w:rPr>
            <w:t>Założenia kosztowe dla wariantu bezinwestycyjnego (W0) i wariantów</w:t>
          </w:r>
        </w:p>
        <w:p w14:paraId="23B8F2EA" w14:textId="6E4ECF0F" w:rsidR="006543EE" w:rsidRDefault="00343533">
          <w:pPr>
            <w:pStyle w:val="Spistreci2"/>
            <w:rPr>
              <w:rFonts w:ascii="Calibri" w:eastAsia="Calibri" w:hAnsi="Calibri" w:cs="Calibri"/>
              <w:color w:val="4F81BD"/>
            </w:rPr>
          </w:pPr>
          <w:r w:rsidRPr="00374F74">
            <w:rPr>
              <w:rFonts w:ascii="Calibri" w:eastAsia="Calibri" w:hAnsi="Calibri" w:cs="Calibri"/>
              <w:color w:val="4F81BD"/>
              <w:lang w:val="pl-PL"/>
            </w:rPr>
            <w:t xml:space="preserve"> </w:t>
          </w:r>
          <w:r w:rsidRPr="003D16D1">
            <w:rPr>
              <w:rFonts w:ascii="Calibri" w:eastAsia="Calibri" w:hAnsi="Calibri" w:cs="Calibri"/>
              <w:color w:val="4F81BD"/>
            </w:rPr>
            <w:t xml:space="preserve">inwestycyjnych (Wn) </w:t>
          </w:r>
        </w:p>
        <w:p w14:paraId="2AD03603" w14:textId="77777777" w:rsidR="00573A14" w:rsidRDefault="00343533">
          <w:pPr>
            <w:pStyle w:val="Spistreci2"/>
            <w:rPr>
              <w:rFonts w:ascii="Calibri" w:eastAsia="Calibri" w:hAnsi="Calibri" w:cs="Calibri"/>
              <w:i/>
              <w:color w:val="4F81BD"/>
            </w:rPr>
          </w:pPr>
          <w:r w:rsidRPr="003D16D1">
            <w:rPr>
              <w:rFonts w:ascii="Calibri" w:eastAsia="Calibri" w:hAnsi="Calibri" w:cs="Calibri"/>
              <w:i/>
              <w:color w:val="4F81BD"/>
            </w:rPr>
            <w:t>1.9</w:t>
          </w:r>
          <w:r w:rsidRPr="003D16D1">
            <w:rPr>
              <w:rFonts w:ascii="Calibri" w:eastAsia="Calibri" w:hAnsi="Calibri" w:cs="Calibri"/>
              <w:color w:val="4F81BD"/>
            </w:rPr>
            <w:t xml:space="preserve">  </w:t>
          </w:r>
          <w:r w:rsidRPr="003D16D1">
            <w:rPr>
              <w:rFonts w:ascii="Calibri" w:eastAsia="Calibri" w:hAnsi="Calibri" w:cs="Calibri"/>
              <w:i/>
              <w:color w:val="4F81BD"/>
            </w:rPr>
            <w:t xml:space="preserve">Costs assumptions for the “without-the-project” scenario (W0) and for the project </w:t>
          </w:r>
        </w:p>
        <w:p w14:paraId="0C9BC643" w14:textId="022043A8" w:rsidR="00343533" w:rsidRPr="00374F74" w:rsidRDefault="00343533">
          <w:pPr>
            <w:pStyle w:val="Spistreci2"/>
            <w:rPr>
              <w:rFonts w:asciiTheme="minorHAnsi" w:eastAsiaTheme="minorEastAsia" w:hAnsiTheme="minorHAnsi" w:cstheme="minorBidi"/>
              <w:snapToGrid/>
              <w:color w:val="auto"/>
              <w:szCs w:val="22"/>
              <w:lang w:val="pl-PL" w:eastAsia="en-GB"/>
            </w:rPr>
          </w:pPr>
          <w:r w:rsidRPr="00374F74">
            <w:rPr>
              <w:rFonts w:ascii="Calibri" w:eastAsia="Calibri" w:hAnsi="Calibri" w:cs="Calibri"/>
              <w:i/>
              <w:color w:val="4F81BD"/>
              <w:lang w:val="pl-PL"/>
            </w:rPr>
            <w:t>investment options (Wn)</w:t>
          </w:r>
          <w:r w:rsidRPr="00374F74">
            <w:rPr>
              <w:lang w:val="pl-PL"/>
            </w:rPr>
            <w:tab/>
          </w:r>
          <w:r>
            <w:fldChar w:fldCharType="begin"/>
          </w:r>
          <w:r w:rsidRPr="00374F74">
            <w:rPr>
              <w:lang w:val="pl-PL"/>
            </w:rPr>
            <w:instrText xml:space="preserve"> PAGEREF _Toc95377978 \h </w:instrText>
          </w:r>
          <w:r>
            <w:fldChar w:fldCharType="separate"/>
          </w:r>
          <w:r w:rsidRPr="00374F74">
            <w:rPr>
              <w:lang w:val="pl-PL"/>
            </w:rPr>
            <w:t>40</w:t>
          </w:r>
          <w:r>
            <w:fldChar w:fldCharType="end"/>
          </w:r>
        </w:p>
        <w:p w14:paraId="250DC257" w14:textId="77777777" w:rsidR="00573A14" w:rsidRDefault="00343533">
          <w:pPr>
            <w:pStyle w:val="Spistreci3"/>
            <w:rPr>
              <w:rFonts w:ascii="Calibri" w:eastAsia="Calibri" w:hAnsi="Calibri" w:cs="Calibri"/>
              <w:color w:val="4F81BD"/>
              <w:lang w:val="pl-PL"/>
            </w:rPr>
          </w:pPr>
          <w:r w:rsidRPr="00343533">
            <w:rPr>
              <w:rFonts w:ascii="Calibri" w:eastAsia="Calibri" w:hAnsi="Calibri" w:cs="Calibri"/>
              <w:color w:val="4F81BD"/>
              <w:lang w:val="pl-PL"/>
            </w:rPr>
            <w:t>1.9.1</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Przygotowanie danych wejściowych dotyczących nakładów kapitałowych dla wariantów</w:t>
          </w:r>
        </w:p>
        <w:p w14:paraId="4F11A36C" w14:textId="36CB01B8" w:rsidR="00343533" w:rsidRPr="00374F74" w:rsidRDefault="00343533">
          <w:pPr>
            <w:pStyle w:val="Spistreci3"/>
            <w:rPr>
              <w:rFonts w:asciiTheme="minorHAnsi" w:eastAsiaTheme="minorEastAsia" w:hAnsiTheme="minorHAnsi" w:cstheme="minorBidi"/>
              <w:snapToGrid/>
              <w:color w:val="auto"/>
              <w:sz w:val="22"/>
              <w:szCs w:val="22"/>
              <w:lang w:val="en-GB" w:eastAsia="en-GB"/>
            </w:rPr>
          </w:pPr>
          <w:r w:rsidRPr="00343533">
            <w:rPr>
              <w:rFonts w:ascii="Calibri" w:eastAsia="Calibri" w:hAnsi="Calibri" w:cs="Calibri"/>
              <w:color w:val="4F81BD"/>
              <w:lang w:val="pl-PL"/>
            </w:rPr>
            <w:lastRenderedPageBreak/>
            <w:t xml:space="preserve"> </w:t>
          </w:r>
          <w:r w:rsidRPr="00374F74">
            <w:rPr>
              <w:rFonts w:ascii="Calibri" w:eastAsia="Calibri" w:hAnsi="Calibri" w:cs="Calibri"/>
              <w:color w:val="4F81BD"/>
              <w:lang w:val="en-GB"/>
            </w:rPr>
            <w:t>inwestycyjnych</w:t>
          </w:r>
        </w:p>
        <w:p w14:paraId="72B75114" w14:textId="0E7F6979" w:rsidR="00343533" w:rsidRDefault="00343533">
          <w:pPr>
            <w:pStyle w:val="Spistreci3"/>
            <w:rPr>
              <w:rFonts w:asciiTheme="minorHAnsi" w:eastAsiaTheme="minorEastAsia" w:hAnsiTheme="minorHAnsi" w:cstheme="minorBidi"/>
              <w:snapToGrid/>
              <w:color w:val="auto"/>
              <w:sz w:val="22"/>
              <w:szCs w:val="22"/>
              <w:lang w:val="en-GB" w:eastAsia="en-GB"/>
            </w:rPr>
          </w:pPr>
          <w:r w:rsidRPr="003D16D1">
            <w:rPr>
              <w:rFonts w:ascii="Calibri" w:eastAsia="Calibri" w:hAnsi="Calibri" w:cs="Calibri"/>
              <w:i/>
              <w:color w:val="4F81BD"/>
              <w:lang w:val="en-GB"/>
            </w:rPr>
            <w:t>1.9.1   Preparation of capital expenditures inputs for investment options</w:t>
          </w:r>
          <w:r>
            <w:tab/>
          </w:r>
          <w:r>
            <w:fldChar w:fldCharType="begin"/>
          </w:r>
          <w:r>
            <w:instrText xml:space="preserve"> PAGEREF _Toc95377980 \h </w:instrText>
          </w:r>
          <w:r>
            <w:fldChar w:fldCharType="separate"/>
          </w:r>
          <w:r>
            <w:t>40</w:t>
          </w:r>
          <w:r>
            <w:fldChar w:fldCharType="end"/>
          </w:r>
        </w:p>
        <w:p w14:paraId="658BBCC1" w14:textId="77777777" w:rsidR="006543EE" w:rsidRDefault="00343533">
          <w:pPr>
            <w:pStyle w:val="Spistreci3"/>
            <w:rPr>
              <w:rFonts w:ascii="Calibri" w:eastAsia="Calibri" w:hAnsi="Calibri" w:cs="Calibri"/>
              <w:color w:val="4F81BD"/>
              <w:lang w:val="pl-PL"/>
            </w:rPr>
          </w:pPr>
          <w:r w:rsidRPr="00343533">
            <w:rPr>
              <w:rFonts w:ascii="Calibri" w:eastAsia="Calibri" w:hAnsi="Calibri" w:cs="Calibri"/>
              <w:color w:val="4F81BD"/>
              <w:lang w:val="pl-PL"/>
            </w:rPr>
            <w:t>1.9.2</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 xml:space="preserve">Oszacowanie wydatków na eksploatację i utrzymanie          </w:t>
          </w:r>
        </w:p>
        <w:p w14:paraId="7DAE6D37" w14:textId="5D782762" w:rsidR="00343533" w:rsidRDefault="00343533">
          <w:pPr>
            <w:pStyle w:val="Spistreci3"/>
            <w:rPr>
              <w:rFonts w:asciiTheme="minorHAnsi" w:eastAsiaTheme="minorEastAsia" w:hAnsiTheme="minorHAnsi" w:cstheme="minorBidi"/>
              <w:snapToGrid/>
              <w:color w:val="auto"/>
              <w:sz w:val="22"/>
              <w:szCs w:val="22"/>
              <w:lang w:val="en-GB" w:eastAsia="en-GB"/>
            </w:rPr>
          </w:pPr>
          <w:r w:rsidRPr="00374F74">
            <w:rPr>
              <w:rFonts w:ascii="Calibri" w:eastAsia="Calibri" w:hAnsi="Calibri" w:cs="Calibri"/>
              <w:i/>
              <w:color w:val="4F81BD"/>
              <w:lang w:val="en-GB"/>
            </w:rPr>
            <w:t>1.9.2.</w:t>
          </w:r>
          <w:r w:rsidRPr="00374F74">
            <w:rPr>
              <w:rFonts w:ascii="Calibri" w:eastAsia="Calibri" w:hAnsi="Calibri" w:cs="Calibri"/>
              <w:color w:val="4F81BD"/>
              <w:lang w:val="en-GB"/>
            </w:rPr>
            <w:t xml:space="preserve">   </w:t>
          </w:r>
          <w:r w:rsidRPr="003D16D1">
            <w:rPr>
              <w:rFonts w:ascii="Calibri" w:eastAsia="Calibri" w:hAnsi="Calibri" w:cs="Calibri"/>
              <w:i/>
              <w:color w:val="4F81BD"/>
            </w:rPr>
            <w:t>Estimation of operating and maintenance (O&amp;M) expenditures</w:t>
          </w:r>
          <w:r>
            <w:tab/>
          </w:r>
          <w:r>
            <w:fldChar w:fldCharType="begin"/>
          </w:r>
          <w:r>
            <w:instrText xml:space="preserve"> PAGEREF _Toc95377981 \h </w:instrText>
          </w:r>
          <w:r>
            <w:fldChar w:fldCharType="separate"/>
          </w:r>
          <w:r>
            <w:t>43</w:t>
          </w:r>
          <w:r>
            <w:fldChar w:fldCharType="end"/>
          </w:r>
        </w:p>
        <w:p w14:paraId="3AA12A83" w14:textId="77777777" w:rsidR="006543EE" w:rsidRPr="00374F74" w:rsidRDefault="00343533">
          <w:pPr>
            <w:pStyle w:val="Spistreci2"/>
            <w:tabs>
              <w:tab w:val="left" w:pos="1208"/>
            </w:tabs>
            <w:rPr>
              <w:rFonts w:ascii="Calibri" w:eastAsia="Calibri" w:hAnsi="Calibri" w:cs="Calibri"/>
              <w:color w:val="4F81BD"/>
              <w:lang w:val="pl-PL"/>
            </w:rPr>
          </w:pPr>
          <w:r w:rsidRPr="00374F74">
            <w:rPr>
              <w:rFonts w:ascii="Calibri" w:eastAsia="Calibri" w:hAnsi="Calibri" w:cs="Calibri"/>
              <w:color w:val="4F81BD"/>
              <w:lang w:val="pl-PL"/>
            </w:rPr>
            <w:t>1.10</w:t>
          </w:r>
          <w:r w:rsidRPr="00374F74">
            <w:rPr>
              <w:rFonts w:asciiTheme="minorHAnsi" w:eastAsiaTheme="minorEastAsia" w:hAnsiTheme="minorHAnsi" w:cstheme="minorBidi"/>
              <w:snapToGrid/>
              <w:color w:val="auto"/>
              <w:szCs w:val="22"/>
              <w:lang w:val="pl-PL" w:eastAsia="en-GB"/>
            </w:rPr>
            <w:tab/>
          </w:r>
          <w:r w:rsidRPr="00374F74">
            <w:rPr>
              <w:rFonts w:ascii="Calibri" w:eastAsia="Calibri" w:hAnsi="Calibri" w:cs="Calibri"/>
              <w:color w:val="4F81BD"/>
              <w:lang w:val="pl-PL"/>
            </w:rPr>
            <w:t xml:space="preserve">Dane wejściowe do projekcji przychodów         </w:t>
          </w:r>
        </w:p>
        <w:p w14:paraId="27A0C80D" w14:textId="40EC0C50" w:rsidR="00343533" w:rsidRPr="00374F74" w:rsidRDefault="00343533">
          <w:pPr>
            <w:pStyle w:val="Spistreci2"/>
            <w:tabs>
              <w:tab w:val="left" w:pos="1208"/>
            </w:tabs>
            <w:rPr>
              <w:rFonts w:asciiTheme="minorHAnsi" w:eastAsiaTheme="minorEastAsia" w:hAnsiTheme="minorHAnsi" w:cstheme="minorBidi"/>
              <w:snapToGrid/>
              <w:color w:val="auto"/>
              <w:szCs w:val="22"/>
              <w:lang w:val="pl-PL" w:eastAsia="en-GB"/>
            </w:rPr>
          </w:pPr>
          <w:r w:rsidRPr="00374F74">
            <w:rPr>
              <w:rFonts w:ascii="Calibri" w:eastAsia="Calibri" w:hAnsi="Calibri" w:cs="Calibri"/>
              <w:i/>
              <w:color w:val="4F81BD"/>
              <w:lang w:val="pl-PL"/>
            </w:rPr>
            <w:t>1.10   Revenue projection inputs</w:t>
          </w:r>
          <w:r w:rsidRPr="00374F74">
            <w:rPr>
              <w:lang w:val="pl-PL"/>
            </w:rPr>
            <w:tab/>
          </w:r>
          <w:r>
            <w:fldChar w:fldCharType="begin"/>
          </w:r>
          <w:r w:rsidRPr="00374F74">
            <w:rPr>
              <w:lang w:val="pl-PL"/>
            </w:rPr>
            <w:instrText xml:space="preserve"> PAGEREF _Toc95377982 \h </w:instrText>
          </w:r>
          <w:r>
            <w:fldChar w:fldCharType="separate"/>
          </w:r>
          <w:r w:rsidRPr="00374F74">
            <w:rPr>
              <w:lang w:val="pl-PL"/>
            </w:rPr>
            <w:t>48</w:t>
          </w:r>
          <w:r>
            <w:fldChar w:fldCharType="end"/>
          </w:r>
        </w:p>
        <w:p w14:paraId="238C2953" w14:textId="77777777" w:rsidR="006543EE" w:rsidRDefault="00343533">
          <w:pPr>
            <w:pStyle w:val="Spistreci2"/>
            <w:tabs>
              <w:tab w:val="left" w:pos="1208"/>
            </w:tabs>
            <w:rPr>
              <w:rFonts w:ascii="Calibri" w:eastAsia="Calibri" w:hAnsi="Calibri" w:cs="Calibri"/>
              <w:color w:val="4F81BD"/>
              <w:lang w:val="pl-PL"/>
            </w:rPr>
          </w:pPr>
          <w:r w:rsidRPr="00343533">
            <w:rPr>
              <w:rFonts w:ascii="Calibri" w:eastAsia="Calibri" w:hAnsi="Calibri" w:cs="Calibri"/>
              <w:color w:val="4F81BD"/>
              <w:lang w:val="pl-PL"/>
            </w:rPr>
            <w:t>1.11</w:t>
          </w:r>
          <w:r w:rsidRPr="00343533">
            <w:rPr>
              <w:rFonts w:asciiTheme="minorHAnsi" w:eastAsiaTheme="minorEastAsia" w:hAnsiTheme="minorHAnsi" w:cstheme="minorBidi"/>
              <w:snapToGrid/>
              <w:color w:val="auto"/>
              <w:szCs w:val="22"/>
              <w:lang w:val="pl-PL" w:eastAsia="en-GB"/>
            </w:rPr>
            <w:tab/>
          </w:r>
          <w:r w:rsidRPr="00343533">
            <w:rPr>
              <w:rFonts w:ascii="Calibri" w:eastAsia="Calibri" w:hAnsi="Calibri" w:cs="Calibri"/>
              <w:color w:val="4F81BD"/>
              <w:lang w:val="pl-PL"/>
            </w:rPr>
            <w:t xml:space="preserve">Wartość rezydualna               </w:t>
          </w:r>
        </w:p>
        <w:p w14:paraId="5E2751F1" w14:textId="56194C2C" w:rsidR="00343533" w:rsidRPr="00343533" w:rsidRDefault="00343533">
          <w:pPr>
            <w:pStyle w:val="Spistreci2"/>
            <w:tabs>
              <w:tab w:val="left" w:pos="1208"/>
            </w:tabs>
            <w:rPr>
              <w:rFonts w:asciiTheme="minorHAnsi" w:eastAsiaTheme="minorEastAsia" w:hAnsiTheme="minorHAnsi" w:cstheme="minorBidi"/>
              <w:snapToGrid/>
              <w:color w:val="auto"/>
              <w:szCs w:val="22"/>
              <w:lang w:val="pl-PL" w:eastAsia="en-GB"/>
            </w:rPr>
          </w:pPr>
          <w:r w:rsidRPr="00343533">
            <w:rPr>
              <w:rFonts w:ascii="Calibri" w:eastAsia="Calibri" w:hAnsi="Calibri" w:cs="Calibri"/>
              <w:i/>
              <w:color w:val="4F81BD"/>
              <w:lang w:val="pl-PL"/>
            </w:rPr>
            <w:t>1.11   Residual value</w:t>
          </w:r>
          <w:r w:rsidRPr="00343533">
            <w:rPr>
              <w:lang w:val="pl-PL"/>
            </w:rPr>
            <w:tab/>
          </w:r>
          <w:r>
            <w:fldChar w:fldCharType="begin"/>
          </w:r>
          <w:r w:rsidRPr="00343533">
            <w:rPr>
              <w:lang w:val="pl-PL"/>
            </w:rPr>
            <w:instrText xml:space="preserve"> PAGEREF _Toc95377983 \h </w:instrText>
          </w:r>
          <w:r>
            <w:fldChar w:fldCharType="separate"/>
          </w:r>
          <w:r w:rsidRPr="00343533">
            <w:rPr>
              <w:lang w:val="pl-PL"/>
            </w:rPr>
            <w:t>50</w:t>
          </w:r>
          <w:r>
            <w:fldChar w:fldCharType="end"/>
          </w:r>
        </w:p>
        <w:p w14:paraId="3D16492B" w14:textId="77777777" w:rsidR="006543EE" w:rsidRDefault="00343533">
          <w:pPr>
            <w:pStyle w:val="Spistreci1"/>
            <w:rPr>
              <w:rFonts w:ascii="Calibri" w:eastAsia="Calibri" w:hAnsi="Calibri" w:cs="Calibri"/>
              <w:i/>
              <w:color w:val="0070C0"/>
              <w:lang w:val="pl-PL"/>
            </w:rPr>
          </w:pPr>
          <w:r w:rsidRPr="003D16D1">
            <w:rPr>
              <w:rFonts w:ascii="Calibri" w:eastAsia="Calibri" w:hAnsi="Calibri" w:cs="Calibri"/>
              <w:color w:val="0070C0"/>
              <w:lang w:val="pl-PL"/>
            </w:rPr>
            <w:t>2.</w:t>
          </w:r>
          <w:r w:rsidRPr="00343533">
            <w:rPr>
              <w:rFonts w:asciiTheme="minorHAnsi" w:eastAsiaTheme="minorEastAsia" w:hAnsiTheme="minorHAnsi" w:cstheme="minorBidi"/>
              <w:snapToGrid/>
              <w:color w:val="auto"/>
              <w:sz w:val="22"/>
              <w:szCs w:val="22"/>
              <w:lang w:val="pl-PL" w:eastAsia="en-GB"/>
            </w:rPr>
            <w:tab/>
          </w:r>
          <w:r w:rsidRPr="003D16D1">
            <w:rPr>
              <w:rFonts w:ascii="Calibri" w:eastAsia="Calibri" w:hAnsi="Calibri" w:cs="Calibri"/>
              <w:color w:val="0070C0"/>
              <w:lang w:val="pl-PL"/>
            </w:rPr>
            <w:t xml:space="preserve">Faza II: analiza społeczno-ekonomiczna </w:t>
          </w:r>
          <w:r w:rsidRPr="003D16D1">
            <w:rPr>
              <w:rFonts w:ascii="Calibri" w:eastAsia="Calibri" w:hAnsi="Calibri" w:cs="Calibri"/>
              <w:i/>
              <w:color w:val="0070C0"/>
              <w:lang w:val="pl-PL"/>
            </w:rPr>
            <w:t xml:space="preserve">  </w:t>
          </w:r>
        </w:p>
        <w:p w14:paraId="257F85BC" w14:textId="17734B23" w:rsidR="00343533" w:rsidRPr="006543EE" w:rsidRDefault="00343533">
          <w:pPr>
            <w:pStyle w:val="Spistreci1"/>
            <w:rPr>
              <w:rFonts w:asciiTheme="minorHAnsi" w:eastAsiaTheme="minorEastAsia" w:hAnsiTheme="minorHAnsi" w:cstheme="minorBidi"/>
              <w:snapToGrid/>
              <w:color w:val="auto"/>
              <w:sz w:val="22"/>
              <w:szCs w:val="22"/>
              <w:lang w:val="en-GB" w:eastAsia="en-GB"/>
            </w:rPr>
          </w:pPr>
          <w:r w:rsidRPr="006543EE">
            <w:rPr>
              <w:rFonts w:ascii="Calibri" w:eastAsia="Calibri" w:hAnsi="Calibri" w:cs="Calibri"/>
              <w:i/>
              <w:color w:val="0070C0"/>
              <w:lang w:val="en-GB"/>
            </w:rPr>
            <w:t>Phase II: Socio-economic analysis</w:t>
          </w:r>
          <w:r w:rsidRPr="006543EE">
            <w:rPr>
              <w:lang w:val="en-GB"/>
            </w:rPr>
            <w:tab/>
          </w:r>
          <w:r>
            <w:fldChar w:fldCharType="begin"/>
          </w:r>
          <w:r w:rsidRPr="006543EE">
            <w:rPr>
              <w:lang w:val="en-GB"/>
            </w:rPr>
            <w:instrText xml:space="preserve"> PAGEREF _Toc95377984 \h </w:instrText>
          </w:r>
          <w:r>
            <w:fldChar w:fldCharType="separate"/>
          </w:r>
          <w:r w:rsidRPr="006543EE">
            <w:rPr>
              <w:lang w:val="en-GB"/>
            </w:rPr>
            <w:t>54</w:t>
          </w:r>
          <w:r>
            <w:fldChar w:fldCharType="end"/>
          </w:r>
        </w:p>
        <w:p w14:paraId="1EACFE1B" w14:textId="77777777" w:rsidR="006543EE" w:rsidRDefault="00343533">
          <w:pPr>
            <w:pStyle w:val="Spistreci2"/>
            <w:rPr>
              <w:rFonts w:ascii="Calibri" w:eastAsia="Calibri" w:hAnsi="Calibri" w:cs="Calibri"/>
              <w:color w:val="4F81BD"/>
              <w:lang w:val="pl-PL"/>
            </w:rPr>
          </w:pPr>
          <w:r w:rsidRPr="003D16D1">
            <w:rPr>
              <w:rFonts w:ascii="Calibri" w:eastAsia="Calibri" w:hAnsi="Calibri" w:cs="Calibri"/>
              <w:color w:val="4F81BD"/>
              <w:lang w:val="pl-PL"/>
            </w:rPr>
            <w:t>2.1</w:t>
          </w:r>
          <w:r w:rsidRPr="00343533">
            <w:rPr>
              <w:rFonts w:asciiTheme="minorHAnsi" w:eastAsiaTheme="minorEastAsia" w:hAnsiTheme="minorHAnsi" w:cstheme="minorBidi"/>
              <w:snapToGrid/>
              <w:color w:val="auto"/>
              <w:szCs w:val="22"/>
              <w:lang w:val="pl-PL" w:eastAsia="en-GB"/>
            </w:rPr>
            <w:tab/>
          </w:r>
          <w:r w:rsidRPr="003D16D1">
            <w:rPr>
              <w:rFonts w:ascii="Calibri" w:eastAsia="Calibri" w:hAnsi="Calibri" w:cs="Calibri"/>
              <w:color w:val="4F81BD"/>
              <w:lang w:val="pl-PL"/>
            </w:rPr>
            <w:t xml:space="preserve">Kategorie kosztów ekonomicznych           </w:t>
          </w:r>
        </w:p>
        <w:p w14:paraId="283A4874" w14:textId="20880ED0" w:rsidR="00343533" w:rsidRPr="00343533" w:rsidRDefault="00343533">
          <w:pPr>
            <w:pStyle w:val="Spistreci2"/>
            <w:rPr>
              <w:rFonts w:asciiTheme="minorHAnsi" w:eastAsiaTheme="minorEastAsia" w:hAnsiTheme="minorHAnsi" w:cstheme="minorBidi"/>
              <w:snapToGrid/>
              <w:color w:val="auto"/>
              <w:szCs w:val="22"/>
              <w:lang w:val="pl-PL" w:eastAsia="en-GB"/>
            </w:rPr>
          </w:pPr>
          <w:r w:rsidRPr="003D16D1">
            <w:rPr>
              <w:rFonts w:ascii="Calibri" w:eastAsia="Calibri" w:hAnsi="Calibri" w:cs="Calibri"/>
              <w:i/>
              <w:color w:val="4F81BD"/>
              <w:lang w:val="pl-PL"/>
            </w:rPr>
            <w:t>2.1   Categories of economic costs</w:t>
          </w:r>
          <w:r w:rsidRPr="00343533">
            <w:rPr>
              <w:lang w:val="pl-PL"/>
            </w:rPr>
            <w:tab/>
          </w:r>
          <w:r>
            <w:fldChar w:fldCharType="begin"/>
          </w:r>
          <w:r w:rsidRPr="00343533">
            <w:rPr>
              <w:lang w:val="pl-PL"/>
            </w:rPr>
            <w:instrText xml:space="preserve"> PAGEREF _Toc95377985 \h </w:instrText>
          </w:r>
          <w:r>
            <w:fldChar w:fldCharType="separate"/>
          </w:r>
          <w:r w:rsidRPr="00343533">
            <w:rPr>
              <w:lang w:val="pl-PL"/>
            </w:rPr>
            <w:t>55</w:t>
          </w:r>
          <w:r>
            <w:fldChar w:fldCharType="end"/>
          </w:r>
        </w:p>
        <w:p w14:paraId="60BB387C" w14:textId="77777777" w:rsidR="006543EE" w:rsidRDefault="00343533">
          <w:pPr>
            <w:pStyle w:val="Spistreci3"/>
            <w:rPr>
              <w:rFonts w:ascii="Calibri" w:eastAsia="Calibri" w:hAnsi="Calibri" w:cs="Calibri"/>
              <w:color w:val="4F81BD"/>
              <w:lang w:val="pl-PL"/>
            </w:rPr>
          </w:pPr>
          <w:r w:rsidRPr="00343533">
            <w:rPr>
              <w:rFonts w:ascii="Calibri" w:eastAsia="Calibri" w:hAnsi="Calibri" w:cs="Calibri"/>
              <w:color w:val="4F81BD"/>
              <w:lang w:val="pl-PL"/>
            </w:rPr>
            <w:t>2.1.1</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 xml:space="preserve">Koszty eksploatacji pojazdów               </w:t>
          </w:r>
        </w:p>
        <w:p w14:paraId="5EFA44BC" w14:textId="51CDD6EE" w:rsidR="00343533" w:rsidRPr="00343533" w:rsidRDefault="00343533">
          <w:pPr>
            <w:pStyle w:val="Spistreci3"/>
            <w:rPr>
              <w:rFonts w:asciiTheme="minorHAnsi" w:eastAsiaTheme="minorEastAsia" w:hAnsiTheme="minorHAnsi" w:cstheme="minorBidi"/>
              <w:snapToGrid/>
              <w:color w:val="auto"/>
              <w:sz w:val="22"/>
              <w:szCs w:val="22"/>
              <w:lang w:val="pl-PL" w:eastAsia="en-GB"/>
            </w:rPr>
          </w:pPr>
          <w:r w:rsidRPr="00343533">
            <w:rPr>
              <w:rFonts w:ascii="Calibri" w:eastAsia="Calibri" w:hAnsi="Calibri" w:cs="Calibri"/>
              <w:i/>
              <w:color w:val="4F81BD"/>
              <w:lang w:val="pl-PL"/>
            </w:rPr>
            <w:t>2.1.1   Vehicle operating costs</w:t>
          </w:r>
          <w:r w:rsidRPr="00343533">
            <w:rPr>
              <w:lang w:val="pl-PL"/>
            </w:rPr>
            <w:tab/>
          </w:r>
          <w:r>
            <w:fldChar w:fldCharType="begin"/>
          </w:r>
          <w:r w:rsidRPr="00343533">
            <w:rPr>
              <w:lang w:val="pl-PL"/>
            </w:rPr>
            <w:instrText xml:space="preserve"> PAGEREF _Toc95377986 \h </w:instrText>
          </w:r>
          <w:r>
            <w:fldChar w:fldCharType="separate"/>
          </w:r>
          <w:r w:rsidRPr="00343533">
            <w:rPr>
              <w:lang w:val="pl-PL"/>
            </w:rPr>
            <w:t>56</w:t>
          </w:r>
          <w:r>
            <w:fldChar w:fldCharType="end"/>
          </w:r>
        </w:p>
        <w:p w14:paraId="35A8FBB0" w14:textId="77777777" w:rsidR="006543EE" w:rsidRDefault="00343533">
          <w:pPr>
            <w:pStyle w:val="Spistreci3"/>
            <w:rPr>
              <w:rFonts w:ascii="Calibri" w:eastAsia="Calibri" w:hAnsi="Calibri" w:cs="Calibri"/>
              <w:i/>
              <w:color w:val="4F81BD"/>
              <w:lang w:val="pl-PL"/>
            </w:rPr>
          </w:pPr>
          <w:r w:rsidRPr="00343533">
            <w:rPr>
              <w:rFonts w:ascii="Calibri" w:eastAsia="Calibri" w:hAnsi="Calibri" w:cs="Calibri"/>
              <w:color w:val="4F81BD"/>
              <w:lang w:val="pl-PL"/>
            </w:rPr>
            <w:t>2.1.2</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 xml:space="preserve">Koszty czasu użytkowników infrastruktury drogowej </w:t>
          </w:r>
          <w:r w:rsidRPr="00343533">
            <w:rPr>
              <w:rFonts w:ascii="Calibri" w:eastAsia="Calibri" w:hAnsi="Calibri" w:cs="Calibri"/>
              <w:i/>
              <w:color w:val="4F81BD"/>
              <w:lang w:val="pl-PL"/>
            </w:rPr>
            <w:t xml:space="preserve">         </w:t>
          </w:r>
        </w:p>
        <w:p w14:paraId="422BBBC9" w14:textId="71DFE6DF" w:rsidR="00343533" w:rsidRPr="006543EE" w:rsidRDefault="00343533">
          <w:pPr>
            <w:pStyle w:val="Spistreci3"/>
            <w:rPr>
              <w:rFonts w:asciiTheme="minorHAnsi" w:eastAsiaTheme="minorEastAsia" w:hAnsiTheme="minorHAnsi" w:cstheme="minorBidi"/>
              <w:snapToGrid/>
              <w:color w:val="auto"/>
              <w:sz w:val="22"/>
              <w:szCs w:val="22"/>
              <w:lang w:val="en-GB" w:eastAsia="en-GB"/>
            </w:rPr>
          </w:pPr>
          <w:r w:rsidRPr="00374F74">
            <w:rPr>
              <w:rFonts w:ascii="Calibri" w:eastAsia="Calibri" w:hAnsi="Calibri" w:cs="Calibri"/>
              <w:i/>
              <w:color w:val="4F81BD"/>
              <w:lang w:val="pl-PL"/>
            </w:rPr>
            <w:t xml:space="preserve"> </w:t>
          </w:r>
          <w:r w:rsidRPr="006543EE">
            <w:rPr>
              <w:rFonts w:ascii="Calibri" w:eastAsia="Calibri" w:hAnsi="Calibri" w:cs="Calibri"/>
              <w:i/>
              <w:color w:val="4F81BD"/>
              <w:lang w:val="en-GB"/>
            </w:rPr>
            <w:t>2.1.2   Road infrastructure user time costs</w:t>
          </w:r>
          <w:r w:rsidRPr="006543EE">
            <w:rPr>
              <w:lang w:val="en-GB"/>
            </w:rPr>
            <w:tab/>
          </w:r>
          <w:r>
            <w:fldChar w:fldCharType="begin"/>
          </w:r>
          <w:r w:rsidRPr="006543EE">
            <w:rPr>
              <w:lang w:val="en-GB"/>
            </w:rPr>
            <w:instrText xml:space="preserve"> PAGEREF _Toc95377987 \h </w:instrText>
          </w:r>
          <w:r>
            <w:fldChar w:fldCharType="separate"/>
          </w:r>
          <w:r w:rsidRPr="006543EE">
            <w:rPr>
              <w:lang w:val="en-GB"/>
            </w:rPr>
            <w:t>59</w:t>
          </w:r>
          <w:r>
            <w:fldChar w:fldCharType="end"/>
          </w:r>
        </w:p>
        <w:p w14:paraId="491F2B39" w14:textId="77777777" w:rsidR="006543EE" w:rsidRDefault="00343533">
          <w:pPr>
            <w:pStyle w:val="Spistreci3"/>
            <w:rPr>
              <w:rFonts w:ascii="Calibri" w:eastAsia="Calibri" w:hAnsi="Calibri" w:cs="Calibri"/>
              <w:color w:val="4F81BD"/>
              <w:lang w:val="pl-PL"/>
            </w:rPr>
          </w:pPr>
          <w:r w:rsidRPr="00343533">
            <w:rPr>
              <w:rFonts w:ascii="Calibri" w:eastAsia="Calibri" w:hAnsi="Calibri" w:cs="Calibri"/>
              <w:color w:val="4F81BD"/>
              <w:lang w:val="pl-PL"/>
            </w:rPr>
            <w:t>2.1.3</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 xml:space="preserve">Koszty wypadków drogowych               </w:t>
          </w:r>
        </w:p>
        <w:p w14:paraId="22CFDF8B" w14:textId="26D15E66" w:rsidR="00343533" w:rsidRPr="00343533" w:rsidRDefault="00343533">
          <w:pPr>
            <w:pStyle w:val="Spistreci3"/>
            <w:rPr>
              <w:rFonts w:asciiTheme="minorHAnsi" w:eastAsiaTheme="minorEastAsia" w:hAnsiTheme="minorHAnsi" w:cstheme="minorBidi"/>
              <w:snapToGrid/>
              <w:color w:val="auto"/>
              <w:sz w:val="22"/>
              <w:szCs w:val="22"/>
              <w:lang w:val="pl-PL" w:eastAsia="en-GB"/>
            </w:rPr>
          </w:pPr>
          <w:r w:rsidRPr="00343533">
            <w:rPr>
              <w:rFonts w:ascii="Calibri" w:eastAsia="Calibri" w:hAnsi="Calibri" w:cs="Calibri"/>
              <w:i/>
              <w:color w:val="4F81BD"/>
              <w:lang w:val="pl-PL"/>
            </w:rPr>
            <w:t>2.1.3   Costs of accidents</w:t>
          </w:r>
          <w:r w:rsidRPr="00343533">
            <w:rPr>
              <w:lang w:val="pl-PL"/>
            </w:rPr>
            <w:tab/>
          </w:r>
          <w:r>
            <w:fldChar w:fldCharType="begin"/>
          </w:r>
          <w:r w:rsidRPr="00343533">
            <w:rPr>
              <w:lang w:val="pl-PL"/>
            </w:rPr>
            <w:instrText xml:space="preserve"> PAGEREF _Toc95377988 \h </w:instrText>
          </w:r>
          <w:r>
            <w:fldChar w:fldCharType="separate"/>
          </w:r>
          <w:r w:rsidRPr="00343533">
            <w:rPr>
              <w:lang w:val="pl-PL"/>
            </w:rPr>
            <w:t>63</w:t>
          </w:r>
          <w:r>
            <w:fldChar w:fldCharType="end"/>
          </w:r>
        </w:p>
        <w:p w14:paraId="301A1AC1" w14:textId="77777777" w:rsidR="006543EE" w:rsidRDefault="00343533">
          <w:pPr>
            <w:pStyle w:val="Spistreci3"/>
            <w:rPr>
              <w:rFonts w:ascii="Calibri" w:eastAsia="Calibri" w:hAnsi="Calibri" w:cs="Calibri"/>
              <w:color w:val="4F81BD"/>
              <w:lang w:val="pl-PL"/>
            </w:rPr>
          </w:pPr>
          <w:r w:rsidRPr="00343533">
            <w:rPr>
              <w:rFonts w:ascii="Calibri" w:eastAsia="Calibri" w:hAnsi="Calibri" w:cs="Calibri"/>
              <w:color w:val="4F81BD"/>
              <w:lang w:val="pl-PL"/>
            </w:rPr>
            <w:t>2.1.4</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 xml:space="preserve">Koszty zanieczyszczenia powietrza              </w:t>
          </w:r>
        </w:p>
        <w:p w14:paraId="1BBFA2F4" w14:textId="324C31AA" w:rsidR="00343533" w:rsidRPr="00343533" w:rsidRDefault="00343533">
          <w:pPr>
            <w:pStyle w:val="Spistreci3"/>
            <w:rPr>
              <w:rFonts w:asciiTheme="minorHAnsi" w:eastAsiaTheme="minorEastAsia" w:hAnsiTheme="minorHAnsi" w:cstheme="minorBidi"/>
              <w:snapToGrid/>
              <w:color w:val="auto"/>
              <w:sz w:val="22"/>
              <w:szCs w:val="22"/>
              <w:lang w:val="pl-PL" w:eastAsia="en-GB"/>
            </w:rPr>
          </w:pPr>
          <w:r w:rsidRPr="00343533">
            <w:rPr>
              <w:rFonts w:ascii="Calibri" w:eastAsia="Calibri" w:hAnsi="Calibri" w:cs="Calibri"/>
              <w:i/>
              <w:color w:val="4F81BD"/>
              <w:lang w:val="pl-PL"/>
            </w:rPr>
            <w:t>2.1.4</w:t>
          </w:r>
          <w:r w:rsidRPr="00343533">
            <w:rPr>
              <w:rFonts w:ascii="Calibri" w:eastAsia="Calibri" w:hAnsi="Calibri" w:cs="Calibri"/>
              <w:color w:val="4F81BD"/>
              <w:lang w:val="pl-PL"/>
            </w:rPr>
            <w:t xml:space="preserve">   </w:t>
          </w:r>
          <w:r w:rsidRPr="00343533">
            <w:rPr>
              <w:rFonts w:ascii="Calibri" w:eastAsia="Calibri" w:hAnsi="Calibri" w:cs="Calibri"/>
              <w:i/>
              <w:color w:val="4F81BD"/>
              <w:lang w:val="pl-PL"/>
            </w:rPr>
            <w:t>Air pollution costs</w:t>
          </w:r>
          <w:r w:rsidRPr="00343533">
            <w:rPr>
              <w:lang w:val="pl-PL"/>
            </w:rPr>
            <w:tab/>
          </w:r>
          <w:r>
            <w:fldChar w:fldCharType="begin"/>
          </w:r>
          <w:r w:rsidRPr="00343533">
            <w:rPr>
              <w:lang w:val="pl-PL"/>
            </w:rPr>
            <w:instrText xml:space="preserve"> PAGEREF _Toc95377989 \h </w:instrText>
          </w:r>
          <w:r>
            <w:fldChar w:fldCharType="separate"/>
          </w:r>
          <w:r w:rsidRPr="00343533">
            <w:rPr>
              <w:lang w:val="pl-PL"/>
            </w:rPr>
            <w:t>67</w:t>
          </w:r>
          <w:r>
            <w:fldChar w:fldCharType="end"/>
          </w:r>
        </w:p>
        <w:p w14:paraId="3D7EEAF9" w14:textId="77777777" w:rsidR="006543EE" w:rsidRDefault="00343533">
          <w:pPr>
            <w:pStyle w:val="Spistreci3"/>
            <w:rPr>
              <w:rFonts w:ascii="Calibri" w:eastAsia="Calibri" w:hAnsi="Calibri" w:cs="Calibri"/>
              <w:i/>
              <w:color w:val="4F81BD"/>
              <w:lang w:val="pl-PL"/>
            </w:rPr>
          </w:pPr>
          <w:r w:rsidRPr="00343533">
            <w:rPr>
              <w:rFonts w:ascii="Calibri" w:eastAsia="Calibri" w:hAnsi="Calibri" w:cs="Calibri"/>
              <w:color w:val="4F81BD"/>
              <w:lang w:val="pl-PL"/>
            </w:rPr>
            <w:t>2.1.5</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 xml:space="preserve">Koszty zmian klimatu      </w:t>
          </w:r>
          <w:r w:rsidRPr="00343533">
            <w:rPr>
              <w:rFonts w:ascii="Calibri" w:eastAsia="Calibri" w:hAnsi="Calibri" w:cs="Calibri"/>
              <w:i/>
              <w:color w:val="4F81BD"/>
              <w:lang w:val="pl-PL"/>
            </w:rPr>
            <w:t xml:space="preserve">          </w:t>
          </w:r>
        </w:p>
        <w:p w14:paraId="21DB1ABF" w14:textId="6E834870" w:rsidR="00343533" w:rsidRPr="00343533" w:rsidRDefault="00343533">
          <w:pPr>
            <w:pStyle w:val="Spistreci3"/>
            <w:rPr>
              <w:rFonts w:asciiTheme="minorHAnsi" w:eastAsiaTheme="minorEastAsia" w:hAnsiTheme="minorHAnsi" w:cstheme="minorBidi"/>
              <w:snapToGrid/>
              <w:color w:val="auto"/>
              <w:sz w:val="22"/>
              <w:szCs w:val="22"/>
              <w:lang w:val="pl-PL" w:eastAsia="en-GB"/>
            </w:rPr>
          </w:pPr>
          <w:r w:rsidRPr="00343533">
            <w:rPr>
              <w:rFonts w:ascii="Calibri" w:eastAsia="Calibri" w:hAnsi="Calibri" w:cs="Calibri"/>
              <w:i/>
              <w:color w:val="4F81BD"/>
              <w:lang w:val="pl-PL"/>
            </w:rPr>
            <w:t>2.1.5 Climate change costs</w:t>
          </w:r>
          <w:r w:rsidRPr="00343533">
            <w:rPr>
              <w:lang w:val="pl-PL"/>
            </w:rPr>
            <w:tab/>
          </w:r>
          <w:r>
            <w:fldChar w:fldCharType="begin"/>
          </w:r>
          <w:r w:rsidRPr="00343533">
            <w:rPr>
              <w:lang w:val="pl-PL"/>
            </w:rPr>
            <w:instrText xml:space="preserve"> PAGEREF _Toc95377990 \h </w:instrText>
          </w:r>
          <w:r>
            <w:fldChar w:fldCharType="separate"/>
          </w:r>
          <w:r w:rsidRPr="00343533">
            <w:rPr>
              <w:lang w:val="pl-PL"/>
            </w:rPr>
            <w:t>69</w:t>
          </w:r>
          <w:r>
            <w:fldChar w:fldCharType="end"/>
          </w:r>
        </w:p>
        <w:p w14:paraId="7F3BB5DC" w14:textId="77777777" w:rsidR="00DF06FA" w:rsidRDefault="00343533">
          <w:pPr>
            <w:pStyle w:val="Spistreci3"/>
            <w:rPr>
              <w:rFonts w:ascii="Calibri" w:eastAsia="Calibri" w:hAnsi="Calibri" w:cs="Calibri"/>
              <w:color w:val="4F81BD"/>
              <w:lang w:val="pl-PL"/>
            </w:rPr>
          </w:pPr>
          <w:r w:rsidRPr="00343533">
            <w:rPr>
              <w:rFonts w:ascii="Calibri" w:eastAsia="Calibri" w:hAnsi="Calibri" w:cs="Calibri"/>
              <w:color w:val="4F81BD"/>
              <w:lang w:val="pl-PL"/>
            </w:rPr>
            <w:t>2.1.6</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 xml:space="preserve">Koszty hałasu                </w:t>
          </w:r>
        </w:p>
        <w:p w14:paraId="6D9DDC63" w14:textId="1FBF0BFD" w:rsidR="00343533" w:rsidRPr="00343533" w:rsidRDefault="00343533">
          <w:pPr>
            <w:pStyle w:val="Spistreci3"/>
            <w:rPr>
              <w:rFonts w:asciiTheme="minorHAnsi" w:eastAsiaTheme="minorEastAsia" w:hAnsiTheme="minorHAnsi" w:cstheme="minorBidi"/>
              <w:snapToGrid/>
              <w:color w:val="auto"/>
              <w:sz w:val="22"/>
              <w:szCs w:val="22"/>
              <w:lang w:val="pl-PL" w:eastAsia="en-GB"/>
            </w:rPr>
          </w:pPr>
          <w:r w:rsidRPr="00343533">
            <w:rPr>
              <w:rFonts w:ascii="Calibri" w:eastAsia="Calibri" w:hAnsi="Calibri" w:cs="Calibri"/>
              <w:color w:val="4F81BD"/>
              <w:lang w:val="pl-PL"/>
            </w:rPr>
            <w:t xml:space="preserve"> </w:t>
          </w:r>
          <w:r w:rsidRPr="00343533">
            <w:rPr>
              <w:rFonts w:ascii="Calibri" w:eastAsia="Calibri" w:hAnsi="Calibri" w:cs="Calibri"/>
              <w:i/>
              <w:color w:val="4F81BD"/>
              <w:lang w:val="pl-PL"/>
            </w:rPr>
            <w:t>2.1.6</w:t>
          </w:r>
          <w:r w:rsidRPr="00343533">
            <w:rPr>
              <w:rFonts w:ascii="Calibri" w:eastAsia="Calibri" w:hAnsi="Calibri" w:cs="Calibri"/>
              <w:color w:val="4F81BD"/>
              <w:lang w:val="pl-PL"/>
            </w:rPr>
            <w:t xml:space="preserve">   </w:t>
          </w:r>
          <w:r w:rsidRPr="00343533">
            <w:rPr>
              <w:rFonts w:ascii="Calibri" w:eastAsia="Calibri" w:hAnsi="Calibri" w:cs="Calibri"/>
              <w:i/>
              <w:color w:val="4F81BD"/>
              <w:lang w:val="pl-PL"/>
            </w:rPr>
            <w:t>Noise costs</w:t>
          </w:r>
          <w:r w:rsidRPr="00343533">
            <w:rPr>
              <w:lang w:val="pl-PL"/>
            </w:rPr>
            <w:tab/>
          </w:r>
          <w:r>
            <w:fldChar w:fldCharType="begin"/>
          </w:r>
          <w:r w:rsidRPr="00343533">
            <w:rPr>
              <w:lang w:val="pl-PL"/>
            </w:rPr>
            <w:instrText xml:space="preserve"> PAGEREF _Toc95377991 \h </w:instrText>
          </w:r>
          <w:r>
            <w:fldChar w:fldCharType="separate"/>
          </w:r>
          <w:r w:rsidRPr="00343533">
            <w:rPr>
              <w:lang w:val="pl-PL"/>
            </w:rPr>
            <w:t>72</w:t>
          </w:r>
          <w:r>
            <w:fldChar w:fldCharType="end"/>
          </w:r>
        </w:p>
        <w:p w14:paraId="470D3E24" w14:textId="77777777" w:rsidR="006543EE" w:rsidRDefault="00343533">
          <w:pPr>
            <w:pStyle w:val="Spistreci3"/>
            <w:rPr>
              <w:rFonts w:ascii="Calibri" w:eastAsia="Calibri" w:hAnsi="Calibri" w:cs="Calibri"/>
              <w:color w:val="4F81BD"/>
              <w:lang w:val="pl-PL"/>
            </w:rPr>
          </w:pPr>
          <w:r w:rsidRPr="00343533">
            <w:rPr>
              <w:rFonts w:ascii="Calibri" w:eastAsia="Calibri" w:hAnsi="Calibri" w:cs="Calibri"/>
              <w:color w:val="4F81BD"/>
              <w:lang w:val="pl-PL"/>
            </w:rPr>
            <w:t>2.1.7</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 xml:space="preserve">Koszty eksploatacji i utrzymania infrastruktury            </w:t>
          </w:r>
        </w:p>
        <w:p w14:paraId="5C1CBB59" w14:textId="2B0A5936" w:rsidR="00343533" w:rsidRPr="006543EE" w:rsidRDefault="00343533">
          <w:pPr>
            <w:pStyle w:val="Spistreci3"/>
            <w:rPr>
              <w:rFonts w:asciiTheme="minorHAnsi" w:eastAsiaTheme="minorEastAsia" w:hAnsiTheme="minorHAnsi" w:cstheme="minorBidi"/>
              <w:snapToGrid/>
              <w:color w:val="auto"/>
              <w:sz w:val="22"/>
              <w:szCs w:val="22"/>
              <w:lang w:val="en-GB" w:eastAsia="en-GB"/>
            </w:rPr>
          </w:pPr>
          <w:r w:rsidRPr="006543EE">
            <w:rPr>
              <w:rFonts w:ascii="Calibri" w:eastAsia="Calibri" w:hAnsi="Calibri" w:cs="Calibri"/>
              <w:i/>
              <w:color w:val="4F81BD"/>
              <w:lang w:val="en-GB"/>
            </w:rPr>
            <w:t>2.1.7   Costs of infrastructure operation and maintenance</w:t>
          </w:r>
          <w:r w:rsidRPr="006543EE">
            <w:rPr>
              <w:lang w:val="en-GB"/>
            </w:rPr>
            <w:tab/>
          </w:r>
          <w:r>
            <w:fldChar w:fldCharType="begin"/>
          </w:r>
          <w:r w:rsidRPr="006543EE">
            <w:rPr>
              <w:lang w:val="en-GB"/>
            </w:rPr>
            <w:instrText xml:space="preserve"> PAGEREF _Toc95377992 \h </w:instrText>
          </w:r>
          <w:r>
            <w:fldChar w:fldCharType="separate"/>
          </w:r>
          <w:r w:rsidRPr="006543EE">
            <w:rPr>
              <w:lang w:val="en-GB"/>
            </w:rPr>
            <w:t>74</w:t>
          </w:r>
          <w:r>
            <w:fldChar w:fldCharType="end"/>
          </w:r>
        </w:p>
        <w:p w14:paraId="1100641B" w14:textId="77777777" w:rsidR="006543EE" w:rsidRDefault="00343533">
          <w:pPr>
            <w:pStyle w:val="Spistreci2"/>
            <w:rPr>
              <w:rFonts w:ascii="Calibri" w:eastAsia="Calibri" w:hAnsi="Calibri" w:cs="Calibri"/>
              <w:color w:val="4F81BD"/>
              <w:lang w:val="pl-PL"/>
            </w:rPr>
          </w:pPr>
          <w:r w:rsidRPr="003D16D1">
            <w:rPr>
              <w:rFonts w:ascii="Calibri" w:eastAsia="Calibri" w:hAnsi="Calibri" w:cs="Calibri"/>
              <w:color w:val="4F81BD"/>
              <w:lang w:val="pl-PL"/>
            </w:rPr>
            <w:t>2.2</w:t>
          </w:r>
          <w:r w:rsidRPr="00343533">
            <w:rPr>
              <w:rFonts w:asciiTheme="minorHAnsi" w:eastAsiaTheme="minorEastAsia" w:hAnsiTheme="minorHAnsi" w:cstheme="minorBidi"/>
              <w:snapToGrid/>
              <w:color w:val="auto"/>
              <w:szCs w:val="22"/>
              <w:lang w:val="pl-PL" w:eastAsia="en-GB"/>
            </w:rPr>
            <w:tab/>
          </w:r>
          <w:r w:rsidRPr="003D16D1">
            <w:rPr>
              <w:rFonts w:ascii="Calibri" w:eastAsia="Calibri" w:hAnsi="Calibri" w:cs="Calibri"/>
              <w:color w:val="4F81BD"/>
              <w:lang w:val="pl-PL"/>
            </w:rPr>
            <w:t xml:space="preserve">Etapy analizy społeczno-ekonomicznej           </w:t>
          </w:r>
        </w:p>
        <w:p w14:paraId="554C2910" w14:textId="3DDE3768" w:rsidR="00343533" w:rsidRPr="00374F74" w:rsidRDefault="00343533">
          <w:pPr>
            <w:pStyle w:val="Spistreci2"/>
            <w:rPr>
              <w:rFonts w:asciiTheme="minorHAnsi" w:eastAsiaTheme="minorEastAsia" w:hAnsiTheme="minorHAnsi" w:cstheme="minorBidi"/>
              <w:snapToGrid/>
              <w:color w:val="auto"/>
              <w:szCs w:val="22"/>
              <w:lang w:val="pl-PL" w:eastAsia="en-GB"/>
            </w:rPr>
          </w:pPr>
          <w:r w:rsidRPr="00374F74">
            <w:rPr>
              <w:rFonts w:ascii="Calibri" w:eastAsia="Calibri" w:hAnsi="Calibri" w:cs="Calibri"/>
              <w:i/>
              <w:color w:val="4F81BD"/>
              <w:lang w:val="pl-PL"/>
            </w:rPr>
            <w:t>2.2</w:t>
          </w:r>
          <w:r w:rsidRPr="00374F74">
            <w:rPr>
              <w:rFonts w:ascii="Calibri" w:eastAsia="Calibri" w:hAnsi="Calibri" w:cs="Calibri"/>
              <w:color w:val="4F81BD"/>
              <w:lang w:val="pl-PL"/>
            </w:rPr>
            <w:t xml:space="preserve">   </w:t>
          </w:r>
          <w:r w:rsidRPr="00374F74">
            <w:rPr>
              <w:rFonts w:ascii="Calibri" w:eastAsia="Calibri" w:hAnsi="Calibri" w:cs="Calibri"/>
              <w:i/>
              <w:color w:val="4F81BD"/>
              <w:lang w:val="pl-PL"/>
            </w:rPr>
            <w:t>Stages of socio-economic analysis</w:t>
          </w:r>
          <w:r w:rsidRPr="00374F74">
            <w:rPr>
              <w:lang w:val="pl-PL"/>
            </w:rPr>
            <w:tab/>
          </w:r>
          <w:r>
            <w:fldChar w:fldCharType="begin"/>
          </w:r>
          <w:r w:rsidRPr="00374F74">
            <w:rPr>
              <w:lang w:val="pl-PL"/>
            </w:rPr>
            <w:instrText xml:space="preserve"> PAGEREF _Toc95377993 \h </w:instrText>
          </w:r>
          <w:r>
            <w:fldChar w:fldCharType="separate"/>
          </w:r>
          <w:r w:rsidRPr="00374F74">
            <w:rPr>
              <w:lang w:val="pl-PL"/>
            </w:rPr>
            <w:t>75</w:t>
          </w:r>
          <w:r>
            <w:fldChar w:fldCharType="end"/>
          </w:r>
        </w:p>
        <w:p w14:paraId="08E23C4E" w14:textId="5B87C61B" w:rsidR="00573A14" w:rsidRPr="00374F74" w:rsidRDefault="00343533" w:rsidP="00573A14">
          <w:pPr>
            <w:pStyle w:val="Spistreci3"/>
            <w:rPr>
              <w:rFonts w:eastAsiaTheme="minorEastAsia"/>
              <w:lang w:val="pl-PL"/>
            </w:rPr>
          </w:pPr>
          <w:r w:rsidRPr="00343533">
            <w:rPr>
              <w:rFonts w:ascii="Calibri" w:eastAsia="Calibri" w:hAnsi="Calibri" w:cs="Calibri"/>
              <w:color w:val="4F81BD"/>
              <w:lang w:val="pl-PL"/>
            </w:rPr>
            <w:t>2.2.1</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Założenia analizy ekonomicznej</w:t>
          </w:r>
          <w:r w:rsidRPr="00343533">
            <w:rPr>
              <w:lang w:val="pl-PL"/>
            </w:rPr>
            <w:tab/>
          </w:r>
        </w:p>
        <w:p w14:paraId="6DA19239" w14:textId="774A2982" w:rsidR="00343533" w:rsidRDefault="00343533">
          <w:pPr>
            <w:pStyle w:val="Spistreci3"/>
          </w:pPr>
          <w:r w:rsidRPr="00573A14">
            <w:rPr>
              <w:rFonts w:ascii="Calibri" w:eastAsia="Calibri" w:hAnsi="Calibri" w:cs="Calibri"/>
              <w:i/>
              <w:color w:val="4F81BD"/>
              <w:lang w:val="en-GB"/>
            </w:rPr>
            <w:t>2.2.1 Assumptions for the economic analysis</w:t>
          </w:r>
          <w:r>
            <w:tab/>
          </w:r>
          <w:r>
            <w:fldChar w:fldCharType="begin"/>
          </w:r>
          <w:r>
            <w:instrText xml:space="preserve"> PAGEREF _Toc95377996 \h </w:instrText>
          </w:r>
          <w:r>
            <w:fldChar w:fldCharType="separate"/>
          </w:r>
          <w:r>
            <w:t>75</w:t>
          </w:r>
          <w:r>
            <w:fldChar w:fldCharType="end"/>
          </w:r>
        </w:p>
        <w:p w14:paraId="73274501" w14:textId="60B93BDD" w:rsidR="00573A14" w:rsidRPr="003365B1" w:rsidRDefault="00573A14" w:rsidP="003365B1">
          <w:pPr>
            <w:ind w:firstLine="709"/>
            <w:rPr>
              <w:rFonts w:eastAsiaTheme="minorEastAsia"/>
              <w:sz w:val="22"/>
              <w:szCs w:val="22"/>
            </w:rPr>
          </w:pPr>
          <w:r w:rsidRPr="003365B1">
            <w:rPr>
              <w:rFonts w:ascii="Calibri" w:eastAsia="Calibri" w:hAnsi="Calibri" w:cs="Calibri"/>
              <w:color w:val="4F81BD"/>
              <w:sz w:val="20"/>
              <w:szCs w:val="20"/>
            </w:rPr>
            <w:t>2.2.2</w:t>
          </w:r>
          <w:r w:rsidR="003365B1" w:rsidRPr="003365B1">
            <w:rPr>
              <w:rFonts w:asciiTheme="minorHAnsi" w:eastAsiaTheme="minorEastAsia" w:hAnsiTheme="minorHAnsi" w:cstheme="minorBidi"/>
              <w:sz w:val="20"/>
              <w:szCs w:val="20"/>
              <w:lang w:eastAsia="en-GB"/>
            </w:rPr>
            <w:t xml:space="preserve"> </w:t>
          </w:r>
          <w:r w:rsidRPr="003365B1">
            <w:rPr>
              <w:rFonts w:ascii="Calibri" w:eastAsia="Calibri" w:hAnsi="Calibri" w:cs="Calibri"/>
              <w:color w:val="4F81BD"/>
              <w:sz w:val="20"/>
              <w:szCs w:val="20"/>
            </w:rPr>
            <w:t xml:space="preserve">Z </w:t>
          </w:r>
          <w:r w:rsidRPr="003365B1">
            <w:rPr>
              <w:rFonts w:ascii="Calibri" w:eastAsia="Calibri" w:hAnsi="Calibri" w:cs="Calibri"/>
              <w:color w:val="4F81BD"/>
              <w:sz w:val="22"/>
              <w:szCs w:val="22"/>
            </w:rPr>
            <w:t>cen rynkowych na ceny rozrachunkowe</w:t>
          </w:r>
          <w:r w:rsidRPr="003365B1">
            <w:rPr>
              <w:sz w:val="22"/>
              <w:szCs w:val="22"/>
            </w:rPr>
            <w:tab/>
          </w:r>
        </w:p>
        <w:p w14:paraId="6A738253" w14:textId="6565D5A0" w:rsidR="00343533" w:rsidRDefault="00343533">
          <w:pPr>
            <w:pStyle w:val="Spistreci3"/>
            <w:rPr>
              <w:rFonts w:asciiTheme="minorHAnsi" w:eastAsiaTheme="minorEastAsia" w:hAnsiTheme="minorHAnsi" w:cstheme="minorBidi"/>
              <w:snapToGrid/>
              <w:color w:val="auto"/>
              <w:sz w:val="22"/>
              <w:szCs w:val="22"/>
              <w:lang w:val="en-GB" w:eastAsia="en-GB"/>
            </w:rPr>
          </w:pPr>
          <w:r w:rsidRPr="003D16D1">
            <w:rPr>
              <w:rFonts w:ascii="Calibri" w:eastAsia="Calibri" w:hAnsi="Calibri" w:cs="Calibri"/>
              <w:color w:val="4F81BD"/>
              <w:lang w:val="en-GB"/>
            </w:rPr>
            <w:t xml:space="preserve">2.2.2 </w:t>
          </w:r>
          <w:r w:rsidRPr="003365B1">
            <w:rPr>
              <w:rFonts w:ascii="Calibri" w:eastAsia="Calibri" w:hAnsi="Calibri" w:cs="Calibri"/>
              <w:i/>
              <w:color w:val="4F81BD"/>
              <w:lang w:val="en-GB"/>
            </w:rPr>
            <w:t>From financial to economic prices</w:t>
          </w:r>
          <w:r>
            <w:tab/>
          </w:r>
          <w:r>
            <w:fldChar w:fldCharType="begin"/>
          </w:r>
          <w:r>
            <w:instrText xml:space="preserve"> PAGEREF _Toc95377997 \h </w:instrText>
          </w:r>
          <w:r>
            <w:fldChar w:fldCharType="separate"/>
          </w:r>
          <w:r>
            <w:t>76</w:t>
          </w:r>
          <w:r>
            <w:fldChar w:fldCharType="end"/>
          </w:r>
        </w:p>
        <w:p w14:paraId="0DA88D4E" w14:textId="77777777" w:rsidR="006543EE" w:rsidRDefault="00343533">
          <w:pPr>
            <w:pStyle w:val="Spistreci3"/>
            <w:rPr>
              <w:rFonts w:ascii="Calibri" w:eastAsia="Calibri" w:hAnsi="Calibri" w:cs="Calibri"/>
              <w:color w:val="4F81BD"/>
              <w:lang w:val="pl-PL"/>
            </w:rPr>
          </w:pPr>
          <w:r w:rsidRPr="00343533">
            <w:rPr>
              <w:rFonts w:ascii="Calibri" w:eastAsia="Calibri" w:hAnsi="Calibri" w:cs="Calibri"/>
              <w:color w:val="4F81BD"/>
              <w:lang w:val="pl-PL"/>
            </w:rPr>
            <w:t>2.2.3</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 xml:space="preserve">Obliczanie korzyści ekonomicznych netto projektu           </w:t>
          </w:r>
        </w:p>
        <w:p w14:paraId="6C5BA076" w14:textId="47E740AA" w:rsidR="00343533" w:rsidRPr="00374F74" w:rsidRDefault="00343533">
          <w:pPr>
            <w:pStyle w:val="Spistreci3"/>
            <w:rPr>
              <w:rFonts w:asciiTheme="minorHAnsi" w:eastAsiaTheme="minorEastAsia" w:hAnsiTheme="minorHAnsi" w:cstheme="minorBidi"/>
              <w:snapToGrid/>
              <w:color w:val="auto"/>
              <w:sz w:val="22"/>
              <w:szCs w:val="22"/>
              <w:lang w:val="pl-PL" w:eastAsia="en-GB"/>
            </w:rPr>
          </w:pPr>
          <w:r w:rsidRPr="00374F74">
            <w:rPr>
              <w:rFonts w:ascii="Calibri" w:eastAsia="Calibri" w:hAnsi="Calibri" w:cs="Calibri"/>
              <w:color w:val="4F81BD"/>
              <w:lang w:val="pl-PL"/>
            </w:rPr>
            <w:t xml:space="preserve"> 2.2.3   Calculation of net economic benefits of a project</w:t>
          </w:r>
          <w:r w:rsidRPr="00374F74">
            <w:rPr>
              <w:lang w:val="pl-PL"/>
            </w:rPr>
            <w:tab/>
          </w:r>
          <w:r>
            <w:fldChar w:fldCharType="begin"/>
          </w:r>
          <w:r w:rsidRPr="00374F74">
            <w:rPr>
              <w:lang w:val="pl-PL"/>
            </w:rPr>
            <w:instrText xml:space="preserve"> PAGEREF _Toc95377998 \h </w:instrText>
          </w:r>
          <w:r>
            <w:fldChar w:fldCharType="separate"/>
          </w:r>
          <w:r w:rsidRPr="00374F74">
            <w:rPr>
              <w:lang w:val="pl-PL"/>
            </w:rPr>
            <w:t>78</w:t>
          </w:r>
          <w:r>
            <w:fldChar w:fldCharType="end"/>
          </w:r>
        </w:p>
        <w:p w14:paraId="1227C7CE" w14:textId="2C74DBD3" w:rsidR="00343533" w:rsidRPr="00343533" w:rsidRDefault="00343533">
          <w:pPr>
            <w:pStyle w:val="Spistreci3"/>
            <w:rPr>
              <w:rFonts w:asciiTheme="minorHAnsi" w:eastAsiaTheme="minorEastAsia" w:hAnsiTheme="minorHAnsi" w:cstheme="minorBidi"/>
              <w:snapToGrid/>
              <w:color w:val="auto"/>
              <w:sz w:val="22"/>
              <w:szCs w:val="22"/>
              <w:lang w:val="pl-PL" w:eastAsia="en-GB"/>
            </w:rPr>
          </w:pPr>
          <w:r w:rsidRPr="00343533">
            <w:rPr>
              <w:rFonts w:ascii="Calibri" w:eastAsia="Calibri" w:hAnsi="Calibri" w:cs="Calibri"/>
              <w:color w:val="4F81BD"/>
              <w:lang w:val="pl-PL"/>
            </w:rPr>
            <w:t>2.2.4</w:t>
          </w:r>
          <w:r w:rsidRPr="00343533">
            <w:rPr>
              <w:rFonts w:asciiTheme="minorHAnsi" w:eastAsiaTheme="minorEastAsia" w:hAnsiTheme="minorHAnsi" w:cstheme="minorBidi"/>
              <w:snapToGrid/>
              <w:color w:val="auto"/>
              <w:sz w:val="22"/>
              <w:szCs w:val="22"/>
              <w:lang w:val="pl-PL" w:eastAsia="en-GB"/>
            </w:rPr>
            <w:tab/>
          </w:r>
          <w:r w:rsidRPr="00343533">
            <w:rPr>
              <w:rFonts w:ascii="Calibri" w:eastAsia="Calibri" w:hAnsi="Calibri" w:cs="Calibri"/>
              <w:color w:val="4F81BD"/>
              <w:lang w:val="pl-PL"/>
            </w:rPr>
            <w:t>Obliczanie wskaźników efektywności społeczno-ekonomicznej i interpretacja wyników</w:t>
          </w:r>
        </w:p>
        <w:p w14:paraId="71952550" w14:textId="77777777" w:rsidR="00573A14" w:rsidRDefault="00343533">
          <w:pPr>
            <w:pStyle w:val="Spistreci3"/>
            <w:rPr>
              <w:rFonts w:ascii="Calibri" w:eastAsia="Calibri" w:hAnsi="Calibri" w:cs="Calibri"/>
              <w:i/>
              <w:color w:val="4F81BD"/>
              <w:lang w:val="en-GB"/>
            </w:rPr>
          </w:pPr>
          <w:r w:rsidRPr="003D16D1">
            <w:rPr>
              <w:rFonts w:ascii="Calibri" w:eastAsia="Calibri" w:hAnsi="Calibri" w:cs="Calibri"/>
              <w:i/>
              <w:color w:val="4F81BD"/>
              <w:lang w:val="en-GB"/>
            </w:rPr>
            <w:t xml:space="preserve">2.2.4   Calculation of the socio-economic performance indicators and interpretation of </w:t>
          </w:r>
        </w:p>
        <w:p w14:paraId="1B28E3E8" w14:textId="24266FA0" w:rsidR="00343533" w:rsidRDefault="00343533">
          <w:pPr>
            <w:pStyle w:val="Spistreci3"/>
            <w:rPr>
              <w:rFonts w:asciiTheme="minorHAnsi" w:eastAsiaTheme="minorEastAsia" w:hAnsiTheme="minorHAnsi" w:cstheme="minorBidi"/>
              <w:snapToGrid/>
              <w:color w:val="auto"/>
              <w:sz w:val="22"/>
              <w:szCs w:val="22"/>
              <w:lang w:val="en-GB" w:eastAsia="en-GB"/>
            </w:rPr>
          </w:pPr>
          <w:r w:rsidRPr="003D16D1">
            <w:rPr>
              <w:rFonts w:ascii="Calibri" w:eastAsia="Calibri" w:hAnsi="Calibri" w:cs="Calibri"/>
              <w:i/>
              <w:color w:val="4F81BD"/>
              <w:lang w:val="en-GB"/>
            </w:rPr>
            <w:t>results</w:t>
          </w:r>
          <w:r>
            <w:tab/>
          </w:r>
          <w:r>
            <w:fldChar w:fldCharType="begin"/>
          </w:r>
          <w:r>
            <w:instrText xml:space="preserve"> PAGEREF _Toc95378000 \h </w:instrText>
          </w:r>
          <w:r>
            <w:fldChar w:fldCharType="separate"/>
          </w:r>
          <w:r>
            <w:t>82</w:t>
          </w:r>
          <w:r>
            <w:fldChar w:fldCharType="end"/>
          </w:r>
        </w:p>
        <w:p w14:paraId="7CC8155E" w14:textId="77777777" w:rsidR="007308A9" w:rsidRDefault="00343533">
          <w:pPr>
            <w:pStyle w:val="Spistreci1"/>
            <w:rPr>
              <w:rFonts w:ascii="Calibri" w:eastAsia="Calibri" w:hAnsi="Calibri" w:cs="Calibri"/>
              <w:color w:val="0070C0"/>
              <w:lang w:val="es-ES"/>
            </w:rPr>
          </w:pPr>
          <w:r w:rsidRPr="003D16D1">
            <w:rPr>
              <w:rFonts w:ascii="Calibri" w:eastAsia="Calibri" w:hAnsi="Calibri" w:cs="Calibri"/>
              <w:color w:val="0070C0"/>
              <w:lang w:val="es-ES"/>
            </w:rPr>
            <w:t>3.</w:t>
          </w:r>
          <w:r>
            <w:rPr>
              <w:rFonts w:asciiTheme="minorHAnsi" w:eastAsiaTheme="minorEastAsia" w:hAnsiTheme="minorHAnsi" w:cstheme="minorBidi"/>
              <w:snapToGrid/>
              <w:color w:val="auto"/>
              <w:sz w:val="22"/>
              <w:szCs w:val="22"/>
              <w:lang w:val="en-GB" w:eastAsia="en-GB"/>
            </w:rPr>
            <w:tab/>
          </w:r>
          <w:r w:rsidRPr="003D16D1">
            <w:rPr>
              <w:rFonts w:ascii="Calibri" w:eastAsia="Calibri" w:hAnsi="Calibri" w:cs="Calibri"/>
              <w:color w:val="0070C0"/>
              <w:lang w:val="es-ES"/>
            </w:rPr>
            <w:t>Faza III: Analiza Finansowa</w:t>
          </w:r>
        </w:p>
        <w:p w14:paraId="0ABC0C5B" w14:textId="05788D0E" w:rsidR="00343533" w:rsidRDefault="00343533">
          <w:pPr>
            <w:pStyle w:val="Spistreci1"/>
            <w:rPr>
              <w:rFonts w:asciiTheme="minorHAnsi" w:eastAsiaTheme="minorEastAsia" w:hAnsiTheme="minorHAnsi" w:cstheme="minorBidi"/>
              <w:snapToGrid/>
              <w:color w:val="auto"/>
              <w:sz w:val="22"/>
              <w:szCs w:val="22"/>
              <w:lang w:val="en-GB" w:eastAsia="en-GB"/>
            </w:rPr>
          </w:pPr>
          <w:r w:rsidRPr="003D16D1">
            <w:rPr>
              <w:rFonts w:ascii="Calibri" w:eastAsia="Calibri" w:hAnsi="Calibri" w:cs="Calibri"/>
              <w:color w:val="0070C0"/>
              <w:lang w:val="es-ES"/>
            </w:rPr>
            <w:t xml:space="preserve"> </w:t>
          </w:r>
          <w:r w:rsidRPr="003D16D1">
            <w:rPr>
              <w:rFonts w:ascii="Calibri" w:eastAsia="Calibri" w:hAnsi="Calibri" w:cs="Calibri"/>
              <w:i/>
              <w:color w:val="0070C0"/>
              <w:lang w:val="es-ES"/>
            </w:rPr>
            <w:t>Phase III: Financial Analysis</w:t>
          </w:r>
          <w:r>
            <w:tab/>
          </w:r>
          <w:r>
            <w:fldChar w:fldCharType="begin"/>
          </w:r>
          <w:r>
            <w:instrText xml:space="preserve"> PAGEREF _Toc95378001 \h </w:instrText>
          </w:r>
          <w:r>
            <w:fldChar w:fldCharType="separate"/>
          </w:r>
          <w:r>
            <w:t>85</w:t>
          </w:r>
          <w:r>
            <w:fldChar w:fldCharType="end"/>
          </w:r>
        </w:p>
        <w:p w14:paraId="4B1F16CD" w14:textId="77777777" w:rsidR="007308A9" w:rsidRPr="00374F74" w:rsidRDefault="00343533">
          <w:pPr>
            <w:pStyle w:val="Spistreci2"/>
            <w:rPr>
              <w:rFonts w:ascii="Calibri" w:eastAsia="Calibri" w:hAnsi="Calibri" w:cs="Calibri"/>
              <w:color w:val="4F81BD"/>
              <w:lang w:val="pl-PL"/>
            </w:rPr>
          </w:pPr>
          <w:r w:rsidRPr="00374F74">
            <w:rPr>
              <w:rFonts w:ascii="Calibri" w:eastAsia="Calibri" w:hAnsi="Calibri" w:cs="Calibri"/>
              <w:color w:val="4F81BD"/>
              <w:lang w:val="pl-PL"/>
            </w:rPr>
            <w:t>3.1</w:t>
          </w:r>
          <w:r w:rsidRPr="00374F74">
            <w:rPr>
              <w:rFonts w:asciiTheme="minorHAnsi" w:eastAsiaTheme="minorEastAsia" w:hAnsiTheme="minorHAnsi" w:cstheme="minorBidi"/>
              <w:snapToGrid/>
              <w:color w:val="auto"/>
              <w:szCs w:val="22"/>
              <w:lang w:val="pl-PL" w:eastAsia="en-GB"/>
            </w:rPr>
            <w:tab/>
          </w:r>
          <w:r w:rsidRPr="00374F74">
            <w:rPr>
              <w:rFonts w:ascii="Calibri" w:eastAsia="Calibri" w:hAnsi="Calibri" w:cs="Calibri"/>
              <w:color w:val="4F81BD"/>
              <w:lang w:val="pl-PL"/>
            </w:rPr>
            <w:t xml:space="preserve">Projekt infrastruktury drogowej – droga niepłatna a analiza finansowa </w:t>
          </w:r>
        </w:p>
        <w:p w14:paraId="6B32C710" w14:textId="4FF6D390" w:rsidR="00343533" w:rsidRDefault="00343533">
          <w:pPr>
            <w:pStyle w:val="Spistreci2"/>
            <w:rPr>
              <w:rFonts w:asciiTheme="minorHAnsi" w:eastAsiaTheme="minorEastAsia" w:hAnsiTheme="minorHAnsi" w:cstheme="minorBidi"/>
              <w:snapToGrid/>
              <w:color w:val="auto"/>
              <w:szCs w:val="22"/>
              <w:lang w:val="en-GB" w:eastAsia="en-GB"/>
            </w:rPr>
          </w:pPr>
          <w:r w:rsidRPr="00343533">
            <w:rPr>
              <w:rFonts w:ascii="Calibri" w:eastAsia="Calibri" w:hAnsi="Calibri" w:cs="Calibri"/>
              <w:i/>
              <w:color w:val="4F81BD"/>
              <w:lang w:val="en-GB"/>
            </w:rPr>
            <w:t>3.1    Road infrastructure project – non-toll roads and financial analysis</w:t>
          </w:r>
          <w:r>
            <w:tab/>
          </w:r>
          <w:r>
            <w:fldChar w:fldCharType="begin"/>
          </w:r>
          <w:r>
            <w:instrText xml:space="preserve"> PAGEREF _Toc95378002 \h </w:instrText>
          </w:r>
          <w:r>
            <w:fldChar w:fldCharType="separate"/>
          </w:r>
          <w:r>
            <w:t>86</w:t>
          </w:r>
          <w:r>
            <w:fldChar w:fldCharType="end"/>
          </w:r>
        </w:p>
        <w:p w14:paraId="620183A0" w14:textId="77777777" w:rsidR="007308A9" w:rsidRDefault="00343533">
          <w:pPr>
            <w:pStyle w:val="Spistreci2"/>
            <w:rPr>
              <w:rFonts w:ascii="Calibri" w:eastAsia="Calibri" w:hAnsi="Calibri" w:cs="Calibri"/>
              <w:color w:val="4F81BD"/>
            </w:rPr>
          </w:pPr>
          <w:r w:rsidRPr="003D16D1">
            <w:rPr>
              <w:rFonts w:ascii="Calibri" w:eastAsia="Calibri" w:hAnsi="Calibri" w:cs="Calibri"/>
              <w:color w:val="4F81BD"/>
            </w:rPr>
            <w:t>3.2</w:t>
          </w:r>
          <w:r>
            <w:rPr>
              <w:rFonts w:asciiTheme="minorHAnsi" w:eastAsiaTheme="minorEastAsia" w:hAnsiTheme="minorHAnsi" w:cstheme="minorBidi"/>
              <w:snapToGrid/>
              <w:color w:val="auto"/>
              <w:szCs w:val="22"/>
              <w:lang w:val="en-GB" w:eastAsia="en-GB"/>
            </w:rPr>
            <w:tab/>
          </w:r>
          <w:r w:rsidRPr="003D16D1">
            <w:rPr>
              <w:rFonts w:ascii="Calibri" w:eastAsia="Calibri" w:hAnsi="Calibri" w:cs="Calibri"/>
              <w:color w:val="4F81BD"/>
            </w:rPr>
            <w:t xml:space="preserve">Założenia i parametry analizy finansowej      </w:t>
          </w:r>
        </w:p>
        <w:p w14:paraId="160BA002" w14:textId="6C8268F6" w:rsidR="00343533" w:rsidRDefault="00343533">
          <w:pPr>
            <w:pStyle w:val="Spistreci2"/>
            <w:rPr>
              <w:rFonts w:asciiTheme="minorHAnsi" w:eastAsiaTheme="minorEastAsia" w:hAnsiTheme="minorHAnsi" w:cstheme="minorBidi"/>
              <w:snapToGrid/>
              <w:color w:val="auto"/>
              <w:szCs w:val="22"/>
              <w:lang w:val="en-GB" w:eastAsia="en-GB"/>
            </w:rPr>
          </w:pPr>
          <w:r w:rsidRPr="003D16D1">
            <w:rPr>
              <w:rFonts w:ascii="Calibri" w:eastAsia="Calibri" w:hAnsi="Calibri" w:cs="Calibri"/>
              <w:i/>
              <w:color w:val="4F81BD"/>
            </w:rPr>
            <w:t>3.2</w:t>
          </w:r>
          <w:r w:rsidRPr="003D16D1">
            <w:rPr>
              <w:rFonts w:ascii="Calibri" w:eastAsia="Calibri" w:hAnsi="Calibri" w:cs="Calibri"/>
              <w:color w:val="4F81BD"/>
            </w:rPr>
            <w:t xml:space="preserve">   </w:t>
          </w:r>
          <w:r w:rsidRPr="003D16D1">
            <w:rPr>
              <w:rFonts w:ascii="Calibri" w:eastAsia="Calibri" w:hAnsi="Calibri" w:cs="Calibri"/>
              <w:i/>
              <w:color w:val="4F81BD"/>
            </w:rPr>
            <w:t>Financial analysis - assumptions and parameters</w:t>
          </w:r>
          <w:r>
            <w:tab/>
          </w:r>
          <w:r>
            <w:fldChar w:fldCharType="begin"/>
          </w:r>
          <w:r>
            <w:instrText xml:space="preserve"> PAGEREF _Toc95378003 \h </w:instrText>
          </w:r>
          <w:r>
            <w:fldChar w:fldCharType="separate"/>
          </w:r>
          <w:r>
            <w:t>86</w:t>
          </w:r>
          <w:r>
            <w:fldChar w:fldCharType="end"/>
          </w:r>
        </w:p>
        <w:p w14:paraId="65EA0A66" w14:textId="77777777" w:rsidR="007308A9" w:rsidRDefault="00343533">
          <w:pPr>
            <w:pStyle w:val="Spistreci2"/>
            <w:rPr>
              <w:rFonts w:ascii="Calibri" w:eastAsia="Calibri" w:hAnsi="Calibri" w:cs="Calibri"/>
              <w:color w:val="4F81BD"/>
              <w:lang w:val="pl-PL"/>
            </w:rPr>
          </w:pPr>
          <w:r w:rsidRPr="003D16D1">
            <w:rPr>
              <w:rFonts w:ascii="Calibri" w:eastAsia="Calibri" w:hAnsi="Calibri" w:cs="Calibri"/>
              <w:color w:val="4F81BD"/>
              <w:lang w:val="pl-PL"/>
            </w:rPr>
            <w:t>3.3</w:t>
          </w:r>
          <w:r w:rsidRPr="00343533">
            <w:rPr>
              <w:rFonts w:asciiTheme="minorHAnsi" w:eastAsiaTheme="minorEastAsia" w:hAnsiTheme="minorHAnsi" w:cstheme="minorBidi"/>
              <w:snapToGrid/>
              <w:color w:val="auto"/>
              <w:szCs w:val="22"/>
              <w:lang w:val="pl-PL" w:eastAsia="en-GB"/>
            </w:rPr>
            <w:tab/>
          </w:r>
          <w:r w:rsidRPr="003D16D1">
            <w:rPr>
              <w:rFonts w:ascii="Calibri" w:eastAsia="Calibri" w:hAnsi="Calibri" w:cs="Calibri"/>
              <w:color w:val="4F81BD"/>
              <w:lang w:val="pl-PL"/>
            </w:rPr>
            <w:t xml:space="preserve">Zestawienie finansowych przepływów pieniężnych       </w:t>
          </w:r>
        </w:p>
        <w:p w14:paraId="5706357B" w14:textId="3EDAAB4A" w:rsidR="00343533" w:rsidRPr="00374F74" w:rsidRDefault="00343533">
          <w:pPr>
            <w:pStyle w:val="Spistreci2"/>
            <w:rPr>
              <w:rFonts w:asciiTheme="minorHAnsi" w:eastAsiaTheme="minorEastAsia" w:hAnsiTheme="minorHAnsi" w:cstheme="minorBidi"/>
              <w:snapToGrid/>
              <w:color w:val="auto"/>
              <w:szCs w:val="22"/>
              <w:lang w:val="pl-PL" w:eastAsia="en-GB"/>
            </w:rPr>
          </w:pPr>
          <w:r w:rsidRPr="00374F74">
            <w:rPr>
              <w:rFonts w:ascii="Calibri" w:eastAsia="Calibri" w:hAnsi="Calibri" w:cs="Calibri"/>
              <w:i/>
              <w:color w:val="4F81BD"/>
              <w:lang w:val="pl-PL"/>
            </w:rPr>
            <w:lastRenderedPageBreak/>
            <w:t>3.3   Determination of financial cash flows</w:t>
          </w:r>
          <w:r w:rsidRPr="00374F74">
            <w:rPr>
              <w:lang w:val="pl-PL"/>
            </w:rPr>
            <w:tab/>
          </w:r>
          <w:r>
            <w:fldChar w:fldCharType="begin"/>
          </w:r>
          <w:r w:rsidRPr="00374F74">
            <w:rPr>
              <w:lang w:val="pl-PL"/>
            </w:rPr>
            <w:instrText xml:space="preserve"> PAGEREF _Toc95378004 \h </w:instrText>
          </w:r>
          <w:r>
            <w:fldChar w:fldCharType="separate"/>
          </w:r>
          <w:r w:rsidRPr="00374F74">
            <w:rPr>
              <w:lang w:val="pl-PL"/>
            </w:rPr>
            <w:t>88</w:t>
          </w:r>
          <w:r>
            <w:fldChar w:fldCharType="end"/>
          </w:r>
        </w:p>
        <w:p w14:paraId="73B1F9B3" w14:textId="77777777" w:rsidR="007308A9" w:rsidRDefault="00343533">
          <w:pPr>
            <w:pStyle w:val="Spistreci2"/>
            <w:rPr>
              <w:rFonts w:ascii="Calibri" w:eastAsia="Calibri" w:hAnsi="Calibri" w:cs="Calibri"/>
              <w:color w:val="4F81BD"/>
              <w:lang w:val="pl-PL"/>
            </w:rPr>
          </w:pPr>
          <w:r w:rsidRPr="003D16D1">
            <w:rPr>
              <w:rFonts w:ascii="Calibri" w:eastAsia="Calibri" w:hAnsi="Calibri" w:cs="Calibri"/>
              <w:color w:val="4F81BD"/>
              <w:lang w:val="pl-PL"/>
            </w:rPr>
            <w:t>3.4</w:t>
          </w:r>
          <w:r w:rsidRPr="00343533">
            <w:rPr>
              <w:rFonts w:asciiTheme="minorHAnsi" w:eastAsiaTheme="minorEastAsia" w:hAnsiTheme="minorHAnsi" w:cstheme="minorBidi"/>
              <w:snapToGrid/>
              <w:color w:val="auto"/>
              <w:szCs w:val="22"/>
              <w:lang w:val="pl-PL" w:eastAsia="en-GB"/>
            </w:rPr>
            <w:tab/>
          </w:r>
          <w:r w:rsidRPr="003D16D1">
            <w:rPr>
              <w:rFonts w:ascii="Calibri" w:eastAsia="Calibri" w:hAnsi="Calibri" w:cs="Calibri"/>
              <w:color w:val="4F81BD"/>
              <w:lang w:val="pl-PL"/>
            </w:rPr>
            <w:t xml:space="preserve">Rentowność finansowa projektu            </w:t>
          </w:r>
        </w:p>
        <w:p w14:paraId="243E97D6" w14:textId="069DEDA1" w:rsidR="00343533" w:rsidRPr="00343533" w:rsidRDefault="00343533">
          <w:pPr>
            <w:pStyle w:val="Spistreci2"/>
            <w:rPr>
              <w:rFonts w:asciiTheme="minorHAnsi" w:eastAsiaTheme="minorEastAsia" w:hAnsiTheme="minorHAnsi" w:cstheme="minorBidi"/>
              <w:snapToGrid/>
              <w:color w:val="auto"/>
              <w:szCs w:val="22"/>
              <w:lang w:val="pl-PL" w:eastAsia="en-GB"/>
            </w:rPr>
          </w:pPr>
          <w:r w:rsidRPr="003D16D1">
            <w:rPr>
              <w:rFonts w:ascii="Calibri" w:eastAsia="Calibri" w:hAnsi="Calibri" w:cs="Calibri"/>
              <w:i/>
              <w:color w:val="4F81BD"/>
              <w:lang w:val="pl-PL"/>
            </w:rPr>
            <w:t>3.4   Project financial profitability</w:t>
          </w:r>
          <w:r w:rsidRPr="00343533">
            <w:rPr>
              <w:lang w:val="pl-PL"/>
            </w:rPr>
            <w:tab/>
          </w:r>
          <w:r>
            <w:fldChar w:fldCharType="begin"/>
          </w:r>
          <w:r w:rsidRPr="00343533">
            <w:rPr>
              <w:lang w:val="pl-PL"/>
            </w:rPr>
            <w:instrText xml:space="preserve"> PAGEREF _Toc95378005 \h </w:instrText>
          </w:r>
          <w:r>
            <w:fldChar w:fldCharType="separate"/>
          </w:r>
          <w:r w:rsidRPr="00343533">
            <w:rPr>
              <w:lang w:val="pl-PL"/>
            </w:rPr>
            <w:t>89</w:t>
          </w:r>
          <w:r>
            <w:fldChar w:fldCharType="end"/>
          </w:r>
        </w:p>
        <w:p w14:paraId="08652FAF" w14:textId="77777777" w:rsidR="007308A9" w:rsidRDefault="00343533">
          <w:pPr>
            <w:pStyle w:val="Spistreci2"/>
            <w:rPr>
              <w:rFonts w:ascii="Calibri" w:eastAsia="Calibri" w:hAnsi="Calibri" w:cs="Calibri"/>
              <w:color w:val="4F81BD"/>
              <w:lang w:val="pl-PL"/>
            </w:rPr>
          </w:pPr>
          <w:r w:rsidRPr="003D16D1">
            <w:rPr>
              <w:rFonts w:ascii="Calibri" w:eastAsia="Calibri" w:hAnsi="Calibri" w:cs="Calibri"/>
              <w:color w:val="4F81BD"/>
              <w:lang w:val="pl-PL"/>
            </w:rPr>
            <w:t>3.5</w:t>
          </w:r>
          <w:r w:rsidRPr="00343533">
            <w:rPr>
              <w:rFonts w:asciiTheme="minorHAnsi" w:eastAsiaTheme="minorEastAsia" w:hAnsiTheme="minorHAnsi" w:cstheme="minorBidi"/>
              <w:snapToGrid/>
              <w:color w:val="auto"/>
              <w:szCs w:val="22"/>
              <w:lang w:val="pl-PL" w:eastAsia="en-GB"/>
            </w:rPr>
            <w:tab/>
          </w:r>
          <w:r w:rsidRPr="003D16D1">
            <w:rPr>
              <w:rFonts w:ascii="Calibri" w:eastAsia="Calibri" w:hAnsi="Calibri" w:cs="Calibri"/>
              <w:color w:val="4F81BD"/>
              <w:lang w:val="pl-PL"/>
            </w:rPr>
            <w:t xml:space="preserve">Trwałość finansowa i trwałość funkcjonalna projektu       </w:t>
          </w:r>
        </w:p>
        <w:p w14:paraId="1053B2A7" w14:textId="43C219D1" w:rsidR="00343533" w:rsidRPr="007308A9" w:rsidRDefault="00343533">
          <w:pPr>
            <w:pStyle w:val="Spistreci2"/>
            <w:rPr>
              <w:rFonts w:asciiTheme="minorHAnsi" w:eastAsiaTheme="minorEastAsia" w:hAnsiTheme="minorHAnsi" w:cstheme="minorBidi"/>
              <w:snapToGrid/>
              <w:color w:val="auto"/>
              <w:szCs w:val="22"/>
              <w:lang w:val="en-GB" w:eastAsia="en-GB"/>
            </w:rPr>
          </w:pPr>
          <w:r w:rsidRPr="007308A9">
            <w:rPr>
              <w:rFonts w:ascii="Calibri" w:eastAsia="Calibri" w:hAnsi="Calibri" w:cs="Calibri"/>
              <w:i/>
              <w:color w:val="4F81BD"/>
              <w:lang w:val="en-GB"/>
            </w:rPr>
            <w:t>3.5</w:t>
          </w:r>
          <w:r w:rsidRPr="007308A9">
            <w:rPr>
              <w:rFonts w:ascii="Calibri" w:eastAsia="Calibri" w:hAnsi="Calibri" w:cs="Calibri"/>
              <w:color w:val="4F81BD"/>
              <w:lang w:val="en-GB"/>
            </w:rPr>
            <w:t xml:space="preserve">   </w:t>
          </w:r>
          <w:r w:rsidRPr="007308A9">
            <w:rPr>
              <w:rFonts w:ascii="Calibri" w:eastAsia="Calibri" w:hAnsi="Calibri" w:cs="Calibri"/>
              <w:i/>
              <w:color w:val="4F81BD"/>
              <w:lang w:val="en-GB"/>
            </w:rPr>
            <w:t>Financial and functional sustainability of the project</w:t>
          </w:r>
          <w:r w:rsidRPr="007308A9">
            <w:rPr>
              <w:lang w:val="en-GB"/>
            </w:rPr>
            <w:tab/>
          </w:r>
          <w:r>
            <w:fldChar w:fldCharType="begin"/>
          </w:r>
          <w:r w:rsidRPr="007308A9">
            <w:rPr>
              <w:lang w:val="en-GB"/>
            </w:rPr>
            <w:instrText xml:space="preserve"> PAGEREF _Toc95378006 \h </w:instrText>
          </w:r>
          <w:r>
            <w:fldChar w:fldCharType="separate"/>
          </w:r>
          <w:r w:rsidRPr="007308A9">
            <w:rPr>
              <w:lang w:val="en-GB"/>
            </w:rPr>
            <w:t>92</w:t>
          </w:r>
          <w:r>
            <w:fldChar w:fldCharType="end"/>
          </w:r>
        </w:p>
        <w:p w14:paraId="4FF0DED4" w14:textId="77777777" w:rsidR="007308A9" w:rsidRDefault="00343533">
          <w:pPr>
            <w:pStyle w:val="Spistreci1"/>
            <w:rPr>
              <w:rFonts w:ascii="Calibri" w:eastAsia="Calibri" w:hAnsi="Calibri" w:cs="Calibri"/>
              <w:color w:val="0070C0"/>
              <w:lang w:val="pl-PL"/>
            </w:rPr>
          </w:pPr>
          <w:r w:rsidRPr="003D16D1">
            <w:rPr>
              <w:rFonts w:ascii="Calibri" w:eastAsia="Calibri" w:hAnsi="Calibri" w:cs="Calibri"/>
              <w:i/>
              <w:color w:val="0070C0"/>
              <w:lang w:val="pl-PL"/>
            </w:rPr>
            <w:t>4.</w:t>
          </w:r>
          <w:r w:rsidRPr="00343533">
            <w:rPr>
              <w:rFonts w:asciiTheme="minorHAnsi" w:eastAsiaTheme="minorEastAsia" w:hAnsiTheme="minorHAnsi" w:cstheme="minorBidi"/>
              <w:snapToGrid/>
              <w:color w:val="auto"/>
              <w:sz w:val="22"/>
              <w:szCs w:val="22"/>
              <w:lang w:val="pl-PL" w:eastAsia="en-GB"/>
            </w:rPr>
            <w:tab/>
          </w:r>
          <w:r w:rsidRPr="003D16D1">
            <w:rPr>
              <w:rFonts w:ascii="Calibri" w:eastAsia="Calibri" w:hAnsi="Calibri" w:cs="Calibri"/>
              <w:color w:val="0070C0"/>
              <w:lang w:val="pl-PL"/>
            </w:rPr>
            <w:t xml:space="preserve">Faza IV: Ocena ryzyk projektu </w:t>
          </w:r>
        </w:p>
        <w:p w14:paraId="75F97633" w14:textId="06F068CB" w:rsidR="00343533" w:rsidRPr="00374F74" w:rsidRDefault="00343533">
          <w:pPr>
            <w:pStyle w:val="Spistreci1"/>
            <w:rPr>
              <w:rFonts w:asciiTheme="minorHAnsi" w:eastAsiaTheme="minorEastAsia" w:hAnsiTheme="minorHAnsi" w:cstheme="minorBidi"/>
              <w:snapToGrid/>
              <w:color w:val="auto"/>
              <w:sz w:val="22"/>
              <w:szCs w:val="22"/>
              <w:lang w:val="pl-PL" w:eastAsia="en-GB"/>
            </w:rPr>
          </w:pPr>
          <w:r w:rsidRPr="00374F74">
            <w:rPr>
              <w:rFonts w:ascii="Calibri" w:eastAsia="Calibri" w:hAnsi="Calibri" w:cs="Calibri"/>
              <w:i/>
              <w:color w:val="0070C0"/>
              <w:lang w:val="pl-PL"/>
            </w:rPr>
            <w:t>Phase IV: Project risk assessment</w:t>
          </w:r>
          <w:r w:rsidRPr="00374F74">
            <w:rPr>
              <w:lang w:val="pl-PL"/>
            </w:rPr>
            <w:tab/>
          </w:r>
          <w:r>
            <w:fldChar w:fldCharType="begin"/>
          </w:r>
          <w:r w:rsidRPr="00374F74">
            <w:rPr>
              <w:lang w:val="pl-PL"/>
            </w:rPr>
            <w:instrText xml:space="preserve"> PAGEREF _Toc95378007 \h </w:instrText>
          </w:r>
          <w:r>
            <w:fldChar w:fldCharType="separate"/>
          </w:r>
          <w:r w:rsidRPr="00374F74">
            <w:rPr>
              <w:lang w:val="pl-PL"/>
            </w:rPr>
            <w:t>96</w:t>
          </w:r>
          <w:r>
            <w:fldChar w:fldCharType="end"/>
          </w:r>
        </w:p>
        <w:p w14:paraId="17A8E892" w14:textId="77777777" w:rsidR="007308A9" w:rsidRDefault="00343533">
          <w:pPr>
            <w:pStyle w:val="Spistreci2"/>
            <w:rPr>
              <w:rFonts w:ascii="Calibri" w:eastAsia="Calibri" w:hAnsi="Calibri" w:cs="Calibri"/>
              <w:color w:val="4F81BD"/>
              <w:lang w:val="pl-PL"/>
            </w:rPr>
          </w:pPr>
          <w:r w:rsidRPr="00343533">
            <w:rPr>
              <w:rFonts w:ascii="Calibri" w:eastAsia="Calibri" w:hAnsi="Calibri" w:cs="Calibri"/>
              <w:color w:val="4F81BD"/>
              <w:lang w:val="pl-PL"/>
            </w:rPr>
            <w:t>4.1</w:t>
          </w:r>
          <w:r w:rsidRPr="00343533">
            <w:rPr>
              <w:rFonts w:asciiTheme="minorHAnsi" w:eastAsiaTheme="minorEastAsia" w:hAnsiTheme="minorHAnsi" w:cstheme="minorBidi"/>
              <w:snapToGrid/>
              <w:color w:val="auto"/>
              <w:szCs w:val="22"/>
              <w:lang w:val="pl-PL" w:eastAsia="en-GB"/>
            </w:rPr>
            <w:tab/>
          </w:r>
          <w:r w:rsidRPr="00343533">
            <w:rPr>
              <w:rFonts w:ascii="Calibri" w:eastAsia="Calibri" w:hAnsi="Calibri" w:cs="Calibri"/>
              <w:color w:val="4F81BD"/>
              <w:lang w:val="pl-PL"/>
            </w:rPr>
            <w:t xml:space="preserve">Analiza wrażliwości                                                         </w:t>
          </w:r>
        </w:p>
        <w:p w14:paraId="7E3871F1" w14:textId="27197BA3" w:rsidR="00343533" w:rsidRPr="00343533" w:rsidRDefault="00343533">
          <w:pPr>
            <w:pStyle w:val="Spistreci2"/>
            <w:rPr>
              <w:rFonts w:asciiTheme="minorHAnsi" w:eastAsiaTheme="minorEastAsia" w:hAnsiTheme="minorHAnsi" w:cstheme="minorBidi"/>
              <w:snapToGrid/>
              <w:color w:val="auto"/>
              <w:szCs w:val="22"/>
              <w:lang w:val="pl-PL" w:eastAsia="en-GB"/>
            </w:rPr>
          </w:pPr>
          <w:r w:rsidRPr="00343533">
            <w:rPr>
              <w:rFonts w:ascii="Calibri" w:eastAsia="Calibri" w:hAnsi="Calibri" w:cs="Calibri"/>
              <w:i/>
              <w:color w:val="4F81BD"/>
              <w:lang w:val="pl-PL"/>
            </w:rPr>
            <w:t>4.1</w:t>
          </w:r>
          <w:r w:rsidRPr="00343533">
            <w:rPr>
              <w:rFonts w:ascii="Calibri" w:eastAsia="Calibri" w:hAnsi="Calibri" w:cs="Calibri"/>
              <w:color w:val="4F81BD"/>
              <w:lang w:val="pl-PL"/>
            </w:rPr>
            <w:t xml:space="preserve">   Sensitivity</w:t>
          </w:r>
          <w:r w:rsidRPr="00343533">
            <w:rPr>
              <w:rFonts w:ascii="Calibri" w:eastAsia="Calibri" w:hAnsi="Calibri" w:cs="Calibri"/>
              <w:i/>
              <w:color w:val="4F81BD"/>
              <w:lang w:val="pl-PL"/>
            </w:rPr>
            <w:t xml:space="preserve"> analysis</w:t>
          </w:r>
          <w:r w:rsidRPr="00343533">
            <w:rPr>
              <w:lang w:val="pl-PL"/>
            </w:rPr>
            <w:tab/>
          </w:r>
          <w:r>
            <w:fldChar w:fldCharType="begin"/>
          </w:r>
          <w:r w:rsidRPr="00343533">
            <w:rPr>
              <w:lang w:val="pl-PL"/>
            </w:rPr>
            <w:instrText xml:space="preserve"> PAGEREF _Toc95378008 \h </w:instrText>
          </w:r>
          <w:r>
            <w:fldChar w:fldCharType="separate"/>
          </w:r>
          <w:r w:rsidRPr="00343533">
            <w:rPr>
              <w:lang w:val="pl-PL"/>
            </w:rPr>
            <w:t>97</w:t>
          </w:r>
          <w:r>
            <w:fldChar w:fldCharType="end"/>
          </w:r>
        </w:p>
        <w:p w14:paraId="1499E021" w14:textId="77777777" w:rsidR="003365B1" w:rsidRDefault="00343533">
          <w:pPr>
            <w:pStyle w:val="Spistreci2"/>
            <w:rPr>
              <w:rFonts w:ascii="Calibri" w:eastAsia="Calibri" w:hAnsi="Calibri" w:cs="Calibri"/>
              <w:color w:val="4F81BD"/>
              <w:lang w:val="pl-PL"/>
            </w:rPr>
          </w:pPr>
          <w:r w:rsidRPr="00343533">
            <w:rPr>
              <w:rFonts w:ascii="Calibri" w:eastAsia="Calibri" w:hAnsi="Calibri" w:cs="Calibri"/>
              <w:color w:val="4F81BD"/>
              <w:lang w:val="pl-PL"/>
            </w:rPr>
            <w:t>4.2</w:t>
          </w:r>
          <w:r w:rsidRPr="00343533">
            <w:rPr>
              <w:rFonts w:asciiTheme="minorHAnsi" w:eastAsiaTheme="minorEastAsia" w:hAnsiTheme="minorHAnsi" w:cstheme="minorBidi"/>
              <w:snapToGrid/>
              <w:color w:val="auto"/>
              <w:szCs w:val="22"/>
              <w:lang w:val="pl-PL" w:eastAsia="en-GB"/>
            </w:rPr>
            <w:tab/>
          </w:r>
          <w:r w:rsidRPr="00343533">
            <w:rPr>
              <w:rFonts w:ascii="Calibri" w:eastAsia="Calibri" w:hAnsi="Calibri" w:cs="Calibri"/>
              <w:color w:val="4F81BD"/>
              <w:lang w:val="pl-PL"/>
            </w:rPr>
            <w:t xml:space="preserve">Analiza ryzyka               </w:t>
          </w:r>
        </w:p>
        <w:p w14:paraId="56782EA6" w14:textId="51F45051" w:rsidR="00343533" w:rsidRPr="00343533" w:rsidRDefault="00343533">
          <w:pPr>
            <w:pStyle w:val="Spistreci2"/>
            <w:rPr>
              <w:rFonts w:asciiTheme="minorHAnsi" w:eastAsiaTheme="minorEastAsia" w:hAnsiTheme="minorHAnsi" w:cstheme="minorBidi"/>
              <w:snapToGrid/>
              <w:color w:val="auto"/>
              <w:szCs w:val="22"/>
              <w:lang w:val="pl-PL" w:eastAsia="en-GB"/>
            </w:rPr>
          </w:pPr>
          <w:r w:rsidRPr="00343533">
            <w:rPr>
              <w:rFonts w:ascii="Calibri" w:eastAsia="Calibri" w:hAnsi="Calibri" w:cs="Calibri"/>
              <w:i/>
              <w:color w:val="4F81BD"/>
              <w:lang w:val="pl-PL"/>
            </w:rPr>
            <w:t>4.2</w:t>
          </w:r>
          <w:r w:rsidRPr="00343533">
            <w:rPr>
              <w:rFonts w:ascii="Calibri" w:eastAsia="Calibri" w:hAnsi="Calibri" w:cs="Calibri"/>
              <w:color w:val="4F81BD"/>
              <w:lang w:val="pl-PL"/>
            </w:rPr>
            <w:t xml:space="preserve"> </w:t>
          </w:r>
          <w:r w:rsidR="003365B1">
            <w:rPr>
              <w:rFonts w:ascii="Calibri" w:eastAsia="Calibri" w:hAnsi="Calibri" w:cs="Calibri"/>
              <w:color w:val="4F81BD"/>
              <w:lang w:val="pl-PL"/>
            </w:rPr>
            <w:t xml:space="preserve"> </w:t>
          </w:r>
          <w:r w:rsidRPr="00343533">
            <w:rPr>
              <w:rFonts w:ascii="Calibri" w:eastAsia="Calibri" w:hAnsi="Calibri" w:cs="Calibri"/>
              <w:i/>
              <w:color w:val="4F81BD"/>
              <w:lang w:val="pl-PL"/>
            </w:rPr>
            <w:t>Risk analysis</w:t>
          </w:r>
          <w:r w:rsidRPr="00343533">
            <w:rPr>
              <w:lang w:val="pl-PL"/>
            </w:rPr>
            <w:tab/>
          </w:r>
          <w:r>
            <w:fldChar w:fldCharType="begin"/>
          </w:r>
          <w:r w:rsidRPr="00343533">
            <w:rPr>
              <w:lang w:val="pl-PL"/>
            </w:rPr>
            <w:instrText xml:space="preserve"> PAGEREF _Toc95378009 \h </w:instrText>
          </w:r>
          <w:r>
            <w:fldChar w:fldCharType="separate"/>
          </w:r>
          <w:r w:rsidRPr="00343533">
            <w:rPr>
              <w:lang w:val="pl-PL"/>
            </w:rPr>
            <w:t>99</w:t>
          </w:r>
          <w:r>
            <w:fldChar w:fldCharType="end"/>
          </w:r>
        </w:p>
        <w:p w14:paraId="30406E1F" w14:textId="77777777" w:rsidR="007308A9" w:rsidRDefault="00343533">
          <w:pPr>
            <w:pStyle w:val="Spistreci2"/>
            <w:rPr>
              <w:rFonts w:ascii="Calibri" w:eastAsia="Calibri" w:hAnsi="Calibri" w:cs="Calibri"/>
              <w:color w:val="4F81BD"/>
              <w:lang w:val="pl-PL"/>
            </w:rPr>
          </w:pPr>
          <w:r w:rsidRPr="003D16D1">
            <w:rPr>
              <w:rFonts w:ascii="Calibri" w:eastAsia="Calibri" w:hAnsi="Calibri" w:cs="Calibri"/>
              <w:color w:val="4F81BD"/>
              <w:lang w:val="pl-PL"/>
            </w:rPr>
            <w:t>4.3</w:t>
          </w:r>
          <w:r w:rsidRPr="00343533">
            <w:rPr>
              <w:rFonts w:asciiTheme="minorHAnsi" w:eastAsiaTheme="minorEastAsia" w:hAnsiTheme="minorHAnsi" w:cstheme="minorBidi"/>
              <w:snapToGrid/>
              <w:color w:val="auto"/>
              <w:szCs w:val="22"/>
              <w:lang w:val="pl-PL" w:eastAsia="en-GB"/>
            </w:rPr>
            <w:tab/>
          </w:r>
          <w:r w:rsidRPr="003D16D1">
            <w:rPr>
              <w:rFonts w:ascii="Calibri" w:eastAsia="Calibri" w:hAnsi="Calibri" w:cs="Calibri"/>
              <w:color w:val="4F81BD"/>
              <w:lang w:val="pl-PL"/>
            </w:rPr>
            <w:t xml:space="preserve">Przedstawienie wyników oceny ryzyka          </w:t>
          </w:r>
        </w:p>
        <w:p w14:paraId="5BA27922" w14:textId="6C9BCE26" w:rsidR="00343533" w:rsidRPr="00343533" w:rsidRDefault="00343533">
          <w:pPr>
            <w:pStyle w:val="Spistreci2"/>
            <w:rPr>
              <w:rFonts w:asciiTheme="minorHAnsi" w:eastAsiaTheme="minorEastAsia" w:hAnsiTheme="minorHAnsi" w:cstheme="minorBidi"/>
              <w:snapToGrid/>
              <w:color w:val="auto"/>
              <w:szCs w:val="22"/>
              <w:lang w:val="pl-PL" w:eastAsia="en-GB"/>
            </w:rPr>
          </w:pPr>
          <w:r w:rsidRPr="003D16D1">
            <w:rPr>
              <w:rFonts w:ascii="Calibri" w:eastAsia="Calibri" w:hAnsi="Calibri" w:cs="Calibri"/>
              <w:i/>
              <w:color w:val="4F81BD"/>
              <w:lang w:val="pl-PL"/>
            </w:rPr>
            <w:t>4.3</w:t>
          </w:r>
          <w:r w:rsidRPr="003D16D1">
            <w:rPr>
              <w:rFonts w:ascii="Calibri" w:eastAsia="Calibri" w:hAnsi="Calibri" w:cs="Calibri"/>
              <w:color w:val="4F81BD"/>
              <w:lang w:val="pl-PL"/>
            </w:rPr>
            <w:t xml:space="preserve">   </w:t>
          </w:r>
          <w:r w:rsidRPr="003D16D1">
            <w:rPr>
              <w:rFonts w:ascii="Calibri" w:eastAsia="Calibri" w:hAnsi="Calibri" w:cs="Calibri"/>
              <w:i/>
              <w:color w:val="4F81BD"/>
              <w:lang w:val="pl-PL"/>
            </w:rPr>
            <w:t>Risk assessment output presentation</w:t>
          </w:r>
          <w:r w:rsidRPr="00343533">
            <w:rPr>
              <w:lang w:val="pl-PL"/>
            </w:rPr>
            <w:tab/>
          </w:r>
          <w:r>
            <w:fldChar w:fldCharType="begin"/>
          </w:r>
          <w:r w:rsidRPr="00343533">
            <w:rPr>
              <w:lang w:val="pl-PL"/>
            </w:rPr>
            <w:instrText xml:space="preserve"> PAGEREF _Toc95378010 \h </w:instrText>
          </w:r>
          <w:r>
            <w:fldChar w:fldCharType="separate"/>
          </w:r>
          <w:r w:rsidRPr="00343533">
            <w:rPr>
              <w:lang w:val="pl-PL"/>
            </w:rPr>
            <w:t>106</w:t>
          </w:r>
          <w:r>
            <w:fldChar w:fldCharType="end"/>
          </w:r>
        </w:p>
        <w:p w14:paraId="7F6D7223" w14:textId="77777777" w:rsidR="007308A9" w:rsidRDefault="00343533">
          <w:pPr>
            <w:pStyle w:val="Spistreci1"/>
            <w:rPr>
              <w:rFonts w:ascii="Calibri" w:eastAsia="Calibri" w:hAnsi="Calibri" w:cs="Calibri"/>
              <w:color w:val="0070C0"/>
              <w:lang w:val="pl-PL"/>
            </w:rPr>
          </w:pPr>
          <w:r w:rsidRPr="003D16D1">
            <w:rPr>
              <w:rFonts w:ascii="Calibri" w:eastAsia="Calibri" w:hAnsi="Calibri" w:cs="Calibri"/>
              <w:color w:val="0070C0"/>
              <w:lang w:val="pl-PL"/>
            </w:rPr>
            <w:t>5.</w:t>
          </w:r>
          <w:r w:rsidRPr="00343533">
            <w:rPr>
              <w:rFonts w:asciiTheme="minorHAnsi" w:eastAsiaTheme="minorEastAsia" w:hAnsiTheme="minorHAnsi" w:cstheme="minorBidi"/>
              <w:snapToGrid/>
              <w:color w:val="auto"/>
              <w:sz w:val="22"/>
              <w:szCs w:val="22"/>
              <w:lang w:val="pl-PL" w:eastAsia="en-GB"/>
            </w:rPr>
            <w:tab/>
          </w:r>
          <w:r w:rsidRPr="003D16D1">
            <w:rPr>
              <w:rFonts w:ascii="Calibri" w:eastAsia="Calibri" w:hAnsi="Calibri" w:cs="Calibri"/>
              <w:color w:val="0070C0"/>
              <w:lang w:val="pl-PL"/>
            </w:rPr>
            <w:t xml:space="preserve">Wpływ na zatrudnienie </w:t>
          </w:r>
        </w:p>
        <w:p w14:paraId="030DFD99" w14:textId="5E766780" w:rsidR="00343533" w:rsidRPr="00343533" w:rsidRDefault="00343533">
          <w:pPr>
            <w:pStyle w:val="Spistreci1"/>
            <w:rPr>
              <w:rFonts w:asciiTheme="minorHAnsi" w:eastAsiaTheme="minorEastAsia" w:hAnsiTheme="minorHAnsi" w:cstheme="minorBidi"/>
              <w:snapToGrid/>
              <w:color w:val="auto"/>
              <w:sz w:val="22"/>
              <w:szCs w:val="22"/>
              <w:lang w:val="pl-PL" w:eastAsia="en-GB"/>
            </w:rPr>
          </w:pPr>
          <w:r w:rsidRPr="003D16D1">
            <w:rPr>
              <w:rFonts w:ascii="Calibri" w:eastAsia="Calibri" w:hAnsi="Calibri" w:cs="Calibri"/>
              <w:i/>
              <w:color w:val="0070C0"/>
              <w:lang w:val="pl-PL"/>
            </w:rPr>
            <w:t>Impact on employment</w:t>
          </w:r>
          <w:r w:rsidRPr="00343533">
            <w:rPr>
              <w:lang w:val="pl-PL"/>
            </w:rPr>
            <w:tab/>
          </w:r>
          <w:r>
            <w:fldChar w:fldCharType="begin"/>
          </w:r>
          <w:r w:rsidRPr="00343533">
            <w:rPr>
              <w:lang w:val="pl-PL"/>
            </w:rPr>
            <w:instrText xml:space="preserve"> PAGEREF _Toc95378011 \h </w:instrText>
          </w:r>
          <w:r>
            <w:fldChar w:fldCharType="separate"/>
          </w:r>
          <w:r w:rsidRPr="00343533">
            <w:rPr>
              <w:lang w:val="pl-PL"/>
            </w:rPr>
            <w:t>109</w:t>
          </w:r>
          <w:r>
            <w:fldChar w:fldCharType="end"/>
          </w:r>
        </w:p>
        <w:p w14:paraId="76FEA9C4" w14:textId="77777777" w:rsidR="007308A9" w:rsidRDefault="00343533">
          <w:pPr>
            <w:pStyle w:val="Spistreci2"/>
            <w:rPr>
              <w:rFonts w:ascii="Calibri" w:eastAsia="Calibri" w:hAnsi="Calibri" w:cs="Calibri"/>
              <w:color w:val="4F81BD"/>
              <w:lang w:val="pl-PL"/>
            </w:rPr>
          </w:pPr>
          <w:r w:rsidRPr="003D16D1">
            <w:rPr>
              <w:rFonts w:ascii="Calibri" w:eastAsia="Calibri" w:hAnsi="Calibri" w:cs="Calibri"/>
              <w:color w:val="4F81BD"/>
              <w:lang w:val="pl-PL"/>
            </w:rPr>
            <w:t>5.1</w:t>
          </w:r>
          <w:r w:rsidRPr="00343533">
            <w:rPr>
              <w:rFonts w:asciiTheme="minorHAnsi" w:eastAsiaTheme="minorEastAsia" w:hAnsiTheme="minorHAnsi" w:cstheme="minorBidi"/>
              <w:snapToGrid/>
              <w:color w:val="auto"/>
              <w:szCs w:val="22"/>
              <w:lang w:val="pl-PL" w:eastAsia="en-GB"/>
            </w:rPr>
            <w:tab/>
          </w:r>
          <w:r w:rsidRPr="003D16D1">
            <w:rPr>
              <w:rFonts w:ascii="Calibri" w:eastAsia="Calibri" w:hAnsi="Calibri" w:cs="Calibri"/>
              <w:color w:val="4F81BD"/>
              <w:lang w:val="pl-PL"/>
            </w:rPr>
            <w:t xml:space="preserve">Miejsca pracy utworzone na etapie realizacji         </w:t>
          </w:r>
        </w:p>
        <w:p w14:paraId="4AC68DCE" w14:textId="671DA2E2" w:rsidR="00343533" w:rsidRPr="007308A9" w:rsidRDefault="00343533">
          <w:pPr>
            <w:pStyle w:val="Spistreci2"/>
            <w:rPr>
              <w:rFonts w:asciiTheme="minorHAnsi" w:eastAsiaTheme="minorEastAsia" w:hAnsiTheme="minorHAnsi" w:cstheme="minorBidi"/>
              <w:snapToGrid/>
              <w:color w:val="auto"/>
              <w:szCs w:val="22"/>
              <w:lang w:val="en-GB" w:eastAsia="en-GB"/>
            </w:rPr>
          </w:pPr>
          <w:r w:rsidRPr="007308A9">
            <w:rPr>
              <w:rFonts w:ascii="Calibri" w:eastAsia="Calibri" w:hAnsi="Calibri" w:cs="Calibri"/>
              <w:i/>
              <w:color w:val="4F81BD"/>
              <w:lang w:val="en-GB"/>
            </w:rPr>
            <w:t>5.1   Jobs created during implementation stage</w:t>
          </w:r>
          <w:r w:rsidRPr="007308A9">
            <w:rPr>
              <w:lang w:val="en-GB"/>
            </w:rPr>
            <w:tab/>
          </w:r>
          <w:r>
            <w:fldChar w:fldCharType="begin"/>
          </w:r>
          <w:r w:rsidRPr="007308A9">
            <w:rPr>
              <w:lang w:val="en-GB"/>
            </w:rPr>
            <w:instrText xml:space="preserve"> PAGEREF _Toc95378012 \h </w:instrText>
          </w:r>
          <w:r>
            <w:fldChar w:fldCharType="separate"/>
          </w:r>
          <w:r w:rsidRPr="007308A9">
            <w:rPr>
              <w:lang w:val="en-GB"/>
            </w:rPr>
            <w:t>109</w:t>
          </w:r>
          <w:r>
            <w:fldChar w:fldCharType="end"/>
          </w:r>
        </w:p>
        <w:p w14:paraId="31B9D1FA" w14:textId="77777777" w:rsidR="007308A9" w:rsidRDefault="00343533">
          <w:pPr>
            <w:pStyle w:val="Spistreci2"/>
            <w:rPr>
              <w:rFonts w:ascii="Calibri" w:eastAsia="Calibri" w:hAnsi="Calibri" w:cs="Calibri"/>
              <w:color w:val="4F81BD"/>
              <w:lang w:val="pl-PL"/>
            </w:rPr>
          </w:pPr>
          <w:r w:rsidRPr="003D16D1">
            <w:rPr>
              <w:rFonts w:ascii="Calibri" w:eastAsia="Calibri" w:hAnsi="Calibri" w:cs="Calibri"/>
              <w:color w:val="4F81BD"/>
              <w:lang w:val="pl-PL"/>
            </w:rPr>
            <w:t>5.2</w:t>
          </w:r>
          <w:r w:rsidRPr="00343533">
            <w:rPr>
              <w:rFonts w:asciiTheme="minorHAnsi" w:eastAsiaTheme="minorEastAsia" w:hAnsiTheme="minorHAnsi" w:cstheme="minorBidi"/>
              <w:snapToGrid/>
              <w:color w:val="auto"/>
              <w:szCs w:val="22"/>
              <w:lang w:val="pl-PL" w:eastAsia="en-GB"/>
            </w:rPr>
            <w:tab/>
          </w:r>
          <w:r w:rsidRPr="003D16D1">
            <w:rPr>
              <w:rFonts w:ascii="Calibri" w:eastAsia="Calibri" w:hAnsi="Calibri" w:cs="Calibri"/>
              <w:color w:val="4F81BD"/>
              <w:lang w:val="pl-PL"/>
            </w:rPr>
            <w:t xml:space="preserve">Miejsca pracy utworzone (lub zlikwidowane) na etapie eksploatacji </w:t>
          </w:r>
        </w:p>
        <w:p w14:paraId="3E3AECA8" w14:textId="6A64A278" w:rsidR="00343533" w:rsidRPr="007308A9" w:rsidRDefault="00343533">
          <w:pPr>
            <w:pStyle w:val="Spistreci2"/>
            <w:rPr>
              <w:rFonts w:asciiTheme="minorHAnsi" w:eastAsiaTheme="minorEastAsia" w:hAnsiTheme="minorHAnsi" w:cstheme="minorBidi"/>
              <w:snapToGrid/>
              <w:color w:val="auto"/>
              <w:szCs w:val="22"/>
              <w:lang w:val="en-GB" w:eastAsia="en-GB"/>
            </w:rPr>
          </w:pPr>
          <w:r w:rsidRPr="007308A9">
            <w:rPr>
              <w:rFonts w:ascii="Calibri" w:eastAsia="Calibri" w:hAnsi="Calibri" w:cs="Calibri"/>
              <w:i/>
              <w:color w:val="4F81BD"/>
              <w:lang w:val="en-GB"/>
            </w:rPr>
            <w:t>5.2</w:t>
          </w:r>
          <w:r w:rsidRPr="007308A9">
            <w:rPr>
              <w:rFonts w:ascii="Calibri" w:eastAsia="Calibri" w:hAnsi="Calibri" w:cs="Calibri"/>
              <w:color w:val="4F81BD"/>
              <w:lang w:val="en-GB"/>
            </w:rPr>
            <w:t xml:space="preserve">    </w:t>
          </w:r>
          <w:r w:rsidRPr="007308A9">
            <w:rPr>
              <w:rFonts w:ascii="Calibri" w:eastAsia="Calibri" w:hAnsi="Calibri" w:cs="Calibri"/>
              <w:i/>
              <w:color w:val="4F81BD"/>
              <w:lang w:val="en-GB"/>
            </w:rPr>
            <w:t>Jobs created (or eliminated) during the operation stage</w:t>
          </w:r>
          <w:r w:rsidRPr="007308A9">
            <w:rPr>
              <w:lang w:val="en-GB"/>
            </w:rPr>
            <w:tab/>
          </w:r>
          <w:r>
            <w:fldChar w:fldCharType="begin"/>
          </w:r>
          <w:r w:rsidRPr="007308A9">
            <w:rPr>
              <w:lang w:val="en-GB"/>
            </w:rPr>
            <w:instrText xml:space="preserve"> PAGEREF _Toc95378013 \h </w:instrText>
          </w:r>
          <w:r>
            <w:fldChar w:fldCharType="separate"/>
          </w:r>
          <w:r w:rsidRPr="007308A9">
            <w:rPr>
              <w:lang w:val="en-GB"/>
            </w:rPr>
            <w:t>111</w:t>
          </w:r>
          <w:r>
            <w:fldChar w:fldCharType="end"/>
          </w:r>
        </w:p>
        <w:p w14:paraId="027C1DE2" w14:textId="4A8817BF" w:rsidR="007308A9" w:rsidRDefault="00343533">
          <w:pPr>
            <w:pStyle w:val="Spistreci1"/>
            <w:rPr>
              <w:rFonts w:ascii="Calibri" w:eastAsia="Calibri" w:hAnsi="Calibri" w:cs="Calibri"/>
              <w:color w:val="0070C0"/>
              <w:lang w:val="pl-PL"/>
            </w:rPr>
          </w:pPr>
          <w:r w:rsidRPr="00374F74">
            <w:rPr>
              <w:rFonts w:asciiTheme="minorHAnsi" w:eastAsiaTheme="minorEastAsia" w:hAnsiTheme="minorHAnsi" w:cstheme="minorBidi"/>
              <w:snapToGrid/>
              <w:color w:val="auto"/>
              <w:sz w:val="22"/>
              <w:szCs w:val="22"/>
              <w:lang w:val="en-GB" w:eastAsia="en-GB"/>
            </w:rPr>
            <w:tab/>
          </w:r>
          <w:r w:rsidRPr="003D16D1">
            <w:rPr>
              <w:rFonts w:ascii="Calibri" w:eastAsia="Calibri" w:hAnsi="Calibri" w:cs="Calibri"/>
              <w:color w:val="0070C0"/>
              <w:lang w:val="pl-PL"/>
            </w:rPr>
            <w:t xml:space="preserve">Literatura i literatura uzupełniająca                </w:t>
          </w:r>
        </w:p>
        <w:p w14:paraId="7595CB2F" w14:textId="72D8CEA2" w:rsidR="00343533" w:rsidRPr="00343533" w:rsidRDefault="00343533">
          <w:pPr>
            <w:pStyle w:val="Spistreci1"/>
            <w:rPr>
              <w:rFonts w:asciiTheme="minorHAnsi" w:eastAsiaTheme="minorEastAsia" w:hAnsiTheme="minorHAnsi" w:cstheme="minorBidi"/>
              <w:snapToGrid/>
              <w:color w:val="auto"/>
              <w:sz w:val="22"/>
              <w:szCs w:val="22"/>
              <w:lang w:val="pl-PL" w:eastAsia="en-GB"/>
            </w:rPr>
          </w:pPr>
          <w:r w:rsidRPr="003D16D1">
            <w:rPr>
              <w:rFonts w:ascii="Calibri" w:eastAsia="Calibri" w:hAnsi="Calibri" w:cs="Calibri"/>
              <w:color w:val="0070C0"/>
              <w:lang w:val="pl-PL"/>
            </w:rPr>
            <w:t xml:space="preserve"> </w:t>
          </w:r>
          <w:r w:rsidRPr="003D16D1">
            <w:rPr>
              <w:rFonts w:ascii="Calibri" w:eastAsia="Calibri" w:hAnsi="Calibri" w:cs="Calibri"/>
              <w:i/>
              <w:color w:val="0070C0"/>
              <w:lang w:val="pl-PL"/>
            </w:rPr>
            <w:t>Literature and supplementary literature</w:t>
          </w:r>
          <w:r w:rsidRPr="00343533">
            <w:rPr>
              <w:lang w:val="pl-PL"/>
            </w:rPr>
            <w:tab/>
          </w:r>
          <w:r>
            <w:fldChar w:fldCharType="begin"/>
          </w:r>
          <w:r w:rsidRPr="00343533">
            <w:rPr>
              <w:lang w:val="pl-PL"/>
            </w:rPr>
            <w:instrText xml:space="preserve"> PAGEREF _Toc95378014 \h </w:instrText>
          </w:r>
          <w:r>
            <w:fldChar w:fldCharType="separate"/>
          </w:r>
          <w:r w:rsidRPr="00343533">
            <w:rPr>
              <w:lang w:val="pl-PL"/>
            </w:rPr>
            <w:t>112</w:t>
          </w:r>
          <w:r>
            <w:fldChar w:fldCharType="end"/>
          </w:r>
        </w:p>
        <w:p w14:paraId="4D8292D3" w14:textId="77777777" w:rsidR="007308A9" w:rsidRDefault="00343533">
          <w:pPr>
            <w:pStyle w:val="Spistreci1"/>
            <w:rPr>
              <w:rFonts w:ascii="Calibri" w:eastAsia="Calibri" w:hAnsi="Calibri" w:cs="Calibri"/>
              <w:color w:val="0070C0"/>
            </w:rPr>
          </w:pPr>
          <w:r w:rsidRPr="003D16D1">
            <w:rPr>
              <w:rFonts w:ascii="Noto Sans Symbols" w:eastAsia="Noto Sans Symbols" w:hAnsi="Noto Sans Symbols" w:cs="Noto Sans Symbols"/>
              <w:color w:val="0070C0"/>
            </w:rPr>
            <w:t>▪</w:t>
          </w:r>
          <w:r>
            <w:rPr>
              <w:rFonts w:asciiTheme="minorHAnsi" w:eastAsiaTheme="minorEastAsia" w:hAnsiTheme="minorHAnsi" w:cstheme="minorBidi"/>
              <w:snapToGrid/>
              <w:color w:val="auto"/>
              <w:sz w:val="22"/>
              <w:szCs w:val="22"/>
              <w:lang w:val="en-GB" w:eastAsia="en-GB"/>
            </w:rPr>
            <w:tab/>
          </w:r>
          <w:r w:rsidRPr="003D16D1">
            <w:rPr>
              <w:rFonts w:ascii="Calibri" w:eastAsia="Calibri" w:hAnsi="Calibri" w:cs="Calibri"/>
              <w:color w:val="0070C0"/>
            </w:rPr>
            <w:t xml:space="preserve">Definicje i akronimy          </w:t>
          </w:r>
        </w:p>
        <w:p w14:paraId="0EA0C855" w14:textId="3D56FF07" w:rsidR="00343533" w:rsidRDefault="00343533">
          <w:pPr>
            <w:pStyle w:val="Spistreci1"/>
            <w:rPr>
              <w:rFonts w:asciiTheme="minorHAnsi" w:eastAsiaTheme="minorEastAsia" w:hAnsiTheme="minorHAnsi" w:cstheme="minorBidi"/>
              <w:snapToGrid/>
              <w:color w:val="auto"/>
              <w:sz w:val="22"/>
              <w:szCs w:val="22"/>
              <w:lang w:val="en-GB" w:eastAsia="en-GB"/>
            </w:rPr>
          </w:pPr>
          <w:r w:rsidRPr="003D16D1">
            <w:rPr>
              <w:rFonts w:ascii="Calibri" w:eastAsia="Calibri" w:hAnsi="Calibri" w:cs="Calibri"/>
              <w:i/>
              <w:color w:val="0070C0"/>
            </w:rPr>
            <w:t>Definitions and Acronyms</w:t>
          </w:r>
          <w:r>
            <w:tab/>
          </w:r>
          <w:r>
            <w:fldChar w:fldCharType="begin"/>
          </w:r>
          <w:r>
            <w:instrText xml:space="preserve"> PAGEREF _Toc95378015 \h </w:instrText>
          </w:r>
          <w:r>
            <w:fldChar w:fldCharType="separate"/>
          </w:r>
          <w:r>
            <w:t>116</w:t>
          </w:r>
          <w:r>
            <w:fldChar w:fldCharType="end"/>
          </w:r>
        </w:p>
        <w:p w14:paraId="1E893449" w14:textId="77777777" w:rsidR="007308A9" w:rsidRDefault="00343533">
          <w:pPr>
            <w:pStyle w:val="Spistreci1"/>
            <w:rPr>
              <w:rFonts w:ascii="Calibri" w:eastAsia="Calibri" w:hAnsi="Calibri" w:cs="Calibri"/>
              <w:color w:val="0070C0"/>
              <w:lang w:val="pl-PL"/>
            </w:rPr>
          </w:pPr>
          <w:r w:rsidRPr="003D16D1">
            <w:rPr>
              <w:rFonts w:ascii="Calibri" w:eastAsia="Calibri" w:hAnsi="Calibri" w:cs="Calibri"/>
              <w:color w:val="0070C0"/>
              <w:lang w:val="pl-PL"/>
            </w:rPr>
            <w:t xml:space="preserve">Załącznik A: Jednostkowe koszty ekonomiczne i finansowe </w:t>
          </w:r>
        </w:p>
        <w:p w14:paraId="49321AE7" w14:textId="3DDE91B9" w:rsidR="00343533" w:rsidRPr="007308A9" w:rsidRDefault="00343533">
          <w:pPr>
            <w:pStyle w:val="Spistreci1"/>
            <w:rPr>
              <w:rFonts w:asciiTheme="minorHAnsi" w:eastAsiaTheme="minorEastAsia" w:hAnsiTheme="minorHAnsi" w:cstheme="minorBidi"/>
              <w:snapToGrid/>
              <w:color w:val="auto"/>
              <w:sz w:val="22"/>
              <w:szCs w:val="22"/>
              <w:lang w:val="en-GB" w:eastAsia="en-GB"/>
            </w:rPr>
          </w:pPr>
          <w:r w:rsidRPr="007308A9">
            <w:rPr>
              <w:rFonts w:asciiTheme="minorHAnsi" w:hAnsiTheme="minorHAnsi"/>
              <w:i/>
              <w:color w:val="0070C0"/>
              <w:lang w:val="en-GB"/>
            </w:rPr>
            <w:t>Appendix A: Economic and financial unit costs</w:t>
          </w:r>
          <w:r w:rsidRPr="007308A9">
            <w:rPr>
              <w:lang w:val="en-GB"/>
            </w:rPr>
            <w:tab/>
          </w:r>
          <w:r>
            <w:fldChar w:fldCharType="begin"/>
          </w:r>
          <w:r w:rsidRPr="007308A9">
            <w:rPr>
              <w:lang w:val="en-GB"/>
            </w:rPr>
            <w:instrText xml:space="preserve"> PAGEREF _Toc95378016 \h </w:instrText>
          </w:r>
          <w:r>
            <w:fldChar w:fldCharType="separate"/>
          </w:r>
          <w:r w:rsidRPr="007308A9">
            <w:rPr>
              <w:lang w:val="en-GB"/>
            </w:rPr>
            <w:t>122</w:t>
          </w:r>
          <w:r>
            <w:fldChar w:fldCharType="end"/>
          </w:r>
        </w:p>
        <w:p w14:paraId="5D9627BF" w14:textId="77777777" w:rsidR="007308A9" w:rsidRDefault="00343533">
          <w:pPr>
            <w:pStyle w:val="Spistreci1"/>
            <w:rPr>
              <w:rFonts w:ascii="Calibri" w:eastAsia="Calibri" w:hAnsi="Calibri" w:cs="Calibri"/>
              <w:color w:val="0070C0"/>
              <w:lang w:val="pl-PL"/>
            </w:rPr>
          </w:pPr>
          <w:r w:rsidRPr="003D16D1">
            <w:rPr>
              <w:rFonts w:ascii="Noto Sans Symbols" w:eastAsia="Noto Sans Symbols" w:hAnsi="Noto Sans Symbols" w:cs="Noto Sans Symbols"/>
              <w:color w:val="0070C0"/>
              <w:lang w:val="pl-PL"/>
            </w:rPr>
            <w:t>▪</w:t>
          </w:r>
          <w:r w:rsidRPr="00343533">
            <w:rPr>
              <w:rFonts w:asciiTheme="minorHAnsi" w:eastAsiaTheme="minorEastAsia" w:hAnsiTheme="minorHAnsi" w:cstheme="minorBidi"/>
              <w:snapToGrid/>
              <w:color w:val="auto"/>
              <w:sz w:val="22"/>
              <w:szCs w:val="22"/>
              <w:lang w:val="pl-PL" w:eastAsia="en-GB"/>
            </w:rPr>
            <w:tab/>
          </w:r>
          <w:r w:rsidRPr="003D16D1">
            <w:rPr>
              <w:rFonts w:ascii="Calibri" w:eastAsia="Calibri" w:hAnsi="Calibri" w:cs="Calibri"/>
              <w:color w:val="0070C0"/>
              <w:lang w:val="pl-PL"/>
            </w:rPr>
            <w:t xml:space="preserve">Załącznik B: Prognozy ruchu                                               </w:t>
          </w:r>
        </w:p>
        <w:p w14:paraId="223EE856" w14:textId="53F0F28F" w:rsidR="00343533" w:rsidRPr="00343533" w:rsidRDefault="00343533">
          <w:pPr>
            <w:pStyle w:val="Spistreci1"/>
            <w:rPr>
              <w:rFonts w:asciiTheme="minorHAnsi" w:eastAsiaTheme="minorEastAsia" w:hAnsiTheme="minorHAnsi" w:cstheme="minorBidi"/>
              <w:snapToGrid/>
              <w:color w:val="auto"/>
              <w:sz w:val="22"/>
              <w:szCs w:val="22"/>
              <w:lang w:val="pl-PL" w:eastAsia="en-GB"/>
            </w:rPr>
          </w:pPr>
          <w:r w:rsidRPr="003D16D1">
            <w:rPr>
              <w:rFonts w:ascii="Calibri" w:eastAsia="Calibri" w:hAnsi="Calibri" w:cs="Calibri"/>
              <w:color w:val="0070C0"/>
              <w:lang w:val="pl-PL"/>
            </w:rPr>
            <w:t>Appendix B: Traffic forecasts</w:t>
          </w:r>
          <w:r w:rsidRPr="00343533">
            <w:rPr>
              <w:lang w:val="pl-PL"/>
            </w:rPr>
            <w:tab/>
          </w:r>
          <w:r>
            <w:fldChar w:fldCharType="begin"/>
          </w:r>
          <w:r w:rsidRPr="00343533">
            <w:rPr>
              <w:lang w:val="pl-PL"/>
            </w:rPr>
            <w:instrText xml:space="preserve"> PAGEREF _Toc95378017 \h </w:instrText>
          </w:r>
          <w:r>
            <w:fldChar w:fldCharType="separate"/>
          </w:r>
          <w:r w:rsidRPr="00343533">
            <w:rPr>
              <w:lang w:val="pl-PL"/>
            </w:rPr>
            <w:t>152</w:t>
          </w:r>
          <w:r>
            <w:fldChar w:fldCharType="end"/>
          </w:r>
        </w:p>
        <w:p w14:paraId="2CC1C8FF" w14:textId="77777777" w:rsidR="007308A9" w:rsidRDefault="00343533">
          <w:pPr>
            <w:pStyle w:val="Spistreci1"/>
            <w:rPr>
              <w:rFonts w:ascii="Calibri" w:eastAsia="Calibri" w:hAnsi="Calibri" w:cs="Calibri"/>
              <w:color w:val="0070C0"/>
              <w:lang w:val="pl-PL"/>
            </w:rPr>
          </w:pPr>
          <w:r w:rsidRPr="003D16D1">
            <w:rPr>
              <w:rFonts w:ascii="Noto Sans Symbols" w:eastAsia="Noto Sans Symbols" w:hAnsi="Noto Sans Symbols" w:cs="Noto Sans Symbols"/>
              <w:color w:val="0070C0"/>
              <w:lang w:val="pl-PL"/>
            </w:rPr>
            <w:t>▪</w:t>
          </w:r>
          <w:r w:rsidRPr="00343533">
            <w:rPr>
              <w:rFonts w:asciiTheme="minorHAnsi" w:eastAsiaTheme="minorEastAsia" w:hAnsiTheme="minorHAnsi" w:cstheme="minorBidi"/>
              <w:snapToGrid/>
              <w:color w:val="auto"/>
              <w:sz w:val="22"/>
              <w:szCs w:val="22"/>
              <w:lang w:val="pl-PL" w:eastAsia="en-GB"/>
            </w:rPr>
            <w:tab/>
          </w:r>
          <w:r w:rsidRPr="003D16D1">
            <w:rPr>
              <w:rFonts w:ascii="Calibri" w:eastAsia="Calibri" w:hAnsi="Calibri" w:cs="Calibri"/>
              <w:color w:val="0070C0"/>
              <w:lang w:val="pl-PL"/>
            </w:rPr>
            <w:t xml:space="preserve">Załącznik C: Podstawy metodologiczne obliczania współczynników                      </w:t>
          </w:r>
          <w:r w:rsidRPr="003D16D1">
            <w:rPr>
              <w:rFonts w:ascii="Calibri" w:eastAsia="Calibri" w:hAnsi="Calibri" w:cs="Calibri"/>
              <w:color w:val="0070C0"/>
              <w:vertAlign w:val="superscript"/>
              <w:lang w:val="pl-PL"/>
            </w:rPr>
            <w:t xml:space="preserve">  </w:t>
          </w:r>
          <w:r w:rsidRPr="003D16D1">
            <w:rPr>
              <w:rFonts w:ascii="Calibri" w:eastAsia="Calibri" w:hAnsi="Calibri" w:cs="Calibri"/>
              <w:color w:val="0070C0"/>
              <w:lang w:val="pl-PL"/>
            </w:rPr>
            <w:t xml:space="preserve">przeliczeniowych (konwersji) </w:t>
          </w:r>
        </w:p>
        <w:p w14:paraId="6263EB9B" w14:textId="1502F01A" w:rsidR="00343533" w:rsidRPr="007308A9" w:rsidRDefault="00343533">
          <w:pPr>
            <w:pStyle w:val="Spistreci1"/>
            <w:rPr>
              <w:rFonts w:asciiTheme="minorHAnsi" w:eastAsiaTheme="minorEastAsia" w:hAnsiTheme="minorHAnsi" w:cstheme="minorBidi"/>
              <w:snapToGrid/>
              <w:color w:val="auto"/>
              <w:sz w:val="22"/>
              <w:szCs w:val="22"/>
              <w:lang w:val="en-GB" w:eastAsia="en-GB"/>
            </w:rPr>
          </w:pPr>
          <w:r w:rsidRPr="007308A9">
            <w:rPr>
              <w:rFonts w:ascii="Calibri" w:eastAsia="Calibri" w:hAnsi="Calibri" w:cs="Calibri"/>
              <w:i/>
              <w:color w:val="0070C0"/>
              <w:lang w:val="en-GB"/>
            </w:rPr>
            <w:t>Appendix C: Methodological background to calculate Conversion Factors</w:t>
          </w:r>
          <w:r w:rsidRPr="007308A9">
            <w:rPr>
              <w:lang w:val="en-GB"/>
            </w:rPr>
            <w:tab/>
          </w:r>
          <w:r>
            <w:fldChar w:fldCharType="begin"/>
          </w:r>
          <w:r w:rsidRPr="007308A9">
            <w:rPr>
              <w:lang w:val="en-GB"/>
            </w:rPr>
            <w:instrText xml:space="preserve"> PAGEREF _Toc95378018 \h </w:instrText>
          </w:r>
          <w:r>
            <w:fldChar w:fldCharType="separate"/>
          </w:r>
          <w:r w:rsidRPr="007308A9">
            <w:rPr>
              <w:lang w:val="en-GB"/>
            </w:rPr>
            <w:t>170</w:t>
          </w:r>
          <w:r>
            <w:fldChar w:fldCharType="end"/>
          </w:r>
        </w:p>
        <w:p w14:paraId="57BD7258" w14:textId="77777777" w:rsidR="00573A14" w:rsidRDefault="00343533">
          <w:pPr>
            <w:pStyle w:val="Spistreci1"/>
            <w:rPr>
              <w:rFonts w:ascii="Calibri" w:eastAsia="Calibri" w:hAnsi="Calibri" w:cs="Calibri"/>
              <w:color w:val="0070C0"/>
              <w:lang w:val="pl-PL"/>
            </w:rPr>
          </w:pPr>
          <w:r w:rsidRPr="003D16D1">
            <w:rPr>
              <w:rFonts w:ascii="Noto Sans Symbols" w:eastAsia="Noto Sans Symbols" w:hAnsi="Noto Sans Symbols" w:cs="Noto Sans Symbols"/>
              <w:color w:val="0070C0"/>
              <w:lang w:val="pl-PL"/>
            </w:rPr>
            <w:t>▪</w:t>
          </w:r>
          <w:r w:rsidRPr="00343533">
            <w:rPr>
              <w:rFonts w:asciiTheme="minorHAnsi" w:eastAsiaTheme="minorEastAsia" w:hAnsiTheme="minorHAnsi" w:cstheme="minorBidi"/>
              <w:snapToGrid/>
              <w:color w:val="auto"/>
              <w:sz w:val="22"/>
              <w:szCs w:val="22"/>
              <w:lang w:val="pl-PL" w:eastAsia="en-GB"/>
            </w:rPr>
            <w:tab/>
          </w:r>
          <w:r w:rsidRPr="003D16D1">
            <w:rPr>
              <w:rFonts w:ascii="Calibri" w:eastAsia="Calibri" w:hAnsi="Calibri" w:cs="Calibri"/>
              <w:color w:val="0070C0"/>
              <w:lang w:val="pl-PL"/>
            </w:rPr>
            <w:t xml:space="preserve">Załącznik D: Podstawy metodologiczne obliczania jednostkowych </w:t>
          </w:r>
          <w:r w:rsidRPr="003D16D1">
            <w:rPr>
              <w:rFonts w:ascii="Calibri" w:eastAsia="Calibri" w:hAnsi="Calibri" w:cs="Calibri"/>
              <w:color w:val="0070C0"/>
              <w:vertAlign w:val="superscript"/>
              <w:lang w:val="pl-PL"/>
            </w:rPr>
            <w:t xml:space="preserve"> </w:t>
          </w:r>
          <w:r w:rsidRPr="003D16D1">
            <w:rPr>
              <w:rFonts w:ascii="Calibri" w:eastAsia="Calibri" w:hAnsi="Calibri" w:cs="Calibri"/>
              <w:color w:val="0070C0"/>
              <w:lang w:val="pl-PL"/>
            </w:rPr>
            <w:t xml:space="preserve">kosztów </w:t>
          </w:r>
        </w:p>
        <w:p w14:paraId="6766027F" w14:textId="7879123C" w:rsidR="007308A9" w:rsidRPr="00374F74" w:rsidRDefault="00343533">
          <w:pPr>
            <w:pStyle w:val="Spistreci1"/>
            <w:rPr>
              <w:rFonts w:ascii="Calibri" w:eastAsia="Calibri" w:hAnsi="Calibri" w:cs="Calibri"/>
              <w:color w:val="0070C0"/>
              <w:lang w:val="en-GB"/>
            </w:rPr>
          </w:pPr>
          <w:r w:rsidRPr="00374F74">
            <w:rPr>
              <w:rFonts w:ascii="Calibri" w:eastAsia="Calibri" w:hAnsi="Calibri" w:cs="Calibri"/>
              <w:color w:val="0070C0"/>
              <w:lang w:val="en-GB"/>
            </w:rPr>
            <w:t xml:space="preserve">eksploatacji pojazdów (VOC) </w:t>
          </w:r>
        </w:p>
        <w:p w14:paraId="4676350B" w14:textId="77777777" w:rsidR="007308A9" w:rsidRDefault="00343533">
          <w:pPr>
            <w:pStyle w:val="Spistreci1"/>
            <w:rPr>
              <w:rFonts w:ascii="Calibri" w:eastAsia="Calibri" w:hAnsi="Calibri" w:cs="Calibri"/>
              <w:i/>
              <w:color w:val="0070C0"/>
              <w:lang w:val="en-GB"/>
            </w:rPr>
          </w:pPr>
          <w:r w:rsidRPr="007308A9">
            <w:rPr>
              <w:rFonts w:ascii="Calibri" w:eastAsia="Calibri" w:hAnsi="Calibri" w:cs="Calibri"/>
              <w:i/>
              <w:color w:val="0070C0"/>
              <w:lang w:val="en-GB"/>
            </w:rPr>
            <w:t>Appendix D: Methodological backgr</w:t>
          </w:r>
          <w:r w:rsidR="007308A9">
            <w:rPr>
              <w:rFonts w:ascii="Calibri" w:eastAsia="Calibri" w:hAnsi="Calibri" w:cs="Calibri"/>
              <w:i/>
              <w:color w:val="0070C0"/>
              <w:lang w:val="en-GB"/>
            </w:rPr>
            <w:t xml:space="preserve">ound to calculate unit Vehicle </w:t>
          </w:r>
        </w:p>
        <w:p w14:paraId="2E527446" w14:textId="359F9725" w:rsidR="00343533" w:rsidRPr="00374F74" w:rsidRDefault="00343533">
          <w:pPr>
            <w:pStyle w:val="Spistreci1"/>
            <w:rPr>
              <w:rFonts w:asciiTheme="minorHAnsi" w:eastAsiaTheme="minorEastAsia" w:hAnsiTheme="minorHAnsi" w:cstheme="minorBidi"/>
              <w:snapToGrid/>
              <w:color w:val="auto"/>
              <w:sz w:val="22"/>
              <w:szCs w:val="22"/>
              <w:lang w:val="pl-PL" w:eastAsia="en-GB"/>
            </w:rPr>
          </w:pPr>
          <w:r w:rsidRPr="00374F74">
            <w:rPr>
              <w:rFonts w:ascii="Calibri" w:eastAsia="Calibri" w:hAnsi="Calibri" w:cs="Calibri"/>
              <w:i/>
              <w:color w:val="0070C0"/>
              <w:lang w:val="pl-PL"/>
            </w:rPr>
            <w:t>Operating Costs (VOC)</w:t>
          </w:r>
          <w:r w:rsidRPr="00374F74">
            <w:rPr>
              <w:lang w:val="pl-PL"/>
            </w:rPr>
            <w:tab/>
          </w:r>
          <w:r>
            <w:fldChar w:fldCharType="begin"/>
          </w:r>
          <w:r w:rsidRPr="00374F74">
            <w:rPr>
              <w:lang w:val="pl-PL"/>
            </w:rPr>
            <w:instrText xml:space="preserve"> PAGEREF _Toc95378019 \h </w:instrText>
          </w:r>
          <w:r>
            <w:fldChar w:fldCharType="separate"/>
          </w:r>
          <w:r w:rsidRPr="00374F74">
            <w:rPr>
              <w:lang w:val="pl-PL"/>
            </w:rPr>
            <w:t>173</w:t>
          </w:r>
          <w:r>
            <w:fldChar w:fldCharType="end"/>
          </w:r>
        </w:p>
        <w:p w14:paraId="1B63E973" w14:textId="77777777" w:rsidR="007308A9" w:rsidRDefault="00343533">
          <w:pPr>
            <w:pStyle w:val="Spistreci1"/>
            <w:rPr>
              <w:rFonts w:ascii="Calibri" w:eastAsia="Calibri" w:hAnsi="Calibri" w:cs="Calibri"/>
              <w:color w:val="0070C0"/>
              <w:lang w:val="pl-PL"/>
            </w:rPr>
          </w:pPr>
          <w:r w:rsidRPr="003D16D1">
            <w:rPr>
              <w:rFonts w:ascii="Noto Sans Symbols" w:eastAsia="Noto Sans Symbols" w:hAnsi="Noto Sans Symbols" w:cs="Noto Sans Symbols"/>
              <w:color w:val="0070C0"/>
              <w:lang w:val="pl-PL"/>
            </w:rPr>
            <w:t>▪</w:t>
          </w:r>
          <w:r w:rsidRPr="00343533">
            <w:rPr>
              <w:rFonts w:asciiTheme="minorHAnsi" w:eastAsiaTheme="minorEastAsia" w:hAnsiTheme="minorHAnsi" w:cstheme="minorBidi"/>
              <w:snapToGrid/>
              <w:color w:val="auto"/>
              <w:sz w:val="22"/>
              <w:szCs w:val="22"/>
              <w:lang w:val="pl-PL" w:eastAsia="en-GB"/>
            </w:rPr>
            <w:tab/>
          </w:r>
          <w:r w:rsidRPr="003D16D1">
            <w:rPr>
              <w:rFonts w:ascii="Calibri" w:eastAsia="Calibri" w:hAnsi="Calibri" w:cs="Calibri"/>
              <w:color w:val="0070C0"/>
              <w:lang w:val="pl-PL"/>
            </w:rPr>
            <w:t xml:space="preserve">Załącznik E: Metody obliczania kosztów wypadków drogowych </w:t>
          </w:r>
        </w:p>
        <w:p w14:paraId="04055563" w14:textId="6E48BED4" w:rsidR="008F06BF" w:rsidRDefault="00343533" w:rsidP="003365B1">
          <w:pPr>
            <w:pStyle w:val="Spistreci1"/>
          </w:pPr>
          <w:r w:rsidRPr="00DF06FA">
            <w:rPr>
              <w:rFonts w:ascii="Calibri" w:eastAsia="Calibri" w:hAnsi="Calibri" w:cs="Calibri"/>
              <w:i/>
              <w:color w:val="0070C0"/>
              <w:lang w:val="en-GB"/>
            </w:rPr>
            <w:t>Appendix E: Methods of accidents costs calculation</w:t>
          </w:r>
          <w:r w:rsidRPr="00DF06FA">
            <w:rPr>
              <w:lang w:val="en-GB"/>
            </w:rPr>
            <w:tab/>
          </w:r>
          <w:r>
            <w:fldChar w:fldCharType="begin"/>
          </w:r>
          <w:r w:rsidRPr="00DF06FA">
            <w:rPr>
              <w:lang w:val="en-GB"/>
            </w:rPr>
            <w:instrText xml:space="preserve"> PAGEREF _Toc95378020 \h </w:instrText>
          </w:r>
          <w:r>
            <w:fldChar w:fldCharType="separate"/>
          </w:r>
          <w:r w:rsidRPr="00DF06FA">
            <w:rPr>
              <w:lang w:val="en-GB"/>
            </w:rPr>
            <w:t>183</w:t>
          </w:r>
          <w:r>
            <w:fldChar w:fldCharType="end"/>
          </w:r>
          <w:r w:rsidR="008F06BF" w:rsidRPr="00D4323B">
            <w:rPr>
              <w:sz w:val="22"/>
              <w:szCs w:val="22"/>
            </w:rPr>
            <w:fldChar w:fldCharType="end"/>
          </w:r>
        </w:p>
      </w:sdtContent>
    </w:sdt>
    <w:p w14:paraId="614696EB" w14:textId="77777777" w:rsidR="00600DEE" w:rsidRPr="00374F74" w:rsidRDefault="00641FB5">
      <w:pPr>
        <w:pBdr>
          <w:top w:val="nil"/>
          <w:left w:val="nil"/>
          <w:bottom w:val="nil"/>
          <w:right w:val="nil"/>
          <w:between w:val="nil"/>
        </w:pBdr>
        <w:tabs>
          <w:tab w:val="left" w:pos="357"/>
          <w:tab w:val="right" w:pos="8222"/>
          <w:tab w:val="left" w:pos="9638"/>
        </w:tabs>
        <w:spacing w:before="120"/>
        <w:rPr>
          <w:rFonts w:ascii="Calibri" w:eastAsia="Calibri" w:hAnsi="Calibri" w:cs="Calibri"/>
          <w:b/>
          <w:color w:val="4367C5"/>
          <w:sz w:val="48"/>
          <w:szCs w:val="48"/>
          <w:lang w:val="en-GB"/>
        </w:rPr>
        <w:sectPr w:rsidR="00600DEE" w:rsidRPr="00374F74">
          <w:headerReference w:type="even" r:id="rId10"/>
          <w:headerReference w:type="default" r:id="rId11"/>
          <w:footerReference w:type="even" r:id="rId12"/>
          <w:footerReference w:type="default" r:id="rId13"/>
          <w:headerReference w:type="first" r:id="rId14"/>
          <w:footerReference w:type="first" r:id="rId15"/>
          <w:footnotePr>
            <w:numRestart w:val="eachPage"/>
          </w:footnotePr>
          <w:pgSz w:w="11906" w:h="16838"/>
          <w:pgMar w:top="1134" w:right="1134" w:bottom="1134" w:left="1134" w:header="709" w:footer="709" w:gutter="0"/>
          <w:pgNumType w:start="1"/>
          <w:cols w:space="708"/>
          <w:titlePg/>
        </w:sectPr>
      </w:pPr>
      <w:r w:rsidRPr="00374F74">
        <w:rPr>
          <w:lang w:val="en-GB"/>
        </w:rPr>
        <w:br w:type="page"/>
      </w:r>
    </w:p>
    <w:p w14:paraId="6C18AF80" w14:textId="614C5592" w:rsidR="00600DEE" w:rsidRDefault="00641FB5">
      <w:pPr>
        <w:pStyle w:val="Nagwek1"/>
        <w:rPr>
          <w:rFonts w:ascii="Calibri" w:eastAsia="Calibri" w:hAnsi="Calibri" w:cs="Calibri"/>
          <w:color w:val="0070C0"/>
        </w:rPr>
      </w:pPr>
      <w:bookmarkStart w:id="2" w:name="_Toc95377958"/>
      <w:r>
        <w:rPr>
          <w:rFonts w:ascii="Calibri" w:eastAsia="Calibri" w:hAnsi="Calibri" w:cs="Calibri"/>
          <w:color w:val="0070C0"/>
        </w:rPr>
        <w:lastRenderedPageBreak/>
        <w:t>Wprowadzenie</w:t>
      </w:r>
      <w:r>
        <w:rPr>
          <w:rFonts w:ascii="Calibri" w:eastAsia="Calibri" w:hAnsi="Calibri" w:cs="Calibri"/>
          <w:color w:val="0070C0"/>
        </w:rPr>
        <w:tab/>
      </w:r>
      <w:r>
        <w:rPr>
          <w:rFonts w:ascii="Calibri" w:eastAsia="Calibri" w:hAnsi="Calibri" w:cs="Calibri"/>
          <w:color w:val="0070C0"/>
        </w:rPr>
        <w:tab/>
      </w:r>
      <w:r>
        <w:rPr>
          <w:rFonts w:ascii="Calibri" w:eastAsia="Calibri" w:hAnsi="Calibri" w:cs="Calibri"/>
          <w:color w:val="0070C0"/>
        </w:rPr>
        <w:tab/>
      </w:r>
      <w:r>
        <w:rPr>
          <w:rFonts w:ascii="Calibri" w:eastAsia="Calibri" w:hAnsi="Calibri" w:cs="Calibri"/>
          <w:color w:val="0070C0"/>
        </w:rPr>
        <w:tab/>
      </w:r>
      <w:r>
        <w:rPr>
          <w:rFonts w:ascii="Calibri" w:eastAsia="Calibri" w:hAnsi="Calibri" w:cs="Calibri"/>
          <w:color w:val="0070C0"/>
        </w:rPr>
        <w:tab/>
      </w:r>
      <w:r>
        <w:rPr>
          <w:rFonts w:ascii="Calibri" w:eastAsia="Calibri" w:hAnsi="Calibri" w:cs="Calibri"/>
          <w:color w:val="0070C0"/>
        </w:rPr>
        <w:tab/>
        <w:t xml:space="preserve">     </w:t>
      </w:r>
      <w:r>
        <w:rPr>
          <w:rFonts w:ascii="Calibri" w:eastAsia="Calibri" w:hAnsi="Calibri" w:cs="Calibri"/>
          <w:i/>
          <w:color w:val="0070C0"/>
        </w:rPr>
        <w:t>Background</w:t>
      </w:r>
      <w:bookmarkEnd w:id="2"/>
    </w:p>
    <w:p w14:paraId="0A11C48E" w14:textId="2188394E" w:rsidR="00600DEE" w:rsidRDefault="00641FB5">
      <w:pPr>
        <w:pStyle w:val="Nagwek2"/>
        <w:rPr>
          <w:rFonts w:ascii="Calibri" w:eastAsia="Calibri" w:hAnsi="Calibri" w:cs="Calibri"/>
          <w:color w:val="4F81BD"/>
        </w:rPr>
      </w:pPr>
      <w:bookmarkStart w:id="3" w:name="_Toc95377959"/>
      <w:r>
        <w:rPr>
          <w:rFonts w:ascii="Calibri" w:eastAsia="Calibri" w:hAnsi="Calibri" w:cs="Calibri"/>
          <w:color w:val="4F81BD"/>
        </w:rPr>
        <w:t>Cel podręcznika</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Purpose of the manual</w:t>
      </w:r>
      <w:bookmarkEnd w:id="3"/>
    </w:p>
    <w:tbl>
      <w:tblPr>
        <w:tblStyle w:val="a"/>
        <w:tblW w:w="14571" w:type="dxa"/>
        <w:tblLayout w:type="fixed"/>
        <w:tblLook w:val="0400" w:firstRow="0" w:lastRow="0" w:firstColumn="0" w:lastColumn="0" w:noHBand="0" w:noVBand="1"/>
      </w:tblPr>
      <w:tblGrid>
        <w:gridCol w:w="7285"/>
        <w:gridCol w:w="7286"/>
      </w:tblGrid>
      <w:tr w:rsidR="00600DEE" w:rsidRPr="008C4407" w14:paraId="2DBD1526" w14:textId="77777777">
        <w:tc>
          <w:tcPr>
            <w:tcW w:w="7285" w:type="dxa"/>
            <w:tcBorders>
              <w:right w:val="single" w:sz="4" w:space="0" w:color="000000"/>
            </w:tcBorders>
            <w:tcMar>
              <w:left w:w="284" w:type="dxa"/>
              <w:right w:w="284" w:type="dxa"/>
            </w:tcMar>
          </w:tcPr>
          <w:p w14:paraId="66AE2339" w14:textId="0F55E2F5"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Celem niniejszego podręcznika jest zaprezentowanie metody przeprowadzania analizy kosztów i korzyści AKK (z ang. cost-benefit analysis, CBA) dla planowanych projektów inwestycyjnych w sektorze transportu w Polsce, dla których Beneficjenci ubiegają się o pomoc finansową z funduszy Unii Europejskiej 2021-2027. Niniejsza Drogowa Niebieska Księga jest częścią serii Niebieskich Ksiąg obejmujących sektor transportu ( infrastruktura drogowa, infrastruktura kolejowa, transport publiczny). Zaleca się, aby podstawowe zasady przedstawione w niniejszym podręczniku dotyczyły wszelkich projektów, finansowanych ze środków publicznych w sektorze drogowym, niezależnie od źródła ich finansowania. Proponowana metodologia bazuje na odpowiednio dobranych najlepszych praktykach i jest zgodna z kluczowymi wytycznymi Komisji Europejskiej.</w:t>
            </w:r>
            <w:r w:rsidR="00573A14">
              <w:rPr>
                <w:rFonts w:ascii="Calibri" w:eastAsia="Calibri" w:hAnsi="Calibri" w:cs="Calibri"/>
                <w:sz w:val="20"/>
                <w:szCs w:val="20"/>
              </w:rPr>
              <w:t xml:space="preserve"> </w:t>
            </w:r>
          </w:p>
          <w:p w14:paraId="418A1EEB" w14:textId="5D08F2F0"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Niebieskie Księgi są uzupełnieniem i doprecyzowaniem wytycznych Komisji Europejskiej</w:t>
            </w:r>
            <w:bookmarkStart w:id="4" w:name="_Ref91580361"/>
            <w:r>
              <w:rPr>
                <w:rFonts w:ascii="Calibri" w:eastAsia="Calibri" w:hAnsi="Calibri" w:cs="Calibri"/>
                <w:vertAlign w:val="superscript"/>
              </w:rPr>
              <w:footnoteReference w:id="1"/>
            </w:r>
            <w:bookmarkEnd w:id="4"/>
            <w:r>
              <w:rPr>
                <w:rFonts w:ascii="Calibri" w:eastAsia="Calibri" w:hAnsi="Calibri" w:cs="Calibri"/>
                <w:sz w:val="20"/>
                <w:szCs w:val="20"/>
                <w:vertAlign w:val="superscript"/>
              </w:rPr>
              <w:t xml:space="preserve"> </w:t>
            </w:r>
            <w:r>
              <w:rPr>
                <w:rFonts w:ascii="Calibri" w:eastAsia="Calibri" w:hAnsi="Calibri" w:cs="Calibri"/>
                <w:sz w:val="20"/>
                <w:szCs w:val="20"/>
              </w:rPr>
              <w:t>oraz wytycznych krajowych</w:t>
            </w:r>
            <w:r w:rsidR="008155F6">
              <w:rPr>
                <w:rFonts w:ascii="Calibri" w:eastAsia="Calibri" w:hAnsi="Calibri" w:cs="Calibri"/>
                <w:sz w:val="20"/>
                <w:szCs w:val="20"/>
                <w:vertAlign w:val="superscript"/>
              </w:rPr>
              <w:t>2</w:t>
            </w:r>
            <w:r>
              <w:rPr>
                <w:rFonts w:ascii="Calibri" w:eastAsia="Calibri" w:hAnsi="Calibri" w:cs="Calibri"/>
                <w:sz w:val="20"/>
                <w:szCs w:val="20"/>
              </w:rPr>
              <w:t xml:space="preserve"> w zakresie przygotowania AKK. W przypadku ewentualnych zmian w europejskich lub krajowych wytycznych, niektóre zapisy niniejszej Niebieskiej Księgi mogą ulec dezaktualizacji i w tych aspektach wytyczne europejskie i krajowe będą wiążące.</w:t>
            </w:r>
          </w:p>
          <w:p w14:paraId="5C333E9C" w14:textId="4E901127" w:rsidR="00600DEE" w:rsidRPr="00E12F72" w:rsidRDefault="00641FB5" w:rsidP="00E12F72">
            <w:pPr>
              <w:pBdr>
                <w:top w:val="nil"/>
                <w:left w:val="nil"/>
                <w:bottom w:val="nil"/>
                <w:right w:val="nil"/>
                <w:between w:val="nil"/>
              </w:pBdr>
              <w:spacing w:before="120" w:after="120"/>
              <w:ind w:left="-12" w:firstLine="12"/>
              <w:jc w:val="both"/>
              <w:rPr>
                <w:rFonts w:ascii="Calibri" w:eastAsia="Calibri" w:hAnsi="Calibri" w:cs="Calibri"/>
                <w:color w:val="000000"/>
                <w:sz w:val="20"/>
                <w:szCs w:val="20"/>
              </w:rPr>
            </w:pPr>
            <w:bookmarkStart w:id="5" w:name="_heading=h.3znysh7" w:colFirst="0" w:colLast="0"/>
            <w:bookmarkEnd w:id="5"/>
            <w:r>
              <w:rPr>
                <w:rFonts w:ascii="Calibri" w:eastAsia="Calibri" w:hAnsi="Calibri" w:cs="Calibri"/>
                <w:color w:val="000000"/>
                <w:sz w:val="20"/>
                <w:szCs w:val="20"/>
              </w:rPr>
              <w:t xml:space="preserve">Ponadto, celem Niebieskich Ksiąg jest ułatwienie wdrażania krajowych i unijnych polityk w sektorze transportu. W tym sensie mają one szczególne znaczenie dla zapewnienia spójności projektów transportowych z celami Porozumienia Paryskiego i unijnego Zielonego Ładu stanowiącymi podstawę aktualnych polityk </w:t>
            </w:r>
            <w:r>
              <w:rPr>
                <w:rFonts w:ascii="Calibri" w:eastAsia="Calibri" w:hAnsi="Calibri" w:cs="Calibri"/>
                <w:color w:val="000000"/>
                <w:sz w:val="20"/>
                <w:szCs w:val="20"/>
              </w:rPr>
              <w:lastRenderedPageBreak/>
              <w:t xml:space="preserve">UE. Dotyczą one m.in.: (i) redukcji gazów cieplarnianych oraz osiągnięcia w UE celu neutralności klimatycznej do 2050 r.  oraz (ii) odporności na zmiany klimatu. </w:t>
            </w:r>
          </w:p>
          <w:p w14:paraId="34F5BB6B" w14:textId="18DED401"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Konkretne cele sektora transportu wymagają szczególnej uwagi na poziomie UE: (i) oczekuje się redukcji gazów cieplarnianych emitowanych przez transport o 90% do 2050 r. w porównaniu z poziomem z 1990 r. oraz (ii) odporności sektora transportu na zmiany klimatu. Ponadto oczekuje się, że te polityki i cele zostaną odpowiednio przełożone na poziom krajowy (w tym sektorowy). Proces uwzględniania tych uwarunkowań i celów w Polsce, w planach krajowych</w:t>
            </w:r>
            <w:r w:rsidR="009A6C17" w:rsidRPr="009A6C17">
              <w:rPr>
                <w:rFonts w:ascii="Calibri" w:eastAsia="Calibri" w:hAnsi="Calibri" w:cs="Calibri"/>
                <w:color w:val="000000"/>
                <w:sz w:val="20"/>
                <w:szCs w:val="20"/>
                <w:vertAlign w:val="superscript"/>
              </w:rPr>
              <w:t>3</w:t>
            </w:r>
            <w:r>
              <w:rPr>
                <w:rFonts w:ascii="Calibri" w:eastAsia="Calibri" w:hAnsi="Calibri" w:cs="Calibri"/>
                <w:color w:val="000000"/>
                <w:sz w:val="20"/>
                <w:szCs w:val="20"/>
              </w:rPr>
              <w:t>, regionalnych i lokalnych jeszcze trwa, zarówno dla planów regionalnych i lokalnych jak i sektorowych.</w:t>
            </w:r>
          </w:p>
          <w:p w14:paraId="5223BC0E"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Plany transportowe (na poziomie krajowym, regionalnym czy każdym innym odpowiednim poziomie) powinny zatem uwzględniać problematykę zmian klimatu jako jeden z kluczowych celów. A zatem, w ramach tych planów należy dokonać oceny: (i) spodziewanych poziomów emisji gazów cieplarnianych emitowanych w analizowanym okresie (oraz w kontekście spodziewanych wartości docelowych, o ile zostały one określone dla danego planu); oraz (ii) odporności na zmiany klimatu systemów transportowych poprzez przeprowadzenie oceny wrażliwości na zmiany klimatu i oceny ryzyka. W niniejszej Niebieskiej Księdze zawarto zasady obliczania szacunkowych wartości emisji gazów cieplarnianych dla projektów transportowych (analogiczne zasady mogą być zastosowane na poziomie planów). Odniesiono się również do zagadnienia odporności na zmiany klimatu, nie mniej jednak szczegółowy opis ram metodologicznych do oceny odporności na zmiany klimatu nie jest w zakresie tej Niebieskiej Księgi.</w:t>
            </w:r>
          </w:p>
          <w:p w14:paraId="3FF24A2A"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Celem Niebieskiej Księgi jest określenie zasad i założeń oraz spójnego podejścia do analiz kosztów i korzyści w celu zapewnienia porównywalności i spójności w ocenie projektów w ramach sektora transportu, a także pomocy przy przygotowywaniu analiz przez Beneficjentów kiedykolwiek będzie to konieczne.</w:t>
            </w:r>
          </w:p>
          <w:p w14:paraId="4D14085F" w14:textId="243D28F6"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 xml:space="preserve">Zadaniem niniejszego podręcznika nie było sformułowanie szczegółowych wytycznych dla wszystkich sytuacji, które może napotkać osoba analizująca projekt. Z powodu ogromnej różnorodności potencjalne możliwych projektów, założenia i rekomendacje przedstawione w tym podręczniku mają wyłącznie charakter wskazówek i może zaistnieć konieczność zastosowania dodatkowego szczegółowego podejścia w odniesieniu do pewnych szczególnych okoliczności związanych z danym projektem. Bardziej szczegółowe informacje można znaleźć </w:t>
            </w:r>
            <w:r>
              <w:rPr>
                <w:rFonts w:ascii="Calibri" w:eastAsia="Calibri" w:hAnsi="Calibri" w:cs="Calibri"/>
                <w:sz w:val="20"/>
                <w:szCs w:val="20"/>
              </w:rPr>
              <w:lastRenderedPageBreak/>
              <w:t>w klasycznych podręcznikach do analizy kosztów i korzyści (patrz odwołania w </w:t>
            </w:r>
            <w:r w:rsidR="004D5549">
              <w:rPr>
                <w:rFonts w:asciiTheme="minorHAnsi" w:hAnsiTheme="minorHAnsi"/>
                <w:sz w:val="20"/>
              </w:rPr>
              <w:t>rozdziale „Literatura i literatura uzupełniająca” na końcu głównej części niniejszej Niebieskiej Księgi)</w:t>
            </w:r>
            <w:r>
              <w:rPr>
                <w:rFonts w:ascii="Calibri" w:eastAsia="Calibri" w:hAnsi="Calibri" w:cs="Calibri"/>
                <w:sz w:val="20"/>
                <w:szCs w:val="20"/>
              </w:rPr>
              <w:t>, a wszystkie wykorzystywane założenia i odniesienia metodyczne są odpowiednio opisane w stopkach metodycznych oraz załącznikach. Zakłada się, że podmioty i osoby przygotowujące analizy kosztów i korzyści w oparciu o niniejszy podręcznik posiadają wiedzę teoretyczną, przygotowanie merytoryczne i doświadczenie w tym zakresie.</w:t>
            </w:r>
          </w:p>
          <w:p w14:paraId="1491F98F"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Techniki przedstawione w tym podręczniku, przy ich prawidłowym stosowaniu, (i) pomogą w wyborze optymalnego rozwiązania, które zrealizuje cele projektu oraz wygeneruje korzyści społeczno–ekonomiczne przy zapewnieniu najbardziej efektywnego sposobu wykorzystania środków publicznych; oraz/lub (ii) potwierdzą adekwatność i uzasadnienie ekonomiczne zaproponowanego rozwiązania zmierzającego do spełnienia określonych celów projektu.</w:t>
            </w:r>
          </w:p>
          <w:p w14:paraId="3F1F9CA5"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 xml:space="preserve">Zaleca się stosowanie podstawowych zasad tego podręcznika do wszystkich projektów, które będą finansowane z funduszy publicznych z zakresu infrastruktury drogowej. </w:t>
            </w:r>
          </w:p>
          <w:p w14:paraId="3AC93A89"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Zaleca się dostosowanie stopnia skomplikowania analizy do wielkości i złożoności projektów tak, aby uniknąć zbędnego nakładu pracy w przypadku małych projektów.</w:t>
            </w:r>
          </w:p>
          <w:p w14:paraId="54D77661"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Projekty przygotowywane w oparciu o wcześniejsze edycje Niebieskiej Księgi w okresie poprzedzającym opublikowanie ostatecznej wersji niniejszego podręcznika, nie będą weryfikowane pod względem zgodności zastosowanej metodyki, stawek kosztów jednostkowych i innych elementów opisanych w podręczniku, ale oczywiście będą podlegały merytorycznej ocenie poprawności zastosowanych rozwiązań zgodnie z wymaganiami KE dla Perspektywy 2021 – 2027.</w:t>
            </w:r>
          </w:p>
        </w:tc>
        <w:tc>
          <w:tcPr>
            <w:tcW w:w="7286" w:type="dxa"/>
            <w:tcBorders>
              <w:left w:val="single" w:sz="4" w:space="0" w:color="000000"/>
            </w:tcBorders>
            <w:tcMar>
              <w:left w:w="284" w:type="dxa"/>
              <w:right w:w="284" w:type="dxa"/>
            </w:tcMar>
          </w:tcPr>
          <w:p w14:paraId="68E5548E"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lastRenderedPageBreak/>
              <w:t>The purpose of this Manual is to present the methodology for performing a cost-benefit analysis (CBA) for transport investment projects to be implemented in Poland, for which the Beneficiaries are applying for financial contribution from EU funds 2021-2027. The present Roads Blue Book is part of a series of Blue Books covering the transport sector (road infrastructure, railway infrastructure, public transport).</w:t>
            </w:r>
            <w:r w:rsidRPr="0045151D">
              <w:rPr>
                <w:lang w:val="en-GB"/>
              </w:rPr>
              <w:t xml:space="preserve"> </w:t>
            </w:r>
            <w:r w:rsidRPr="0045151D">
              <w:rPr>
                <w:rFonts w:ascii="Calibri" w:eastAsia="Calibri" w:hAnsi="Calibri" w:cs="Calibri"/>
                <w:sz w:val="20"/>
                <w:szCs w:val="20"/>
                <w:lang w:val="en-GB"/>
              </w:rPr>
              <w:t>We recommend that the basic principles of this manual apply to all projects to be financed from public funds in the road sector, regardless the source of their financing. The suggested methodology encompasses intentionally adopted best practices and follows key European Commission guidelines.</w:t>
            </w:r>
          </w:p>
          <w:p w14:paraId="40E9CC50" w14:textId="79C57A1E"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The Blue Books are complementary to and provide further details with regards to the guidelines of the European Commission</w:t>
            </w:r>
            <w:r w:rsidRPr="0045151D">
              <w:rPr>
                <w:rFonts w:ascii="Calibri" w:eastAsia="Calibri" w:hAnsi="Calibri" w:cs="Calibri"/>
                <w:sz w:val="20"/>
                <w:szCs w:val="20"/>
                <w:vertAlign w:val="superscript"/>
                <w:lang w:val="en-GB"/>
              </w:rPr>
              <w:t>1</w:t>
            </w:r>
            <w:r w:rsidRPr="0045151D">
              <w:rPr>
                <w:rFonts w:ascii="Calibri" w:eastAsia="Calibri" w:hAnsi="Calibri" w:cs="Calibri"/>
                <w:sz w:val="20"/>
                <w:szCs w:val="20"/>
                <w:lang w:val="en-GB"/>
              </w:rPr>
              <w:t xml:space="preserve"> and the national guidelines</w:t>
            </w:r>
            <w:r w:rsidR="008155F6">
              <w:rPr>
                <w:rStyle w:val="Odwoanieprzypisudolnego"/>
                <w:rFonts w:ascii="Calibri" w:eastAsia="Calibri" w:hAnsi="Calibri" w:cs="Calibri"/>
                <w:sz w:val="20"/>
                <w:szCs w:val="20"/>
                <w:lang w:val="en-GB"/>
              </w:rPr>
              <w:footnoteReference w:id="2"/>
            </w:r>
            <w:r w:rsidRPr="0045151D">
              <w:rPr>
                <w:rFonts w:ascii="Calibri" w:eastAsia="Calibri" w:hAnsi="Calibri" w:cs="Calibri"/>
                <w:sz w:val="20"/>
                <w:szCs w:val="20"/>
                <w:lang w:val="en-GB"/>
              </w:rPr>
              <w:t xml:space="preserve"> concerning the preparation of cost-benefit analysis (CBA). In case changes of the European and/or the national guidelines would occur in the future which would make some of the provisions of this Blue Book outdated, the European and national guidelines should prevail.</w:t>
            </w:r>
          </w:p>
          <w:p w14:paraId="644FF526"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Furthermore, the Blue Books aim at facilitating implementation of national and EU policies in the transport sector. In this sense, it is of special relevance to ensure that transport projects are aligned with the goals of Paris Agreement and EU Green Deal being at the core of current EU policies. It includes: (i) reduction of GHG emissions and EU climate neutrality target by 2050; and (ii) resilience to climate change. </w:t>
            </w:r>
          </w:p>
          <w:p w14:paraId="6A7C95B5" w14:textId="77777777" w:rsidR="00600DEE" w:rsidRPr="0045151D" w:rsidRDefault="00600DEE">
            <w:pPr>
              <w:spacing w:after="120"/>
              <w:ind w:right="28"/>
              <w:jc w:val="both"/>
              <w:rPr>
                <w:rFonts w:ascii="Calibri" w:eastAsia="Calibri" w:hAnsi="Calibri" w:cs="Calibri"/>
                <w:sz w:val="20"/>
                <w:szCs w:val="20"/>
                <w:lang w:val="en-GB"/>
              </w:rPr>
            </w:pPr>
          </w:p>
          <w:p w14:paraId="2CD7D832" w14:textId="77777777" w:rsidR="00600DEE" w:rsidRPr="0045151D" w:rsidRDefault="00641FB5" w:rsidP="00E12F72">
            <w:pPr>
              <w:spacing w:before="120"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lastRenderedPageBreak/>
              <w:t>Specific objectives for transport sector require special attention at EU level: (i) transport GHG emissions are expected to be reduced by 90% in 2050 compared to 1990 levels; and (ii) resilience of transport mobility to climate change impacts. Additionally, those policies and targets are expected to be duly considered at national level (including sectoral levels). In Poland, the process of including those considerations and targets in national</w:t>
            </w:r>
            <w:bookmarkStart w:id="6" w:name="_Ref91580431"/>
            <w:r>
              <w:rPr>
                <w:rFonts w:ascii="Calibri" w:eastAsia="Calibri" w:hAnsi="Calibri" w:cs="Calibri"/>
                <w:sz w:val="20"/>
                <w:szCs w:val="20"/>
                <w:vertAlign w:val="superscript"/>
              </w:rPr>
              <w:footnoteReference w:id="3"/>
            </w:r>
            <w:bookmarkEnd w:id="6"/>
            <w:r w:rsidRPr="0045151D">
              <w:rPr>
                <w:rFonts w:ascii="Calibri" w:eastAsia="Calibri" w:hAnsi="Calibri" w:cs="Calibri"/>
                <w:sz w:val="20"/>
                <w:szCs w:val="20"/>
                <w:lang w:val="en-GB"/>
              </w:rPr>
              <w:t>, regional and local Plans is on-going, both for the regional and local Plans and for the sectoral ones.</w:t>
            </w:r>
          </w:p>
          <w:p w14:paraId="6F8DCB5B"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Transport Plans (at national, regional or any other relevant level) are, therefore, expected to include climate change considerations as part of key objectives. Therefore, those Plans should assess: (i) the expected levels of GHG emissions generated along the analysed period (and in relation to expected targets if those are set for the specific Plan); and (ii) climate change resilience of the transport systems covered by conducting climate change vulnerability and risk assessment.  The Blue Books present the calculation principles for estimations of GHG emissions of transport projects (equivalent principles can be applied at the Planning level). They will also refer to climate change resilience considerations; nevertheless, the details of the methodological assessment framework for climate resilience are not object of this Blue Book scope.</w:t>
            </w:r>
          </w:p>
          <w:p w14:paraId="2DBF500E"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The purpose of the Blue Book is to define the principles, objectives and a coherent approach to the CBA to ensure comparability and consistency in the evaluation of projects in the transport sector as well as to assist the Beneficiaries in the preparation of such analysis wherever necessary. </w:t>
            </w:r>
          </w:p>
          <w:p w14:paraId="1F6EF571" w14:textId="38DA2180"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This manual is not meant to provide detailed guidelines for all circumstances a project analyst may face. Due to the vast diversity of possible projects, assumptions and recommendations presented in this manual have the character of guidelines and specific solutions might have to be applied with regard to specific project circumstances. More detailed guidance can be found in classic handbooks and manuals on CBA (see </w:t>
            </w:r>
            <w:r w:rsidR="004D5549">
              <w:rPr>
                <w:rFonts w:asciiTheme="minorHAnsi" w:hAnsiTheme="minorHAnsi"/>
                <w:sz w:val="20"/>
                <w:lang w:val="en-GB"/>
              </w:rPr>
              <w:t>section “Literature and supplementary literature” at the end of the main part of this Blue Book</w:t>
            </w:r>
            <w:r w:rsidRPr="0045151D">
              <w:rPr>
                <w:rFonts w:ascii="Calibri" w:eastAsia="Calibri" w:hAnsi="Calibri" w:cs="Calibri"/>
                <w:sz w:val="20"/>
                <w:szCs w:val="20"/>
                <w:lang w:val="en-GB"/>
              </w:rPr>
              <w:t xml:space="preserve">), and all assumptions and methodological background used are adequately referenced in methodical footers and appendices. It is assumed that the entities and experts preparing cost-benefit analysis using this manual have the theoretical knowledge, specialized background and necessary experience in this field. </w:t>
            </w:r>
          </w:p>
          <w:p w14:paraId="7ECAA70B"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lastRenderedPageBreak/>
              <w:t xml:space="preserve">A proper application of the techniques presented in the Manual will (i) help to choose the optimal solution achieving project objectives and delivering socio-economic benefits while ensuring the most effective use of public funds; and/or (ii) provide confirmation of the adequacy and economic justification of the proposed solution aiming to meet the defined project objectives, </w:t>
            </w:r>
          </w:p>
          <w:p w14:paraId="3F775DA3"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It is recommended to apply the basic principles of this manual to all road infrastructure projects which are to be financed from the public funds. </w:t>
            </w:r>
          </w:p>
          <w:p w14:paraId="61500DCE"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It is recommended to adapt the level of complexity of the analysis to the size and complexity of projects to avoid unnecessary work in the case of small projects.</w:t>
            </w:r>
          </w:p>
          <w:p w14:paraId="572E7EA3" w14:textId="77777777" w:rsidR="00600DEE" w:rsidRPr="0045151D" w:rsidRDefault="00641FB5">
            <w:pPr>
              <w:jc w:val="both"/>
              <w:rPr>
                <w:rFonts w:ascii="Calibri" w:eastAsia="Calibri" w:hAnsi="Calibri" w:cs="Calibri"/>
                <w:lang w:val="en-GB"/>
              </w:rPr>
            </w:pPr>
            <w:r w:rsidRPr="0045151D">
              <w:rPr>
                <w:rFonts w:ascii="Calibri" w:eastAsia="Calibri" w:hAnsi="Calibri" w:cs="Calibri"/>
                <w:sz w:val="20"/>
                <w:szCs w:val="20"/>
                <w:lang w:val="en-GB"/>
              </w:rPr>
              <w:t>Projects prepared on the basis of previous editions of the Blue Book, in the period prior to the publication of the final version of this manual, will not be verified in terms of compliance of the applied methods, unit costs rates and other elements described in the manual, but they will certainly be subject to substantial assessment of the correctness of the applied solutions vis a vis requirements of the EC for the 2021-2027 Financial Perspective.</w:t>
            </w:r>
          </w:p>
        </w:tc>
      </w:tr>
    </w:tbl>
    <w:p w14:paraId="49E115CA" w14:textId="77E61F5C" w:rsidR="00600DEE" w:rsidRDefault="00641FB5">
      <w:pPr>
        <w:pStyle w:val="Nagwek2"/>
        <w:ind w:right="26"/>
        <w:rPr>
          <w:rFonts w:ascii="Calibri" w:eastAsia="Calibri" w:hAnsi="Calibri" w:cs="Calibri"/>
          <w:color w:val="4F81BD"/>
        </w:rPr>
      </w:pPr>
      <w:bookmarkStart w:id="7" w:name="_Toc95377960"/>
      <w:r>
        <w:rPr>
          <w:rFonts w:ascii="Calibri" w:eastAsia="Calibri" w:hAnsi="Calibri" w:cs="Calibri"/>
          <w:color w:val="4F81BD"/>
        </w:rPr>
        <w:lastRenderedPageBreak/>
        <w:t>Tło przygotowania podręcznika</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Background of the manual preparation</w:t>
      </w:r>
      <w:bookmarkEnd w:id="7"/>
    </w:p>
    <w:tbl>
      <w:tblPr>
        <w:tblStyle w:val="a0"/>
        <w:tblW w:w="14571" w:type="dxa"/>
        <w:tblLayout w:type="fixed"/>
        <w:tblLook w:val="0400" w:firstRow="0" w:lastRow="0" w:firstColumn="0" w:lastColumn="0" w:noHBand="0" w:noVBand="1"/>
      </w:tblPr>
      <w:tblGrid>
        <w:gridCol w:w="7285"/>
        <w:gridCol w:w="7286"/>
      </w:tblGrid>
      <w:tr w:rsidR="00600DEE" w:rsidRPr="008C4407" w14:paraId="03209F46" w14:textId="77777777">
        <w:tc>
          <w:tcPr>
            <w:tcW w:w="7285" w:type="dxa"/>
            <w:tcBorders>
              <w:right w:val="single" w:sz="4" w:space="0" w:color="000000"/>
            </w:tcBorders>
            <w:tcMar>
              <w:left w:w="284" w:type="dxa"/>
              <w:right w:w="284" w:type="dxa"/>
            </w:tcMar>
          </w:tcPr>
          <w:p w14:paraId="5B0DCF0E"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 xml:space="preserve">Niniejszy podręcznik jest rekomendowany przez Ministerstwo Funduszy i Polityki Regionalnej (MFiPR), które jest Instytucją Zarządzającą dla Programu Operacyjnego Fundusze Europejskie na Infrastrukturę, Klimat i Środowisko (FEnIKS). MFiPR i CUPT zwróciły się do JASPERS (Wspólna Pomoc dla Projektów w Europejskich Regionach) z prośbą o wsparcie w opracowaniu aktualizacji podręcznika, który był stosowany </w:t>
            </w:r>
            <w:r>
              <w:rPr>
                <w:rFonts w:ascii="Calibri" w:eastAsia="Calibri" w:hAnsi="Calibri" w:cs="Calibri"/>
                <w:sz w:val="20"/>
                <w:szCs w:val="20"/>
              </w:rPr>
              <w:lastRenderedPageBreak/>
              <w:t>w poprzedniej perspektywie finansowej, w celu uwzględnienia nowych regulacji KE dla perspektywy finansowej 2021-2027.</w:t>
            </w:r>
          </w:p>
          <w:p w14:paraId="3BCD42C6" w14:textId="28D0A11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Obecna wersja stanowi aktualizację poprzedniej edycji podręcznika opracowanej w 2006</w:t>
            </w:r>
            <w:r w:rsidR="009A6C17">
              <w:rPr>
                <w:rStyle w:val="Odwoanieprzypisudolnego"/>
                <w:rFonts w:ascii="Calibri" w:eastAsia="Calibri" w:hAnsi="Calibri" w:cs="Calibri"/>
                <w:sz w:val="20"/>
                <w:szCs w:val="20"/>
              </w:rPr>
              <w:footnoteReference w:id="4"/>
            </w:r>
            <w:r>
              <w:rPr>
                <w:rFonts w:ascii="Calibri" w:eastAsia="Calibri" w:hAnsi="Calibri" w:cs="Calibri"/>
                <w:sz w:val="20"/>
                <w:szCs w:val="20"/>
              </w:rPr>
              <w:t>, 2008</w:t>
            </w:r>
            <w:bookmarkStart w:id="8" w:name="_Ref91580470"/>
            <w:r w:rsidR="009A6C17">
              <w:rPr>
                <w:rStyle w:val="Odwoanieprzypisudolnego"/>
                <w:rFonts w:ascii="Calibri" w:eastAsia="Calibri" w:hAnsi="Calibri" w:cs="Calibri"/>
                <w:sz w:val="20"/>
                <w:szCs w:val="20"/>
              </w:rPr>
              <w:footnoteReference w:id="5"/>
            </w:r>
            <w:bookmarkEnd w:id="8"/>
            <w:r>
              <w:rPr>
                <w:rFonts w:ascii="Calibri" w:eastAsia="Calibri" w:hAnsi="Calibri" w:cs="Calibri"/>
                <w:sz w:val="20"/>
                <w:szCs w:val="20"/>
              </w:rPr>
              <w:t xml:space="preserve"> i 2015</w:t>
            </w:r>
            <w:bookmarkStart w:id="9" w:name="_Ref91580476"/>
            <w:r>
              <w:rPr>
                <w:rFonts w:ascii="Calibri" w:eastAsia="Calibri" w:hAnsi="Calibri" w:cs="Calibri"/>
                <w:sz w:val="20"/>
                <w:szCs w:val="20"/>
                <w:vertAlign w:val="superscript"/>
              </w:rPr>
              <w:footnoteReference w:id="6"/>
            </w:r>
            <w:bookmarkEnd w:id="9"/>
            <w:r>
              <w:rPr>
                <w:rFonts w:ascii="Calibri" w:eastAsia="Calibri" w:hAnsi="Calibri" w:cs="Calibri"/>
                <w:sz w:val="20"/>
                <w:szCs w:val="20"/>
              </w:rPr>
              <w:t xml:space="preserve"> roku. </w:t>
            </w:r>
          </w:p>
          <w:p w14:paraId="4C8774FB"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 xml:space="preserve">Aktualizacja podręcznika została przeprowadzona przy aktywnym uczestnictwie ekspertów Departamentu Projektów Unijnych m.in. z Wydziału Studiów w Krakowie z GDDKiA oraz CUPT. </w:t>
            </w:r>
          </w:p>
          <w:p w14:paraId="039F8CDD"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Podręcznik, w zakresie założeń oraz metodyki wykonywania AKK, jest zgodny z zasadami przedstawionymi w opublikowanym 20 września 2021 ‘’Economic Appraisal Vademecum 2021-2027 - General Principles and Sector Applications” uzupełniającym przewodnik po analizie kosztów i korzyści projektów inwestycyjnych („</w:t>
            </w:r>
            <w:r>
              <w:rPr>
                <w:rFonts w:ascii="Calibri" w:eastAsia="Calibri" w:hAnsi="Calibri" w:cs="Calibri"/>
                <w:i/>
                <w:sz w:val="20"/>
                <w:szCs w:val="20"/>
              </w:rPr>
              <w:t>Guide to Cost-benefit Analysis of Investment Projects: Economic appraisal tool for Cohesion Policy 2014-2020”</w:t>
            </w:r>
            <w:r>
              <w:rPr>
                <w:rFonts w:ascii="Calibri" w:eastAsia="Calibri" w:hAnsi="Calibri" w:cs="Calibri"/>
                <w:sz w:val="20"/>
                <w:szCs w:val="20"/>
              </w:rPr>
              <w:t xml:space="preserve">) Dyrekcji Generalnej ds. Polityki Regionalnej i Miejskiej. </w:t>
            </w:r>
          </w:p>
          <w:p w14:paraId="1AEBBF4C"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 xml:space="preserve">Aktualizacja pozwoliła na włączenie do treści szeregu uściśleń i uaktualnień dotyczących: </w:t>
            </w:r>
          </w:p>
          <w:p w14:paraId="6116853F" w14:textId="77777777" w:rsidR="00600DEE" w:rsidRDefault="00641FB5" w:rsidP="00D5736B">
            <w:pPr>
              <w:numPr>
                <w:ilvl w:val="0"/>
                <w:numId w:val="25"/>
              </w:numPr>
              <w:pBdr>
                <w:top w:val="nil"/>
                <w:left w:val="nil"/>
                <w:bottom w:val="nil"/>
                <w:right w:val="nil"/>
                <w:between w:val="nil"/>
              </w:pBdr>
              <w:ind w:right="28"/>
              <w:jc w:val="both"/>
              <w:rPr>
                <w:rFonts w:ascii="Calibri" w:eastAsia="Calibri" w:hAnsi="Calibri" w:cs="Calibri"/>
                <w:color w:val="000000"/>
                <w:sz w:val="20"/>
                <w:szCs w:val="20"/>
              </w:rPr>
            </w:pPr>
            <w:r>
              <w:rPr>
                <w:rFonts w:ascii="Calibri" w:eastAsia="Calibri" w:hAnsi="Calibri" w:cs="Calibri"/>
                <w:color w:val="000000"/>
                <w:sz w:val="20"/>
                <w:szCs w:val="20"/>
              </w:rPr>
              <w:t xml:space="preserve">uwarunkowań związanych z modelowaniem i prognozowaniem ruchu uwzględniających wpływ innych gałęzi transportu, </w:t>
            </w:r>
          </w:p>
          <w:p w14:paraId="3802BC65" w14:textId="77777777" w:rsidR="00600DEE" w:rsidRDefault="00641FB5" w:rsidP="00D5736B">
            <w:pPr>
              <w:numPr>
                <w:ilvl w:val="0"/>
                <w:numId w:val="25"/>
              </w:numPr>
              <w:pBdr>
                <w:top w:val="nil"/>
                <w:left w:val="nil"/>
                <w:bottom w:val="nil"/>
                <w:right w:val="nil"/>
                <w:between w:val="nil"/>
              </w:pBdr>
              <w:ind w:right="28"/>
              <w:jc w:val="both"/>
              <w:rPr>
                <w:rFonts w:ascii="Calibri" w:eastAsia="Calibri" w:hAnsi="Calibri" w:cs="Calibri"/>
                <w:color w:val="000000"/>
                <w:sz w:val="20"/>
                <w:szCs w:val="20"/>
              </w:rPr>
            </w:pPr>
            <w:r>
              <w:rPr>
                <w:rFonts w:ascii="Calibri" w:eastAsia="Calibri" w:hAnsi="Calibri" w:cs="Calibri"/>
                <w:color w:val="000000"/>
                <w:sz w:val="20"/>
                <w:szCs w:val="20"/>
              </w:rPr>
              <w:t>aspektów dotyczących najnowszych polityk UE, w szczególności najnowszych polityk i celów klimatycznych,</w:t>
            </w:r>
            <w:r>
              <w:rPr>
                <w:rFonts w:ascii="Roboto" w:eastAsia="Roboto" w:hAnsi="Roboto" w:cs="Roboto"/>
                <w:color w:val="000000"/>
                <w:sz w:val="27"/>
                <w:szCs w:val="27"/>
              </w:rPr>
              <w:t xml:space="preserve"> </w:t>
            </w:r>
          </w:p>
          <w:p w14:paraId="5C0247DB" w14:textId="77777777" w:rsidR="00600DEE" w:rsidRDefault="00641FB5" w:rsidP="00D5736B">
            <w:pPr>
              <w:numPr>
                <w:ilvl w:val="0"/>
                <w:numId w:val="25"/>
              </w:numPr>
              <w:pBdr>
                <w:top w:val="nil"/>
                <w:left w:val="nil"/>
                <w:bottom w:val="nil"/>
                <w:right w:val="nil"/>
                <w:between w:val="nil"/>
              </w:pBdr>
              <w:ind w:right="28"/>
              <w:jc w:val="both"/>
              <w:rPr>
                <w:rFonts w:ascii="Calibri" w:eastAsia="Calibri" w:hAnsi="Calibri" w:cs="Calibri"/>
                <w:color w:val="000000"/>
                <w:sz w:val="20"/>
                <w:szCs w:val="20"/>
              </w:rPr>
            </w:pPr>
            <w:r>
              <w:rPr>
                <w:rFonts w:ascii="Calibri" w:eastAsia="Calibri" w:hAnsi="Calibri" w:cs="Calibri"/>
                <w:color w:val="000000"/>
                <w:sz w:val="20"/>
                <w:szCs w:val="20"/>
              </w:rPr>
              <w:t>optymalizacji przepustowości planowanych projektów drogowych na etapie analizy opcji,</w:t>
            </w:r>
            <w:r>
              <w:rPr>
                <w:rFonts w:ascii="Roboto" w:eastAsia="Roboto" w:hAnsi="Roboto" w:cs="Roboto"/>
                <w:color w:val="000000"/>
                <w:sz w:val="27"/>
                <w:szCs w:val="27"/>
                <w:shd w:val="clear" w:color="auto" w:fill="F5F5F5"/>
              </w:rPr>
              <w:t xml:space="preserve"> </w:t>
            </w:r>
          </w:p>
          <w:p w14:paraId="5E8B7C3E" w14:textId="77777777" w:rsidR="00600DEE" w:rsidRDefault="00641FB5" w:rsidP="00D5736B">
            <w:pPr>
              <w:numPr>
                <w:ilvl w:val="0"/>
                <w:numId w:val="25"/>
              </w:numPr>
              <w:pBdr>
                <w:top w:val="nil"/>
                <w:left w:val="nil"/>
                <w:bottom w:val="nil"/>
                <w:right w:val="nil"/>
                <w:between w:val="nil"/>
              </w:pBdr>
              <w:spacing w:after="120"/>
              <w:ind w:right="28"/>
              <w:jc w:val="both"/>
              <w:rPr>
                <w:rFonts w:ascii="Calibri" w:eastAsia="Calibri" w:hAnsi="Calibri" w:cs="Calibri"/>
                <w:color w:val="000000"/>
                <w:sz w:val="20"/>
                <w:szCs w:val="20"/>
              </w:rPr>
            </w:pPr>
            <w:r>
              <w:rPr>
                <w:rFonts w:ascii="Calibri" w:eastAsia="Calibri" w:hAnsi="Calibri" w:cs="Calibri"/>
                <w:color w:val="000000"/>
                <w:sz w:val="20"/>
                <w:szCs w:val="20"/>
              </w:rPr>
              <w:t xml:space="preserve">aktualizacja kosztów jednostkowych dla szeregu różnych kategorii kosztów/korzyści, w szczególności w celu uwzględnienia ewolucji floty </w:t>
            </w:r>
            <w:r>
              <w:rPr>
                <w:rFonts w:ascii="Calibri" w:eastAsia="Calibri" w:hAnsi="Calibri" w:cs="Calibri"/>
                <w:color w:val="000000"/>
                <w:sz w:val="20"/>
                <w:szCs w:val="20"/>
              </w:rPr>
              <w:lastRenderedPageBreak/>
              <w:t>pojazdów drogowych w Polsce oraz oczekiwanej elektryfikacji floty (zgodnie z celami klimatycznymi).</w:t>
            </w:r>
            <w:r>
              <w:rPr>
                <w:rFonts w:ascii="Roboto" w:eastAsia="Roboto" w:hAnsi="Roboto" w:cs="Roboto"/>
                <w:color w:val="000000"/>
                <w:sz w:val="27"/>
                <w:szCs w:val="27"/>
                <w:shd w:val="clear" w:color="auto" w:fill="F5F5F5"/>
              </w:rPr>
              <w:t xml:space="preserve"> </w:t>
            </w:r>
          </w:p>
          <w:p w14:paraId="282A2EA4" w14:textId="77777777" w:rsidR="00600DEE" w:rsidRDefault="00641FB5">
            <w:pPr>
              <w:spacing w:after="120"/>
              <w:ind w:right="28"/>
              <w:jc w:val="both"/>
              <w:rPr>
                <w:rFonts w:ascii="Calibri" w:eastAsia="Calibri" w:hAnsi="Calibri" w:cs="Calibri"/>
              </w:rPr>
            </w:pPr>
            <w:r>
              <w:rPr>
                <w:rFonts w:ascii="Calibri" w:eastAsia="Calibri" w:hAnsi="Calibri" w:cs="Calibri"/>
                <w:sz w:val="20"/>
                <w:szCs w:val="20"/>
              </w:rPr>
              <w:t>Zorganizowano również serię roboczych spotkań, na które zaproszono najważniejsze, zainteresowane tym tematem instytucje. Autorzy pragną podziękować Generalnej Dyrekcji Dróg Krajowych i Autostrad (GDDKiA), CUPT (Centrum Unijnych Projektów Transportowych), PKP Polskie Linie Kolejowe S.A. (PLK), Ministerstwu Funduszy i Polityki Regionalnej (MFiPR), i wielu innym indywidualnym ekspertom, którzy wnieśli wkład do procesu konsultacji i pomogli w dokonaniu niniejszej aktualizacji oraz wszystkim tym, którzy aktywnie przyczynili się do aktualizacji Niebieskiej Księgi.</w:t>
            </w:r>
          </w:p>
        </w:tc>
        <w:tc>
          <w:tcPr>
            <w:tcW w:w="7286" w:type="dxa"/>
            <w:tcBorders>
              <w:left w:val="single" w:sz="4" w:space="0" w:color="000000"/>
            </w:tcBorders>
            <w:tcMar>
              <w:left w:w="284" w:type="dxa"/>
              <w:right w:w="284" w:type="dxa"/>
            </w:tcMar>
          </w:tcPr>
          <w:p w14:paraId="754C146E"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lastRenderedPageBreak/>
              <w:t xml:space="preserve">This Manual is recommended by the Ministry of Development Funds and Regional Policy (MDFRP),  the Managing Authority for the Operational Programme on Infrastructure, Climate and Environment 2021-2027 (FEnIKS). The MDFRP and  CUPT requested JASPERS (Joint Assistance to Support Projects in the European Regions) assistance in the preparation of the updated version of the existing </w:t>
            </w:r>
            <w:r w:rsidRPr="0045151D">
              <w:rPr>
                <w:rFonts w:ascii="Calibri" w:eastAsia="Calibri" w:hAnsi="Calibri" w:cs="Calibri"/>
                <w:sz w:val="20"/>
                <w:szCs w:val="20"/>
                <w:lang w:val="en-GB"/>
              </w:rPr>
              <w:lastRenderedPageBreak/>
              <w:t>Manual (used during the previous financial perspective) to reflect the new European Commission’s regulations for 2021-2027.</w:t>
            </w:r>
          </w:p>
          <w:p w14:paraId="0C42ABA3" w14:textId="77777777" w:rsidR="00023AC0" w:rsidRPr="0045151D" w:rsidRDefault="00023AC0">
            <w:pPr>
              <w:spacing w:after="120"/>
              <w:ind w:right="28"/>
              <w:jc w:val="both"/>
              <w:rPr>
                <w:rFonts w:ascii="Calibri" w:eastAsia="Calibri" w:hAnsi="Calibri" w:cs="Calibri"/>
                <w:sz w:val="20"/>
                <w:szCs w:val="20"/>
                <w:lang w:val="en-GB"/>
              </w:rPr>
            </w:pPr>
          </w:p>
          <w:p w14:paraId="02B8AB6A" w14:textId="57F93FFE"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The present version of the Manual is an update of the previous ones prepared in 2006</w:t>
            </w:r>
            <w:r w:rsidR="009A6C17">
              <w:rPr>
                <w:rFonts w:ascii="Calibri" w:eastAsia="Calibri" w:hAnsi="Calibri" w:cs="Calibri"/>
                <w:sz w:val="20"/>
                <w:szCs w:val="20"/>
                <w:vertAlign w:val="superscript"/>
                <w:lang w:val="en-GB"/>
              </w:rPr>
              <w:t>4</w:t>
            </w:r>
            <w:r w:rsidRPr="0045151D">
              <w:rPr>
                <w:rFonts w:ascii="Calibri" w:eastAsia="Calibri" w:hAnsi="Calibri" w:cs="Calibri"/>
                <w:sz w:val="20"/>
                <w:szCs w:val="20"/>
                <w:lang w:val="en-GB"/>
              </w:rPr>
              <w:t>, 2008</w:t>
            </w:r>
            <w:r w:rsidR="009A6C17">
              <w:rPr>
                <w:rFonts w:ascii="Calibri" w:eastAsia="Calibri" w:hAnsi="Calibri" w:cs="Calibri"/>
                <w:sz w:val="20"/>
                <w:szCs w:val="20"/>
                <w:vertAlign w:val="superscript"/>
                <w:lang w:val="en-GB"/>
              </w:rPr>
              <w:t>5</w:t>
            </w:r>
            <w:r w:rsidRPr="0045151D">
              <w:rPr>
                <w:rFonts w:ascii="Calibri" w:eastAsia="Calibri" w:hAnsi="Calibri" w:cs="Calibri"/>
                <w:sz w:val="20"/>
                <w:szCs w:val="20"/>
                <w:lang w:val="en-GB"/>
              </w:rPr>
              <w:t xml:space="preserve"> and 2015</w:t>
            </w:r>
            <w:r w:rsidR="009A6C17">
              <w:rPr>
                <w:rFonts w:ascii="Calibri" w:eastAsia="Calibri" w:hAnsi="Calibri" w:cs="Calibri"/>
                <w:sz w:val="20"/>
                <w:szCs w:val="20"/>
                <w:vertAlign w:val="superscript"/>
                <w:lang w:val="en-GB"/>
              </w:rPr>
              <w:t>6</w:t>
            </w:r>
            <w:r w:rsidRPr="0045151D">
              <w:rPr>
                <w:rFonts w:ascii="Calibri" w:eastAsia="Calibri" w:hAnsi="Calibri" w:cs="Calibri"/>
                <w:sz w:val="20"/>
                <w:szCs w:val="20"/>
                <w:lang w:val="en-GB"/>
              </w:rPr>
              <w:t>.</w:t>
            </w:r>
          </w:p>
          <w:p w14:paraId="0194A0E8"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The Manual update was conducted with active participation of the experts from GDDKiA Department of EU projects (including those from the Kraków-based Studies Unit) and CUPT.  </w:t>
            </w:r>
          </w:p>
          <w:p w14:paraId="3DED9BE1"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The Manual is consistent with the principles and methods outlined in ”Economic Appraisal Vademecum 2021-2027 - General Principles and Sector Applications” published on 20/09/2021 which complements the “Guide to Cost-benefit Analysis of Investment Projects: Economic appraisal tool for Cohesion Policy 2014-2020” DG Regio investment project CBA guide. </w:t>
            </w:r>
          </w:p>
          <w:p w14:paraId="5F81EF08"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The main amendments and revisions of the present updated version with respect to the previous ones concern: </w:t>
            </w:r>
          </w:p>
          <w:p w14:paraId="16BBED03" w14:textId="77777777" w:rsidR="00600DEE" w:rsidRPr="0045151D" w:rsidRDefault="00641FB5" w:rsidP="00D5736B">
            <w:pPr>
              <w:numPr>
                <w:ilvl w:val="0"/>
                <w:numId w:val="36"/>
              </w:numPr>
              <w:pBdr>
                <w:top w:val="nil"/>
                <w:left w:val="nil"/>
                <w:bottom w:val="nil"/>
                <w:right w:val="nil"/>
                <w:between w:val="nil"/>
              </w:pBdr>
              <w:ind w:right="28"/>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traffic modelling and forecasting considerations to duly consider impacts of other transport modes; </w:t>
            </w:r>
          </w:p>
          <w:p w14:paraId="42803D2B" w14:textId="77777777" w:rsidR="00600DEE" w:rsidRPr="0045151D" w:rsidRDefault="00641FB5" w:rsidP="00D5736B">
            <w:pPr>
              <w:numPr>
                <w:ilvl w:val="0"/>
                <w:numId w:val="36"/>
              </w:numPr>
              <w:pBdr>
                <w:top w:val="nil"/>
                <w:left w:val="nil"/>
                <w:bottom w:val="nil"/>
                <w:right w:val="nil"/>
                <w:between w:val="nil"/>
              </w:pBdr>
              <w:ind w:right="28"/>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aspects related to most recent EU policies, in particular the most recent climate policies and objectives;</w:t>
            </w:r>
          </w:p>
          <w:p w14:paraId="4CB7737C" w14:textId="77777777" w:rsidR="00600DEE" w:rsidRPr="0045151D" w:rsidRDefault="00641FB5" w:rsidP="00D5736B">
            <w:pPr>
              <w:numPr>
                <w:ilvl w:val="0"/>
                <w:numId w:val="36"/>
              </w:numPr>
              <w:pBdr>
                <w:top w:val="nil"/>
                <w:left w:val="nil"/>
                <w:bottom w:val="nil"/>
                <w:right w:val="nil"/>
                <w:between w:val="nil"/>
              </w:pBdr>
              <w:ind w:right="28"/>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considerations of capacity optimisation of planned road projects at the option analysis stage; </w:t>
            </w:r>
          </w:p>
          <w:p w14:paraId="34D64639" w14:textId="77777777" w:rsidR="00600DEE" w:rsidRPr="0045151D" w:rsidRDefault="00641FB5" w:rsidP="00D5736B">
            <w:pPr>
              <w:numPr>
                <w:ilvl w:val="0"/>
                <w:numId w:val="36"/>
              </w:numPr>
              <w:pBdr>
                <w:top w:val="nil"/>
                <w:left w:val="nil"/>
                <w:bottom w:val="nil"/>
                <w:right w:val="nil"/>
                <w:between w:val="nil"/>
              </w:pBdr>
              <w:spacing w:after="120"/>
              <w:ind w:right="28"/>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update of unit values for all different costs/benefits categories, in particular, in particular to consider recent and future evolution of </w:t>
            </w:r>
            <w:r w:rsidRPr="0045151D">
              <w:rPr>
                <w:rFonts w:ascii="Calibri" w:eastAsia="Calibri" w:hAnsi="Calibri" w:cs="Calibri"/>
                <w:color w:val="000000"/>
                <w:sz w:val="20"/>
                <w:szCs w:val="20"/>
                <w:lang w:val="en-GB"/>
              </w:rPr>
              <w:lastRenderedPageBreak/>
              <w:t xml:space="preserve">road fleet vehicles in Poland and the expected fleet electrification (in alignment with the referenced climate objectives). </w:t>
            </w:r>
          </w:p>
          <w:p w14:paraId="1B50BAF2"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A series of working meeting were held for the most important stakeholders. The authors wish to acknowledge the input of General Directorate for National Roads and Motorways (Generalna Dyrekcja Dróg Krajowych i Autostrad - GDDKiA), Centre for EU Transport Projects (Centrum Unijnych Projektów Transportowych - CUPT),  PKP Polish Railway Lines (PLK), Ministry of Development Funds and Regional Policy (Ministerstwo Funduszy i Polityki Regionalnej - MDFRP), and many other experts who contributed to the consultation process and helped to effect this update, as well as all those who actively supported this update of the Blue Book.</w:t>
            </w:r>
          </w:p>
        </w:tc>
      </w:tr>
    </w:tbl>
    <w:p w14:paraId="158AED3D" w14:textId="401522BC" w:rsidR="00600DEE" w:rsidRDefault="00641FB5">
      <w:pPr>
        <w:pStyle w:val="Nagwek2"/>
        <w:ind w:right="26"/>
        <w:rPr>
          <w:rFonts w:ascii="Calibri" w:eastAsia="Calibri" w:hAnsi="Calibri" w:cs="Calibri"/>
          <w:color w:val="4F81BD"/>
        </w:rPr>
      </w:pPr>
      <w:bookmarkStart w:id="10" w:name="_Toc95377961"/>
      <w:r>
        <w:rPr>
          <w:rFonts w:ascii="Calibri" w:eastAsia="Calibri" w:hAnsi="Calibri" w:cs="Calibri"/>
          <w:color w:val="4F81BD"/>
        </w:rPr>
        <w:lastRenderedPageBreak/>
        <w:t>Zakres podręcznika</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Scope of the manual</w:t>
      </w:r>
      <w:bookmarkEnd w:id="10"/>
      <w:r>
        <w:rPr>
          <w:rFonts w:ascii="Calibri" w:eastAsia="Calibri" w:hAnsi="Calibri" w:cs="Calibri"/>
          <w:color w:val="4F81BD"/>
        </w:rPr>
        <w:t xml:space="preserve"> </w:t>
      </w:r>
    </w:p>
    <w:tbl>
      <w:tblPr>
        <w:tblStyle w:val="a1"/>
        <w:tblW w:w="14571" w:type="dxa"/>
        <w:tblLayout w:type="fixed"/>
        <w:tblLook w:val="0400" w:firstRow="0" w:lastRow="0" w:firstColumn="0" w:lastColumn="0" w:noHBand="0" w:noVBand="1"/>
      </w:tblPr>
      <w:tblGrid>
        <w:gridCol w:w="7285"/>
        <w:gridCol w:w="7286"/>
      </w:tblGrid>
      <w:tr w:rsidR="00600DEE" w:rsidRPr="008C4407" w14:paraId="618510D8" w14:textId="77777777">
        <w:tc>
          <w:tcPr>
            <w:tcW w:w="7285" w:type="dxa"/>
            <w:tcBorders>
              <w:right w:val="single" w:sz="4" w:space="0" w:color="000000"/>
            </w:tcBorders>
            <w:tcMar>
              <w:left w:w="284" w:type="dxa"/>
              <w:right w:w="284" w:type="dxa"/>
            </w:tcMar>
          </w:tcPr>
          <w:p w14:paraId="0DBC0878" w14:textId="340F9E56" w:rsidR="00600DEE" w:rsidRDefault="00641FB5">
            <w:pPr>
              <w:spacing w:after="120"/>
              <w:ind w:right="28"/>
              <w:jc w:val="both"/>
              <w:rPr>
                <w:rFonts w:ascii="Calibri" w:eastAsia="Calibri" w:hAnsi="Calibri" w:cs="Calibri"/>
                <w:sz w:val="20"/>
                <w:szCs w:val="20"/>
              </w:rPr>
            </w:pPr>
            <w:bookmarkStart w:id="11" w:name="_heading=h.3dy6vkm" w:colFirst="0" w:colLast="0"/>
            <w:bookmarkEnd w:id="11"/>
            <w:r>
              <w:rPr>
                <w:rFonts w:ascii="Calibri" w:eastAsia="Calibri" w:hAnsi="Calibri" w:cs="Calibri"/>
                <w:sz w:val="20"/>
                <w:szCs w:val="20"/>
              </w:rPr>
              <w:t>Należy zaznaczyć, że wytyczne zawarte w niniejszym opracowaniu dotyczą wyłącznie przygotowania analizy kosztów i korzyści, będącej jednym z wielu elementów składających się na studium wykonalności projektu. W związku z powyższym opracowanie to nie zawiera wskazówek do sporządzania całości studium wykonalności. Wskazuje natomiast odpowiednie wymagania (np. w zakresie obliczania emisji gazów cieplarnianych w projektach jako elementu oceny odporności na zmiany klimat</w:t>
            </w:r>
            <w:r w:rsidR="00716A93">
              <w:rPr>
                <w:rFonts w:ascii="Calibri" w:eastAsia="Calibri" w:hAnsi="Calibri" w:cs="Calibri"/>
                <w:sz w:val="20"/>
                <w:szCs w:val="20"/>
              </w:rPr>
              <w:t>u</w:t>
            </w:r>
            <w:r w:rsidR="00F6627D">
              <w:rPr>
                <w:rFonts w:ascii="Calibri" w:eastAsia="Calibri" w:hAnsi="Calibri" w:cs="Calibri"/>
                <w:sz w:val="20"/>
                <w:szCs w:val="20"/>
                <w:vertAlign w:val="superscript"/>
              </w:rPr>
              <w:t>7</w:t>
            </w:r>
            <w:r>
              <w:rPr>
                <w:rFonts w:ascii="Calibri" w:eastAsia="Calibri" w:hAnsi="Calibri" w:cs="Calibri"/>
                <w:sz w:val="20"/>
                <w:szCs w:val="20"/>
              </w:rPr>
              <w:t>) oraz dobre praktyki</w:t>
            </w:r>
            <w:r w:rsidR="004D5549">
              <w:rPr>
                <w:rFonts w:ascii="Calibri" w:eastAsia="Calibri" w:hAnsi="Calibri" w:cs="Calibri"/>
                <w:sz w:val="20"/>
                <w:szCs w:val="20"/>
              </w:rPr>
              <w:t>.</w:t>
            </w:r>
          </w:p>
          <w:p w14:paraId="019D9CC5"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 xml:space="preserve">Fazy procesu identyfikacji i oceny wariantów projektu omówione w niniejszym podręczniku przedstawiono, jako fazę I i fazę II na rysunku 2 poniżej. </w:t>
            </w:r>
            <w:r>
              <w:rPr>
                <w:rFonts w:ascii="Calibri" w:eastAsia="Calibri" w:hAnsi="Calibri" w:cs="Calibri"/>
                <w:b/>
                <w:sz w:val="20"/>
                <w:szCs w:val="20"/>
              </w:rPr>
              <w:t>Faza I </w:t>
            </w:r>
            <w:r>
              <w:rPr>
                <w:rFonts w:ascii="Calibri" w:eastAsia="Calibri" w:hAnsi="Calibri" w:cs="Calibri"/>
                <w:sz w:val="20"/>
                <w:szCs w:val="20"/>
              </w:rPr>
              <w:t>w</w:t>
            </w:r>
            <w:r>
              <w:rPr>
                <w:rFonts w:ascii="Calibri" w:eastAsia="Calibri" w:hAnsi="Calibri" w:cs="Calibri"/>
                <w:b/>
                <w:sz w:val="20"/>
                <w:szCs w:val="20"/>
              </w:rPr>
              <w:t> </w:t>
            </w:r>
            <w:r>
              <w:rPr>
                <w:rFonts w:ascii="Calibri" w:eastAsia="Calibri" w:hAnsi="Calibri" w:cs="Calibri"/>
                <w:sz w:val="20"/>
                <w:szCs w:val="20"/>
              </w:rPr>
              <w:t>szczególności dotyczy określenia celów projektu, określenia (w niektórych przypadkach również wyboru) alternatywnych sposobów realizacji projektu w oparciu o podsumowanie dotychczasowych prac oraz przygotowania wszystkich innych danych wejściowych niezbędnych do AKK.</w:t>
            </w:r>
          </w:p>
          <w:p w14:paraId="1693D563" w14:textId="77777777" w:rsidR="00600DEE" w:rsidRDefault="00641FB5">
            <w:pPr>
              <w:spacing w:after="120"/>
              <w:ind w:right="28"/>
              <w:jc w:val="both"/>
              <w:rPr>
                <w:rFonts w:ascii="Calibri" w:eastAsia="Calibri" w:hAnsi="Calibri" w:cs="Calibri"/>
                <w:sz w:val="20"/>
                <w:szCs w:val="20"/>
              </w:rPr>
            </w:pPr>
            <w:bookmarkStart w:id="12" w:name="_heading=h.1t3h5sf" w:colFirst="0" w:colLast="0"/>
            <w:bookmarkEnd w:id="12"/>
            <w:r>
              <w:rPr>
                <w:rFonts w:ascii="Calibri" w:eastAsia="Calibri" w:hAnsi="Calibri" w:cs="Calibri"/>
                <w:sz w:val="20"/>
                <w:szCs w:val="20"/>
              </w:rPr>
              <w:t>Nowością w niniejszej edycji podręcznika jest możliwość wykorzystania multimodalnego modelu ruchu jako podstawy do przeprowadzenia analizy AKK.</w:t>
            </w:r>
          </w:p>
          <w:p w14:paraId="406DE3B3"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W Fazie I podkreślono konieczność przedstawienia strategicznego i planistycznego kontekstu projektu, jak również odniesienie go do właściwych celów.</w:t>
            </w:r>
          </w:p>
          <w:p w14:paraId="52C519DD"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lastRenderedPageBreak/>
              <w:t xml:space="preserve">W ramach </w:t>
            </w:r>
            <w:r>
              <w:rPr>
                <w:rFonts w:ascii="Calibri" w:eastAsia="Calibri" w:hAnsi="Calibri" w:cs="Calibri"/>
                <w:b/>
                <w:sz w:val="20"/>
                <w:szCs w:val="20"/>
              </w:rPr>
              <w:t xml:space="preserve">fazy II i III </w:t>
            </w:r>
            <w:r>
              <w:rPr>
                <w:rFonts w:ascii="Calibri" w:eastAsia="Calibri" w:hAnsi="Calibri" w:cs="Calibri"/>
                <w:sz w:val="20"/>
                <w:szCs w:val="20"/>
              </w:rPr>
              <w:t>zasadność społeczno-ekonomiczna i efektywność finansowa projektu są wykazywane poprzez obliczenia wskaźników rentowności ekonomicznej i finansowej. Faza III (analiza finansowa) zawiera również wyliczenie wysokości dotacji UE, opis źródeł finansowania, jak również analizę trwałości finansowej projektu. Należy również przedstawić ramy instytucjonalne realizacji i eksploatacji projektu.</w:t>
            </w:r>
          </w:p>
          <w:p w14:paraId="6E7E0E8C"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 xml:space="preserve">W ramach </w:t>
            </w:r>
            <w:r>
              <w:rPr>
                <w:rFonts w:ascii="Calibri" w:eastAsia="Calibri" w:hAnsi="Calibri" w:cs="Calibri"/>
                <w:b/>
                <w:sz w:val="20"/>
                <w:szCs w:val="20"/>
              </w:rPr>
              <w:t>fazy IV</w:t>
            </w:r>
            <w:r>
              <w:rPr>
                <w:rFonts w:ascii="Calibri" w:eastAsia="Calibri" w:hAnsi="Calibri" w:cs="Calibri"/>
                <w:sz w:val="20"/>
                <w:szCs w:val="20"/>
              </w:rPr>
              <w:t>, kończącej analizę, przeprowadzane jest badanie wrażliwości wyników oraz ocena ryzyka związanego z projektem.</w:t>
            </w:r>
          </w:p>
        </w:tc>
        <w:tc>
          <w:tcPr>
            <w:tcW w:w="7286" w:type="dxa"/>
            <w:tcBorders>
              <w:left w:val="single" w:sz="4" w:space="0" w:color="000000"/>
            </w:tcBorders>
            <w:tcMar>
              <w:left w:w="284" w:type="dxa"/>
              <w:right w:w="284" w:type="dxa"/>
            </w:tcMar>
          </w:tcPr>
          <w:p w14:paraId="7500F3D6" w14:textId="5BF9E033"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lastRenderedPageBreak/>
              <w:t>It must be noted that the guidelines included in the present Manual refer solely to the preparation of CBA, which is one of several elements comrpising the project feasibility study.  Hence, this Manual does not include guidance for preparing the whole feasibility study. What it does is to point out related requirements (e.g. related to calculation of projects GHG emissions as part ofclimate resilience assessment</w:t>
            </w:r>
            <w:r w:rsidR="00F6627D">
              <w:rPr>
                <w:rStyle w:val="Odwoanieprzypisudolnego"/>
                <w:rFonts w:ascii="Calibri" w:eastAsia="Calibri" w:hAnsi="Calibri" w:cs="Calibri"/>
                <w:sz w:val="20"/>
                <w:szCs w:val="20"/>
                <w:lang w:val="en-GB"/>
              </w:rPr>
              <w:footnoteReference w:id="7"/>
            </w:r>
            <w:r w:rsidRPr="0045151D">
              <w:rPr>
                <w:rFonts w:ascii="Calibri" w:eastAsia="Calibri" w:hAnsi="Calibri" w:cs="Calibri"/>
                <w:sz w:val="20"/>
                <w:szCs w:val="20"/>
                <w:lang w:val="en-GB"/>
              </w:rPr>
              <w:t>) and good practices.</w:t>
            </w:r>
          </w:p>
          <w:p w14:paraId="409756FF"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Phases of identification and assessment of project options discussed in this manual are presented as Phase I and Phase II in Figure 2 below. </w:t>
            </w:r>
            <w:r w:rsidRPr="0045151D">
              <w:rPr>
                <w:rFonts w:ascii="Calibri" w:eastAsia="Calibri" w:hAnsi="Calibri" w:cs="Calibri"/>
                <w:b/>
                <w:sz w:val="20"/>
                <w:szCs w:val="20"/>
                <w:lang w:val="en-GB"/>
              </w:rPr>
              <w:t>Phase I</w:t>
            </w:r>
            <w:r w:rsidRPr="0045151D">
              <w:rPr>
                <w:rFonts w:ascii="Calibri" w:eastAsia="Calibri" w:hAnsi="Calibri" w:cs="Calibri"/>
                <w:sz w:val="20"/>
                <w:szCs w:val="20"/>
                <w:lang w:val="en-GB"/>
              </w:rPr>
              <w:t>, in particular, covers the definition of project objectives, the identification (and in some cases also selection) of project implementation alternatives based on the summary of previous works, and the preparation of all other inputs needed for the CBA.</w:t>
            </w:r>
          </w:p>
          <w:p w14:paraId="08F15107"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A novelty in the current edition of this manual is the possibility of application of a multimodal traffic model as CBA analysis basis.</w:t>
            </w:r>
          </w:p>
          <w:p w14:paraId="2CBE2B99"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In Phase I, the need to provide the Project strategic and planning context as well as its relation with respective objectives is highlighted. </w:t>
            </w:r>
          </w:p>
          <w:p w14:paraId="169B4CF3"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In </w:t>
            </w:r>
            <w:r w:rsidRPr="0045151D">
              <w:rPr>
                <w:rFonts w:ascii="Calibri" w:eastAsia="Calibri" w:hAnsi="Calibri" w:cs="Calibri"/>
                <w:b/>
                <w:sz w:val="20"/>
                <w:szCs w:val="20"/>
                <w:lang w:val="en-GB"/>
              </w:rPr>
              <w:t xml:space="preserve">Phase II </w:t>
            </w:r>
            <w:r w:rsidRPr="0045151D">
              <w:rPr>
                <w:rFonts w:ascii="Calibri" w:eastAsia="Calibri" w:hAnsi="Calibri" w:cs="Calibri"/>
                <w:sz w:val="20"/>
                <w:szCs w:val="20"/>
                <w:lang w:val="en-GB"/>
              </w:rPr>
              <w:t xml:space="preserve">and </w:t>
            </w:r>
            <w:r w:rsidRPr="0045151D">
              <w:rPr>
                <w:rFonts w:ascii="Calibri" w:eastAsia="Calibri" w:hAnsi="Calibri" w:cs="Calibri"/>
                <w:b/>
                <w:sz w:val="20"/>
                <w:szCs w:val="20"/>
                <w:lang w:val="en-GB"/>
              </w:rPr>
              <w:t xml:space="preserve">Phase III </w:t>
            </w:r>
            <w:r w:rsidRPr="0045151D">
              <w:rPr>
                <w:rFonts w:ascii="Calibri" w:eastAsia="Calibri" w:hAnsi="Calibri" w:cs="Calibri"/>
                <w:sz w:val="20"/>
                <w:szCs w:val="20"/>
                <w:lang w:val="en-GB"/>
              </w:rPr>
              <w:t xml:space="preserve">the socio-economic worthiness and the financial effectiveness/efficiency of the project are demonstrated by means of the </w:t>
            </w:r>
            <w:r w:rsidRPr="0045151D">
              <w:rPr>
                <w:rFonts w:ascii="Calibri" w:eastAsia="Calibri" w:hAnsi="Calibri" w:cs="Calibri"/>
                <w:sz w:val="20"/>
                <w:szCs w:val="20"/>
                <w:lang w:val="en-GB"/>
              </w:rPr>
              <w:lastRenderedPageBreak/>
              <w:t xml:space="preserve">calculation of economic and financial profitability indicators. Phase III (financial analysis) also includes the calculation of the EU grant and the description of the sources of funding, as well as an analysis of the financial sustainability of the project. The institutional framework of the project implementation and operation stage will also need to be presented. </w:t>
            </w:r>
          </w:p>
          <w:p w14:paraId="5EE3BAE0" w14:textId="77777777" w:rsidR="00600DEE" w:rsidRPr="0045151D" w:rsidRDefault="00641FB5">
            <w:pPr>
              <w:spacing w:after="120"/>
              <w:ind w:right="28"/>
              <w:jc w:val="both"/>
              <w:rPr>
                <w:rFonts w:ascii="Calibri" w:eastAsia="Calibri" w:hAnsi="Calibri" w:cs="Calibri"/>
                <w:sz w:val="20"/>
                <w:szCs w:val="20"/>
                <w:lang w:val="en-GB"/>
              </w:rPr>
            </w:pPr>
            <w:r w:rsidRPr="0045151D">
              <w:rPr>
                <w:rFonts w:ascii="Calibri" w:eastAsia="Calibri" w:hAnsi="Calibri" w:cs="Calibri"/>
                <w:b/>
                <w:sz w:val="20"/>
                <w:szCs w:val="20"/>
                <w:lang w:val="en-GB"/>
              </w:rPr>
              <w:t>Phase IV</w:t>
            </w:r>
            <w:r w:rsidRPr="0045151D">
              <w:rPr>
                <w:rFonts w:ascii="Calibri" w:eastAsia="Calibri" w:hAnsi="Calibri" w:cs="Calibri"/>
                <w:sz w:val="20"/>
                <w:szCs w:val="20"/>
                <w:lang w:val="en-GB"/>
              </w:rPr>
              <w:t xml:space="preserve"> concludes the analysis with the testing of the sensitivity of the results as well as an assessment of project risks.</w:t>
            </w:r>
          </w:p>
        </w:tc>
      </w:tr>
    </w:tbl>
    <w:p w14:paraId="48E416C5" w14:textId="77777777" w:rsidR="00600DEE" w:rsidRPr="0045151D" w:rsidRDefault="00600DEE">
      <w:pPr>
        <w:rPr>
          <w:rFonts w:ascii="Calibri" w:eastAsia="Calibri" w:hAnsi="Calibri" w:cs="Calibri"/>
          <w:b/>
          <w:color w:val="323299"/>
          <w:lang w:val="en-GB"/>
        </w:rPr>
      </w:pPr>
    </w:p>
    <w:p w14:paraId="714A5769" w14:textId="77777777" w:rsidR="00600DEE" w:rsidRPr="0045151D" w:rsidRDefault="00600DEE">
      <w:pPr>
        <w:rPr>
          <w:rFonts w:ascii="Calibri" w:eastAsia="Calibri" w:hAnsi="Calibri" w:cs="Calibri"/>
          <w:b/>
          <w:color w:val="323299"/>
          <w:lang w:val="en-GB"/>
        </w:rPr>
      </w:pPr>
    </w:p>
    <w:p w14:paraId="4C083ACC" w14:textId="16BBA19C" w:rsidR="00600DEE" w:rsidRPr="0045151D" w:rsidRDefault="00600DEE">
      <w:pPr>
        <w:rPr>
          <w:rFonts w:ascii="Calibri" w:eastAsia="Calibri" w:hAnsi="Calibri" w:cs="Calibri"/>
          <w:b/>
          <w:color w:val="323299"/>
          <w:lang w:val="en-GB"/>
        </w:rPr>
      </w:pPr>
    </w:p>
    <w:tbl>
      <w:tblPr>
        <w:tblStyle w:val="a2"/>
        <w:tblW w:w="15109" w:type="dxa"/>
        <w:tblLayout w:type="fixed"/>
        <w:tblLook w:val="0400" w:firstRow="0" w:lastRow="0" w:firstColumn="0" w:lastColumn="0" w:noHBand="0" w:noVBand="1"/>
      </w:tblPr>
      <w:tblGrid>
        <w:gridCol w:w="7565"/>
        <w:gridCol w:w="175"/>
        <w:gridCol w:w="7369"/>
      </w:tblGrid>
      <w:tr w:rsidR="00600DEE" w14:paraId="46B49E4D" w14:textId="77777777" w:rsidTr="00E12F72">
        <w:trPr>
          <w:trHeight w:val="10200"/>
        </w:trPr>
        <w:tc>
          <w:tcPr>
            <w:tcW w:w="7565" w:type="dxa"/>
            <w:tcBorders>
              <w:right w:val="single" w:sz="4" w:space="0" w:color="000000"/>
            </w:tcBorders>
            <w:tcMar>
              <w:left w:w="284" w:type="dxa"/>
              <w:right w:w="284" w:type="dxa"/>
            </w:tcMar>
          </w:tcPr>
          <w:p w14:paraId="72C4946D" w14:textId="70156D1F" w:rsidR="00600DEE" w:rsidRDefault="00641FB5">
            <w:pPr>
              <w:pBdr>
                <w:top w:val="nil"/>
                <w:left w:val="nil"/>
                <w:bottom w:val="nil"/>
                <w:right w:val="nil"/>
                <w:between w:val="nil"/>
              </w:pBdr>
              <w:jc w:val="both"/>
              <w:rPr>
                <w:rFonts w:ascii="Calibri" w:eastAsia="Calibri" w:hAnsi="Calibri" w:cs="Calibri"/>
                <w:b/>
                <w:color w:val="4F81BD"/>
                <w:sz w:val="20"/>
                <w:szCs w:val="20"/>
              </w:rPr>
            </w:pPr>
            <w:r>
              <w:rPr>
                <w:rFonts w:ascii="Calibri" w:eastAsia="Calibri" w:hAnsi="Calibri" w:cs="Calibri"/>
                <w:b/>
                <w:color w:val="4F81BD"/>
                <w:sz w:val="20"/>
                <w:szCs w:val="20"/>
              </w:rPr>
              <w:lastRenderedPageBreak/>
              <w:t>Rysunek 1. Schemat wykonywania analizy ekonomicznej i finansowej</w:t>
            </w:r>
          </w:p>
          <w:p w14:paraId="7A7EFE26" w14:textId="77777777" w:rsidR="00600DEE" w:rsidRDefault="00641FB5">
            <w:pPr>
              <w:spacing w:line="276" w:lineRule="auto"/>
              <w:ind w:right="170"/>
              <w:jc w:val="both"/>
              <w:rPr>
                <w:rFonts w:ascii="Calibri" w:eastAsia="Calibri" w:hAnsi="Calibri" w:cs="Calibri"/>
                <w:sz w:val="20"/>
                <w:szCs w:val="20"/>
              </w:rPr>
            </w:pPr>
            <w:r>
              <w:rPr>
                <w:noProof/>
                <w:lang w:eastAsia="pl-PL"/>
              </w:rPr>
              <mc:AlternateContent>
                <mc:Choice Requires="wps">
                  <w:drawing>
                    <wp:anchor distT="0" distB="0" distL="0" distR="0" simplePos="0" relativeHeight="251658240" behindDoc="1" locked="0" layoutInCell="1" hidden="0" allowOverlap="1" wp14:anchorId="39067025" wp14:editId="4708FDD4">
                      <wp:simplePos x="0" y="0"/>
                      <wp:positionH relativeFrom="column">
                        <wp:posOffset>2971800</wp:posOffset>
                      </wp:positionH>
                      <wp:positionV relativeFrom="paragraph">
                        <wp:posOffset>88900</wp:posOffset>
                      </wp:positionV>
                      <wp:extent cx="1440180" cy="307340"/>
                      <wp:effectExtent l="0" t="0" r="0" b="0"/>
                      <wp:wrapNone/>
                      <wp:docPr id="502" name="Prostokąt 502"/>
                      <wp:cNvGraphicFramePr/>
                      <a:graphic xmlns:a="http://schemas.openxmlformats.org/drawingml/2006/main">
                        <a:graphicData uri="http://schemas.microsoft.com/office/word/2010/wordprocessingShape">
                          <wps:wsp>
                            <wps:cNvSpPr/>
                            <wps:spPr>
                              <a:xfrm>
                                <a:off x="4630673" y="3631093"/>
                                <a:ext cx="1430655" cy="297815"/>
                              </a:xfrm>
                              <a:prstGeom prst="rect">
                                <a:avLst/>
                              </a:prstGeom>
                              <a:noFill/>
                              <a:ln>
                                <a:noFill/>
                              </a:ln>
                            </wps:spPr>
                            <wps:txbx>
                              <w:txbxContent>
                                <w:p w14:paraId="6DB6129A" w14:textId="77777777" w:rsidR="007463B9" w:rsidRDefault="007463B9">
                                  <w:pPr>
                                    <w:jc w:val="center"/>
                                    <w:textDirection w:val="btLr"/>
                                  </w:pPr>
                                  <w:r>
                                    <w:rPr>
                                      <w:rFonts w:ascii="Calibri" w:eastAsia="Calibri" w:hAnsi="Calibri" w:cs="Calibri"/>
                                      <w:b/>
                                      <w:i/>
                                      <w:color w:val="000000"/>
                                      <w:sz w:val="18"/>
                                    </w:rPr>
                                    <w:t>WYBÓR PROJEKTU</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067025" id="Prostokąt 502" o:spid="_x0000_s1026" style="position:absolute;left:0;text-align:left;margin-left:234pt;margin-top:7pt;width:113.4pt;height:24.2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" filled="f" stroked="f">
                      <v:textbox inset="2.53958mm,1.2694mm,2.53958mm,1.2694mm">
                        <w:txbxContent>
                          <w:p w14:paraId="6DB6129A" w14:textId="77777777" w:rsidR="007463B9" w:rsidRDefault="007463B9">
                            <w:pPr>
                              <w:jc w:val="center"/>
                              <w:textDirection w:val="btLr"/>
                            </w:pPr>
                            <w:r>
                              <w:rPr>
                                <w:rFonts w:ascii="Calibri" w:eastAsia="Calibri" w:hAnsi="Calibri" w:cs="Calibri"/>
                                <w:b/>
                                <w:i/>
                                <w:color w:val="000000"/>
                                <w:sz w:val="18"/>
                              </w:rPr>
                              <w:t>WYBÓR PROJEKTU</w:t>
                            </w:r>
                          </w:p>
                        </w:txbxContent>
                      </v:textbox>
                    </v:rect>
                  </w:pict>
                </mc:Fallback>
              </mc:AlternateContent>
            </w:r>
          </w:p>
          <w:p w14:paraId="74E8EF03" w14:textId="77777777" w:rsidR="00600DEE" w:rsidRDefault="00641FB5">
            <w:pPr>
              <w:rPr>
                <w:rFonts w:ascii="Calibri" w:eastAsia="Calibri" w:hAnsi="Calibri" w:cs="Calibri"/>
                <w:sz w:val="20"/>
                <w:szCs w:val="20"/>
              </w:rPr>
            </w:pPr>
            <w:r>
              <w:rPr>
                <w:rFonts w:ascii="Calibri" w:eastAsia="Calibri" w:hAnsi="Calibri" w:cs="Calibri"/>
                <w:b/>
                <w:color w:val="333399"/>
                <w:sz w:val="32"/>
                <w:szCs w:val="32"/>
              </w:rPr>
              <w:t xml:space="preserve">           </w:t>
            </w:r>
            <w:r>
              <w:rPr>
                <w:noProof/>
                <w:lang w:eastAsia="pl-PL"/>
              </w:rPr>
              <mc:AlternateContent>
                <mc:Choice Requires="wpg">
                  <w:drawing>
                    <wp:anchor distT="0" distB="0" distL="114300" distR="114300" simplePos="0" relativeHeight="251659264" behindDoc="0" locked="0" layoutInCell="1" hidden="0" allowOverlap="1" wp14:anchorId="3EFE854F" wp14:editId="454CF2A1">
                      <wp:simplePos x="0" y="0"/>
                      <wp:positionH relativeFrom="column">
                        <wp:posOffset>1016000</wp:posOffset>
                      </wp:positionH>
                      <wp:positionV relativeFrom="paragraph">
                        <wp:posOffset>139700</wp:posOffset>
                      </wp:positionV>
                      <wp:extent cx="515286" cy="12700"/>
                      <wp:effectExtent l="0" t="0" r="0" b="0"/>
                      <wp:wrapNone/>
                      <wp:docPr id="481" name="Łącznik prosty ze strzałką 481"/>
                      <wp:cNvGraphicFramePr/>
                      <a:graphic xmlns:a="http://schemas.openxmlformats.org/drawingml/2006/main">
                        <a:graphicData uri="http://schemas.microsoft.com/office/word/2010/wordprocessingShape">
                          <wps:wsp>
                            <wps:cNvCnPr/>
                            <wps:spPr>
                              <a:xfrm>
                                <a:off x="5088357" y="3780000"/>
                                <a:ext cx="515286"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1016000</wp:posOffset>
                      </wp:positionH>
                      <wp:positionV relativeFrom="paragraph">
                        <wp:posOffset>139700</wp:posOffset>
                      </wp:positionV>
                      <wp:extent cx="515286" cy="12700"/>
                      <wp:effectExtent b="0" l="0" r="0" t="0"/>
                      <wp:wrapNone/>
                      <wp:docPr id="481" name="image37.png"/>
                      <a:graphic>
                        <a:graphicData uri="http://schemas.openxmlformats.org/drawingml/2006/picture">
                          <pic:pic>
                            <pic:nvPicPr>
                              <pic:cNvPr id="0" name="image37.png"/>
                              <pic:cNvPicPr preferRelativeResize="0"/>
                            </pic:nvPicPr>
                            <pic:blipFill>
                              <a:blip r:embed="rId52"/>
                              <a:srcRect/>
                              <a:stretch>
                                <a:fillRect/>
                              </a:stretch>
                            </pic:blipFill>
                            <pic:spPr>
                              <a:xfrm>
                                <a:off x="0" y="0"/>
                                <a:ext cx="515286" cy="12700"/>
                              </a:xfrm>
                              <a:prstGeom prst="rect"/>
                              <a:ln/>
                            </pic:spPr>
                          </pic:pic>
                        </a:graphicData>
                      </a:graphic>
                    </wp:anchor>
                  </w:drawing>
                </mc:Fallback>
              </mc:AlternateContent>
            </w:r>
            <w:r>
              <w:rPr>
                <w:noProof/>
                <w:lang w:eastAsia="pl-PL"/>
              </w:rPr>
              <mc:AlternateContent>
                <mc:Choice Requires="wps">
                  <w:drawing>
                    <wp:anchor distT="0" distB="0" distL="114300" distR="114300" simplePos="0" relativeHeight="251660288" behindDoc="0" locked="0" layoutInCell="1" hidden="0" allowOverlap="1" wp14:anchorId="3404D68B" wp14:editId="38A753FC">
                      <wp:simplePos x="0" y="0"/>
                      <wp:positionH relativeFrom="column">
                        <wp:posOffset>1460500</wp:posOffset>
                      </wp:positionH>
                      <wp:positionV relativeFrom="paragraph">
                        <wp:posOffset>25400</wp:posOffset>
                      </wp:positionV>
                      <wp:extent cx="1568450" cy="320675"/>
                      <wp:effectExtent l="0" t="0" r="0" b="0"/>
                      <wp:wrapNone/>
                      <wp:docPr id="499" name="Prostokąt 499"/>
                      <wp:cNvGraphicFramePr/>
                      <a:graphic xmlns:a="http://schemas.openxmlformats.org/drawingml/2006/main">
                        <a:graphicData uri="http://schemas.microsoft.com/office/word/2010/wordprocessingShape">
                          <wps:wsp>
                            <wps:cNvSpPr/>
                            <wps:spPr>
                              <a:xfrm>
                                <a:off x="4574475" y="3632363"/>
                                <a:ext cx="1543050" cy="295275"/>
                              </a:xfrm>
                              <a:prstGeom prst="rect">
                                <a:avLst/>
                              </a:prstGeom>
                              <a:solidFill>
                                <a:schemeClr val="accent1"/>
                              </a:solidFill>
                              <a:ln w="25400" cap="flat" cmpd="sng">
                                <a:solidFill>
                                  <a:srgbClr val="395E89"/>
                                </a:solidFill>
                                <a:prstDash val="solid"/>
                                <a:round/>
                                <a:headEnd type="none" w="sm" len="sm"/>
                                <a:tailEnd type="none" w="sm" len="sm"/>
                              </a:ln>
                            </wps:spPr>
                            <wps:txbx>
                              <w:txbxContent>
                                <w:p w14:paraId="4E897361" w14:textId="77777777" w:rsidR="007463B9" w:rsidRDefault="007463B9">
                                  <w:pPr>
                                    <w:jc w:val="center"/>
                                    <w:textDirection w:val="btLr"/>
                                  </w:pPr>
                                  <w:r>
                                    <w:rPr>
                                      <w:rFonts w:ascii="Calibri" w:eastAsia="Calibri" w:hAnsi="Calibri" w:cs="Calibri"/>
                                      <w:b/>
                                      <w:color w:val="000000"/>
                                      <w:sz w:val="20"/>
                                    </w:rPr>
                                    <w:t>Analiza Ekonomiczna</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04D68B" id="Prostokąt 499" o:spid="_x0000_s1027" style="position:absolute;margin-left:115pt;margin-top:2pt;width:123.5pt;height:25.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" fillcolor="#4f81bd [3204]" strokecolor="#395e89" strokeweight="2pt">
                      <v:stroke startarrowwidth="narrow" startarrowlength="short" endarrowwidth="narrow" endarrowlength="short" joinstyle="round"/>
                      <v:textbox inset="2.53958mm,1.2694mm,2.53958mm,1.2694mm">
                        <w:txbxContent>
                          <w:p w14:paraId="4E897361" w14:textId="77777777" w:rsidR="007463B9" w:rsidRDefault="007463B9">
                            <w:pPr>
                              <w:jc w:val="center"/>
                              <w:textDirection w:val="btLr"/>
                            </w:pPr>
                            <w:r>
                              <w:rPr>
                                <w:rFonts w:ascii="Calibri" w:eastAsia="Calibri" w:hAnsi="Calibri" w:cs="Calibri"/>
                                <w:b/>
                                <w:color w:val="000000"/>
                                <w:sz w:val="20"/>
                              </w:rPr>
                              <w:t>Analiza Ekonomiczna</w:t>
                            </w:r>
                          </w:p>
                        </w:txbxContent>
                      </v:textbox>
                    </v:rect>
                  </w:pict>
                </mc:Fallback>
              </mc:AlternateContent>
            </w:r>
          </w:p>
          <w:p w14:paraId="272645FF" w14:textId="77777777" w:rsidR="00600DEE" w:rsidRDefault="00641FB5">
            <w:pPr>
              <w:tabs>
                <w:tab w:val="left" w:pos="5528"/>
              </w:tabs>
              <w:spacing w:before="240" w:after="360" w:line="276" w:lineRule="auto"/>
              <w:jc w:val="both"/>
              <w:rPr>
                <w:rFonts w:ascii="Calibri" w:eastAsia="Calibri" w:hAnsi="Calibri" w:cs="Calibri"/>
                <w:b/>
                <w:color w:val="333399"/>
                <w:sz w:val="32"/>
                <w:szCs w:val="32"/>
              </w:rPr>
            </w:pPr>
            <w:r>
              <w:rPr>
                <w:rFonts w:ascii="Calibri" w:eastAsia="Calibri" w:hAnsi="Calibri" w:cs="Calibri"/>
                <w:b/>
                <w:color w:val="333399"/>
                <w:sz w:val="32"/>
                <w:szCs w:val="32"/>
              </w:rPr>
              <w:tab/>
            </w:r>
            <w:r>
              <w:rPr>
                <w:noProof/>
                <w:lang w:eastAsia="pl-PL"/>
              </w:rPr>
              <mc:AlternateContent>
                <mc:Choice Requires="wpg">
                  <w:drawing>
                    <wp:anchor distT="0" distB="0" distL="0" distR="0" simplePos="0" relativeHeight="251661312" behindDoc="1" locked="0" layoutInCell="1" hidden="0" allowOverlap="1" wp14:anchorId="064DBAF3" wp14:editId="6F09ABEE">
                      <wp:simplePos x="0" y="0"/>
                      <wp:positionH relativeFrom="column">
                        <wp:posOffset>2921000</wp:posOffset>
                      </wp:positionH>
                      <wp:positionV relativeFrom="paragraph">
                        <wp:posOffset>12700</wp:posOffset>
                      </wp:positionV>
                      <wp:extent cx="514985" cy="12700"/>
                      <wp:effectExtent l="0" t="0" r="0" b="0"/>
                      <wp:wrapNone/>
                      <wp:docPr id="498" name="Łącznik prosty ze strzałką 498"/>
                      <wp:cNvGraphicFramePr/>
                      <a:graphic xmlns:a="http://schemas.openxmlformats.org/drawingml/2006/main">
                        <a:graphicData uri="http://schemas.microsoft.com/office/word/2010/wordprocessingShape">
                          <wps:wsp>
                            <wps:cNvCnPr/>
                            <wps:spPr>
                              <a:xfrm>
                                <a:off x="5088508" y="3780000"/>
                                <a:ext cx="51498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1" distB="0" distT="0" distL="0" distR="0" hidden="0" layoutInCell="1" locked="0" relativeHeight="0" simplePos="0">
                      <wp:simplePos x="0" y="0"/>
                      <wp:positionH relativeFrom="column">
                        <wp:posOffset>2921000</wp:posOffset>
                      </wp:positionH>
                      <wp:positionV relativeFrom="paragraph">
                        <wp:posOffset>12700</wp:posOffset>
                      </wp:positionV>
                      <wp:extent cx="514985" cy="12700"/>
                      <wp:effectExtent b="0" l="0" r="0" t="0"/>
                      <wp:wrapNone/>
                      <wp:docPr id="498" name="image56.png"/>
                      <a:graphic>
                        <a:graphicData uri="http://schemas.openxmlformats.org/drawingml/2006/picture">
                          <pic:pic>
                            <pic:nvPicPr>
                              <pic:cNvPr id="0" name="image56.png"/>
                              <pic:cNvPicPr preferRelativeResize="0"/>
                            </pic:nvPicPr>
                            <pic:blipFill>
                              <a:blip r:embed="rId54"/>
                              <a:srcRect/>
                              <a:stretch>
                                <a:fillRect/>
                              </a:stretch>
                            </pic:blipFill>
                            <pic:spPr>
                              <a:xfrm>
                                <a:off x="0" y="0"/>
                                <a:ext cx="514985" cy="12700"/>
                              </a:xfrm>
                              <a:prstGeom prst="rect"/>
                              <a:ln/>
                            </pic:spPr>
                          </pic:pic>
                        </a:graphicData>
                      </a:graphic>
                    </wp:anchor>
                  </w:drawing>
                </mc:Fallback>
              </mc:AlternateContent>
            </w:r>
            <w:r>
              <w:rPr>
                <w:noProof/>
                <w:lang w:eastAsia="pl-PL"/>
              </w:rPr>
              <mc:AlternateContent>
                <mc:Choice Requires="wps">
                  <w:drawing>
                    <wp:anchor distT="0" distB="0" distL="114300" distR="114300" simplePos="0" relativeHeight="251662336" behindDoc="0" locked="0" layoutInCell="1" hidden="0" allowOverlap="1" wp14:anchorId="6115B761" wp14:editId="1928F010">
                      <wp:simplePos x="0" y="0"/>
                      <wp:positionH relativeFrom="column">
                        <wp:posOffset>2324100</wp:posOffset>
                      </wp:positionH>
                      <wp:positionV relativeFrom="paragraph">
                        <wp:posOffset>342900</wp:posOffset>
                      </wp:positionV>
                      <wp:extent cx="1717040" cy="683895"/>
                      <wp:effectExtent l="0" t="0" r="0" b="0"/>
                      <wp:wrapNone/>
                      <wp:docPr id="516" name="Prostokąt 516"/>
                      <wp:cNvGraphicFramePr/>
                      <a:graphic xmlns:a="http://schemas.openxmlformats.org/drawingml/2006/main">
                        <a:graphicData uri="http://schemas.microsoft.com/office/word/2010/wordprocessingShape">
                          <wps:wsp>
                            <wps:cNvSpPr/>
                            <wps:spPr>
                              <a:xfrm>
                                <a:off x="4492243" y="3442815"/>
                                <a:ext cx="1707515" cy="674370"/>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77757CB1" w14:textId="77777777" w:rsidR="007463B9" w:rsidRDefault="007463B9">
                                  <w:pPr>
                                    <w:spacing w:after="120"/>
                                    <w:jc w:val="center"/>
                                    <w:textDirection w:val="btLr"/>
                                  </w:pPr>
                                  <w:r>
                                    <w:rPr>
                                      <w:rFonts w:ascii="Calibri" w:eastAsia="Calibri" w:hAnsi="Calibri" w:cs="Calibri"/>
                                      <w:b/>
                                      <w:color w:val="000000"/>
                                      <w:sz w:val="20"/>
                                    </w:rPr>
                                    <w:t>ENPV&lt;0</w:t>
                                  </w:r>
                                </w:p>
                                <w:p w14:paraId="713D7FC5" w14:textId="77777777" w:rsidR="007463B9" w:rsidRDefault="007463B9">
                                  <w:pPr>
                                    <w:spacing w:after="120"/>
                                    <w:jc w:val="center"/>
                                    <w:textDirection w:val="btLr"/>
                                  </w:pPr>
                                  <w:r>
                                    <w:rPr>
                                      <w:rFonts w:ascii="Calibri" w:eastAsia="Calibri" w:hAnsi="Calibri" w:cs="Calibri"/>
                                      <w:color w:val="231F20"/>
                                      <w:sz w:val="18"/>
                                    </w:rPr>
                                    <w:t>Projekt nie generuje korzyści ekonomicznych netto.</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115B761" id="Prostokąt 516" o:spid="_x0000_s1028" style="position:absolute;left:0;text-align:left;margin-left:183pt;margin-top:27pt;width:135.2pt;height:53.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" fillcolor="#dae5f1" stroked="f">
                      <v:shadow on="t" opacity="25956f" origin="-.5,-.5" offset=".74836mm,.74836mm"/>
                      <v:textbox inset="2.53958mm,1.2694mm,2.53958mm,1.2694mm">
                        <w:txbxContent>
                          <w:p w14:paraId="77757CB1" w14:textId="77777777" w:rsidR="007463B9" w:rsidRDefault="007463B9">
                            <w:pPr>
                              <w:spacing w:after="120"/>
                              <w:jc w:val="center"/>
                              <w:textDirection w:val="btLr"/>
                            </w:pPr>
                            <w:r>
                              <w:rPr>
                                <w:rFonts w:ascii="Calibri" w:eastAsia="Calibri" w:hAnsi="Calibri" w:cs="Calibri"/>
                                <w:b/>
                                <w:color w:val="000000"/>
                                <w:sz w:val="20"/>
                              </w:rPr>
                              <w:t>ENPV&lt;0</w:t>
                            </w:r>
                          </w:p>
                          <w:p w14:paraId="713D7FC5" w14:textId="77777777" w:rsidR="007463B9" w:rsidRDefault="007463B9">
                            <w:pPr>
                              <w:spacing w:after="120"/>
                              <w:jc w:val="center"/>
                              <w:textDirection w:val="btLr"/>
                            </w:pPr>
                            <w:r>
                              <w:rPr>
                                <w:rFonts w:ascii="Calibri" w:eastAsia="Calibri" w:hAnsi="Calibri" w:cs="Calibri"/>
                                <w:color w:val="231F20"/>
                                <w:sz w:val="18"/>
                              </w:rPr>
                              <w:t>Projekt nie generuje korzyści ekonomicznych netto.</w:t>
                            </w:r>
                          </w:p>
                        </w:txbxContent>
                      </v:textbox>
                    </v:rect>
                  </w:pict>
                </mc:Fallback>
              </mc:AlternateContent>
            </w:r>
            <w:r>
              <w:rPr>
                <w:noProof/>
                <w:lang w:eastAsia="pl-PL"/>
              </w:rPr>
              <mc:AlternateContent>
                <mc:Choice Requires="wps">
                  <w:drawing>
                    <wp:anchor distT="0" distB="0" distL="114300" distR="114300" simplePos="0" relativeHeight="251663360" behindDoc="0" locked="0" layoutInCell="1" hidden="0" allowOverlap="1" wp14:anchorId="528E57E6" wp14:editId="39CEF456">
                      <wp:simplePos x="0" y="0"/>
                      <wp:positionH relativeFrom="column">
                        <wp:posOffset>1511300</wp:posOffset>
                      </wp:positionH>
                      <wp:positionV relativeFrom="paragraph">
                        <wp:posOffset>1079500</wp:posOffset>
                      </wp:positionV>
                      <wp:extent cx="1482725" cy="320675"/>
                      <wp:effectExtent l="0" t="0" r="0" b="0"/>
                      <wp:wrapNone/>
                      <wp:docPr id="524" name="Prostokąt 524"/>
                      <wp:cNvGraphicFramePr/>
                      <a:graphic xmlns:a="http://schemas.openxmlformats.org/drawingml/2006/main">
                        <a:graphicData uri="http://schemas.microsoft.com/office/word/2010/wordprocessingShape">
                          <wps:wsp>
                            <wps:cNvSpPr/>
                            <wps:spPr>
                              <a:xfrm>
                                <a:off x="4617338" y="3632363"/>
                                <a:ext cx="1457325" cy="295275"/>
                              </a:xfrm>
                              <a:prstGeom prst="rect">
                                <a:avLst/>
                              </a:prstGeom>
                              <a:solidFill>
                                <a:schemeClr val="accent1"/>
                              </a:solidFill>
                              <a:ln w="25400" cap="flat" cmpd="sng">
                                <a:solidFill>
                                  <a:srgbClr val="395E89"/>
                                </a:solidFill>
                                <a:prstDash val="solid"/>
                                <a:round/>
                                <a:headEnd type="none" w="sm" len="sm"/>
                                <a:tailEnd type="none" w="sm" len="sm"/>
                              </a:ln>
                            </wps:spPr>
                            <wps:txbx>
                              <w:txbxContent>
                                <w:p w14:paraId="56D44870" w14:textId="77777777" w:rsidR="007463B9" w:rsidRDefault="007463B9">
                                  <w:pPr>
                                    <w:jc w:val="center"/>
                                    <w:textDirection w:val="btLr"/>
                                  </w:pPr>
                                  <w:r>
                                    <w:rPr>
                                      <w:rFonts w:ascii="Calibri" w:eastAsia="Calibri" w:hAnsi="Calibri" w:cs="Calibri"/>
                                      <w:b/>
                                      <w:color w:val="000000"/>
                                      <w:sz w:val="20"/>
                                    </w:rPr>
                                    <w:t>Analiza Finansowa</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8E57E6" id="Prostokąt 524" o:spid="_x0000_s1029" style="position:absolute;left:0;text-align:left;margin-left:119pt;margin-top:85pt;width:116.75pt;height:25.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" fillcolor="#4f81bd [3204]" strokecolor="#395e89" strokeweight="2pt">
                      <v:stroke startarrowwidth="narrow" startarrowlength="short" endarrowwidth="narrow" endarrowlength="short" joinstyle="round"/>
                      <v:textbox inset="2.53958mm,1.2694mm,2.53958mm,1.2694mm">
                        <w:txbxContent>
                          <w:p w14:paraId="56D44870" w14:textId="77777777" w:rsidR="007463B9" w:rsidRDefault="007463B9">
                            <w:pPr>
                              <w:jc w:val="center"/>
                              <w:textDirection w:val="btLr"/>
                            </w:pPr>
                            <w:r>
                              <w:rPr>
                                <w:rFonts w:ascii="Calibri" w:eastAsia="Calibri" w:hAnsi="Calibri" w:cs="Calibri"/>
                                <w:b/>
                                <w:color w:val="000000"/>
                                <w:sz w:val="20"/>
                              </w:rPr>
                              <w:t>Analiza Finansowa</w:t>
                            </w:r>
                          </w:p>
                        </w:txbxContent>
                      </v:textbox>
                    </v:rect>
                  </w:pict>
                </mc:Fallback>
              </mc:AlternateContent>
            </w:r>
            <w:r>
              <w:rPr>
                <w:noProof/>
                <w:lang w:eastAsia="pl-PL"/>
              </w:rPr>
              <mc:AlternateContent>
                <mc:Choice Requires="wpg">
                  <w:drawing>
                    <wp:anchor distT="4294967293" distB="4294967293" distL="114300" distR="114300" simplePos="0" relativeHeight="251664384" behindDoc="0" locked="0" layoutInCell="1" hidden="0" allowOverlap="1" wp14:anchorId="538062A7" wp14:editId="7F559195">
                      <wp:simplePos x="0" y="0"/>
                      <wp:positionH relativeFrom="column">
                        <wp:posOffset>317500</wp:posOffset>
                      </wp:positionH>
                      <wp:positionV relativeFrom="paragraph">
                        <wp:posOffset>1186194</wp:posOffset>
                      </wp:positionV>
                      <wp:extent cx="1200150" cy="12700"/>
                      <wp:effectExtent l="0" t="0" r="0" b="0"/>
                      <wp:wrapNone/>
                      <wp:docPr id="529" name="Łącznik prosty ze strzałką 529"/>
                      <wp:cNvGraphicFramePr/>
                      <a:graphic xmlns:a="http://schemas.openxmlformats.org/drawingml/2006/main">
                        <a:graphicData uri="http://schemas.microsoft.com/office/word/2010/wordprocessingShape">
                          <wps:wsp>
                            <wps:cNvCnPr/>
                            <wps:spPr>
                              <a:xfrm>
                                <a:off x="4745925" y="3780000"/>
                                <a:ext cx="1200150" cy="0"/>
                              </a:xfrm>
                              <a:prstGeom prst="straightConnector1">
                                <a:avLst/>
                              </a:prstGeom>
                              <a:noFill/>
                              <a:ln w="9525" cap="flat" cmpd="sng">
                                <a:solidFill>
                                  <a:srgbClr val="000000"/>
                                </a:solidFill>
                                <a:prstDash val="dash"/>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4294967293" distT="4294967293" distL="114300" distR="114300" hidden="0" layoutInCell="1" locked="0" relativeHeight="0" simplePos="0">
                      <wp:simplePos x="0" y="0"/>
                      <wp:positionH relativeFrom="column">
                        <wp:posOffset>317500</wp:posOffset>
                      </wp:positionH>
                      <wp:positionV relativeFrom="paragraph">
                        <wp:posOffset>1186194</wp:posOffset>
                      </wp:positionV>
                      <wp:extent cx="1200150" cy="12700"/>
                      <wp:effectExtent b="0" l="0" r="0" t="0"/>
                      <wp:wrapNone/>
                      <wp:docPr id="529" name="image93.png"/>
                      <a:graphic>
                        <a:graphicData uri="http://schemas.openxmlformats.org/drawingml/2006/picture">
                          <pic:pic>
                            <pic:nvPicPr>
                              <pic:cNvPr id="0" name="image93.png"/>
                              <pic:cNvPicPr preferRelativeResize="0"/>
                            </pic:nvPicPr>
                            <pic:blipFill>
                              <a:blip r:embed="rId57"/>
                              <a:srcRect/>
                              <a:stretch>
                                <a:fillRect/>
                              </a:stretch>
                            </pic:blipFill>
                            <pic:spPr>
                              <a:xfrm>
                                <a:off x="0" y="0"/>
                                <a:ext cx="1200150" cy="12700"/>
                              </a:xfrm>
                              <a:prstGeom prst="rect"/>
                              <a:ln/>
                            </pic:spPr>
                          </pic:pic>
                        </a:graphicData>
                      </a:graphic>
                    </wp:anchor>
                  </w:drawing>
                </mc:Fallback>
              </mc:AlternateContent>
            </w:r>
            <w:r>
              <w:rPr>
                <w:noProof/>
                <w:lang w:eastAsia="pl-PL"/>
              </w:rPr>
              <mc:AlternateContent>
                <mc:Choice Requires="wpg">
                  <w:drawing>
                    <wp:anchor distT="4294967293" distB="4294967293" distL="114300" distR="114300" simplePos="0" relativeHeight="251665408" behindDoc="0" locked="0" layoutInCell="1" hidden="0" allowOverlap="1" wp14:anchorId="10BEF712" wp14:editId="09191D6C">
                      <wp:simplePos x="0" y="0"/>
                      <wp:positionH relativeFrom="column">
                        <wp:posOffset>2984500</wp:posOffset>
                      </wp:positionH>
                      <wp:positionV relativeFrom="paragraph">
                        <wp:posOffset>1186194</wp:posOffset>
                      </wp:positionV>
                      <wp:extent cx="1200150" cy="12700"/>
                      <wp:effectExtent l="0" t="0" r="0" b="0"/>
                      <wp:wrapNone/>
                      <wp:docPr id="476" name="Łącznik prosty ze strzałką 476"/>
                      <wp:cNvGraphicFramePr/>
                      <a:graphic xmlns:a="http://schemas.openxmlformats.org/drawingml/2006/main">
                        <a:graphicData uri="http://schemas.microsoft.com/office/word/2010/wordprocessingShape">
                          <wps:wsp>
                            <wps:cNvCnPr/>
                            <wps:spPr>
                              <a:xfrm>
                                <a:off x="4745925" y="3780000"/>
                                <a:ext cx="1200150" cy="0"/>
                              </a:xfrm>
                              <a:prstGeom prst="straightConnector1">
                                <a:avLst/>
                              </a:prstGeom>
                              <a:noFill/>
                              <a:ln w="9525" cap="flat" cmpd="sng">
                                <a:solidFill>
                                  <a:srgbClr val="000000"/>
                                </a:solidFill>
                                <a:prstDash val="dash"/>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4294967293" distT="4294967293" distL="114300" distR="114300" hidden="0" layoutInCell="1" locked="0" relativeHeight="0" simplePos="0">
                      <wp:simplePos x="0" y="0"/>
                      <wp:positionH relativeFrom="column">
                        <wp:posOffset>2984500</wp:posOffset>
                      </wp:positionH>
                      <wp:positionV relativeFrom="paragraph">
                        <wp:posOffset>1186194</wp:posOffset>
                      </wp:positionV>
                      <wp:extent cx="1200150" cy="12700"/>
                      <wp:effectExtent b="0" l="0" r="0" t="0"/>
                      <wp:wrapNone/>
                      <wp:docPr id="476" name="image32.png"/>
                      <a:graphic>
                        <a:graphicData uri="http://schemas.openxmlformats.org/drawingml/2006/picture">
                          <pic:pic>
                            <pic:nvPicPr>
                              <pic:cNvPr id="0" name="image32.png"/>
                              <pic:cNvPicPr preferRelativeResize="0"/>
                            </pic:nvPicPr>
                            <pic:blipFill>
                              <a:blip r:embed="rId58"/>
                              <a:srcRect/>
                              <a:stretch>
                                <a:fillRect/>
                              </a:stretch>
                            </pic:blipFill>
                            <pic:spPr>
                              <a:xfrm>
                                <a:off x="0" y="0"/>
                                <a:ext cx="1200150" cy="12700"/>
                              </a:xfrm>
                              <a:prstGeom prst="rect"/>
                              <a:ln/>
                            </pic:spPr>
                          </pic:pic>
                        </a:graphicData>
                      </a:graphic>
                    </wp:anchor>
                  </w:drawing>
                </mc:Fallback>
              </mc:AlternateContent>
            </w:r>
            <w:r>
              <w:rPr>
                <w:noProof/>
                <w:lang w:eastAsia="pl-PL"/>
              </w:rPr>
              <mc:AlternateContent>
                <mc:Choice Requires="wps">
                  <w:drawing>
                    <wp:anchor distT="0" distB="0" distL="114300" distR="114300" simplePos="0" relativeHeight="251666432" behindDoc="0" locked="0" layoutInCell="1" hidden="0" allowOverlap="1" wp14:anchorId="238A6E56" wp14:editId="10B79244">
                      <wp:simplePos x="0" y="0"/>
                      <wp:positionH relativeFrom="column">
                        <wp:posOffset>279400</wp:posOffset>
                      </wp:positionH>
                      <wp:positionV relativeFrom="paragraph">
                        <wp:posOffset>342900</wp:posOffset>
                      </wp:positionV>
                      <wp:extent cx="1717040" cy="683895"/>
                      <wp:effectExtent l="0" t="0" r="0" b="0"/>
                      <wp:wrapNone/>
                      <wp:docPr id="464" name="Prostokąt 464"/>
                      <wp:cNvGraphicFramePr/>
                      <a:graphic xmlns:a="http://schemas.openxmlformats.org/drawingml/2006/main">
                        <a:graphicData uri="http://schemas.microsoft.com/office/word/2010/wordprocessingShape">
                          <wps:wsp>
                            <wps:cNvSpPr/>
                            <wps:spPr>
                              <a:xfrm>
                                <a:off x="4492243" y="3442815"/>
                                <a:ext cx="1707515" cy="674370"/>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7AAB38DB" w14:textId="77777777" w:rsidR="007463B9" w:rsidRDefault="007463B9">
                                  <w:pPr>
                                    <w:spacing w:after="120"/>
                                    <w:jc w:val="center"/>
                                    <w:textDirection w:val="btLr"/>
                                  </w:pPr>
                                  <w:r>
                                    <w:rPr>
                                      <w:rFonts w:ascii="Calibri" w:eastAsia="Calibri" w:hAnsi="Calibri" w:cs="Calibri"/>
                                      <w:b/>
                                      <w:color w:val="000000"/>
                                      <w:sz w:val="20"/>
                                    </w:rPr>
                                    <w:t>ENPV&lt;0</w:t>
                                  </w:r>
                                </w:p>
                                <w:p w14:paraId="15B12365" w14:textId="77777777" w:rsidR="007463B9" w:rsidRDefault="007463B9">
                                  <w:pPr>
                                    <w:spacing w:after="120"/>
                                    <w:jc w:val="center"/>
                                    <w:textDirection w:val="btLr"/>
                                  </w:pPr>
                                  <w:r>
                                    <w:rPr>
                                      <w:rFonts w:ascii="Calibri" w:eastAsia="Calibri" w:hAnsi="Calibri" w:cs="Calibri"/>
                                      <w:color w:val="231F20"/>
                                      <w:sz w:val="18"/>
                                    </w:rPr>
                                    <w:t>Projekt generuje korzyści ekonomiczne netto.</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38A6E56" id="Prostokąt 464" o:spid="_x0000_s1030" style="position:absolute;left:0;text-align:left;margin-left:22pt;margin-top:27pt;width:135.2pt;height:53.8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" fillcolor="#dae5f1" stroked="f">
                      <v:shadow on="t" opacity="25956f" origin="-.5,-.5" offset=".74836mm,.74836mm"/>
                      <v:textbox inset="2.53958mm,1.2694mm,2.53958mm,1.2694mm">
                        <w:txbxContent>
                          <w:p w14:paraId="7AAB38DB" w14:textId="77777777" w:rsidR="007463B9" w:rsidRDefault="007463B9">
                            <w:pPr>
                              <w:spacing w:after="120"/>
                              <w:jc w:val="center"/>
                              <w:textDirection w:val="btLr"/>
                            </w:pPr>
                            <w:r>
                              <w:rPr>
                                <w:rFonts w:ascii="Calibri" w:eastAsia="Calibri" w:hAnsi="Calibri" w:cs="Calibri"/>
                                <w:b/>
                                <w:color w:val="000000"/>
                                <w:sz w:val="20"/>
                              </w:rPr>
                              <w:t>ENPV&lt;0</w:t>
                            </w:r>
                          </w:p>
                          <w:p w14:paraId="15B12365" w14:textId="77777777" w:rsidR="007463B9" w:rsidRDefault="007463B9">
                            <w:pPr>
                              <w:spacing w:after="120"/>
                              <w:jc w:val="center"/>
                              <w:textDirection w:val="btLr"/>
                            </w:pPr>
                            <w:r>
                              <w:rPr>
                                <w:rFonts w:ascii="Calibri" w:eastAsia="Calibri" w:hAnsi="Calibri" w:cs="Calibri"/>
                                <w:color w:val="231F20"/>
                                <w:sz w:val="18"/>
                              </w:rPr>
                              <w:t>Projekt generuje korzyści ekonomiczne netto.</w:t>
                            </w:r>
                          </w:p>
                        </w:txbxContent>
                      </v:textbox>
                    </v:rect>
                  </w:pict>
                </mc:Fallback>
              </mc:AlternateContent>
            </w:r>
            <w:r>
              <w:rPr>
                <w:noProof/>
                <w:lang w:eastAsia="pl-PL"/>
              </w:rPr>
              <mc:AlternateContent>
                <mc:Choice Requires="wpg">
                  <w:drawing>
                    <wp:anchor distT="0" distB="0" distL="114300" distR="114300" simplePos="0" relativeHeight="251667456" behindDoc="0" locked="0" layoutInCell="1" hidden="0" allowOverlap="1" wp14:anchorId="6D72F6F1" wp14:editId="6E787D40">
                      <wp:simplePos x="0" y="0"/>
                      <wp:positionH relativeFrom="column">
                        <wp:posOffset>1003300</wp:posOffset>
                      </wp:positionH>
                      <wp:positionV relativeFrom="paragraph">
                        <wp:posOffset>0</wp:posOffset>
                      </wp:positionV>
                      <wp:extent cx="25400" cy="358140"/>
                      <wp:effectExtent l="0" t="0" r="0" b="0"/>
                      <wp:wrapNone/>
                      <wp:docPr id="485" name="Łącznik prosty ze strzałką 485"/>
                      <wp:cNvGraphicFramePr/>
                      <a:graphic xmlns:a="http://schemas.openxmlformats.org/drawingml/2006/main">
                        <a:graphicData uri="http://schemas.microsoft.com/office/word/2010/wordprocessingShape">
                          <wps:wsp>
                            <wps:cNvCnPr/>
                            <wps:spPr>
                              <a:xfrm>
                                <a:off x="5346000" y="3600930"/>
                                <a:ext cx="0" cy="35814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1003300</wp:posOffset>
                      </wp:positionH>
                      <wp:positionV relativeFrom="paragraph">
                        <wp:posOffset>0</wp:posOffset>
                      </wp:positionV>
                      <wp:extent cx="25400" cy="358140"/>
                      <wp:effectExtent b="0" l="0" r="0" t="0"/>
                      <wp:wrapNone/>
                      <wp:docPr id="485" name="image42.png"/>
                      <a:graphic>
                        <a:graphicData uri="http://schemas.openxmlformats.org/drawingml/2006/picture">
                          <pic:pic>
                            <pic:nvPicPr>
                              <pic:cNvPr id="0" name="image42.png"/>
                              <pic:cNvPicPr preferRelativeResize="0"/>
                            </pic:nvPicPr>
                            <pic:blipFill>
                              <a:blip r:embed="rId60"/>
                              <a:srcRect/>
                              <a:stretch>
                                <a:fillRect/>
                              </a:stretch>
                            </pic:blipFill>
                            <pic:spPr>
                              <a:xfrm>
                                <a:off x="0" y="0"/>
                                <a:ext cx="25400" cy="358140"/>
                              </a:xfrm>
                              <a:prstGeom prst="rect"/>
                              <a:ln/>
                            </pic:spPr>
                          </pic:pic>
                        </a:graphicData>
                      </a:graphic>
                    </wp:anchor>
                  </w:drawing>
                </mc:Fallback>
              </mc:AlternateContent>
            </w:r>
            <w:r>
              <w:rPr>
                <w:noProof/>
                <w:lang w:eastAsia="pl-PL"/>
              </w:rPr>
              <mc:AlternateContent>
                <mc:Choice Requires="wpg">
                  <w:drawing>
                    <wp:anchor distT="0" distB="0" distL="114300" distR="114300" simplePos="0" relativeHeight="251668480" behindDoc="0" locked="0" layoutInCell="1" hidden="0" allowOverlap="1" wp14:anchorId="1F69EA47" wp14:editId="3D4D5A2B">
                      <wp:simplePos x="0" y="0"/>
                      <wp:positionH relativeFrom="column">
                        <wp:posOffset>3429000</wp:posOffset>
                      </wp:positionH>
                      <wp:positionV relativeFrom="paragraph">
                        <wp:posOffset>0</wp:posOffset>
                      </wp:positionV>
                      <wp:extent cx="25400" cy="358140"/>
                      <wp:effectExtent l="0" t="0" r="0" b="0"/>
                      <wp:wrapNone/>
                      <wp:docPr id="508" name="Łącznik prosty ze strzałką 508"/>
                      <wp:cNvGraphicFramePr/>
                      <a:graphic xmlns:a="http://schemas.openxmlformats.org/drawingml/2006/main">
                        <a:graphicData uri="http://schemas.microsoft.com/office/word/2010/wordprocessingShape">
                          <wps:wsp>
                            <wps:cNvCnPr/>
                            <wps:spPr>
                              <a:xfrm>
                                <a:off x="5346000" y="3600930"/>
                                <a:ext cx="0" cy="35814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3429000</wp:posOffset>
                      </wp:positionH>
                      <wp:positionV relativeFrom="paragraph">
                        <wp:posOffset>0</wp:posOffset>
                      </wp:positionV>
                      <wp:extent cx="25400" cy="358140"/>
                      <wp:effectExtent b="0" l="0" r="0" t="0"/>
                      <wp:wrapNone/>
                      <wp:docPr id="508" name="image66.png"/>
                      <a:graphic>
                        <a:graphicData uri="http://schemas.openxmlformats.org/drawingml/2006/picture">
                          <pic:pic>
                            <pic:nvPicPr>
                              <pic:cNvPr id="0" name="image66.png"/>
                              <pic:cNvPicPr preferRelativeResize="0"/>
                            </pic:nvPicPr>
                            <pic:blipFill>
                              <a:blip r:embed="rId61"/>
                              <a:srcRect/>
                              <a:stretch>
                                <a:fillRect/>
                              </a:stretch>
                            </pic:blipFill>
                            <pic:spPr>
                              <a:xfrm>
                                <a:off x="0" y="0"/>
                                <a:ext cx="25400" cy="358140"/>
                              </a:xfrm>
                              <a:prstGeom prst="rect"/>
                              <a:ln/>
                            </pic:spPr>
                          </pic:pic>
                        </a:graphicData>
                      </a:graphic>
                    </wp:anchor>
                  </w:drawing>
                </mc:Fallback>
              </mc:AlternateContent>
            </w:r>
          </w:p>
          <w:p w14:paraId="0257FD84" w14:textId="77777777" w:rsidR="00600DEE" w:rsidRDefault="00641FB5">
            <w:pPr>
              <w:spacing w:before="240" w:after="360" w:line="276" w:lineRule="auto"/>
              <w:jc w:val="both"/>
              <w:rPr>
                <w:rFonts w:ascii="Calibri" w:eastAsia="Calibri" w:hAnsi="Calibri" w:cs="Calibri"/>
                <w:b/>
                <w:color w:val="333399"/>
                <w:sz w:val="32"/>
                <w:szCs w:val="32"/>
              </w:rPr>
            </w:pPr>
            <w:r>
              <w:rPr>
                <w:noProof/>
                <w:lang w:eastAsia="pl-PL"/>
              </w:rPr>
              <mc:AlternateContent>
                <mc:Choice Requires="wpg">
                  <w:drawing>
                    <wp:anchor distT="0" distB="0" distL="114300" distR="114300" simplePos="0" relativeHeight="251669504" behindDoc="0" locked="0" layoutInCell="1" hidden="0" allowOverlap="1" wp14:anchorId="5B88FC2F" wp14:editId="313F8BBD">
                      <wp:simplePos x="0" y="0"/>
                      <wp:positionH relativeFrom="column">
                        <wp:posOffset>1028700</wp:posOffset>
                      </wp:positionH>
                      <wp:positionV relativeFrom="paragraph">
                        <wp:posOffset>317500</wp:posOffset>
                      </wp:positionV>
                      <wp:extent cx="12700" cy="263661"/>
                      <wp:effectExtent l="0" t="0" r="0" b="0"/>
                      <wp:wrapNone/>
                      <wp:docPr id="482" name="Łącznik prosty ze strzałką 482"/>
                      <wp:cNvGraphicFramePr/>
                      <a:graphic xmlns:a="http://schemas.openxmlformats.org/drawingml/2006/main">
                        <a:graphicData uri="http://schemas.microsoft.com/office/word/2010/wordprocessingShape">
                          <wps:wsp>
                            <wps:cNvCnPr/>
                            <wps:spPr>
                              <a:xfrm rot="10800000">
                                <a:off x="5346000" y="3648170"/>
                                <a:ext cx="0" cy="263661"/>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1028700</wp:posOffset>
                      </wp:positionH>
                      <wp:positionV relativeFrom="paragraph">
                        <wp:posOffset>317500</wp:posOffset>
                      </wp:positionV>
                      <wp:extent cx="12700" cy="263661"/>
                      <wp:effectExtent b="0" l="0" r="0" t="0"/>
                      <wp:wrapNone/>
                      <wp:docPr id="482" name="image38.png"/>
                      <a:graphic>
                        <a:graphicData uri="http://schemas.openxmlformats.org/drawingml/2006/picture">
                          <pic:pic>
                            <pic:nvPicPr>
                              <pic:cNvPr id="0" name="image38.png"/>
                              <pic:cNvPicPr preferRelativeResize="0"/>
                            </pic:nvPicPr>
                            <pic:blipFill>
                              <a:blip r:embed="rId62"/>
                              <a:srcRect/>
                              <a:stretch>
                                <a:fillRect/>
                              </a:stretch>
                            </pic:blipFill>
                            <pic:spPr>
                              <a:xfrm>
                                <a:off x="0" y="0"/>
                                <a:ext cx="12700" cy="263661"/>
                              </a:xfrm>
                              <a:prstGeom prst="rect"/>
                              <a:ln/>
                            </pic:spPr>
                          </pic:pic>
                        </a:graphicData>
                      </a:graphic>
                    </wp:anchor>
                  </w:drawing>
                </mc:Fallback>
              </mc:AlternateContent>
            </w:r>
          </w:p>
          <w:p w14:paraId="04A55513" w14:textId="77777777" w:rsidR="00600DEE" w:rsidRDefault="00641FB5">
            <w:pPr>
              <w:spacing w:before="240" w:after="360" w:line="276" w:lineRule="auto"/>
              <w:jc w:val="both"/>
              <w:rPr>
                <w:rFonts w:ascii="Calibri" w:eastAsia="Calibri" w:hAnsi="Calibri" w:cs="Calibri"/>
                <w:b/>
                <w:color w:val="333399"/>
                <w:sz w:val="32"/>
                <w:szCs w:val="32"/>
              </w:rPr>
            </w:pPr>
            <w:r>
              <w:rPr>
                <w:noProof/>
                <w:lang w:eastAsia="pl-PL"/>
              </w:rPr>
              <mc:AlternateContent>
                <mc:Choice Requires="wpg">
                  <w:drawing>
                    <wp:anchor distT="0" distB="0" distL="114300" distR="114300" simplePos="0" relativeHeight="251670528" behindDoc="0" locked="0" layoutInCell="1" hidden="0" allowOverlap="1" wp14:anchorId="6DE0A461" wp14:editId="5E0F0B75">
                      <wp:simplePos x="0" y="0"/>
                      <wp:positionH relativeFrom="column">
                        <wp:posOffset>1371600</wp:posOffset>
                      </wp:positionH>
                      <wp:positionV relativeFrom="paragraph">
                        <wp:posOffset>215900</wp:posOffset>
                      </wp:positionV>
                      <wp:extent cx="244732" cy="196953"/>
                      <wp:effectExtent l="0" t="0" r="0" b="0"/>
                      <wp:wrapNone/>
                      <wp:docPr id="496" name="Łącznik prosty ze strzałką 496"/>
                      <wp:cNvGraphicFramePr/>
                      <a:graphic xmlns:a="http://schemas.openxmlformats.org/drawingml/2006/main">
                        <a:graphicData uri="http://schemas.microsoft.com/office/word/2010/wordprocessingShape">
                          <wps:wsp>
                            <wps:cNvCnPr/>
                            <wps:spPr>
                              <a:xfrm flipH="1">
                                <a:off x="5228397" y="3686286"/>
                                <a:ext cx="235207" cy="187428"/>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1371600</wp:posOffset>
                      </wp:positionH>
                      <wp:positionV relativeFrom="paragraph">
                        <wp:posOffset>215900</wp:posOffset>
                      </wp:positionV>
                      <wp:extent cx="244732" cy="196953"/>
                      <wp:effectExtent b="0" l="0" r="0" t="0"/>
                      <wp:wrapNone/>
                      <wp:docPr id="496" name="image54.png"/>
                      <a:graphic>
                        <a:graphicData uri="http://schemas.openxmlformats.org/drawingml/2006/picture">
                          <pic:pic>
                            <pic:nvPicPr>
                              <pic:cNvPr id="0" name="image54.png"/>
                              <pic:cNvPicPr preferRelativeResize="0"/>
                            </pic:nvPicPr>
                            <pic:blipFill>
                              <a:blip r:embed="rId63"/>
                              <a:srcRect/>
                              <a:stretch>
                                <a:fillRect/>
                              </a:stretch>
                            </pic:blipFill>
                            <pic:spPr>
                              <a:xfrm>
                                <a:off x="0" y="0"/>
                                <a:ext cx="244732" cy="196953"/>
                              </a:xfrm>
                              <a:prstGeom prst="rect"/>
                              <a:ln/>
                            </pic:spPr>
                          </pic:pic>
                        </a:graphicData>
                      </a:graphic>
                    </wp:anchor>
                  </w:drawing>
                </mc:Fallback>
              </mc:AlternateContent>
            </w:r>
            <w:r>
              <w:rPr>
                <w:noProof/>
                <w:lang w:eastAsia="pl-PL"/>
              </w:rPr>
              <mc:AlternateContent>
                <mc:Choice Requires="wpg">
                  <w:drawing>
                    <wp:anchor distT="0" distB="0" distL="114300" distR="114300" simplePos="0" relativeHeight="251671552" behindDoc="0" locked="0" layoutInCell="1" hidden="0" allowOverlap="1" wp14:anchorId="023768D7" wp14:editId="22BDB1B6">
                      <wp:simplePos x="0" y="0"/>
                      <wp:positionH relativeFrom="column">
                        <wp:posOffset>2870200</wp:posOffset>
                      </wp:positionH>
                      <wp:positionV relativeFrom="paragraph">
                        <wp:posOffset>215900</wp:posOffset>
                      </wp:positionV>
                      <wp:extent cx="250120" cy="210241"/>
                      <wp:effectExtent l="0" t="0" r="0" b="0"/>
                      <wp:wrapNone/>
                      <wp:docPr id="520" name="Łącznik prosty ze strzałką 520"/>
                      <wp:cNvGraphicFramePr/>
                      <a:graphic xmlns:a="http://schemas.openxmlformats.org/drawingml/2006/main">
                        <a:graphicData uri="http://schemas.microsoft.com/office/word/2010/wordprocessingShape">
                          <wps:wsp>
                            <wps:cNvCnPr/>
                            <wps:spPr>
                              <a:xfrm>
                                <a:off x="5225703" y="3679642"/>
                                <a:ext cx="240595" cy="200716"/>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2870200</wp:posOffset>
                      </wp:positionH>
                      <wp:positionV relativeFrom="paragraph">
                        <wp:posOffset>215900</wp:posOffset>
                      </wp:positionV>
                      <wp:extent cx="250120" cy="210241"/>
                      <wp:effectExtent b="0" l="0" r="0" t="0"/>
                      <wp:wrapNone/>
                      <wp:docPr id="520" name="image81.png"/>
                      <a:graphic>
                        <a:graphicData uri="http://schemas.openxmlformats.org/drawingml/2006/picture">
                          <pic:pic>
                            <pic:nvPicPr>
                              <pic:cNvPr id="0" name="image81.png"/>
                              <pic:cNvPicPr preferRelativeResize="0"/>
                            </pic:nvPicPr>
                            <pic:blipFill>
                              <a:blip r:embed="rId64"/>
                              <a:srcRect/>
                              <a:stretch>
                                <a:fillRect/>
                              </a:stretch>
                            </pic:blipFill>
                            <pic:spPr>
                              <a:xfrm>
                                <a:off x="0" y="0"/>
                                <a:ext cx="250120" cy="210241"/>
                              </a:xfrm>
                              <a:prstGeom prst="rect"/>
                              <a:ln/>
                            </pic:spPr>
                          </pic:pic>
                        </a:graphicData>
                      </a:graphic>
                    </wp:anchor>
                  </w:drawing>
                </mc:Fallback>
              </mc:AlternateContent>
            </w:r>
            <w:r>
              <w:rPr>
                <w:noProof/>
                <w:lang w:eastAsia="pl-PL"/>
              </w:rPr>
              <mc:AlternateContent>
                <mc:Choice Requires="wps">
                  <w:drawing>
                    <wp:anchor distT="0" distB="0" distL="114300" distR="114300" simplePos="0" relativeHeight="251672576" behindDoc="0" locked="0" layoutInCell="1" hidden="0" allowOverlap="1" wp14:anchorId="62575009" wp14:editId="4AA64D99">
                      <wp:simplePos x="0" y="0"/>
                      <wp:positionH relativeFrom="column">
                        <wp:posOffset>2882900</wp:posOffset>
                      </wp:positionH>
                      <wp:positionV relativeFrom="paragraph">
                        <wp:posOffset>12700</wp:posOffset>
                      </wp:positionV>
                      <wp:extent cx="1625600" cy="487680"/>
                      <wp:effectExtent l="0" t="0" r="0" b="0"/>
                      <wp:wrapNone/>
                      <wp:docPr id="513" name="Prostokąt 513"/>
                      <wp:cNvGraphicFramePr/>
                      <a:graphic xmlns:a="http://schemas.openxmlformats.org/drawingml/2006/main">
                        <a:graphicData uri="http://schemas.microsoft.com/office/word/2010/wordprocessingShape">
                          <wps:wsp>
                            <wps:cNvSpPr/>
                            <wps:spPr>
                              <a:xfrm>
                                <a:off x="4537963" y="3540923"/>
                                <a:ext cx="1616075" cy="478155"/>
                              </a:xfrm>
                              <a:prstGeom prst="rect">
                                <a:avLst/>
                              </a:prstGeom>
                              <a:noFill/>
                              <a:ln>
                                <a:noFill/>
                              </a:ln>
                            </wps:spPr>
                            <wps:txbx>
                              <w:txbxContent>
                                <w:p w14:paraId="03E4E505" w14:textId="77777777" w:rsidR="007463B9" w:rsidRDefault="007463B9">
                                  <w:pPr>
                                    <w:jc w:val="center"/>
                                    <w:textDirection w:val="btLr"/>
                                  </w:pPr>
                                  <w:r>
                                    <w:rPr>
                                      <w:rFonts w:ascii="Calibri" w:eastAsia="Calibri" w:hAnsi="Calibri" w:cs="Calibri"/>
                                      <w:b/>
                                      <w:i/>
                                      <w:color w:val="000000"/>
                                      <w:sz w:val="18"/>
                                    </w:rPr>
                                    <w:t>APLIKOWANIE o DOFINANSOWANIE z UE</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2575009" id="Prostokąt 513" o:spid="_x0000_s1031" style="position:absolute;left:0;text-align:left;margin-left:227pt;margin-top:1pt;width:128pt;height:38.4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" filled="f" stroked="f">
                      <v:textbox inset="2.53958mm,1.2694mm,2.53958mm,1.2694mm">
                        <w:txbxContent>
                          <w:p w14:paraId="03E4E505" w14:textId="77777777" w:rsidR="007463B9" w:rsidRDefault="007463B9">
                            <w:pPr>
                              <w:jc w:val="center"/>
                              <w:textDirection w:val="btLr"/>
                            </w:pPr>
                            <w:r>
                              <w:rPr>
                                <w:rFonts w:ascii="Calibri" w:eastAsia="Calibri" w:hAnsi="Calibri" w:cs="Calibri"/>
                                <w:b/>
                                <w:i/>
                                <w:color w:val="000000"/>
                                <w:sz w:val="18"/>
                              </w:rPr>
                              <w:t>APLIKOWANIE o DOFINANSOWANIE z UE</w:t>
                            </w:r>
                          </w:p>
                        </w:txbxContent>
                      </v:textbox>
                    </v:rect>
                  </w:pict>
                </mc:Fallback>
              </mc:AlternateContent>
            </w:r>
            <w:r>
              <w:rPr>
                <w:noProof/>
                <w:lang w:eastAsia="pl-PL"/>
              </w:rPr>
              <mc:AlternateContent>
                <mc:Choice Requires="wpg">
                  <w:drawing>
                    <wp:anchor distT="0" distB="0" distL="114300" distR="114300" simplePos="0" relativeHeight="251673600" behindDoc="0" locked="0" layoutInCell="1" hidden="0" allowOverlap="1" wp14:anchorId="68FBC8BC" wp14:editId="1E50D28E">
                      <wp:simplePos x="0" y="0"/>
                      <wp:positionH relativeFrom="column">
                        <wp:posOffset>1041400</wp:posOffset>
                      </wp:positionH>
                      <wp:positionV relativeFrom="paragraph">
                        <wp:posOffset>50800</wp:posOffset>
                      </wp:positionV>
                      <wp:extent cx="465455" cy="25400"/>
                      <wp:effectExtent l="0" t="0" r="0" b="0"/>
                      <wp:wrapNone/>
                      <wp:docPr id="480" name="Łącznik prosty ze strzałką 480"/>
                      <wp:cNvGraphicFramePr/>
                      <a:graphic xmlns:a="http://schemas.openxmlformats.org/drawingml/2006/main">
                        <a:graphicData uri="http://schemas.microsoft.com/office/word/2010/wordprocessingShape">
                          <wps:wsp>
                            <wps:cNvCnPr/>
                            <wps:spPr>
                              <a:xfrm>
                                <a:off x="5113273" y="3777143"/>
                                <a:ext cx="465455" cy="5715"/>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1041400</wp:posOffset>
                      </wp:positionH>
                      <wp:positionV relativeFrom="paragraph">
                        <wp:posOffset>50800</wp:posOffset>
                      </wp:positionV>
                      <wp:extent cx="465455" cy="25400"/>
                      <wp:effectExtent b="0" l="0" r="0" t="0"/>
                      <wp:wrapNone/>
                      <wp:docPr id="480" name="image36.png"/>
                      <a:graphic>
                        <a:graphicData uri="http://schemas.openxmlformats.org/drawingml/2006/picture">
                          <pic:pic>
                            <pic:nvPicPr>
                              <pic:cNvPr id="0" name="image36.png"/>
                              <pic:cNvPicPr preferRelativeResize="0"/>
                            </pic:nvPicPr>
                            <pic:blipFill>
                              <a:blip r:embed="rId66"/>
                              <a:srcRect/>
                              <a:stretch>
                                <a:fillRect/>
                              </a:stretch>
                            </pic:blipFill>
                            <pic:spPr>
                              <a:xfrm>
                                <a:off x="0" y="0"/>
                                <a:ext cx="465455" cy="25400"/>
                              </a:xfrm>
                              <a:prstGeom prst="rect"/>
                              <a:ln/>
                            </pic:spPr>
                          </pic:pic>
                        </a:graphicData>
                      </a:graphic>
                    </wp:anchor>
                  </w:drawing>
                </mc:Fallback>
              </mc:AlternateContent>
            </w:r>
          </w:p>
          <w:p w14:paraId="55BD5C25" w14:textId="77777777" w:rsidR="00600DEE" w:rsidRDefault="00600DEE">
            <w:pPr>
              <w:spacing w:before="240" w:after="360" w:line="276" w:lineRule="auto"/>
              <w:jc w:val="both"/>
              <w:rPr>
                <w:rFonts w:ascii="Calibri" w:eastAsia="Calibri" w:hAnsi="Calibri" w:cs="Calibri"/>
                <w:b/>
                <w:color w:val="333399"/>
                <w:sz w:val="32"/>
                <w:szCs w:val="32"/>
              </w:rPr>
            </w:pPr>
          </w:p>
          <w:p w14:paraId="5C84E8A6" w14:textId="083D9E4E" w:rsidR="00600DEE" w:rsidRDefault="004D5549">
            <w:pPr>
              <w:spacing w:before="240" w:after="360" w:line="276" w:lineRule="auto"/>
              <w:jc w:val="both"/>
              <w:rPr>
                <w:rFonts w:ascii="Calibri" w:eastAsia="Calibri" w:hAnsi="Calibri" w:cs="Calibri"/>
                <w:b/>
                <w:color w:val="333399"/>
                <w:sz w:val="32"/>
                <w:szCs w:val="32"/>
              </w:rPr>
            </w:pPr>
            <w:r>
              <w:rPr>
                <w:noProof/>
                <w:lang w:eastAsia="pl-PL"/>
              </w:rPr>
              <mc:AlternateContent>
                <mc:Choice Requires="wps">
                  <w:drawing>
                    <wp:anchor distT="0" distB="0" distL="114300" distR="114300" simplePos="0" relativeHeight="251680768" behindDoc="0" locked="0" layoutInCell="1" hidden="0" allowOverlap="1" wp14:anchorId="7C12865C" wp14:editId="2F5D192E">
                      <wp:simplePos x="0" y="0"/>
                      <wp:positionH relativeFrom="column">
                        <wp:posOffset>398145</wp:posOffset>
                      </wp:positionH>
                      <wp:positionV relativeFrom="paragraph">
                        <wp:posOffset>430530</wp:posOffset>
                      </wp:positionV>
                      <wp:extent cx="1330325" cy="400050"/>
                      <wp:effectExtent l="0" t="0" r="0" b="0"/>
                      <wp:wrapNone/>
                      <wp:docPr id="472" name="Prostokąt 472"/>
                      <wp:cNvGraphicFramePr/>
                      <a:graphic xmlns:a="http://schemas.openxmlformats.org/drawingml/2006/main">
                        <a:graphicData uri="http://schemas.microsoft.com/office/word/2010/wordprocessingShape">
                          <wps:wsp>
                            <wps:cNvSpPr/>
                            <wps:spPr>
                              <a:xfrm>
                                <a:off x="0" y="0"/>
                                <a:ext cx="1330325" cy="400050"/>
                              </a:xfrm>
                              <a:prstGeom prst="rect">
                                <a:avLst/>
                              </a:prstGeom>
                              <a:noFill/>
                              <a:ln>
                                <a:noFill/>
                              </a:ln>
                            </wps:spPr>
                            <wps:txbx>
                              <w:txbxContent>
                                <w:p w14:paraId="53CD1A19" w14:textId="77777777" w:rsidR="007463B9" w:rsidRDefault="007463B9">
                                  <w:pPr>
                                    <w:jc w:val="center"/>
                                    <w:textDirection w:val="btLr"/>
                                  </w:pPr>
                                  <w:r>
                                    <w:rPr>
                                      <w:rFonts w:ascii="Calibri" w:eastAsia="Calibri" w:hAnsi="Calibri" w:cs="Calibri"/>
                                      <w:color w:val="000000"/>
                                      <w:sz w:val="20"/>
                                    </w:rPr>
                                    <w:t xml:space="preserve">Obliczenie wysokości dofinansowania UE </w:t>
                                  </w:r>
                                </w:p>
                                <w:p w14:paraId="7E6F0EE4" w14:textId="77777777" w:rsidR="007463B9" w:rsidRDefault="007463B9">
                                  <w:pPr>
                                    <w:textDirection w:val="btLr"/>
                                  </w:pP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C12865C" id="Prostokąt 472" o:spid="_x0000_s1032" style="position:absolute;left:0;text-align:left;margin-left:31.35pt;margin-top:33.9pt;width:104.75pt;height:31.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" filled="f" stroked="f">
                      <v:textbox inset="2.53958mm,1.2694mm,2.53958mm,1.2694mm">
                        <w:txbxContent>
                          <w:p w14:paraId="53CD1A19" w14:textId="77777777" w:rsidR="007463B9" w:rsidRDefault="007463B9">
                            <w:pPr>
                              <w:jc w:val="center"/>
                              <w:textDirection w:val="btLr"/>
                            </w:pPr>
                            <w:r>
                              <w:rPr>
                                <w:rFonts w:ascii="Calibri" w:eastAsia="Calibri" w:hAnsi="Calibri" w:cs="Calibri"/>
                                <w:color w:val="000000"/>
                                <w:sz w:val="20"/>
                              </w:rPr>
                              <w:t xml:space="preserve">Obliczenie wysokości dofinansowania UE </w:t>
                            </w:r>
                          </w:p>
                          <w:p w14:paraId="7E6F0EE4" w14:textId="77777777" w:rsidR="007463B9" w:rsidRDefault="007463B9">
                            <w:pPr>
                              <w:textDirection w:val="btLr"/>
                            </w:pPr>
                          </w:p>
                        </w:txbxContent>
                      </v:textbox>
                    </v:rect>
                  </w:pict>
                </mc:Fallback>
              </mc:AlternateContent>
            </w:r>
            <w:r w:rsidR="00641FB5">
              <w:rPr>
                <w:noProof/>
                <w:lang w:eastAsia="pl-PL"/>
              </w:rPr>
              <mc:AlternateContent>
                <mc:Choice Requires="wps">
                  <w:drawing>
                    <wp:anchor distT="0" distB="0" distL="0" distR="0" simplePos="0" relativeHeight="251674624" behindDoc="1" locked="0" layoutInCell="1" hidden="0" allowOverlap="1" wp14:anchorId="1DAA4789" wp14:editId="28872438">
                      <wp:simplePos x="0" y="0"/>
                      <wp:positionH relativeFrom="column">
                        <wp:posOffset>330200</wp:posOffset>
                      </wp:positionH>
                      <wp:positionV relativeFrom="paragraph">
                        <wp:posOffset>393700</wp:posOffset>
                      </wp:positionV>
                      <wp:extent cx="1538811" cy="437655"/>
                      <wp:effectExtent l="0" t="0" r="0" b="0"/>
                      <wp:wrapNone/>
                      <wp:docPr id="509" name="Schemat blokowy: proces alternatywny 509"/>
                      <wp:cNvGraphicFramePr/>
                      <a:graphic xmlns:a="http://schemas.openxmlformats.org/drawingml/2006/main">
                        <a:graphicData uri="http://schemas.microsoft.com/office/word/2010/wordprocessingShape">
                          <wps:wsp>
                            <wps:cNvSpPr/>
                            <wps:spPr>
                              <a:xfrm>
                                <a:off x="4581357" y="3565935"/>
                                <a:ext cx="1529286" cy="428130"/>
                              </a:xfrm>
                              <a:prstGeom prst="flowChartAlternateProcess">
                                <a:avLst/>
                              </a:prstGeom>
                              <a:solidFill>
                                <a:srgbClr val="B7CCE4"/>
                              </a:solidFill>
                              <a:ln>
                                <a:noFill/>
                              </a:ln>
                              <a:effectLst>
                                <a:outerShdw blurRad="50800" dist="38100" dir="2700000" algn="tl" rotWithShape="0">
                                  <a:srgbClr val="000000">
                                    <a:alpha val="40000"/>
                                  </a:srgbClr>
                                </a:outerShdw>
                              </a:effectLst>
                            </wps:spPr>
                            <wps:txbx>
                              <w:txbxContent>
                                <w:p w14:paraId="52D5F9F0"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DAA478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chemat blokowy: proces alternatywny 509" o:spid="_x0000_s1033" type="#_x0000_t176" style="position:absolute;left:0;text-align:left;margin-left:26pt;margin-top:31pt;width:121.15pt;height:34.45pt;z-index:-25164185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" fillcolor="#b7cce4" stroked="f">
                      <v:shadow on="t" color="black" opacity="26214f" origin="-.5,-.5" offset=".74836mm,.74836mm"/>
                      <v:textbox inset="2.53958mm,2.53958mm,2.53958mm,2.53958mm">
                        <w:txbxContent>
                          <w:p w14:paraId="52D5F9F0" w14:textId="77777777" w:rsidR="007463B9" w:rsidRDefault="007463B9">
                            <w:pPr>
                              <w:textDirection w:val="btLr"/>
                            </w:pPr>
                          </w:p>
                        </w:txbxContent>
                      </v:textbox>
                    </v:shape>
                  </w:pict>
                </mc:Fallback>
              </mc:AlternateContent>
            </w:r>
            <w:r w:rsidR="00641FB5">
              <w:rPr>
                <w:noProof/>
                <w:lang w:eastAsia="pl-PL"/>
              </w:rPr>
              <mc:AlternateContent>
                <mc:Choice Requires="wpg">
                  <w:drawing>
                    <wp:anchor distT="0" distB="0" distL="114300" distR="114300" simplePos="0" relativeHeight="251675648" behindDoc="0" locked="0" layoutInCell="1" hidden="0" allowOverlap="1" wp14:anchorId="63853CD4" wp14:editId="097B6B9C">
                      <wp:simplePos x="0" y="0"/>
                      <wp:positionH relativeFrom="column">
                        <wp:posOffset>1028700</wp:posOffset>
                      </wp:positionH>
                      <wp:positionV relativeFrom="paragraph">
                        <wp:posOffset>101600</wp:posOffset>
                      </wp:positionV>
                      <wp:extent cx="25400" cy="291711"/>
                      <wp:effectExtent l="0" t="0" r="0" b="0"/>
                      <wp:wrapNone/>
                      <wp:docPr id="483" name="Łącznik prosty ze strzałką 483"/>
                      <wp:cNvGraphicFramePr/>
                      <a:graphic xmlns:a="http://schemas.openxmlformats.org/drawingml/2006/main">
                        <a:graphicData uri="http://schemas.microsoft.com/office/word/2010/wordprocessingShape">
                          <wps:wsp>
                            <wps:cNvCnPr/>
                            <wps:spPr>
                              <a:xfrm>
                                <a:off x="5346000" y="3634145"/>
                                <a:ext cx="0" cy="291711"/>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1028700</wp:posOffset>
                      </wp:positionH>
                      <wp:positionV relativeFrom="paragraph">
                        <wp:posOffset>101600</wp:posOffset>
                      </wp:positionV>
                      <wp:extent cx="25400" cy="291711"/>
                      <wp:effectExtent b="0" l="0" r="0" t="0"/>
                      <wp:wrapNone/>
                      <wp:docPr id="483" name="image40.png"/>
                      <a:graphic>
                        <a:graphicData uri="http://schemas.openxmlformats.org/drawingml/2006/picture">
                          <pic:pic>
                            <pic:nvPicPr>
                              <pic:cNvPr id="0" name="image40.png"/>
                              <pic:cNvPicPr preferRelativeResize="0"/>
                            </pic:nvPicPr>
                            <pic:blipFill>
                              <a:blip r:embed="rId68"/>
                              <a:srcRect/>
                              <a:stretch>
                                <a:fillRect/>
                              </a:stretch>
                            </pic:blipFill>
                            <pic:spPr>
                              <a:xfrm>
                                <a:off x="0" y="0"/>
                                <a:ext cx="25400" cy="291711"/>
                              </a:xfrm>
                              <a:prstGeom prst="rect"/>
                              <a:ln/>
                            </pic:spPr>
                          </pic:pic>
                        </a:graphicData>
                      </a:graphic>
                    </wp:anchor>
                  </w:drawing>
                </mc:Fallback>
              </mc:AlternateContent>
            </w:r>
          </w:p>
          <w:p w14:paraId="71DE0477" w14:textId="19401D16" w:rsidR="00600DEE" w:rsidRDefault="00641FB5">
            <w:pPr>
              <w:tabs>
                <w:tab w:val="left" w:pos="2705"/>
              </w:tabs>
              <w:spacing w:before="240" w:after="360" w:line="276" w:lineRule="auto"/>
              <w:jc w:val="both"/>
              <w:rPr>
                <w:rFonts w:ascii="Calibri" w:eastAsia="Calibri" w:hAnsi="Calibri" w:cs="Calibri"/>
                <w:b/>
                <w:color w:val="333399"/>
                <w:sz w:val="32"/>
                <w:szCs w:val="32"/>
              </w:rPr>
            </w:pPr>
            <w:r>
              <w:rPr>
                <w:rFonts w:ascii="Calibri" w:eastAsia="Calibri" w:hAnsi="Calibri" w:cs="Calibri"/>
                <w:b/>
                <w:color w:val="333399"/>
                <w:sz w:val="32"/>
                <w:szCs w:val="32"/>
              </w:rPr>
              <w:tab/>
            </w:r>
            <w:r>
              <w:rPr>
                <w:noProof/>
                <w:lang w:eastAsia="pl-PL"/>
              </w:rPr>
              <mc:AlternateContent>
                <mc:Choice Requires="wps">
                  <w:drawing>
                    <wp:anchor distT="0" distB="0" distL="114300" distR="114300" simplePos="0" relativeHeight="251676672" behindDoc="0" locked="0" layoutInCell="1" hidden="0" allowOverlap="1" wp14:anchorId="5EDBE3F0" wp14:editId="34C444BB">
                      <wp:simplePos x="0" y="0"/>
                      <wp:positionH relativeFrom="column">
                        <wp:posOffset>596900</wp:posOffset>
                      </wp:positionH>
                      <wp:positionV relativeFrom="paragraph">
                        <wp:posOffset>609600</wp:posOffset>
                      </wp:positionV>
                      <wp:extent cx="1130300" cy="311150"/>
                      <wp:effectExtent l="0" t="0" r="0" b="0"/>
                      <wp:wrapNone/>
                      <wp:docPr id="474" name="Prostokąt 474"/>
                      <wp:cNvGraphicFramePr/>
                      <a:graphic xmlns:a="http://schemas.openxmlformats.org/drawingml/2006/main">
                        <a:graphicData uri="http://schemas.microsoft.com/office/word/2010/wordprocessingShape">
                          <wps:wsp>
                            <wps:cNvSpPr/>
                            <wps:spPr>
                              <a:xfrm>
                                <a:off x="4793550" y="3637125"/>
                                <a:ext cx="1104900" cy="285750"/>
                              </a:xfrm>
                              <a:prstGeom prst="rect">
                                <a:avLst/>
                              </a:prstGeom>
                              <a:solidFill>
                                <a:schemeClr val="accent1"/>
                              </a:solidFill>
                              <a:ln w="25400" cap="flat" cmpd="sng">
                                <a:solidFill>
                                  <a:srgbClr val="395E89"/>
                                </a:solidFill>
                                <a:prstDash val="solid"/>
                                <a:round/>
                                <a:headEnd type="none" w="sm" len="sm"/>
                                <a:tailEnd type="none" w="sm" len="sm"/>
                              </a:ln>
                            </wps:spPr>
                            <wps:txbx>
                              <w:txbxContent>
                                <w:p w14:paraId="054644FA" w14:textId="77777777" w:rsidR="007463B9" w:rsidRDefault="007463B9">
                                  <w:pPr>
                                    <w:jc w:val="center"/>
                                    <w:textDirection w:val="btLr"/>
                                  </w:pPr>
                                  <w:r>
                                    <w:rPr>
                                      <w:rFonts w:ascii="Calibri" w:eastAsia="Calibri" w:hAnsi="Calibri" w:cs="Calibri"/>
                                      <w:b/>
                                      <w:color w:val="000000"/>
                                      <w:sz w:val="20"/>
                                    </w:rPr>
                                    <w:t>Dotacja UE</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EDBE3F0" id="Prostokąt 474" o:spid="_x0000_s1034" style="position:absolute;left:0;text-align:left;margin-left:47pt;margin-top:48pt;width:89pt;height:24.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" fillcolor="#4f81bd [3204]" strokecolor="#395e89" strokeweight="2pt">
                      <v:stroke startarrowwidth="narrow" startarrowlength="short" endarrowwidth="narrow" endarrowlength="short" joinstyle="round"/>
                      <v:textbox inset="2.53958mm,1.2694mm,2.53958mm,1.2694mm">
                        <w:txbxContent>
                          <w:p w14:paraId="054644FA" w14:textId="77777777" w:rsidR="007463B9" w:rsidRDefault="007463B9">
                            <w:pPr>
                              <w:jc w:val="center"/>
                              <w:textDirection w:val="btLr"/>
                            </w:pPr>
                            <w:r>
                              <w:rPr>
                                <w:rFonts w:ascii="Calibri" w:eastAsia="Calibri" w:hAnsi="Calibri" w:cs="Calibri"/>
                                <w:b/>
                                <w:color w:val="000000"/>
                                <w:sz w:val="20"/>
                              </w:rPr>
                              <w:t>Dotacja UE</w:t>
                            </w:r>
                          </w:p>
                        </w:txbxContent>
                      </v:textbox>
                    </v:rect>
                  </w:pict>
                </mc:Fallback>
              </mc:AlternateContent>
            </w:r>
            <w:r>
              <w:rPr>
                <w:noProof/>
                <w:lang w:eastAsia="pl-PL"/>
              </w:rPr>
              <mc:AlternateContent>
                <mc:Choice Requires="wps">
                  <w:drawing>
                    <wp:anchor distT="0" distB="0" distL="114300" distR="114300" simplePos="0" relativeHeight="251677696" behindDoc="0" locked="0" layoutInCell="1" hidden="0" allowOverlap="1" wp14:anchorId="688D8BE7" wp14:editId="193D122F">
                      <wp:simplePos x="0" y="0"/>
                      <wp:positionH relativeFrom="column">
                        <wp:posOffset>2336800</wp:posOffset>
                      </wp:positionH>
                      <wp:positionV relativeFrom="paragraph">
                        <wp:posOffset>368300</wp:posOffset>
                      </wp:positionV>
                      <wp:extent cx="1600200" cy="798195"/>
                      <wp:effectExtent l="0" t="0" r="0" b="0"/>
                      <wp:wrapNone/>
                      <wp:docPr id="467" name="Prostokąt 467"/>
                      <wp:cNvGraphicFramePr/>
                      <a:graphic xmlns:a="http://schemas.openxmlformats.org/drawingml/2006/main">
                        <a:graphicData uri="http://schemas.microsoft.com/office/word/2010/wordprocessingShape">
                          <wps:wsp>
                            <wps:cNvSpPr/>
                            <wps:spPr>
                              <a:xfrm>
                                <a:off x="4550663" y="3385665"/>
                                <a:ext cx="1590675" cy="788670"/>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2ECA5CD6" w14:textId="77777777" w:rsidR="007463B9" w:rsidRDefault="007463B9">
                                  <w:pPr>
                                    <w:spacing w:after="120"/>
                                    <w:jc w:val="center"/>
                                    <w:textDirection w:val="btLr"/>
                                  </w:pPr>
                                  <w:r>
                                    <w:rPr>
                                      <w:rFonts w:ascii="Calibri" w:eastAsia="Calibri" w:hAnsi="Calibri" w:cs="Calibri"/>
                                      <w:b/>
                                      <w:color w:val="000000"/>
                                      <w:sz w:val="20"/>
                                    </w:rPr>
                                    <w:t>ENPV&gt;0, FNPV≈0</w:t>
                                  </w:r>
                                </w:p>
                                <w:p w14:paraId="24583C02" w14:textId="77777777" w:rsidR="007463B9" w:rsidRDefault="007463B9">
                                  <w:pPr>
                                    <w:spacing w:after="120"/>
                                    <w:jc w:val="center"/>
                                    <w:textDirection w:val="btLr"/>
                                  </w:pPr>
                                  <w:r>
                                    <w:rPr>
                                      <w:rFonts w:ascii="Calibri" w:eastAsia="Calibri" w:hAnsi="Calibri" w:cs="Calibri"/>
                                      <w:color w:val="000000"/>
                                      <w:sz w:val="17"/>
                                    </w:rPr>
                                    <w:t>Projekt jest ekonomicznie uzasadniony i finansowo wiarygodny.</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88D8BE7" id="Prostokąt 467" o:spid="_x0000_s1035" style="position:absolute;left:0;text-align:left;margin-left:184pt;margin-top:29pt;width:126pt;height:62.8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" fillcolor="#dae5f1" stroked="f">
                      <v:shadow on="t" opacity="25956f" origin="-.5,-.5" offset=".74836mm,.74836mm"/>
                      <v:textbox inset="2.53958mm,1.2694mm,2.53958mm,1.2694mm">
                        <w:txbxContent>
                          <w:p w14:paraId="2ECA5CD6" w14:textId="77777777" w:rsidR="007463B9" w:rsidRDefault="007463B9">
                            <w:pPr>
                              <w:spacing w:after="120"/>
                              <w:jc w:val="center"/>
                              <w:textDirection w:val="btLr"/>
                            </w:pPr>
                            <w:r>
                              <w:rPr>
                                <w:rFonts w:ascii="Calibri" w:eastAsia="Calibri" w:hAnsi="Calibri" w:cs="Calibri"/>
                                <w:b/>
                                <w:color w:val="000000"/>
                                <w:sz w:val="20"/>
                              </w:rPr>
                              <w:t>ENPV&gt;0, FNPV≈0</w:t>
                            </w:r>
                          </w:p>
                          <w:p w14:paraId="24583C02" w14:textId="77777777" w:rsidR="007463B9" w:rsidRDefault="007463B9">
                            <w:pPr>
                              <w:spacing w:after="120"/>
                              <w:jc w:val="center"/>
                              <w:textDirection w:val="btLr"/>
                            </w:pPr>
                            <w:r>
                              <w:rPr>
                                <w:rFonts w:ascii="Calibri" w:eastAsia="Calibri" w:hAnsi="Calibri" w:cs="Calibri"/>
                                <w:color w:val="000000"/>
                                <w:sz w:val="17"/>
                              </w:rPr>
                              <w:t>Projekt jest ekonomicznie uzasadniony i finansowo wiarygodny.</w:t>
                            </w:r>
                          </w:p>
                        </w:txbxContent>
                      </v:textbox>
                    </v:rect>
                  </w:pict>
                </mc:Fallback>
              </mc:AlternateContent>
            </w:r>
            <w:r>
              <w:rPr>
                <w:noProof/>
                <w:lang w:eastAsia="pl-PL"/>
              </w:rPr>
              <mc:AlternateContent>
                <mc:Choice Requires="wpg">
                  <w:drawing>
                    <wp:anchor distT="0" distB="0" distL="114300" distR="114300" simplePos="0" relativeHeight="251678720" behindDoc="0" locked="0" layoutInCell="1" hidden="0" allowOverlap="1" wp14:anchorId="56EF52D0" wp14:editId="3648E92E">
                      <wp:simplePos x="0" y="0"/>
                      <wp:positionH relativeFrom="column">
                        <wp:posOffset>1016000</wp:posOffset>
                      </wp:positionH>
                      <wp:positionV relativeFrom="paragraph">
                        <wp:posOffset>317500</wp:posOffset>
                      </wp:positionV>
                      <wp:extent cx="25400" cy="297321"/>
                      <wp:effectExtent l="0" t="0" r="0" b="0"/>
                      <wp:wrapNone/>
                      <wp:docPr id="522" name="Łącznik prosty ze strzałką 522"/>
                      <wp:cNvGraphicFramePr/>
                      <a:graphic xmlns:a="http://schemas.openxmlformats.org/drawingml/2006/main">
                        <a:graphicData uri="http://schemas.microsoft.com/office/word/2010/wordprocessingShape">
                          <wps:wsp>
                            <wps:cNvCnPr/>
                            <wps:spPr>
                              <a:xfrm>
                                <a:off x="5346000" y="3631340"/>
                                <a:ext cx="0" cy="297321"/>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1016000</wp:posOffset>
                      </wp:positionH>
                      <wp:positionV relativeFrom="paragraph">
                        <wp:posOffset>317500</wp:posOffset>
                      </wp:positionV>
                      <wp:extent cx="25400" cy="297321"/>
                      <wp:effectExtent b="0" l="0" r="0" t="0"/>
                      <wp:wrapNone/>
                      <wp:docPr id="522" name="image84.png"/>
                      <a:graphic>
                        <a:graphicData uri="http://schemas.openxmlformats.org/drawingml/2006/picture">
                          <pic:pic>
                            <pic:nvPicPr>
                              <pic:cNvPr id="0" name="image84.png"/>
                              <pic:cNvPicPr preferRelativeResize="0"/>
                            </pic:nvPicPr>
                            <pic:blipFill>
                              <a:blip r:embed="rId71"/>
                              <a:srcRect/>
                              <a:stretch>
                                <a:fillRect/>
                              </a:stretch>
                            </pic:blipFill>
                            <pic:spPr>
                              <a:xfrm>
                                <a:off x="0" y="0"/>
                                <a:ext cx="25400" cy="297321"/>
                              </a:xfrm>
                              <a:prstGeom prst="rect"/>
                              <a:ln/>
                            </pic:spPr>
                          </pic:pic>
                        </a:graphicData>
                      </a:graphic>
                    </wp:anchor>
                  </w:drawing>
                </mc:Fallback>
              </mc:AlternateContent>
            </w:r>
          </w:p>
          <w:p w14:paraId="6D5E331A" w14:textId="039BF031" w:rsidR="00600DEE" w:rsidRDefault="00600DEE">
            <w:pPr>
              <w:spacing w:line="258" w:lineRule="auto"/>
              <w:ind w:right="170"/>
              <w:jc w:val="both"/>
              <w:rPr>
                <w:rFonts w:ascii="Calibri" w:eastAsia="Calibri" w:hAnsi="Calibri" w:cs="Calibri"/>
                <w:sz w:val="20"/>
                <w:szCs w:val="20"/>
              </w:rPr>
            </w:pPr>
          </w:p>
          <w:p w14:paraId="51DB5F9C" w14:textId="2042A568" w:rsidR="00600DEE" w:rsidRDefault="00641FB5">
            <w:pPr>
              <w:spacing w:line="258" w:lineRule="auto"/>
              <w:ind w:right="170"/>
              <w:jc w:val="both"/>
              <w:rPr>
                <w:rFonts w:ascii="Calibri" w:eastAsia="Calibri" w:hAnsi="Calibri" w:cs="Calibri"/>
                <w:sz w:val="20"/>
                <w:szCs w:val="20"/>
              </w:rPr>
            </w:pPr>
            <w:r>
              <w:rPr>
                <w:noProof/>
                <w:lang w:eastAsia="pl-PL"/>
              </w:rPr>
              <mc:AlternateContent>
                <mc:Choice Requires="wpg">
                  <w:drawing>
                    <wp:anchor distT="0" distB="0" distL="114300" distR="114300" simplePos="0" relativeHeight="251679744" behindDoc="0" locked="0" layoutInCell="1" hidden="0" allowOverlap="1" wp14:anchorId="2626479B" wp14:editId="2595BA23">
                      <wp:simplePos x="0" y="0"/>
                      <wp:positionH relativeFrom="column">
                        <wp:posOffset>1727200</wp:posOffset>
                      </wp:positionH>
                      <wp:positionV relativeFrom="paragraph">
                        <wp:posOffset>76200</wp:posOffset>
                      </wp:positionV>
                      <wp:extent cx="605860" cy="25400"/>
                      <wp:effectExtent l="0" t="0" r="0" b="0"/>
                      <wp:wrapNone/>
                      <wp:docPr id="497" name="Łącznik prosty ze strzałką 497"/>
                      <wp:cNvGraphicFramePr/>
                      <a:graphic xmlns:a="http://schemas.openxmlformats.org/drawingml/2006/main">
                        <a:graphicData uri="http://schemas.microsoft.com/office/word/2010/wordprocessingShape">
                          <wps:wsp>
                            <wps:cNvCnPr/>
                            <wps:spPr>
                              <a:xfrm>
                                <a:off x="5043070" y="3780000"/>
                                <a:ext cx="605860" cy="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1727200</wp:posOffset>
                      </wp:positionH>
                      <wp:positionV relativeFrom="paragraph">
                        <wp:posOffset>76200</wp:posOffset>
                      </wp:positionV>
                      <wp:extent cx="605860" cy="25400"/>
                      <wp:effectExtent b="0" l="0" r="0" t="0"/>
                      <wp:wrapNone/>
                      <wp:docPr id="497" name="image55.png"/>
                      <a:graphic>
                        <a:graphicData uri="http://schemas.openxmlformats.org/drawingml/2006/picture">
                          <pic:pic>
                            <pic:nvPicPr>
                              <pic:cNvPr id="0" name="image55.png"/>
                              <pic:cNvPicPr preferRelativeResize="0"/>
                            </pic:nvPicPr>
                            <pic:blipFill>
                              <a:blip r:embed="rId72"/>
                              <a:srcRect/>
                              <a:stretch>
                                <a:fillRect/>
                              </a:stretch>
                            </pic:blipFill>
                            <pic:spPr>
                              <a:xfrm>
                                <a:off x="0" y="0"/>
                                <a:ext cx="605860" cy="25400"/>
                              </a:xfrm>
                              <a:prstGeom prst="rect"/>
                              <a:ln/>
                            </pic:spPr>
                          </pic:pic>
                        </a:graphicData>
                      </a:graphic>
                    </wp:anchor>
                  </w:drawing>
                </mc:Fallback>
              </mc:AlternateContent>
            </w:r>
          </w:p>
          <w:p w14:paraId="67EFC48D" w14:textId="77777777" w:rsidR="00600DEE" w:rsidRDefault="00600DEE">
            <w:pPr>
              <w:spacing w:line="258" w:lineRule="auto"/>
              <w:ind w:right="170"/>
              <w:jc w:val="both"/>
              <w:rPr>
                <w:rFonts w:ascii="Calibri" w:eastAsia="Calibri" w:hAnsi="Calibri" w:cs="Calibri"/>
                <w:sz w:val="20"/>
                <w:szCs w:val="20"/>
              </w:rPr>
            </w:pPr>
          </w:p>
          <w:p w14:paraId="7454501A" w14:textId="2449BDF9" w:rsidR="00600DEE" w:rsidRDefault="00600DEE">
            <w:pPr>
              <w:spacing w:line="276" w:lineRule="auto"/>
              <w:ind w:right="170"/>
              <w:jc w:val="both"/>
              <w:rPr>
                <w:rFonts w:ascii="Calibri" w:eastAsia="Calibri" w:hAnsi="Calibri" w:cs="Calibri"/>
                <w:b/>
                <w:i/>
                <w:sz w:val="16"/>
                <w:szCs w:val="16"/>
              </w:rPr>
            </w:pPr>
          </w:p>
          <w:p w14:paraId="0964D46F" w14:textId="77777777" w:rsidR="00D2339A" w:rsidRDefault="00D2339A">
            <w:pPr>
              <w:spacing w:line="276" w:lineRule="auto"/>
              <w:ind w:right="170"/>
              <w:jc w:val="both"/>
              <w:rPr>
                <w:rFonts w:ascii="Calibri" w:eastAsia="Calibri" w:hAnsi="Calibri" w:cs="Calibri"/>
                <w:color w:val="000000"/>
                <w:sz w:val="18"/>
                <w:szCs w:val="18"/>
              </w:rPr>
            </w:pPr>
          </w:p>
          <w:p w14:paraId="6191F173" w14:textId="2743255A" w:rsidR="00600DEE" w:rsidRDefault="00641FB5">
            <w:pPr>
              <w:spacing w:line="276" w:lineRule="auto"/>
              <w:ind w:right="170"/>
              <w:jc w:val="both"/>
              <w:rPr>
                <w:rFonts w:ascii="Calibri" w:eastAsia="Calibri" w:hAnsi="Calibri" w:cs="Calibri"/>
                <w:b/>
                <w:i/>
                <w:sz w:val="18"/>
                <w:szCs w:val="18"/>
              </w:rPr>
            </w:pPr>
            <w:r>
              <w:rPr>
                <w:rFonts w:ascii="Calibri" w:eastAsia="Calibri" w:hAnsi="Calibri" w:cs="Calibri"/>
                <w:color w:val="000000"/>
                <w:sz w:val="18"/>
                <w:szCs w:val="18"/>
              </w:rPr>
              <w:t>*W przypadkach, gdy wyniki finansowe projektu przekraczają FDR, środki publiczne mogą być wykorzystane, jeśli wyniki finansowe nie są nadmierne (zgodnie z odpowiednimi dokumentami).</w:t>
            </w:r>
          </w:p>
          <w:p w14:paraId="36E8BA4B" w14:textId="77777777" w:rsidR="00600DEE" w:rsidRDefault="00641FB5">
            <w:pPr>
              <w:spacing w:line="276" w:lineRule="auto"/>
              <w:ind w:right="170"/>
              <w:jc w:val="both"/>
              <w:rPr>
                <w:rFonts w:ascii="Calibri" w:eastAsia="Calibri" w:hAnsi="Calibri" w:cs="Calibri"/>
                <w:b/>
                <w:i/>
                <w:sz w:val="16"/>
                <w:szCs w:val="16"/>
              </w:rPr>
            </w:pPr>
            <w:r>
              <w:rPr>
                <w:rFonts w:ascii="Calibri" w:eastAsia="Calibri" w:hAnsi="Calibri" w:cs="Calibri"/>
                <w:b/>
                <w:i/>
                <w:sz w:val="16"/>
                <w:szCs w:val="16"/>
              </w:rPr>
              <w:t>Źródło: opracowanie własne.</w:t>
            </w:r>
          </w:p>
          <w:p w14:paraId="2A30D8C3" w14:textId="2FD7E374" w:rsidR="00600DEE" w:rsidRDefault="00600DEE" w:rsidP="00E12F72">
            <w:pPr>
              <w:spacing w:line="276" w:lineRule="auto"/>
              <w:ind w:right="170"/>
              <w:jc w:val="both"/>
              <w:rPr>
                <w:rFonts w:ascii="Calibri" w:eastAsia="Calibri" w:hAnsi="Calibri" w:cs="Calibri"/>
                <w:b/>
                <w:color w:val="323299"/>
              </w:rPr>
            </w:pPr>
          </w:p>
        </w:tc>
        <w:tc>
          <w:tcPr>
            <w:tcW w:w="7544" w:type="dxa"/>
            <w:gridSpan w:val="2"/>
            <w:tcBorders>
              <w:left w:val="single" w:sz="4" w:space="0" w:color="000000"/>
            </w:tcBorders>
            <w:tcMar>
              <w:left w:w="284" w:type="dxa"/>
              <w:right w:w="284" w:type="dxa"/>
            </w:tcMar>
          </w:tcPr>
          <w:p w14:paraId="2EF87C4B" w14:textId="2BE8D009" w:rsidR="00600DEE" w:rsidRPr="0045151D" w:rsidRDefault="00641FB5">
            <w:pPr>
              <w:keepNext/>
              <w:pBdr>
                <w:top w:val="nil"/>
                <w:left w:val="nil"/>
                <w:bottom w:val="nil"/>
                <w:right w:val="nil"/>
                <w:between w:val="nil"/>
              </w:pBdr>
              <w:tabs>
                <w:tab w:val="left" w:pos="720"/>
                <w:tab w:val="left" w:pos="0"/>
              </w:tabs>
              <w:spacing w:after="120"/>
              <w:ind w:right="26"/>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Figure 1. Economic and financial analyses diagram</w:t>
            </w:r>
          </w:p>
          <w:p w14:paraId="0DC51FB7" w14:textId="46708C59" w:rsidR="00600DEE" w:rsidRPr="0045151D" w:rsidRDefault="00641FB5">
            <w:pPr>
              <w:spacing w:line="276" w:lineRule="auto"/>
              <w:ind w:right="170"/>
              <w:jc w:val="both"/>
              <w:rPr>
                <w:rFonts w:ascii="Calibri" w:eastAsia="Calibri" w:hAnsi="Calibri" w:cs="Calibri"/>
                <w:sz w:val="20"/>
                <w:szCs w:val="20"/>
                <w:lang w:val="en-GB"/>
              </w:rPr>
            </w:pPr>
            <w:r>
              <w:rPr>
                <w:noProof/>
                <w:lang w:eastAsia="pl-PL"/>
              </w:rPr>
              <mc:AlternateContent>
                <mc:Choice Requires="wps">
                  <w:drawing>
                    <wp:anchor distT="0" distB="0" distL="114300" distR="114300" simplePos="0" relativeHeight="251681792" behindDoc="0" locked="0" layoutInCell="1" hidden="0" allowOverlap="1" wp14:anchorId="7F7F833F" wp14:editId="59DB0E62">
                      <wp:simplePos x="0" y="0"/>
                      <wp:positionH relativeFrom="column">
                        <wp:posOffset>2768600</wp:posOffset>
                      </wp:positionH>
                      <wp:positionV relativeFrom="paragraph">
                        <wp:posOffset>12700</wp:posOffset>
                      </wp:positionV>
                      <wp:extent cx="1870075" cy="264795"/>
                      <wp:effectExtent l="0" t="0" r="0" b="0"/>
                      <wp:wrapNone/>
                      <wp:docPr id="523" name="Prostokąt 523"/>
                      <wp:cNvGraphicFramePr/>
                      <a:graphic xmlns:a="http://schemas.openxmlformats.org/drawingml/2006/main">
                        <a:graphicData uri="http://schemas.microsoft.com/office/word/2010/wordprocessingShape">
                          <wps:wsp>
                            <wps:cNvSpPr/>
                            <wps:spPr>
                              <a:xfrm flipH="1">
                                <a:off x="4415725" y="3652365"/>
                                <a:ext cx="1860550" cy="255270"/>
                              </a:xfrm>
                              <a:prstGeom prst="rect">
                                <a:avLst/>
                              </a:prstGeom>
                              <a:noFill/>
                              <a:ln>
                                <a:noFill/>
                              </a:ln>
                            </wps:spPr>
                            <wps:txbx>
                              <w:txbxContent>
                                <w:p w14:paraId="2CBC4874" w14:textId="77777777" w:rsidR="007463B9" w:rsidRDefault="007463B9">
                                  <w:pPr>
                                    <w:jc w:val="center"/>
                                    <w:textDirection w:val="btLr"/>
                                  </w:pPr>
                                  <w:r>
                                    <w:rPr>
                                      <w:rFonts w:ascii="Calibri" w:eastAsia="Calibri" w:hAnsi="Calibri" w:cs="Calibri"/>
                                      <w:b/>
                                      <w:i/>
                                      <w:color w:val="000000"/>
                                      <w:sz w:val="18"/>
                                    </w:rPr>
                                    <w:t>PROJECT SELECTION</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F7F833F" id="Prostokąt 523" o:spid="_x0000_s1036" style="position:absolute;left:0;text-align:left;margin-left:218pt;margin-top:1pt;width:147.25pt;height:20.85pt;flip:x;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" filled="f" stroked="f">
                      <v:textbox inset="2.53958mm,1.2694mm,2.53958mm,1.2694mm">
                        <w:txbxContent>
                          <w:p w14:paraId="2CBC4874" w14:textId="77777777" w:rsidR="007463B9" w:rsidRDefault="007463B9">
                            <w:pPr>
                              <w:jc w:val="center"/>
                              <w:textDirection w:val="btLr"/>
                            </w:pPr>
                            <w:r>
                              <w:rPr>
                                <w:rFonts w:ascii="Calibri" w:eastAsia="Calibri" w:hAnsi="Calibri" w:cs="Calibri"/>
                                <w:b/>
                                <w:i/>
                                <w:color w:val="000000"/>
                                <w:sz w:val="18"/>
                              </w:rPr>
                              <w:t>PROJECT SELECTION</w:t>
                            </w:r>
                          </w:p>
                        </w:txbxContent>
                      </v:textbox>
                    </v:rect>
                  </w:pict>
                </mc:Fallback>
              </mc:AlternateContent>
            </w:r>
            <w:r>
              <w:rPr>
                <w:noProof/>
                <w:lang w:eastAsia="pl-PL"/>
              </w:rPr>
              <mc:AlternateContent>
                <mc:Choice Requires="wps">
                  <w:drawing>
                    <wp:anchor distT="0" distB="0" distL="114300" distR="114300" simplePos="0" relativeHeight="251682816" behindDoc="0" locked="0" layoutInCell="1" hidden="0" allowOverlap="1" wp14:anchorId="43C3A13D" wp14:editId="430D809E">
                      <wp:simplePos x="0" y="0"/>
                      <wp:positionH relativeFrom="column">
                        <wp:posOffset>1524000</wp:posOffset>
                      </wp:positionH>
                      <wp:positionV relativeFrom="paragraph">
                        <wp:posOffset>88900</wp:posOffset>
                      </wp:positionV>
                      <wp:extent cx="1568450" cy="320675"/>
                      <wp:effectExtent l="0" t="0" r="0" b="0"/>
                      <wp:wrapNone/>
                      <wp:docPr id="495" name="Prostokąt 495"/>
                      <wp:cNvGraphicFramePr/>
                      <a:graphic xmlns:a="http://schemas.openxmlformats.org/drawingml/2006/main">
                        <a:graphicData uri="http://schemas.microsoft.com/office/word/2010/wordprocessingShape">
                          <wps:wsp>
                            <wps:cNvSpPr/>
                            <wps:spPr>
                              <a:xfrm>
                                <a:off x="4574475" y="3632363"/>
                                <a:ext cx="1543050" cy="295275"/>
                              </a:xfrm>
                              <a:prstGeom prst="rect">
                                <a:avLst/>
                              </a:prstGeom>
                              <a:solidFill>
                                <a:schemeClr val="accent1"/>
                              </a:solidFill>
                              <a:ln w="25400" cap="flat" cmpd="sng">
                                <a:solidFill>
                                  <a:srgbClr val="395E89"/>
                                </a:solidFill>
                                <a:prstDash val="solid"/>
                                <a:round/>
                                <a:headEnd type="none" w="sm" len="sm"/>
                                <a:tailEnd type="none" w="sm" len="sm"/>
                              </a:ln>
                            </wps:spPr>
                            <wps:txbx>
                              <w:txbxContent>
                                <w:p w14:paraId="47742DD1" w14:textId="77777777" w:rsidR="007463B9" w:rsidRDefault="007463B9">
                                  <w:pPr>
                                    <w:jc w:val="center"/>
                                    <w:textDirection w:val="btLr"/>
                                  </w:pPr>
                                  <w:r>
                                    <w:rPr>
                                      <w:rFonts w:ascii="Calibri" w:eastAsia="Calibri" w:hAnsi="Calibri" w:cs="Calibri"/>
                                      <w:b/>
                                      <w:color w:val="000000"/>
                                      <w:sz w:val="20"/>
                                    </w:rPr>
                                    <w:t>Economic Analysis</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3C3A13D" id="Prostokąt 495" o:spid="_x0000_s1037" style="position:absolute;left:0;text-align:left;margin-left:120pt;margin-top:7pt;width:123.5pt;height:25.2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" fillcolor="#4f81bd [3204]" strokecolor="#395e89" strokeweight="2pt">
                      <v:stroke startarrowwidth="narrow" startarrowlength="short" endarrowwidth="narrow" endarrowlength="short" joinstyle="round"/>
                      <v:textbox inset="2.53958mm,1.2694mm,2.53958mm,1.2694mm">
                        <w:txbxContent>
                          <w:p w14:paraId="47742DD1" w14:textId="77777777" w:rsidR="007463B9" w:rsidRDefault="007463B9">
                            <w:pPr>
                              <w:jc w:val="center"/>
                              <w:textDirection w:val="btLr"/>
                            </w:pPr>
                            <w:r>
                              <w:rPr>
                                <w:rFonts w:ascii="Calibri" w:eastAsia="Calibri" w:hAnsi="Calibri" w:cs="Calibri"/>
                                <w:b/>
                                <w:color w:val="000000"/>
                                <w:sz w:val="20"/>
                              </w:rPr>
                              <w:t>Economic Analysis</w:t>
                            </w:r>
                          </w:p>
                        </w:txbxContent>
                      </v:textbox>
                    </v:rect>
                  </w:pict>
                </mc:Fallback>
              </mc:AlternateContent>
            </w:r>
          </w:p>
          <w:p w14:paraId="5E5E7A7B" w14:textId="77777777" w:rsidR="00600DEE" w:rsidRPr="0045151D" w:rsidRDefault="00641FB5">
            <w:pPr>
              <w:spacing w:line="276" w:lineRule="auto"/>
              <w:ind w:right="170"/>
              <w:jc w:val="both"/>
              <w:rPr>
                <w:rFonts w:ascii="Calibri" w:eastAsia="Calibri" w:hAnsi="Calibri" w:cs="Calibri"/>
                <w:sz w:val="20"/>
                <w:szCs w:val="20"/>
                <w:lang w:val="en-GB"/>
              </w:rPr>
            </w:pPr>
            <w:r>
              <w:rPr>
                <w:noProof/>
                <w:lang w:eastAsia="pl-PL"/>
              </w:rPr>
              <mc:AlternateContent>
                <mc:Choice Requires="wpg">
                  <w:drawing>
                    <wp:anchor distT="0" distB="0" distL="0" distR="0" simplePos="0" relativeHeight="251683840" behindDoc="1" locked="0" layoutInCell="1" hidden="0" allowOverlap="1" wp14:anchorId="780C16F8" wp14:editId="02DA25AD">
                      <wp:simplePos x="0" y="0"/>
                      <wp:positionH relativeFrom="column">
                        <wp:posOffset>2984500</wp:posOffset>
                      </wp:positionH>
                      <wp:positionV relativeFrom="paragraph">
                        <wp:posOffset>76200</wp:posOffset>
                      </wp:positionV>
                      <wp:extent cx="514985" cy="12700"/>
                      <wp:effectExtent l="0" t="0" r="0" b="0"/>
                      <wp:wrapNone/>
                      <wp:docPr id="505" name="Łącznik prosty ze strzałką 505"/>
                      <wp:cNvGraphicFramePr/>
                      <a:graphic xmlns:a="http://schemas.openxmlformats.org/drawingml/2006/main">
                        <a:graphicData uri="http://schemas.microsoft.com/office/word/2010/wordprocessingShape">
                          <wps:wsp>
                            <wps:cNvCnPr/>
                            <wps:spPr>
                              <a:xfrm>
                                <a:off x="5088508" y="3780000"/>
                                <a:ext cx="51498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1" distB="0" distT="0" distL="0" distR="0" hidden="0" layoutInCell="1" locked="0" relativeHeight="0" simplePos="0">
                      <wp:simplePos x="0" y="0"/>
                      <wp:positionH relativeFrom="column">
                        <wp:posOffset>2984500</wp:posOffset>
                      </wp:positionH>
                      <wp:positionV relativeFrom="paragraph">
                        <wp:posOffset>76200</wp:posOffset>
                      </wp:positionV>
                      <wp:extent cx="514985" cy="12700"/>
                      <wp:effectExtent b="0" l="0" r="0" t="0"/>
                      <wp:wrapNone/>
                      <wp:docPr id="505" name="image63.png"/>
                      <a:graphic>
                        <a:graphicData uri="http://schemas.openxmlformats.org/drawingml/2006/picture">
                          <pic:pic>
                            <pic:nvPicPr>
                              <pic:cNvPr id="0" name="image63.png"/>
                              <pic:cNvPicPr preferRelativeResize="0"/>
                            </pic:nvPicPr>
                            <pic:blipFill>
                              <a:blip r:embed="rId76"/>
                              <a:srcRect/>
                              <a:stretch>
                                <a:fillRect/>
                              </a:stretch>
                            </pic:blipFill>
                            <pic:spPr>
                              <a:xfrm>
                                <a:off x="0" y="0"/>
                                <a:ext cx="514985" cy="12700"/>
                              </a:xfrm>
                              <a:prstGeom prst="rect"/>
                              <a:ln/>
                            </pic:spPr>
                          </pic:pic>
                        </a:graphicData>
                      </a:graphic>
                    </wp:anchor>
                  </w:drawing>
                </mc:Fallback>
              </mc:AlternateContent>
            </w:r>
            <w:r>
              <w:rPr>
                <w:noProof/>
                <w:lang w:eastAsia="pl-PL"/>
              </w:rPr>
              <mc:AlternateContent>
                <mc:Choice Requires="wpg">
                  <w:drawing>
                    <wp:anchor distT="0" distB="0" distL="114300" distR="114300" simplePos="0" relativeHeight="251684864" behindDoc="0" locked="0" layoutInCell="1" hidden="0" allowOverlap="1" wp14:anchorId="05E421D0" wp14:editId="1BF1D261">
                      <wp:simplePos x="0" y="0"/>
                      <wp:positionH relativeFrom="column">
                        <wp:posOffset>1028700</wp:posOffset>
                      </wp:positionH>
                      <wp:positionV relativeFrom="paragraph">
                        <wp:posOffset>50800</wp:posOffset>
                      </wp:positionV>
                      <wp:extent cx="514985" cy="12700"/>
                      <wp:effectExtent l="0" t="0" r="0" b="0"/>
                      <wp:wrapNone/>
                      <wp:docPr id="525" name="Łącznik prosty ze strzałką 525"/>
                      <wp:cNvGraphicFramePr/>
                      <a:graphic xmlns:a="http://schemas.openxmlformats.org/drawingml/2006/main">
                        <a:graphicData uri="http://schemas.microsoft.com/office/word/2010/wordprocessingShape">
                          <wps:wsp>
                            <wps:cNvCnPr/>
                            <wps:spPr>
                              <a:xfrm>
                                <a:off x="5088508" y="3780000"/>
                                <a:ext cx="51498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1028700</wp:posOffset>
                      </wp:positionH>
                      <wp:positionV relativeFrom="paragraph">
                        <wp:posOffset>50800</wp:posOffset>
                      </wp:positionV>
                      <wp:extent cx="514985" cy="12700"/>
                      <wp:effectExtent b="0" l="0" r="0" t="0"/>
                      <wp:wrapNone/>
                      <wp:docPr id="525" name="image88.png"/>
                      <a:graphic>
                        <a:graphicData uri="http://schemas.openxmlformats.org/drawingml/2006/picture">
                          <pic:pic>
                            <pic:nvPicPr>
                              <pic:cNvPr id="0" name="image88.png"/>
                              <pic:cNvPicPr preferRelativeResize="0"/>
                            </pic:nvPicPr>
                            <pic:blipFill>
                              <a:blip r:embed="rId77"/>
                              <a:srcRect/>
                              <a:stretch>
                                <a:fillRect/>
                              </a:stretch>
                            </pic:blipFill>
                            <pic:spPr>
                              <a:xfrm>
                                <a:off x="0" y="0"/>
                                <a:ext cx="514985" cy="12700"/>
                              </a:xfrm>
                              <a:prstGeom prst="rect"/>
                              <a:ln/>
                            </pic:spPr>
                          </pic:pic>
                        </a:graphicData>
                      </a:graphic>
                    </wp:anchor>
                  </w:drawing>
                </mc:Fallback>
              </mc:AlternateContent>
            </w:r>
            <w:r>
              <w:rPr>
                <w:noProof/>
                <w:lang w:eastAsia="pl-PL"/>
              </w:rPr>
              <mc:AlternateContent>
                <mc:Choice Requires="wpg">
                  <w:drawing>
                    <wp:anchor distT="0" distB="0" distL="114300" distR="114300" simplePos="0" relativeHeight="251685888" behindDoc="0" locked="0" layoutInCell="1" hidden="0" allowOverlap="1" wp14:anchorId="272084FC" wp14:editId="259A7327">
                      <wp:simplePos x="0" y="0"/>
                      <wp:positionH relativeFrom="column">
                        <wp:posOffset>1016000</wp:posOffset>
                      </wp:positionH>
                      <wp:positionV relativeFrom="paragraph">
                        <wp:posOffset>63500</wp:posOffset>
                      </wp:positionV>
                      <wp:extent cx="25400" cy="358140"/>
                      <wp:effectExtent l="0" t="0" r="0" b="0"/>
                      <wp:wrapNone/>
                      <wp:docPr id="501" name="Łącznik prosty ze strzałką 501"/>
                      <wp:cNvGraphicFramePr/>
                      <a:graphic xmlns:a="http://schemas.openxmlformats.org/drawingml/2006/main">
                        <a:graphicData uri="http://schemas.microsoft.com/office/word/2010/wordprocessingShape">
                          <wps:wsp>
                            <wps:cNvCnPr/>
                            <wps:spPr>
                              <a:xfrm>
                                <a:off x="5346000" y="3600930"/>
                                <a:ext cx="0" cy="35814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1016000</wp:posOffset>
                      </wp:positionH>
                      <wp:positionV relativeFrom="paragraph">
                        <wp:posOffset>63500</wp:posOffset>
                      </wp:positionV>
                      <wp:extent cx="25400" cy="358140"/>
                      <wp:effectExtent b="0" l="0" r="0" t="0"/>
                      <wp:wrapNone/>
                      <wp:docPr id="501" name="image59.png"/>
                      <a:graphic>
                        <a:graphicData uri="http://schemas.openxmlformats.org/drawingml/2006/picture">
                          <pic:pic>
                            <pic:nvPicPr>
                              <pic:cNvPr id="0" name="image59.png"/>
                              <pic:cNvPicPr preferRelativeResize="0"/>
                            </pic:nvPicPr>
                            <pic:blipFill>
                              <a:blip r:embed="rId78"/>
                              <a:srcRect/>
                              <a:stretch>
                                <a:fillRect/>
                              </a:stretch>
                            </pic:blipFill>
                            <pic:spPr>
                              <a:xfrm>
                                <a:off x="0" y="0"/>
                                <a:ext cx="25400" cy="358140"/>
                              </a:xfrm>
                              <a:prstGeom prst="rect"/>
                              <a:ln/>
                            </pic:spPr>
                          </pic:pic>
                        </a:graphicData>
                      </a:graphic>
                    </wp:anchor>
                  </w:drawing>
                </mc:Fallback>
              </mc:AlternateContent>
            </w:r>
            <w:r>
              <w:rPr>
                <w:noProof/>
                <w:lang w:eastAsia="pl-PL"/>
              </w:rPr>
              <mc:AlternateContent>
                <mc:Choice Requires="wpg">
                  <w:drawing>
                    <wp:anchor distT="0" distB="0" distL="114300" distR="114300" simplePos="0" relativeHeight="251686912" behindDoc="0" locked="0" layoutInCell="1" hidden="0" allowOverlap="1" wp14:anchorId="314078D2" wp14:editId="1167E3BA">
                      <wp:simplePos x="0" y="0"/>
                      <wp:positionH relativeFrom="column">
                        <wp:posOffset>3492500</wp:posOffset>
                      </wp:positionH>
                      <wp:positionV relativeFrom="paragraph">
                        <wp:posOffset>76200</wp:posOffset>
                      </wp:positionV>
                      <wp:extent cx="25400" cy="358140"/>
                      <wp:effectExtent l="0" t="0" r="0" b="0"/>
                      <wp:wrapNone/>
                      <wp:docPr id="475" name="Łącznik prosty ze strzałką 475"/>
                      <wp:cNvGraphicFramePr/>
                      <a:graphic xmlns:a="http://schemas.openxmlformats.org/drawingml/2006/main">
                        <a:graphicData uri="http://schemas.microsoft.com/office/word/2010/wordprocessingShape">
                          <wps:wsp>
                            <wps:cNvCnPr/>
                            <wps:spPr>
                              <a:xfrm>
                                <a:off x="5346000" y="3600930"/>
                                <a:ext cx="0" cy="35814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3492500</wp:posOffset>
                      </wp:positionH>
                      <wp:positionV relativeFrom="paragraph">
                        <wp:posOffset>76200</wp:posOffset>
                      </wp:positionV>
                      <wp:extent cx="25400" cy="358140"/>
                      <wp:effectExtent b="0" l="0" r="0" t="0"/>
                      <wp:wrapNone/>
                      <wp:docPr id="475" name="image31.png"/>
                      <a:graphic>
                        <a:graphicData uri="http://schemas.openxmlformats.org/drawingml/2006/picture">
                          <pic:pic>
                            <pic:nvPicPr>
                              <pic:cNvPr id="0" name="image31.png"/>
                              <pic:cNvPicPr preferRelativeResize="0"/>
                            </pic:nvPicPr>
                            <pic:blipFill>
                              <a:blip r:embed="rId79"/>
                              <a:srcRect/>
                              <a:stretch>
                                <a:fillRect/>
                              </a:stretch>
                            </pic:blipFill>
                            <pic:spPr>
                              <a:xfrm>
                                <a:off x="0" y="0"/>
                                <a:ext cx="25400" cy="358140"/>
                              </a:xfrm>
                              <a:prstGeom prst="rect"/>
                              <a:ln/>
                            </pic:spPr>
                          </pic:pic>
                        </a:graphicData>
                      </a:graphic>
                    </wp:anchor>
                  </w:drawing>
                </mc:Fallback>
              </mc:AlternateContent>
            </w:r>
          </w:p>
          <w:p w14:paraId="698DBA11" w14:textId="77777777" w:rsidR="00600DEE" w:rsidRPr="0045151D" w:rsidRDefault="00641FB5">
            <w:pPr>
              <w:rPr>
                <w:rFonts w:ascii="Calibri" w:eastAsia="Calibri" w:hAnsi="Calibri" w:cs="Calibri"/>
                <w:sz w:val="20"/>
                <w:szCs w:val="20"/>
                <w:lang w:val="en-GB"/>
              </w:rPr>
            </w:pPr>
            <w:r w:rsidRPr="0045151D">
              <w:rPr>
                <w:rFonts w:ascii="Calibri" w:eastAsia="Calibri" w:hAnsi="Calibri" w:cs="Calibri"/>
                <w:b/>
                <w:color w:val="333399"/>
                <w:sz w:val="32"/>
                <w:szCs w:val="32"/>
                <w:lang w:val="en-GB"/>
              </w:rPr>
              <w:t xml:space="preserve">           </w:t>
            </w:r>
          </w:p>
          <w:p w14:paraId="7D2801E7" w14:textId="5B0BD83D" w:rsidR="00600DEE" w:rsidRPr="0045151D" w:rsidRDefault="00641FB5">
            <w:pPr>
              <w:spacing w:before="240" w:after="360" w:line="276" w:lineRule="auto"/>
              <w:jc w:val="both"/>
              <w:rPr>
                <w:rFonts w:ascii="Calibri" w:eastAsia="Calibri" w:hAnsi="Calibri" w:cs="Calibri"/>
                <w:b/>
                <w:color w:val="333399"/>
                <w:sz w:val="32"/>
                <w:szCs w:val="32"/>
                <w:lang w:val="en-GB"/>
              </w:rPr>
            </w:pPr>
            <w:r>
              <w:rPr>
                <w:noProof/>
                <w:lang w:eastAsia="pl-PL"/>
              </w:rPr>
              <mc:AlternateContent>
                <mc:Choice Requires="wpg">
                  <w:drawing>
                    <wp:anchor distT="0" distB="0" distL="114300" distR="114300" simplePos="0" relativeHeight="251687936" behindDoc="0" locked="0" layoutInCell="1" hidden="0" allowOverlap="1" wp14:anchorId="599800B7" wp14:editId="37606022">
                      <wp:simplePos x="0" y="0"/>
                      <wp:positionH relativeFrom="column">
                        <wp:posOffset>1054100</wp:posOffset>
                      </wp:positionH>
                      <wp:positionV relativeFrom="paragraph">
                        <wp:posOffset>660400</wp:posOffset>
                      </wp:positionV>
                      <wp:extent cx="12700" cy="314325"/>
                      <wp:effectExtent l="0" t="0" r="0" b="0"/>
                      <wp:wrapNone/>
                      <wp:docPr id="491" name="Łącznik prosty ze strzałką 491"/>
                      <wp:cNvGraphicFramePr/>
                      <a:graphic xmlns:a="http://schemas.openxmlformats.org/drawingml/2006/main">
                        <a:graphicData uri="http://schemas.microsoft.com/office/word/2010/wordprocessingShape">
                          <wps:wsp>
                            <wps:cNvCnPr/>
                            <wps:spPr>
                              <a:xfrm rot="10800000" flipH="1">
                                <a:off x="5344413" y="3622838"/>
                                <a:ext cx="3175" cy="314325"/>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1054100</wp:posOffset>
                      </wp:positionH>
                      <wp:positionV relativeFrom="paragraph">
                        <wp:posOffset>660400</wp:posOffset>
                      </wp:positionV>
                      <wp:extent cx="12700" cy="314325"/>
                      <wp:effectExtent b="0" l="0" r="0" t="0"/>
                      <wp:wrapNone/>
                      <wp:docPr id="491" name="image49.png"/>
                      <a:graphic>
                        <a:graphicData uri="http://schemas.openxmlformats.org/drawingml/2006/picture">
                          <pic:pic>
                            <pic:nvPicPr>
                              <pic:cNvPr id="0" name="image49.png"/>
                              <pic:cNvPicPr preferRelativeResize="0"/>
                            </pic:nvPicPr>
                            <pic:blipFill>
                              <a:blip r:embed="rId80"/>
                              <a:srcRect/>
                              <a:stretch>
                                <a:fillRect/>
                              </a:stretch>
                            </pic:blipFill>
                            <pic:spPr>
                              <a:xfrm>
                                <a:off x="0" y="0"/>
                                <a:ext cx="12700" cy="314325"/>
                              </a:xfrm>
                              <a:prstGeom prst="rect"/>
                              <a:ln/>
                            </pic:spPr>
                          </pic:pic>
                        </a:graphicData>
                      </a:graphic>
                    </wp:anchor>
                  </w:drawing>
                </mc:Fallback>
              </mc:AlternateContent>
            </w:r>
            <w:r>
              <w:rPr>
                <w:noProof/>
                <w:lang w:eastAsia="pl-PL"/>
              </w:rPr>
              <mc:AlternateContent>
                <mc:Choice Requires="wps">
                  <w:drawing>
                    <wp:anchor distT="0" distB="0" distL="114300" distR="114300" simplePos="0" relativeHeight="251688960" behindDoc="0" locked="0" layoutInCell="1" hidden="0" allowOverlap="1" wp14:anchorId="0754CCE0" wp14:editId="5B445CA7">
                      <wp:simplePos x="0" y="0"/>
                      <wp:positionH relativeFrom="column">
                        <wp:posOffset>317500</wp:posOffset>
                      </wp:positionH>
                      <wp:positionV relativeFrom="paragraph">
                        <wp:posOffset>76200</wp:posOffset>
                      </wp:positionV>
                      <wp:extent cx="1797685" cy="600075"/>
                      <wp:effectExtent l="0" t="0" r="0" b="0"/>
                      <wp:wrapNone/>
                      <wp:docPr id="519" name="Prostokąt 519"/>
                      <wp:cNvGraphicFramePr/>
                      <a:graphic xmlns:a="http://schemas.openxmlformats.org/drawingml/2006/main">
                        <a:graphicData uri="http://schemas.microsoft.com/office/word/2010/wordprocessingShape">
                          <wps:wsp>
                            <wps:cNvSpPr/>
                            <wps:spPr>
                              <a:xfrm>
                                <a:off x="4451920" y="3484725"/>
                                <a:ext cx="1788160" cy="590550"/>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7C1378D8" w14:textId="77777777" w:rsidR="007463B9" w:rsidRPr="0045151D" w:rsidRDefault="007463B9">
                                  <w:pPr>
                                    <w:spacing w:after="120"/>
                                    <w:jc w:val="center"/>
                                    <w:textDirection w:val="btLr"/>
                                    <w:rPr>
                                      <w:lang w:val="en-GB"/>
                                    </w:rPr>
                                  </w:pPr>
                                  <w:r w:rsidRPr="0045151D">
                                    <w:rPr>
                                      <w:rFonts w:ascii="Calibri" w:eastAsia="Calibri" w:hAnsi="Calibri" w:cs="Calibri"/>
                                      <w:b/>
                                      <w:color w:val="000000"/>
                                      <w:sz w:val="20"/>
                                      <w:lang w:val="en-GB"/>
                                    </w:rPr>
                                    <w:t>ENPV&gt;0</w:t>
                                  </w:r>
                                </w:p>
                                <w:p w14:paraId="120FF699"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8"/>
                                      <w:lang w:val="en-GB"/>
                                    </w:rPr>
                                    <w:t>The project generates net economic benefits.</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754CCE0" id="Prostokąt 519" o:spid="_x0000_s1038" style="position:absolute;left:0;text-align:left;margin-left:25pt;margin-top:6pt;width:141.55pt;height:47.2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" fillcolor="#dae5f1" stroked="f">
                      <v:shadow on="t" opacity="25956f" origin="-.5,-.5" offset=".74836mm,.74836mm"/>
                      <v:textbox inset="2.53958mm,1.2694mm,2.53958mm,1.2694mm">
                        <w:txbxContent>
                          <w:p w14:paraId="7C1378D8" w14:textId="77777777" w:rsidR="007463B9" w:rsidRPr="0045151D" w:rsidRDefault="007463B9">
                            <w:pPr>
                              <w:spacing w:after="120"/>
                              <w:jc w:val="center"/>
                              <w:textDirection w:val="btLr"/>
                              <w:rPr>
                                <w:lang w:val="en-GB"/>
                              </w:rPr>
                            </w:pPr>
                            <w:r w:rsidRPr="0045151D">
                              <w:rPr>
                                <w:rFonts w:ascii="Calibri" w:eastAsia="Calibri" w:hAnsi="Calibri" w:cs="Calibri"/>
                                <w:b/>
                                <w:color w:val="000000"/>
                                <w:sz w:val="20"/>
                                <w:lang w:val="en-GB"/>
                              </w:rPr>
                              <w:t>ENPV&gt;0</w:t>
                            </w:r>
                          </w:p>
                          <w:p w14:paraId="120FF699"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8"/>
                                <w:lang w:val="en-GB"/>
                              </w:rPr>
                              <w:t>The project generates net economic benefits.</w:t>
                            </w:r>
                          </w:p>
                        </w:txbxContent>
                      </v:textbox>
                    </v:rect>
                  </w:pict>
                </mc:Fallback>
              </mc:AlternateContent>
            </w:r>
            <w:r>
              <w:rPr>
                <w:noProof/>
                <w:lang w:eastAsia="pl-PL"/>
              </w:rPr>
              <mc:AlternateContent>
                <mc:Choice Requires="wps">
                  <w:drawing>
                    <wp:anchor distT="0" distB="0" distL="114300" distR="114300" simplePos="0" relativeHeight="251689984" behindDoc="0" locked="0" layoutInCell="1" hidden="0" allowOverlap="1" wp14:anchorId="68A3641B" wp14:editId="5F446029">
                      <wp:simplePos x="0" y="0"/>
                      <wp:positionH relativeFrom="column">
                        <wp:posOffset>2171700</wp:posOffset>
                      </wp:positionH>
                      <wp:positionV relativeFrom="paragraph">
                        <wp:posOffset>63500</wp:posOffset>
                      </wp:positionV>
                      <wp:extent cx="1866900" cy="600075"/>
                      <wp:effectExtent l="0" t="0" r="0" b="0"/>
                      <wp:wrapNone/>
                      <wp:docPr id="466" name="Prostokąt 466"/>
                      <wp:cNvGraphicFramePr/>
                      <a:graphic xmlns:a="http://schemas.openxmlformats.org/drawingml/2006/main">
                        <a:graphicData uri="http://schemas.microsoft.com/office/word/2010/wordprocessingShape">
                          <wps:wsp>
                            <wps:cNvSpPr/>
                            <wps:spPr>
                              <a:xfrm>
                                <a:off x="4417313" y="3484725"/>
                                <a:ext cx="1857375" cy="590550"/>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458D8BC5" w14:textId="77777777" w:rsidR="007463B9" w:rsidRPr="0045151D" w:rsidRDefault="007463B9">
                                  <w:pPr>
                                    <w:spacing w:after="120"/>
                                    <w:jc w:val="center"/>
                                    <w:textDirection w:val="btLr"/>
                                    <w:rPr>
                                      <w:lang w:val="en-GB"/>
                                    </w:rPr>
                                  </w:pPr>
                                  <w:r w:rsidRPr="0045151D">
                                    <w:rPr>
                                      <w:rFonts w:ascii="Calibri" w:eastAsia="Calibri" w:hAnsi="Calibri" w:cs="Calibri"/>
                                      <w:b/>
                                      <w:color w:val="000000"/>
                                      <w:sz w:val="20"/>
                                      <w:lang w:val="en-GB"/>
                                    </w:rPr>
                                    <w:t>ENPV&lt;0</w:t>
                                  </w:r>
                                </w:p>
                                <w:p w14:paraId="6237F089"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8"/>
                                      <w:lang w:val="en-GB"/>
                                    </w:rPr>
                                    <w:t>The project does not generate net economic benefits.</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8A3641B" id="Prostokąt 466" o:spid="_x0000_s1039" style="position:absolute;left:0;text-align:left;margin-left:171pt;margin-top:5pt;width:147pt;height:47.2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" fillcolor="#dae5f1" stroked="f">
                      <v:shadow on="t" opacity="25956f" origin="-.5,-.5" offset=".74836mm,.74836mm"/>
                      <v:textbox inset="2.53958mm,1.2694mm,2.53958mm,1.2694mm">
                        <w:txbxContent>
                          <w:p w14:paraId="458D8BC5" w14:textId="77777777" w:rsidR="007463B9" w:rsidRPr="0045151D" w:rsidRDefault="007463B9">
                            <w:pPr>
                              <w:spacing w:after="120"/>
                              <w:jc w:val="center"/>
                              <w:textDirection w:val="btLr"/>
                              <w:rPr>
                                <w:lang w:val="en-GB"/>
                              </w:rPr>
                            </w:pPr>
                            <w:r w:rsidRPr="0045151D">
                              <w:rPr>
                                <w:rFonts w:ascii="Calibri" w:eastAsia="Calibri" w:hAnsi="Calibri" w:cs="Calibri"/>
                                <w:b/>
                                <w:color w:val="000000"/>
                                <w:sz w:val="20"/>
                                <w:lang w:val="en-GB"/>
                              </w:rPr>
                              <w:t>ENPV&lt;0</w:t>
                            </w:r>
                          </w:p>
                          <w:p w14:paraId="6237F089"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8"/>
                                <w:lang w:val="en-GB"/>
                              </w:rPr>
                              <w:t>The project does not generate net economic benefits.</w:t>
                            </w:r>
                          </w:p>
                        </w:txbxContent>
                      </v:textbox>
                    </v:rect>
                  </w:pict>
                </mc:Fallback>
              </mc:AlternateContent>
            </w:r>
            <w:r>
              <w:rPr>
                <w:noProof/>
                <w:lang w:eastAsia="pl-PL"/>
              </w:rPr>
              <mc:AlternateContent>
                <mc:Choice Requires="wps">
                  <w:drawing>
                    <wp:anchor distT="0" distB="0" distL="114300" distR="114300" simplePos="0" relativeHeight="251691008" behindDoc="0" locked="0" layoutInCell="1" hidden="0" allowOverlap="1" wp14:anchorId="5D29E480" wp14:editId="2B2FFA03">
                      <wp:simplePos x="0" y="0"/>
                      <wp:positionH relativeFrom="column">
                        <wp:posOffset>596900</wp:posOffset>
                      </wp:positionH>
                      <wp:positionV relativeFrom="paragraph">
                        <wp:posOffset>2895600</wp:posOffset>
                      </wp:positionV>
                      <wp:extent cx="1130300" cy="311150"/>
                      <wp:effectExtent l="0" t="0" r="0" b="0"/>
                      <wp:wrapNone/>
                      <wp:docPr id="510" name="Prostokąt 510"/>
                      <wp:cNvGraphicFramePr/>
                      <a:graphic xmlns:a="http://schemas.openxmlformats.org/drawingml/2006/main">
                        <a:graphicData uri="http://schemas.microsoft.com/office/word/2010/wordprocessingShape">
                          <wps:wsp>
                            <wps:cNvSpPr/>
                            <wps:spPr>
                              <a:xfrm>
                                <a:off x="4793550" y="3637125"/>
                                <a:ext cx="1104900" cy="285750"/>
                              </a:xfrm>
                              <a:prstGeom prst="rect">
                                <a:avLst/>
                              </a:prstGeom>
                              <a:solidFill>
                                <a:schemeClr val="accent1"/>
                              </a:solidFill>
                              <a:ln w="25400" cap="flat" cmpd="sng">
                                <a:solidFill>
                                  <a:srgbClr val="395E89"/>
                                </a:solidFill>
                                <a:prstDash val="solid"/>
                                <a:round/>
                                <a:headEnd type="none" w="sm" len="sm"/>
                                <a:tailEnd type="none" w="sm" len="sm"/>
                              </a:ln>
                            </wps:spPr>
                            <wps:txbx>
                              <w:txbxContent>
                                <w:p w14:paraId="690D0E12" w14:textId="77777777" w:rsidR="007463B9" w:rsidRDefault="007463B9">
                                  <w:pPr>
                                    <w:jc w:val="center"/>
                                    <w:textDirection w:val="btLr"/>
                                  </w:pPr>
                                  <w:r>
                                    <w:rPr>
                                      <w:rFonts w:ascii="Calibri" w:eastAsia="Calibri" w:hAnsi="Calibri" w:cs="Calibri"/>
                                      <w:b/>
                                      <w:color w:val="000000"/>
                                      <w:sz w:val="20"/>
                                    </w:rPr>
                                    <w:t>EU grant</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D29E480" id="Prostokąt 510" o:spid="_x0000_s1040" style="position:absolute;left:0;text-align:left;margin-left:47pt;margin-top:228pt;width:89pt;height:24.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" fillcolor="#4f81bd [3204]" strokecolor="#395e89" strokeweight="2pt">
                      <v:stroke startarrowwidth="narrow" startarrowlength="short" endarrowwidth="narrow" endarrowlength="short" joinstyle="round"/>
                      <v:textbox inset="2.53958mm,1.2694mm,2.53958mm,1.2694mm">
                        <w:txbxContent>
                          <w:p w14:paraId="690D0E12" w14:textId="77777777" w:rsidR="007463B9" w:rsidRDefault="007463B9">
                            <w:pPr>
                              <w:jc w:val="center"/>
                              <w:textDirection w:val="btLr"/>
                            </w:pPr>
                            <w:r>
                              <w:rPr>
                                <w:rFonts w:ascii="Calibri" w:eastAsia="Calibri" w:hAnsi="Calibri" w:cs="Calibri"/>
                                <w:b/>
                                <w:color w:val="000000"/>
                                <w:sz w:val="20"/>
                              </w:rPr>
                              <w:t>EU grant</w:t>
                            </w:r>
                          </w:p>
                        </w:txbxContent>
                      </v:textbox>
                    </v:rect>
                  </w:pict>
                </mc:Fallback>
              </mc:AlternateContent>
            </w:r>
            <w:r>
              <w:rPr>
                <w:noProof/>
                <w:lang w:eastAsia="pl-PL"/>
              </w:rPr>
              <mc:AlternateContent>
                <mc:Choice Requires="wps">
                  <w:drawing>
                    <wp:anchor distT="4294967293" distB="4294967293" distL="114300" distR="114300" simplePos="0" relativeHeight="251693056" behindDoc="0" locked="0" layoutInCell="1" hidden="0" allowOverlap="1" wp14:anchorId="5C019198" wp14:editId="3A901E7F">
                      <wp:simplePos x="0" y="0"/>
                      <wp:positionH relativeFrom="column">
                        <wp:posOffset>317500</wp:posOffset>
                      </wp:positionH>
                      <wp:positionV relativeFrom="paragraph">
                        <wp:posOffset>919494</wp:posOffset>
                      </wp:positionV>
                      <wp:extent cx="1200150" cy="12700"/>
                      <wp:effectExtent l="0" t="0" r="0" b="0"/>
                      <wp:wrapNone/>
                      <wp:docPr id="515" name="Łącznik prosty ze strzałką 515"/>
                      <wp:cNvGraphicFramePr/>
                      <a:graphic xmlns:a="http://schemas.openxmlformats.org/drawingml/2006/main">
                        <a:graphicData uri="http://schemas.microsoft.com/office/word/2010/wordprocessingShape">
                          <wps:wsp>
                            <wps:cNvCnPr/>
                            <wps:spPr>
                              <a:xfrm>
                                <a:off x="4745925" y="3780000"/>
                                <a:ext cx="1200150" cy="0"/>
                              </a:xfrm>
                              <a:prstGeom prst="straightConnector1">
                                <a:avLst/>
                              </a:prstGeom>
                              <a:noFill/>
                              <a:ln w="9525" cap="flat" cmpd="sng">
                                <a:solidFill>
                                  <a:srgbClr val="000000"/>
                                </a:solidFill>
                                <a:prstDash val="dash"/>
                                <a:round/>
                                <a:headEnd type="none" w="sm" len="sm"/>
                                <a:tailEnd type="none" w="sm" len="sm"/>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396AA8F" id="_x0000_t32" coordsize="21600,21600" o:spt="32" o:oned="t" path="m,l21600,21600e" filled="f">
                      <v:path arrowok="t" fillok="f" o:connecttype="none"/>
                      <o:lock v:ext="edit" shapetype="t"/>
                    </v:shapetype>
                    <v:shape id="Łącznik prosty ze strzałką 515" o:spid="_x0000_s1026" type="#_x0000_t32" style="position:absolute;margin-left:25pt;margin-top:72.4pt;width:94.5pt;height:1pt;z-index:251693056;visibility:visible;mso-wrap-style:square;mso-wrap-distance-left:9pt;mso-wrap-distance-top:-8e-5mm;mso-wrap-distance-right:9pt;mso-wrap-distance-bottom:-8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">
                      <v:stroke dashstyle="dash" startarrowwidth="narrow" startarrowlength="short" endarrowwidth="narrow" endarrowlength="short"/>
                    </v:shape>
                  </w:pict>
                </mc:Fallback>
              </mc:AlternateContent>
            </w:r>
          </w:p>
          <w:p w14:paraId="02DDF20F" w14:textId="01083FAB" w:rsidR="00600DEE" w:rsidRPr="0045151D" w:rsidRDefault="00AB61E5" w:rsidP="00AB61E5">
            <w:pPr>
              <w:tabs>
                <w:tab w:val="left" w:pos="5475"/>
              </w:tabs>
              <w:spacing w:before="480" w:after="360" w:line="276" w:lineRule="auto"/>
              <w:jc w:val="both"/>
              <w:rPr>
                <w:rFonts w:ascii="Calibri" w:eastAsia="Calibri" w:hAnsi="Calibri" w:cs="Calibri"/>
                <w:b/>
                <w:color w:val="333399"/>
                <w:sz w:val="32"/>
                <w:szCs w:val="32"/>
                <w:lang w:val="en-GB"/>
              </w:rPr>
            </w:pPr>
            <w:r>
              <w:rPr>
                <w:noProof/>
                <w:lang w:eastAsia="pl-PL"/>
              </w:rPr>
              <mc:AlternateContent>
                <mc:Choice Requires="wps">
                  <w:drawing>
                    <wp:anchor distT="0" distB="0" distL="0" distR="0" simplePos="0" relativeHeight="251694080" behindDoc="1" locked="0" layoutInCell="1" hidden="0" allowOverlap="1" wp14:anchorId="56CC547F" wp14:editId="4D67C67E">
                      <wp:simplePos x="0" y="0"/>
                      <wp:positionH relativeFrom="column">
                        <wp:posOffset>2560320</wp:posOffset>
                      </wp:positionH>
                      <wp:positionV relativeFrom="paragraph">
                        <wp:posOffset>286702</wp:posOffset>
                      </wp:positionV>
                      <wp:extent cx="2274570" cy="403225"/>
                      <wp:effectExtent l="0" t="0" r="0" b="0"/>
                      <wp:wrapNone/>
                      <wp:docPr id="500" name="Prostokąt 500"/>
                      <wp:cNvGraphicFramePr/>
                      <a:graphic xmlns:a="http://schemas.openxmlformats.org/drawingml/2006/main">
                        <a:graphicData uri="http://schemas.microsoft.com/office/word/2010/wordprocessingShape">
                          <wps:wsp>
                            <wps:cNvSpPr/>
                            <wps:spPr>
                              <a:xfrm>
                                <a:off x="0" y="0"/>
                                <a:ext cx="2274570" cy="403225"/>
                              </a:xfrm>
                              <a:prstGeom prst="rect">
                                <a:avLst/>
                              </a:prstGeom>
                              <a:noFill/>
                              <a:ln>
                                <a:noFill/>
                              </a:ln>
                            </wps:spPr>
                            <wps:txbx>
                              <w:txbxContent>
                                <w:p w14:paraId="76F8FB53" w14:textId="39D60018" w:rsidR="007463B9" w:rsidRDefault="007463B9">
                                  <w:pPr>
                                    <w:jc w:val="center"/>
                                    <w:textDirection w:val="btLr"/>
                                  </w:pPr>
                                  <w:r>
                                    <w:rPr>
                                      <w:rFonts w:ascii="Calibri" w:eastAsia="Calibri" w:hAnsi="Calibri" w:cs="Calibri"/>
                                      <w:b/>
                                      <w:i/>
                                      <w:color w:val="000000"/>
                                      <w:sz w:val="18"/>
                                    </w:rPr>
                                    <w:t xml:space="preserve">APPLICATION OF EU </w:t>
                                  </w:r>
                                </w:p>
                                <w:p w14:paraId="48CE9F0E" w14:textId="77777777" w:rsidR="007463B9" w:rsidRDefault="007463B9">
                                  <w:pPr>
                                    <w:jc w:val="center"/>
                                    <w:textDirection w:val="btLr"/>
                                  </w:pPr>
                                  <w:r>
                                    <w:rPr>
                                      <w:rFonts w:ascii="Calibri" w:eastAsia="Calibri" w:hAnsi="Calibri" w:cs="Calibri"/>
                                      <w:b/>
                                      <w:i/>
                                      <w:color w:val="000000"/>
                                      <w:sz w:val="18"/>
                                    </w:rPr>
                                    <w:t>CO-FUNDING</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6CC547F" id="Prostokąt 500" o:spid="_x0000_s1041" style="position:absolute;left:0;text-align:left;margin-left:201.6pt;margin-top:22.55pt;width:179.1pt;height:31.75pt;z-index:-2516224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" filled="f" stroked="f">
                      <v:textbox inset="2.53958mm,1.2694mm,2.53958mm,1.2694mm">
                        <w:txbxContent>
                          <w:p w14:paraId="76F8FB53" w14:textId="39D60018" w:rsidR="007463B9" w:rsidRDefault="007463B9">
                            <w:pPr>
                              <w:jc w:val="center"/>
                              <w:textDirection w:val="btLr"/>
                            </w:pPr>
                            <w:r>
                              <w:rPr>
                                <w:rFonts w:ascii="Calibri" w:eastAsia="Calibri" w:hAnsi="Calibri" w:cs="Calibri"/>
                                <w:b/>
                                <w:i/>
                                <w:color w:val="000000"/>
                                <w:sz w:val="18"/>
                              </w:rPr>
                              <w:t xml:space="preserve">APPLICATION OF EU </w:t>
                            </w:r>
                          </w:p>
                          <w:p w14:paraId="48CE9F0E" w14:textId="77777777" w:rsidR="007463B9" w:rsidRDefault="007463B9">
                            <w:pPr>
                              <w:jc w:val="center"/>
                              <w:textDirection w:val="btLr"/>
                            </w:pPr>
                            <w:r>
                              <w:rPr>
                                <w:rFonts w:ascii="Calibri" w:eastAsia="Calibri" w:hAnsi="Calibri" w:cs="Calibri"/>
                                <w:b/>
                                <w:i/>
                                <w:color w:val="000000"/>
                                <w:sz w:val="18"/>
                              </w:rPr>
                              <w:t>CO-FUNDING</w:t>
                            </w:r>
                          </w:p>
                        </w:txbxContent>
                      </v:textbox>
                    </v:rect>
                  </w:pict>
                </mc:Fallback>
              </mc:AlternateContent>
            </w:r>
            <w:r w:rsidR="00641FB5">
              <w:rPr>
                <w:noProof/>
                <w:lang w:eastAsia="pl-PL"/>
              </w:rPr>
              <mc:AlternateContent>
                <mc:Choice Requires="wps">
                  <w:drawing>
                    <wp:anchor distT="0" distB="0" distL="114300" distR="114300" simplePos="0" relativeHeight="251695104" behindDoc="0" locked="0" layoutInCell="1" hidden="0" allowOverlap="1" wp14:anchorId="609B9717" wp14:editId="47745A22">
                      <wp:simplePos x="0" y="0"/>
                      <wp:positionH relativeFrom="column">
                        <wp:posOffset>1371600</wp:posOffset>
                      </wp:positionH>
                      <wp:positionV relativeFrom="paragraph">
                        <wp:posOffset>469900</wp:posOffset>
                      </wp:positionV>
                      <wp:extent cx="244732" cy="181096"/>
                      <wp:effectExtent l="0" t="0" r="0" b="0"/>
                      <wp:wrapNone/>
                      <wp:docPr id="514" name="Łącznik prosty ze strzałką 514"/>
                      <wp:cNvGraphicFramePr/>
                      <a:graphic xmlns:a="http://schemas.openxmlformats.org/drawingml/2006/main">
                        <a:graphicData uri="http://schemas.microsoft.com/office/word/2010/wordprocessingShape">
                          <wps:wsp>
                            <wps:cNvCnPr/>
                            <wps:spPr>
                              <a:xfrm flipH="1">
                                <a:off x="5228397" y="3694215"/>
                                <a:ext cx="235207" cy="171571"/>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CF7CA0" id="Łącznik prosty ze strzałką 514" o:spid="_x0000_s1026" type="#_x0000_t32" style="position:absolute;margin-left:108pt;margin-top:37pt;width:19.25pt;height:14.25pt;flip:x;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" strokecolor="#4a7dba">
                      <v:stroke startarrowwidth="narrow" startarrowlength="short" endarrow="block"/>
                    </v:shape>
                  </w:pict>
                </mc:Fallback>
              </mc:AlternateContent>
            </w:r>
            <w:r w:rsidR="00641FB5">
              <w:rPr>
                <w:noProof/>
                <w:lang w:eastAsia="pl-PL"/>
              </w:rPr>
              <mc:AlternateContent>
                <mc:Choice Requires="wpg">
                  <w:drawing>
                    <wp:anchor distT="0" distB="0" distL="114300" distR="114300" simplePos="0" relativeHeight="251696128" behindDoc="0" locked="0" layoutInCell="1" hidden="0" allowOverlap="1" wp14:anchorId="3F4DDF6B" wp14:editId="2980EDF4">
                      <wp:simplePos x="0" y="0"/>
                      <wp:positionH relativeFrom="column">
                        <wp:posOffset>2603500</wp:posOffset>
                      </wp:positionH>
                      <wp:positionV relativeFrom="paragraph">
                        <wp:posOffset>381000</wp:posOffset>
                      </wp:positionV>
                      <wp:extent cx="222250" cy="171450"/>
                      <wp:effectExtent l="0" t="0" r="0" b="0"/>
                      <wp:wrapNone/>
                      <wp:docPr id="489" name="Łącznik prosty ze strzałką 489"/>
                      <wp:cNvGraphicFramePr/>
                      <a:graphic xmlns:a="http://schemas.openxmlformats.org/drawingml/2006/main">
                        <a:graphicData uri="http://schemas.microsoft.com/office/word/2010/wordprocessingShape">
                          <wps:wsp>
                            <wps:cNvCnPr/>
                            <wps:spPr>
                              <a:xfrm>
                                <a:off x="5239638" y="3699038"/>
                                <a:ext cx="212725" cy="161925"/>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2603500</wp:posOffset>
                      </wp:positionH>
                      <wp:positionV relativeFrom="paragraph">
                        <wp:posOffset>381000</wp:posOffset>
                      </wp:positionV>
                      <wp:extent cx="222250" cy="171450"/>
                      <wp:effectExtent b="0" l="0" r="0" t="0"/>
                      <wp:wrapNone/>
                      <wp:docPr id="489" name="image47.png"/>
                      <a:graphic>
                        <a:graphicData uri="http://schemas.openxmlformats.org/drawingml/2006/picture">
                          <pic:pic>
                            <pic:nvPicPr>
                              <pic:cNvPr id="0" name="image47.png"/>
                              <pic:cNvPicPr preferRelativeResize="0"/>
                            </pic:nvPicPr>
                            <pic:blipFill>
                              <a:blip r:embed="rId88"/>
                              <a:srcRect/>
                              <a:stretch>
                                <a:fillRect/>
                              </a:stretch>
                            </pic:blipFill>
                            <pic:spPr>
                              <a:xfrm>
                                <a:off x="0" y="0"/>
                                <a:ext cx="222250" cy="171450"/>
                              </a:xfrm>
                              <a:prstGeom prst="rect"/>
                              <a:ln/>
                            </pic:spPr>
                          </pic:pic>
                        </a:graphicData>
                      </a:graphic>
                    </wp:anchor>
                  </w:drawing>
                </mc:Fallback>
              </mc:AlternateContent>
            </w:r>
            <w:r w:rsidR="00641FB5">
              <w:rPr>
                <w:noProof/>
                <w:lang w:eastAsia="pl-PL"/>
              </w:rPr>
              <mc:AlternateContent>
                <mc:Choice Requires="wps">
                  <w:drawing>
                    <wp:anchor distT="0" distB="0" distL="114300" distR="114300" simplePos="0" relativeHeight="251697152" behindDoc="0" locked="0" layoutInCell="1" hidden="0" allowOverlap="1" wp14:anchorId="52357A90" wp14:editId="68ABC6BE">
                      <wp:simplePos x="0" y="0"/>
                      <wp:positionH relativeFrom="column">
                        <wp:posOffset>1498600</wp:posOffset>
                      </wp:positionH>
                      <wp:positionV relativeFrom="paragraph">
                        <wp:posOffset>63500</wp:posOffset>
                      </wp:positionV>
                      <wp:extent cx="1482725" cy="320675"/>
                      <wp:effectExtent l="0" t="0" r="0" b="0"/>
                      <wp:wrapNone/>
                      <wp:docPr id="487" name="Prostokąt 487"/>
                      <wp:cNvGraphicFramePr/>
                      <a:graphic xmlns:a="http://schemas.openxmlformats.org/drawingml/2006/main">
                        <a:graphicData uri="http://schemas.microsoft.com/office/word/2010/wordprocessingShape">
                          <wps:wsp>
                            <wps:cNvSpPr/>
                            <wps:spPr>
                              <a:xfrm>
                                <a:off x="4617338" y="3632363"/>
                                <a:ext cx="1457325" cy="295275"/>
                              </a:xfrm>
                              <a:prstGeom prst="rect">
                                <a:avLst/>
                              </a:prstGeom>
                              <a:solidFill>
                                <a:schemeClr val="accent1"/>
                              </a:solidFill>
                              <a:ln w="25400" cap="flat" cmpd="sng">
                                <a:solidFill>
                                  <a:srgbClr val="395E89"/>
                                </a:solidFill>
                                <a:prstDash val="solid"/>
                                <a:round/>
                                <a:headEnd type="none" w="sm" len="sm"/>
                                <a:tailEnd type="none" w="sm" len="sm"/>
                              </a:ln>
                            </wps:spPr>
                            <wps:txbx>
                              <w:txbxContent>
                                <w:p w14:paraId="7E8412A1" w14:textId="77777777" w:rsidR="007463B9" w:rsidRDefault="007463B9">
                                  <w:pPr>
                                    <w:jc w:val="center"/>
                                    <w:textDirection w:val="btLr"/>
                                  </w:pPr>
                                  <w:r>
                                    <w:rPr>
                                      <w:rFonts w:ascii="Calibri" w:eastAsia="Calibri" w:hAnsi="Calibri" w:cs="Calibri"/>
                                      <w:b/>
                                      <w:color w:val="000000"/>
                                      <w:sz w:val="20"/>
                                    </w:rPr>
                                    <w:t>Financial Analysis</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357A90" id="Prostokąt 487" o:spid="_x0000_s1042" style="position:absolute;left:0;text-align:left;margin-left:118pt;margin-top:5pt;width:116.75pt;height:25.2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" fillcolor="#4f81bd [3204]" strokecolor="#395e89" strokeweight="2pt">
                      <v:stroke startarrowwidth="narrow" startarrowlength="short" endarrowwidth="narrow" endarrowlength="short" joinstyle="round"/>
                      <v:textbox inset="2.53958mm,1.2694mm,2.53958mm,1.2694mm">
                        <w:txbxContent>
                          <w:p w14:paraId="7E8412A1" w14:textId="77777777" w:rsidR="007463B9" w:rsidRDefault="007463B9">
                            <w:pPr>
                              <w:jc w:val="center"/>
                              <w:textDirection w:val="btLr"/>
                            </w:pPr>
                            <w:r>
                              <w:rPr>
                                <w:rFonts w:ascii="Calibri" w:eastAsia="Calibri" w:hAnsi="Calibri" w:cs="Calibri"/>
                                <w:b/>
                                <w:color w:val="000000"/>
                                <w:sz w:val="20"/>
                              </w:rPr>
                              <w:t>Financial Analysis</w:t>
                            </w:r>
                          </w:p>
                        </w:txbxContent>
                      </v:textbox>
                    </v:rect>
                  </w:pict>
                </mc:Fallback>
              </mc:AlternateContent>
            </w:r>
            <w:r w:rsidR="00641FB5">
              <w:rPr>
                <w:noProof/>
                <w:lang w:eastAsia="pl-PL"/>
              </w:rPr>
              <mc:AlternateContent>
                <mc:Choice Requires="wps">
                  <w:drawing>
                    <wp:anchor distT="4294967293" distB="4294967293" distL="114300" distR="114300" simplePos="0" relativeHeight="251698176" behindDoc="0" locked="0" layoutInCell="1" hidden="0" allowOverlap="1" wp14:anchorId="20F45E76" wp14:editId="770FAD75">
                      <wp:simplePos x="0" y="0"/>
                      <wp:positionH relativeFrom="column">
                        <wp:posOffset>3049270</wp:posOffset>
                      </wp:positionH>
                      <wp:positionV relativeFrom="paragraph">
                        <wp:posOffset>271145</wp:posOffset>
                      </wp:positionV>
                      <wp:extent cx="1200150" cy="12700"/>
                      <wp:effectExtent l="0" t="0" r="19050" b="25400"/>
                      <wp:wrapNone/>
                      <wp:docPr id="470" name="Łącznik prosty ze strzałką 470"/>
                      <wp:cNvGraphicFramePr/>
                      <a:graphic xmlns:a="http://schemas.openxmlformats.org/drawingml/2006/main">
                        <a:graphicData uri="http://schemas.microsoft.com/office/word/2010/wordprocessingShape">
                          <wps:wsp>
                            <wps:cNvCnPr/>
                            <wps:spPr>
                              <a:xfrm>
                                <a:off x="0" y="0"/>
                                <a:ext cx="1200150" cy="12700"/>
                              </a:xfrm>
                              <a:prstGeom prst="straightConnector1">
                                <a:avLst/>
                              </a:prstGeom>
                              <a:noFill/>
                              <a:ln w="9525" cap="flat" cmpd="sng">
                                <a:solidFill>
                                  <a:srgbClr val="000000"/>
                                </a:solidFill>
                                <a:prstDash val="dash"/>
                                <a:round/>
                                <a:headEnd type="none" w="sm" len="sm"/>
                                <a:tailEnd type="none" w="sm" len="sm"/>
                              </a:ln>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D88528" id="Łącznik prosty ze strzałką 470" o:spid="_x0000_s1026" type="#_x0000_t32" style="position:absolute;margin-left:240.1pt;margin-top:21.35pt;width:94.5pt;height:1pt;z-index:251698176;visibility:visible;mso-wrap-style:square;mso-wrap-distance-left:9pt;mso-wrap-distance-top:-8e-5mm;mso-wrap-distance-right:9pt;mso-wrap-distance-bottom:-8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">
                      <v:stroke dashstyle="dash" startarrowwidth="narrow" startarrowlength="short" endarrowwidth="narrow" endarrowlength="short"/>
                    </v:shape>
                  </w:pict>
                </mc:Fallback>
              </mc:AlternateContent>
            </w:r>
            <w:r w:rsidR="00641FB5">
              <w:rPr>
                <w:noProof/>
                <w:lang w:eastAsia="pl-PL"/>
              </w:rPr>
              <mc:AlternateContent>
                <mc:Choice Requires="wpg">
                  <w:drawing>
                    <wp:anchor distT="0" distB="0" distL="114300" distR="114300" simplePos="0" relativeHeight="251699200" behindDoc="0" locked="0" layoutInCell="1" hidden="0" allowOverlap="1" wp14:anchorId="66070634" wp14:editId="3685E803">
                      <wp:simplePos x="0" y="0"/>
                      <wp:positionH relativeFrom="column">
                        <wp:posOffset>1054100</wp:posOffset>
                      </wp:positionH>
                      <wp:positionV relativeFrom="paragraph">
                        <wp:posOffset>304800</wp:posOffset>
                      </wp:positionV>
                      <wp:extent cx="465455" cy="25400"/>
                      <wp:effectExtent l="0" t="0" r="0" b="0"/>
                      <wp:wrapNone/>
                      <wp:docPr id="504" name="Łącznik prosty ze strzałką 504"/>
                      <wp:cNvGraphicFramePr/>
                      <a:graphic xmlns:a="http://schemas.openxmlformats.org/drawingml/2006/main">
                        <a:graphicData uri="http://schemas.microsoft.com/office/word/2010/wordprocessingShape">
                          <wps:wsp>
                            <wps:cNvCnPr/>
                            <wps:spPr>
                              <a:xfrm>
                                <a:off x="5113273" y="3777143"/>
                                <a:ext cx="465455" cy="5715"/>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1054100</wp:posOffset>
                      </wp:positionH>
                      <wp:positionV relativeFrom="paragraph">
                        <wp:posOffset>304800</wp:posOffset>
                      </wp:positionV>
                      <wp:extent cx="465455" cy="25400"/>
                      <wp:effectExtent b="0" l="0" r="0" t="0"/>
                      <wp:wrapNone/>
                      <wp:docPr id="504" name="image62.png"/>
                      <a:graphic>
                        <a:graphicData uri="http://schemas.openxmlformats.org/drawingml/2006/picture">
                          <pic:pic>
                            <pic:nvPicPr>
                              <pic:cNvPr id="0" name="image62.png"/>
                              <pic:cNvPicPr preferRelativeResize="0"/>
                            </pic:nvPicPr>
                            <pic:blipFill>
                              <a:blip r:embed="rId91"/>
                              <a:srcRect/>
                              <a:stretch>
                                <a:fillRect/>
                              </a:stretch>
                            </pic:blipFill>
                            <pic:spPr>
                              <a:xfrm>
                                <a:off x="0" y="0"/>
                                <a:ext cx="465455" cy="25400"/>
                              </a:xfrm>
                              <a:prstGeom prst="rect"/>
                              <a:ln/>
                            </pic:spPr>
                          </pic:pic>
                        </a:graphicData>
                      </a:graphic>
                    </wp:anchor>
                  </w:drawing>
                </mc:Fallback>
              </mc:AlternateContent>
            </w:r>
            <w:r w:rsidR="00933C7D" w:rsidRPr="0045151D">
              <w:rPr>
                <w:rFonts w:ascii="Calibri" w:eastAsia="Calibri" w:hAnsi="Calibri" w:cs="Calibri"/>
                <w:b/>
                <w:color w:val="333399"/>
                <w:sz w:val="32"/>
                <w:szCs w:val="32"/>
                <w:lang w:val="en-GB"/>
              </w:rPr>
              <w:tab/>
            </w:r>
          </w:p>
          <w:p w14:paraId="179BD5BC" w14:textId="347F2AE9" w:rsidR="00600DEE" w:rsidRPr="0045151D" w:rsidRDefault="00641FB5" w:rsidP="00AB61E5">
            <w:pPr>
              <w:spacing w:before="360" w:after="360" w:line="276" w:lineRule="auto"/>
              <w:jc w:val="both"/>
              <w:rPr>
                <w:rFonts w:ascii="Calibri" w:eastAsia="Calibri" w:hAnsi="Calibri" w:cs="Calibri"/>
                <w:b/>
                <w:color w:val="333399"/>
                <w:sz w:val="32"/>
                <w:szCs w:val="32"/>
                <w:lang w:val="en-GB"/>
              </w:rPr>
            </w:pPr>
            <w:r>
              <w:rPr>
                <w:noProof/>
                <w:lang w:eastAsia="pl-PL"/>
              </w:rPr>
              <mc:AlternateContent>
                <mc:Choice Requires="wps">
                  <w:drawing>
                    <wp:anchor distT="0" distB="0" distL="114300" distR="114300" simplePos="0" relativeHeight="251700224" behindDoc="0" locked="0" layoutInCell="1" hidden="0" allowOverlap="1" wp14:anchorId="4A227CE0" wp14:editId="281D89A6">
                      <wp:simplePos x="0" y="0"/>
                      <wp:positionH relativeFrom="column">
                        <wp:posOffset>317500</wp:posOffset>
                      </wp:positionH>
                      <wp:positionV relativeFrom="paragraph">
                        <wp:posOffset>139700</wp:posOffset>
                      </wp:positionV>
                      <wp:extent cx="1600200" cy="695325"/>
                      <wp:effectExtent l="0" t="0" r="0" b="0"/>
                      <wp:wrapNone/>
                      <wp:docPr id="527" name="Prostokąt 527"/>
                      <wp:cNvGraphicFramePr/>
                      <a:graphic xmlns:a="http://schemas.openxmlformats.org/drawingml/2006/main">
                        <a:graphicData uri="http://schemas.microsoft.com/office/word/2010/wordprocessingShape">
                          <wps:wsp>
                            <wps:cNvSpPr/>
                            <wps:spPr>
                              <a:xfrm>
                                <a:off x="4550663" y="3437100"/>
                                <a:ext cx="1590675" cy="685800"/>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3CCAF7CB" w14:textId="77777777" w:rsidR="007463B9" w:rsidRPr="0045151D" w:rsidRDefault="007463B9">
                                  <w:pPr>
                                    <w:jc w:val="center"/>
                                    <w:textDirection w:val="btLr"/>
                                    <w:rPr>
                                      <w:lang w:val="en-GB"/>
                                    </w:rPr>
                                  </w:pPr>
                                  <w:r w:rsidRPr="0045151D">
                                    <w:rPr>
                                      <w:rFonts w:ascii="Calibri" w:eastAsia="Calibri" w:hAnsi="Calibri" w:cs="Calibri"/>
                                      <w:b/>
                                      <w:color w:val="000000"/>
                                      <w:sz w:val="20"/>
                                      <w:lang w:val="en-GB"/>
                                    </w:rPr>
                                    <w:t>FRR&lt;FDR</w:t>
                                  </w:r>
                                </w:p>
                                <w:p w14:paraId="5190FBDD"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8"/>
                                      <w:lang w:val="en-GB"/>
                                    </w:rPr>
                                    <w:t>The project requires public co-funding in order to be feasible.</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A227CE0" id="Prostokąt 527" o:spid="_x0000_s1043" style="position:absolute;left:0;text-align:left;margin-left:25pt;margin-top:11pt;width:126pt;height:54.7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" fillcolor="#dae5f1" stroked="f">
                      <v:shadow on="t" opacity="25956f" origin="-.5,-.5" offset=".74836mm,.74836mm"/>
                      <v:textbox inset="2.53958mm,1.2694mm,2.53958mm,1.2694mm">
                        <w:txbxContent>
                          <w:p w14:paraId="3CCAF7CB" w14:textId="77777777" w:rsidR="007463B9" w:rsidRPr="0045151D" w:rsidRDefault="007463B9">
                            <w:pPr>
                              <w:jc w:val="center"/>
                              <w:textDirection w:val="btLr"/>
                              <w:rPr>
                                <w:lang w:val="en-GB"/>
                              </w:rPr>
                            </w:pPr>
                            <w:r w:rsidRPr="0045151D">
                              <w:rPr>
                                <w:rFonts w:ascii="Calibri" w:eastAsia="Calibri" w:hAnsi="Calibri" w:cs="Calibri"/>
                                <w:b/>
                                <w:color w:val="000000"/>
                                <w:sz w:val="20"/>
                                <w:lang w:val="en-GB"/>
                              </w:rPr>
                              <w:t>FRR&lt;FDR</w:t>
                            </w:r>
                          </w:p>
                          <w:p w14:paraId="5190FBDD"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8"/>
                                <w:lang w:val="en-GB"/>
                              </w:rPr>
                              <w:t>The project requires public co-funding in order to be feasible.</w:t>
                            </w:r>
                          </w:p>
                        </w:txbxContent>
                      </v:textbox>
                    </v:rect>
                  </w:pict>
                </mc:Fallback>
              </mc:AlternateContent>
            </w:r>
            <w:r>
              <w:rPr>
                <w:noProof/>
                <w:lang w:eastAsia="pl-PL"/>
              </w:rPr>
              <mc:AlternateContent>
                <mc:Choice Requires="wps">
                  <w:drawing>
                    <wp:anchor distT="0" distB="0" distL="114300" distR="114300" simplePos="0" relativeHeight="251701248" behindDoc="0" locked="0" layoutInCell="1" hidden="0" allowOverlap="1" wp14:anchorId="10366AD7" wp14:editId="12AD832A">
                      <wp:simplePos x="0" y="0"/>
                      <wp:positionH relativeFrom="column">
                        <wp:posOffset>2171700</wp:posOffset>
                      </wp:positionH>
                      <wp:positionV relativeFrom="paragraph">
                        <wp:posOffset>88900</wp:posOffset>
                      </wp:positionV>
                      <wp:extent cx="1547495" cy="800100"/>
                      <wp:effectExtent l="0" t="0" r="0" b="0"/>
                      <wp:wrapNone/>
                      <wp:docPr id="528" name="Prostokąt 528"/>
                      <wp:cNvGraphicFramePr/>
                      <a:graphic xmlns:a="http://schemas.openxmlformats.org/drawingml/2006/main">
                        <a:graphicData uri="http://schemas.microsoft.com/office/word/2010/wordprocessingShape">
                          <wps:wsp>
                            <wps:cNvSpPr/>
                            <wps:spPr>
                              <a:xfrm>
                                <a:off x="4577015" y="3384713"/>
                                <a:ext cx="1537970" cy="790575"/>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28B2B18A" w14:textId="77777777" w:rsidR="007463B9" w:rsidRPr="0045151D" w:rsidRDefault="007463B9">
                                  <w:pPr>
                                    <w:spacing w:after="120"/>
                                    <w:jc w:val="center"/>
                                    <w:textDirection w:val="btLr"/>
                                    <w:rPr>
                                      <w:lang w:val="en-GB"/>
                                    </w:rPr>
                                  </w:pPr>
                                  <w:r w:rsidRPr="0045151D">
                                    <w:rPr>
                                      <w:rFonts w:ascii="Calibri" w:eastAsia="Calibri" w:hAnsi="Calibri" w:cs="Calibri"/>
                                      <w:b/>
                                      <w:color w:val="000000"/>
                                      <w:sz w:val="20"/>
                                      <w:lang w:val="en-GB"/>
                                    </w:rPr>
                                    <w:t>FRR&gt;FDR</w:t>
                                  </w:r>
                                </w:p>
                                <w:p w14:paraId="6A51B1C1"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8"/>
                                      <w:lang w:val="en-GB"/>
                                    </w:rPr>
                                    <w:t xml:space="preserve">The project could in principle be implemented without public funds.* </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0366AD7" id="Prostokąt 528" o:spid="_x0000_s1044" style="position:absolute;left:0;text-align:left;margin-left:171pt;margin-top:7pt;width:121.85pt;height:63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" fillcolor="#dae5f1" stroked="f">
                      <v:shadow on="t" opacity="25956f" origin="-.5,-.5" offset=".74836mm,.74836mm"/>
                      <v:textbox inset="2.53958mm,1.2694mm,2.53958mm,1.2694mm">
                        <w:txbxContent>
                          <w:p w14:paraId="28B2B18A" w14:textId="77777777" w:rsidR="007463B9" w:rsidRPr="0045151D" w:rsidRDefault="007463B9">
                            <w:pPr>
                              <w:spacing w:after="120"/>
                              <w:jc w:val="center"/>
                              <w:textDirection w:val="btLr"/>
                              <w:rPr>
                                <w:lang w:val="en-GB"/>
                              </w:rPr>
                            </w:pPr>
                            <w:r w:rsidRPr="0045151D">
                              <w:rPr>
                                <w:rFonts w:ascii="Calibri" w:eastAsia="Calibri" w:hAnsi="Calibri" w:cs="Calibri"/>
                                <w:b/>
                                <w:color w:val="000000"/>
                                <w:sz w:val="20"/>
                                <w:lang w:val="en-GB"/>
                              </w:rPr>
                              <w:t>FRR&gt;FDR</w:t>
                            </w:r>
                          </w:p>
                          <w:p w14:paraId="6A51B1C1"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8"/>
                                <w:lang w:val="en-GB"/>
                              </w:rPr>
                              <w:t xml:space="preserve">The project could in principle be implemented without public funds.* </w:t>
                            </w:r>
                          </w:p>
                        </w:txbxContent>
                      </v:textbox>
                    </v:rect>
                  </w:pict>
                </mc:Fallback>
              </mc:AlternateContent>
            </w:r>
            <w:r>
              <w:rPr>
                <w:noProof/>
                <w:lang w:eastAsia="pl-PL"/>
              </w:rPr>
              <mc:AlternateContent>
                <mc:Choice Requires="wps">
                  <w:drawing>
                    <wp:anchor distT="0" distB="0" distL="114300" distR="114300" simplePos="0" relativeHeight="251702272" behindDoc="0" locked="0" layoutInCell="1" hidden="0" allowOverlap="1" wp14:anchorId="258D998F" wp14:editId="4448B860">
                      <wp:simplePos x="0" y="0"/>
                      <wp:positionH relativeFrom="column">
                        <wp:posOffset>-4533899</wp:posOffset>
                      </wp:positionH>
                      <wp:positionV relativeFrom="paragraph">
                        <wp:posOffset>177800</wp:posOffset>
                      </wp:positionV>
                      <wp:extent cx="1718945" cy="695325"/>
                      <wp:effectExtent l="0" t="0" r="0" b="0"/>
                      <wp:wrapNone/>
                      <wp:docPr id="511" name="Prostokąt 511"/>
                      <wp:cNvGraphicFramePr/>
                      <a:graphic xmlns:a="http://schemas.openxmlformats.org/drawingml/2006/main">
                        <a:graphicData uri="http://schemas.microsoft.com/office/word/2010/wordprocessingShape">
                          <wps:wsp>
                            <wps:cNvSpPr/>
                            <wps:spPr>
                              <a:xfrm>
                                <a:off x="4491290" y="3437100"/>
                                <a:ext cx="1709420" cy="685800"/>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07D130C5" w14:textId="77777777" w:rsidR="007463B9" w:rsidRDefault="007463B9">
                                  <w:pPr>
                                    <w:spacing w:after="80"/>
                                    <w:jc w:val="center"/>
                                    <w:textDirection w:val="btLr"/>
                                  </w:pPr>
                                  <w:r>
                                    <w:rPr>
                                      <w:rFonts w:ascii="Calibri" w:eastAsia="Calibri" w:hAnsi="Calibri" w:cs="Calibri"/>
                                      <w:b/>
                                      <w:color w:val="000000"/>
                                      <w:sz w:val="20"/>
                                    </w:rPr>
                                    <w:t>FRR&lt;FDR</w:t>
                                  </w:r>
                                </w:p>
                                <w:p w14:paraId="7F48AD29" w14:textId="77777777" w:rsidR="007463B9" w:rsidRDefault="007463B9">
                                  <w:pPr>
                                    <w:spacing w:after="80"/>
                                    <w:jc w:val="center"/>
                                    <w:textDirection w:val="btLr"/>
                                  </w:pPr>
                                  <w:r>
                                    <w:rPr>
                                      <w:rFonts w:ascii="Calibri" w:eastAsia="Calibri" w:hAnsi="Calibri" w:cs="Calibri"/>
                                      <w:color w:val="231F20"/>
                                      <w:sz w:val="17"/>
                                    </w:rPr>
                                    <w:t>Projekt wymaga współudziału środków publicznych, aby był wykonalny.</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8D998F" id="Prostokąt 511" o:spid="_x0000_s1045" style="position:absolute;left:0;text-align:left;margin-left:-357pt;margin-top:14pt;width:135.35pt;height:54.7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" fillcolor="#dae5f1" stroked="f">
                      <v:shadow on="t" opacity="25956f" origin="-.5,-.5" offset=".74836mm,.74836mm"/>
                      <v:textbox inset="2.53958mm,1.2694mm,2.53958mm,1.2694mm">
                        <w:txbxContent>
                          <w:p w14:paraId="07D130C5" w14:textId="77777777" w:rsidR="007463B9" w:rsidRDefault="007463B9">
                            <w:pPr>
                              <w:spacing w:after="80"/>
                              <w:jc w:val="center"/>
                              <w:textDirection w:val="btLr"/>
                            </w:pPr>
                            <w:r>
                              <w:rPr>
                                <w:rFonts w:ascii="Calibri" w:eastAsia="Calibri" w:hAnsi="Calibri" w:cs="Calibri"/>
                                <w:b/>
                                <w:color w:val="000000"/>
                                <w:sz w:val="20"/>
                              </w:rPr>
                              <w:t>FRR&lt;FDR</w:t>
                            </w:r>
                          </w:p>
                          <w:p w14:paraId="7F48AD29" w14:textId="77777777" w:rsidR="007463B9" w:rsidRDefault="007463B9">
                            <w:pPr>
                              <w:spacing w:after="80"/>
                              <w:jc w:val="center"/>
                              <w:textDirection w:val="btLr"/>
                            </w:pPr>
                            <w:r>
                              <w:rPr>
                                <w:rFonts w:ascii="Calibri" w:eastAsia="Calibri" w:hAnsi="Calibri" w:cs="Calibri"/>
                                <w:color w:val="231F20"/>
                                <w:sz w:val="17"/>
                              </w:rPr>
                              <w:t>Projekt wymaga współudziału środków publicznych, aby był wykonalny.</w:t>
                            </w:r>
                          </w:p>
                        </w:txbxContent>
                      </v:textbox>
                    </v:rect>
                  </w:pict>
                </mc:Fallback>
              </mc:AlternateContent>
            </w:r>
            <w:r>
              <w:rPr>
                <w:noProof/>
                <w:lang w:eastAsia="pl-PL"/>
              </w:rPr>
              <mc:AlternateContent>
                <mc:Choice Requires="wps">
                  <w:drawing>
                    <wp:anchor distT="0" distB="0" distL="114300" distR="114300" simplePos="0" relativeHeight="251703296" behindDoc="0" locked="0" layoutInCell="1" hidden="0" allowOverlap="1" wp14:anchorId="34D601E8" wp14:editId="1114029E">
                      <wp:simplePos x="0" y="0"/>
                      <wp:positionH relativeFrom="column">
                        <wp:posOffset>-2476499</wp:posOffset>
                      </wp:positionH>
                      <wp:positionV relativeFrom="paragraph">
                        <wp:posOffset>177800</wp:posOffset>
                      </wp:positionV>
                      <wp:extent cx="1780540" cy="895350"/>
                      <wp:effectExtent l="0" t="0" r="0" b="0"/>
                      <wp:wrapNone/>
                      <wp:docPr id="512" name="Prostokąt 512"/>
                      <wp:cNvGraphicFramePr/>
                      <a:graphic xmlns:a="http://schemas.openxmlformats.org/drawingml/2006/main">
                        <a:graphicData uri="http://schemas.microsoft.com/office/word/2010/wordprocessingShape">
                          <wps:wsp>
                            <wps:cNvSpPr/>
                            <wps:spPr>
                              <a:xfrm>
                                <a:off x="4460493" y="3337088"/>
                                <a:ext cx="1771015" cy="885825"/>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72042592" w14:textId="77777777" w:rsidR="007463B9" w:rsidRDefault="007463B9">
                                  <w:pPr>
                                    <w:spacing w:after="80"/>
                                    <w:jc w:val="center"/>
                                    <w:textDirection w:val="btLr"/>
                                  </w:pPr>
                                  <w:r>
                                    <w:rPr>
                                      <w:rFonts w:ascii="Calibri" w:eastAsia="Calibri" w:hAnsi="Calibri" w:cs="Calibri"/>
                                      <w:b/>
                                      <w:color w:val="000000"/>
                                      <w:sz w:val="20"/>
                                    </w:rPr>
                                    <w:t>FRR&gt;FDR</w:t>
                                  </w:r>
                                </w:p>
                                <w:p w14:paraId="24223BD7" w14:textId="77777777" w:rsidR="007463B9" w:rsidRDefault="007463B9">
                                  <w:pPr>
                                    <w:spacing w:after="120"/>
                                    <w:jc w:val="center"/>
                                    <w:textDirection w:val="btLr"/>
                                  </w:pPr>
                                  <w:r>
                                    <w:rPr>
                                      <w:rFonts w:ascii="Calibri" w:eastAsia="Calibri" w:hAnsi="Calibri" w:cs="Calibri"/>
                                      <w:color w:val="231F20"/>
                                      <w:sz w:val="18"/>
                                    </w:rPr>
                                    <w:t xml:space="preserve">Projekt mógłby być wykonany bez udziału środków publicznych* </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D601E8" id="Prostokąt 512" o:spid="_x0000_s1046" style="position:absolute;left:0;text-align:left;margin-left:-195pt;margin-top:14pt;width:140.2pt;height:70.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" fillcolor="#dae5f1" stroked="f">
                      <v:shadow on="t" opacity="25956f" origin="-.5,-.5" offset=".74836mm,.74836mm"/>
                      <v:textbox inset="2.53958mm,1.2694mm,2.53958mm,1.2694mm">
                        <w:txbxContent>
                          <w:p w14:paraId="72042592" w14:textId="77777777" w:rsidR="007463B9" w:rsidRDefault="007463B9">
                            <w:pPr>
                              <w:spacing w:after="80"/>
                              <w:jc w:val="center"/>
                              <w:textDirection w:val="btLr"/>
                            </w:pPr>
                            <w:r>
                              <w:rPr>
                                <w:rFonts w:ascii="Calibri" w:eastAsia="Calibri" w:hAnsi="Calibri" w:cs="Calibri"/>
                                <w:b/>
                                <w:color w:val="000000"/>
                                <w:sz w:val="20"/>
                              </w:rPr>
                              <w:t>FRR&gt;FDR</w:t>
                            </w:r>
                          </w:p>
                          <w:p w14:paraId="24223BD7" w14:textId="77777777" w:rsidR="007463B9" w:rsidRDefault="007463B9">
                            <w:pPr>
                              <w:spacing w:after="120"/>
                              <w:jc w:val="center"/>
                              <w:textDirection w:val="btLr"/>
                            </w:pPr>
                            <w:r>
                              <w:rPr>
                                <w:rFonts w:ascii="Calibri" w:eastAsia="Calibri" w:hAnsi="Calibri" w:cs="Calibri"/>
                                <w:color w:val="231F20"/>
                                <w:sz w:val="18"/>
                              </w:rPr>
                              <w:t xml:space="preserve">Projekt mógłby być wykonany bez udziału środków publicznych* </w:t>
                            </w:r>
                          </w:p>
                        </w:txbxContent>
                      </v:textbox>
                    </v:rect>
                  </w:pict>
                </mc:Fallback>
              </mc:AlternateContent>
            </w:r>
          </w:p>
          <w:p w14:paraId="50634E30" w14:textId="77777777" w:rsidR="00600DEE" w:rsidRPr="0045151D" w:rsidRDefault="00641FB5">
            <w:pPr>
              <w:spacing w:before="240" w:after="360" w:line="276" w:lineRule="auto"/>
              <w:jc w:val="both"/>
              <w:rPr>
                <w:rFonts w:ascii="Calibri" w:eastAsia="Calibri" w:hAnsi="Calibri" w:cs="Calibri"/>
                <w:b/>
                <w:color w:val="333399"/>
                <w:sz w:val="32"/>
                <w:szCs w:val="32"/>
                <w:lang w:val="en-GB"/>
              </w:rPr>
            </w:pPr>
            <w:r>
              <w:rPr>
                <w:noProof/>
                <w:lang w:eastAsia="pl-PL"/>
              </w:rPr>
              <mc:AlternateContent>
                <mc:Choice Requires="wpg">
                  <w:drawing>
                    <wp:anchor distT="0" distB="0" distL="114300" distR="114300" simplePos="0" relativeHeight="251704320" behindDoc="0" locked="0" layoutInCell="1" hidden="0" allowOverlap="1" wp14:anchorId="47B51900" wp14:editId="098CF849">
                      <wp:simplePos x="0" y="0"/>
                      <wp:positionH relativeFrom="column">
                        <wp:posOffset>1041400</wp:posOffset>
                      </wp:positionH>
                      <wp:positionV relativeFrom="paragraph">
                        <wp:posOffset>342900</wp:posOffset>
                      </wp:positionV>
                      <wp:extent cx="25400" cy="280491"/>
                      <wp:effectExtent l="0" t="0" r="0" b="0"/>
                      <wp:wrapNone/>
                      <wp:docPr id="471" name="Łącznik prosty ze strzałką 471"/>
                      <wp:cNvGraphicFramePr/>
                      <a:graphic xmlns:a="http://schemas.openxmlformats.org/drawingml/2006/main">
                        <a:graphicData uri="http://schemas.microsoft.com/office/word/2010/wordprocessingShape">
                          <wps:wsp>
                            <wps:cNvCnPr/>
                            <wps:spPr>
                              <a:xfrm>
                                <a:off x="5346000" y="3639755"/>
                                <a:ext cx="0" cy="280491"/>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1041400</wp:posOffset>
                      </wp:positionH>
                      <wp:positionV relativeFrom="paragraph">
                        <wp:posOffset>342900</wp:posOffset>
                      </wp:positionV>
                      <wp:extent cx="25400" cy="280491"/>
                      <wp:effectExtent b="0" l="0" r="0" t="0"/>
                      <wp:wrapNone/>
                      <wp:docPr id="471" name="image27.png"/>
                      <a:graphic>
                        <a:graphicData uri="http://schemas.openxmlformats.org/drawingml/2006/picture">
                          <pic:pic>
                            <pic:nvPicPr>
                              <pic:cNvPr id="0" name="image27.png"/>
                              <pic:cNvPicPr preferRelativeResize="0"/>
                            </pic:nvPicPr>
                            <pic:blipFill>
                              <a:blip r:embed="rId96"/>
                              <a:srcRect/>
                              <a:stretch>
                                <a:fillRect/>
                              </a:stretch>
                            </pic:blipFill>
                            <pic:spPr>
                              <a:xfrm>
                                <a:off x="0" y="0"/>
                                <a:ext cx="25400" cy="280491"/>
                              </a:xfrm>
                              <a:prstGeom prst="rect"/>
                              <a:ln/>
                            </pic:spPr>
                          </pic:pic>
                        </a:graphicData>
                      </a:graphic>
                    </wp:anchor>
                  </w:drawing>
                </mc:Fallback>
              </mc:AlternateContent>
            </w:r>
          </w:p>
          <w:p w14:paraId="0CBB5D75" w14:textId="77777777" w:rsidR="00600DEE" w:rsidRPr="0045151D" w:rsidRDefault="00641FB5">
            <w:pPr>
              <w:spacing w:before="240" w:after="360" w:line="276" w:lineRule="auto"/>
              <w:jc w:val="both"/>
              <w:rPr>
                <w:rFonts w:ascii="Calibri" w:eastAsia="Calibri" w:hAnsi="Calibri" w:cs="Calibri"/>
                <w:b/>
                <w:color w:val="333399"/>
                <w:sz w:val="32"/>
                <w:szCs w:val="32"/>
                <w:lang w:val="en-GB"/>
              </w:rPr>
            </w:pPr>
            <w:r>
              <w:rPr>
                <w:noProof/>
                <w:lang w:eastAsia="pl-PL"/>
              </w:rPr>
              <mc:AlternateContent>
                <mc:Choice Requires="wps">
                  <w:drawing>
                    <wp:anchor distT="0" distB="0" distL="0" distR="0" simplePos="0" relativeHeight="251705344" behindDoc="1" locked="0" layoutInCell="1" hidden="0" allowOverlap="1" wp14:anchorId="001DAF7D" wp14:editId="0DE1ECE9">
                      <wp:simplePos x="0" y="0"/>
                      <wp:positionH relativeFrom="column">
                        <wp:posOffset>330200</wp:posOffset>
                      </wp:positionH>
                      <wp:positionV relativeFrom="paragraph">
                        <wp:posOffset>88900</wp:posOffset>
                      </wp:positionV>
                      <wp:extent cx="1538811" cy="437655"/>
                      <wp:effectExtent l="0" t="0" r="0" b="0"/>
                      <wp:wrapNone/>
                      <wp:docPr id="494" name="Schemat blokowy: proces alternatywny 494"/>
                      <wp:cNvGraphicFramePr/>
                      <a:graphic xmlns:a="http://schemas.openxmlformats.org/drawingml/2006/main">
                        <a:graphicData uri="http://schemas.microsoft.com/office/word/2010/wordprocessingShape">
                          <wps:wsp>
                            <wps:cNvSpPr/>
                            <wps:spPr>
                              <a:xfrm>
                                <a:off x="4581357" y="3565935"/>
                                <a:ext cx="1529286" cy="428130"/>
                              </a:xfrm>
                              <a:prstGeom prst="flowChartAlternateProcess">
                                <a:avLst/>
                              </a:prstGeom>
                              <a:solidFill>
                                <a:srgbClr val="B7CCE4"/>
                              </a:solidFill>
                              <a:ln>
                                <a:noFill/>
                              </a:ln>
                              <a:effectLst>
                                <a:outerShdw blurRad="50800" dist="38100" dir="2700000" algn="tl" rotWithShape="0">
                                  <a:srgbClr val="000000">
                                    <a:alpha val="40000"/>
                                  </a:srgbClr>
                                </a:outerShdw>
                              </a:effectLst>
                            </wps:spPr>
                            <wps:txbx>
                              <w:txbxContent>
                                <w:p w14:paraId="5183383F"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1DAF7D" id="Schemat blokowy: proces alternatywny 494" o:spid="_x0000_s1047" type="#_x0000_t176" style="position:absolute;left:0;text-align:left;margin-left:26pt;margin-top:7pt;width:121.15pt;height:34.45pt;z-index:-2516111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" fillcolor="#b7cce4" stroked="f">
                      <v:shadow on="t" color="black" opacity="26214f" origin="-.5,-.5" offset=".74836mm,.74836mm"/>
                      <v:textbox inset="2.53958mm,2.53958mm,2.53958mm,2.53958mm">
                        <w:txbxContent>
                          <w:p w14:paraId="5183383F" w14:textId="77777777" w:rsidR="007463B9" w:rsidRDefault="007463B9">
                            <w:pPr>
                              <w:textDirection w:val="btLr"/>
                            </w:pPr>
                          </w:p>
                        </w:txbxContent>
                      </v:textbox>
                    </v:shape>
                  </w:pict>
                </mc:Fallback>
              </mc:AlternateContent>
            </w:r>
            <w:r>
              <w:rPr>
                <w:noProof/>
                <w:lang w:eastAsia="pl-PL"/>
              </w:rPr>
              <mc:AlternateContent>
                <mc:Choice Requires="wps">
                  <w:drawing>
                    <wp:anchor distT="0" distB="0" distL="114300" distR="114300" simplePos="0" relativeHeight="251706368" behindDoc="0" locked="0" layoutInCell="1" hidden="0" allowOverlap="1" wp14:anchorId="2F4A575A" wp14:editId="5205DC16">
                      <wp:simplePos x="0" y="0"/>
                      <wp:positionH relativeFrom="column">
                        <wp:posOffset>406400</wp:posOffset>
                      </wp:positionH>
                      <wp:positionV relativeFrom="paragraph">
                        <wp:posOffset>101600</wp:posOffset>
                      </wp:positionV>
                      <wp:extent cx="1357560" cy="446629"/>
                      <wp:effectExtent l="0" t="0" r="0" b="0"/>
                      <wp:wrapNone/>
                      <wp:docPr id="478" name="Prostokąt 478"/>
                      <wp:cNvGraphicFramePr/>
                      <a:graphic xmlns:a="http://schemas.openxmlformats.org/drawingml/2006/main">
                        <a:graphicData uri="http://schemas.microsoft.com/office/word/2010/wordprocessingShape">
                          <wps:wsp>
                            <wps:cNvSpPr/>
                            <wps:spPr>
                              <a:xfrm>
                                <a:off x="4671983" y="3561448"/>
                                <a:ext cx="1348035" cy="437104"/>
                              </a:xfrm>
                              <a:prstGeom prst="rect">
                                <a:avLst/>
                              </a:prstGeom>
                              <a:noFill/>
                              <a:ln>
                                <a:noFill/>
                              </a:ln>
                            </wps:spPr>
                            <wps:txbx>
                              <w:txbxContent>
                                <w:p w14:paraId="6854D9FC" w14:textId="77777777" w:rsidR="007463B9" w:rsidRDefault="007463B9">
                                  <w:pPr>
                                    <w:jc w:val="center"/>
                                    <w:textDirection w:val="btLr"/>
                                  </w:pPr>
                                  <w:r>
                                    <w:rPr>
                                      <w:rFonts w:ascii="Calibri" w:eastAsia="Calibri" w:hAnsi="Calibri" w:cs="Calibri"/>
                                      <w:color w:val="000000"/>
                                      <w:sz w:val="20"/>
                                    </w:rPr>
                                    <w:t>Calculation of EU funding contribution</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F4A575A" id="Prostokąt 478" o:spid="_x0000_s1048" style="position:absolute;left:0;text-align:left;margin-left:32pt;margin-top:8pt;width:106.9pt;height:35.1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" filled="f" stroked="f">
                      <v:textbox inset="2.53958mm,1.2694mm,2.53958mm,1.2694mm">
                        <w:txbxContent>
                          <w:p w14:paraId="6854D9FC" w14:textId="77777777" w:rsidR="007463B9" w:rsidRDefault="007463B9">
                            <w:pPr>
                              <w:jc w:val="center"/>
                              <w:textDirection w:val="btLr"/>
                            </w:pPr>
                            <w:r>
                              <w:rPr>
                                <w:rFonts w:ascii="Calibri" w:eastAsia="Calibri" w:hAnsi="Calibri" w:cs="Calibri"/>
                                <w:color w:val="000000"/>
                                <w:sz w:val="20"/>
                              </w:rPr>
                              <w:t>Calculation of EU funding contribution</w:t>
                            </w:r>
                          </w:p>
                        </w:txbxContent>
                      </v:textbox>
                    </v:rect>
                  </w:pict>
                </mc:Fallback>
              </mc:AlternateContent>
            </w:r>
          </w:p>
          <w:p w14:paraId="0AFD1910" w14:textId="7073752C" w:rsidR="00600DEE" w:rsidRPr="0045151D" w:rsidRDefault="0067350B">
            <w:pPr>
              <w:spacing w:before="240" w:after="360" w:line="276" w:lineRule="auto"/>
              <w:jc w:val="both"/>
              <w:rPr>
                <w:rFonts w:ascii="Calibri" w:eastAsia="Calibri" w:hAnsi="Calibri" w:cs="Calibri"/>
                <w:b/>
                <w:color w:val="333399"/>
                <w:sz w:val="32"/>
                <w:szCs w:val="32"/>
                <w:lang w:val="en-GB"/>
              </w:rPr>
            </w:pPr>
            <w:r>
              <w:rPr>
                <w:noProof/>
                <w:lang w:eastAsia="pl-PL"/>
              </w:rPr>
              <mc:AlternateContent>
                <mc:Choice Requires="wps">
                  <w:drawing>
                    <wp:anchor distT="0" distB="0" distL="114300" distR="114300" simplePos="0" relativeHeight="251692032" behindDoc="0" locked="0" layoutInCell="1" hidden="0" allowOverlap="1" wp14:anchorId="6A971410" wp14:editId="429D9DF3">
                      <wp:simplePos x="0" y="0"/>
                      <wp:positionH relativeFrom="column">
                        <wp:posOffset>2322512</wp:posOffset>
                      </wp:positionH>
                      <wp:positionV relativeFrom="paragraph">
                        <wp:posOffset>316865</wp:posOffset>
                      </wp:positionV>
                      <wp:extent cx="1600200" cy="695325"/>
                      <wp:effectExtent l="0" t="0" r="0" b="0"/>
                      <wp:wrapNone/>
                      <wp:docPr id="507" name="Prostokąt 507"/>
                      <wp:cNvGraphicFramePr/>
                      <a:graphic xmlns:a="http://schemas.openxmlformats.org/drawingml/2006/main">
                        <a:graphicData uri="http://schemas.microsoft.com/office/word/2010/wordprocessingShape">
                          <wps:wsp>
                            <wps:cNvSpPr/>
                            <wps:spPr>
                              <a:xfrm>
                                <a:off x="0" y="0"/>
                                <a:ext cx="1600200" cy="695325"/>
                              </a:xfrm>
                              <a:prstGeom prst="rect">
                                <a:avLst/>
                              </a:prstGeom>
                              <a:solidFill>
                                <a:srgbClr val="DAE5F1"/>
                              </a:solidFill>
                              <a:ln>
                                <a:noFill/>
                              </a:ln>
                              <a:effectLst>
                                <a:outerShdw blurRad="50800" dist="38100" dir="2700000" algn="tl" rotWithShape="0">
                                  <a:srgbClr val="808080">
                                    <a:alpha val="39607"/>
                                  </a:srgbClr>
                                </a:outerShdw>
                              </a:effectLst>
                            </wps:spPr>
                            <wps:txbx>
                              <w:txbxContent>
                                <w:p w14:paraId="4F7850E7" w14:textId="77777777" w:rsidR="007463B9" w:rsidRPr="0045151D" w:rsidRDefault="007463B9">
                                  <w:pPr>
                                    <w:spacing w:after="120"/>
                                    <w:jc w:val="center"/>
                                    <w:textDirection w:val="btLr"/>
                                    <w:rPr>
                                      <w:lang w:val="en-GB"/>
                                    </w:rPr>
                                  </w:pPr>
                                  <w:r w:rsidRPr="0045151D">
                                    <w:rPr>
                                      <w:rFonts w:ascii="Calibri" w:eastAsia="Calibri" w:hAnsi="Calibri" w:cs="Calibri"/>
                                      <w:b/>
                                      <w:color w:val="000000"/>
                                      <w:sz w:val="20"/>
                                      <w:lang w:val="en-GB"/>
                                    </w:rPr>
                                    <w:t>ENPV&gt;0, FNPV≈0</w:t>
                                  </w:r>
                                </w:p>
                                <w:p w14:paraId="55C47AA5"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7"/>
                                      <w:lang w:val="en-GB"/>
                                    </w:rPr>
                                    <w:t>The project is economically justified and financially viable.</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A971410" id="Prostokąt 507" o:spid="_x0000_s1049" style="position:absolute;left:0;text-align:left;margin-left:182.85pt;margin-top:24.95pt;width:126pt;height:54.7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" fillcolor="#dae5f1" stroked="f">
                      <v:shadow on="t" opacity="25956f" origin="-.5,-.5" offset=".74836mm,.74836mm"/>
                      <v:textbox inset="2.53958mm,1.2694mm,2.53958mm,1.2694mm">
                        <w:txbxContent>
                          <w:p w14:paraId="4F7850E7" w14:textId="77777777" w:rsidR="007463B9" w:rsidRPr="0045151D" w:rsidRDefault="007463B9">
                            <w:pPr>
                              <w:spacing w:after="120"/>
                              <w:jc w:val="center"/>
                              <w:textDirection w:val="btLr"/>
                              <w:rPr>
                                <w:lang w:val="en-GB"/>
                              </w:rPr>
                            </w:pPr>
                            <w:r w:rsidRPr="0045151D">
                              <w:rPr>
                                <w:rFonts w:ascii="Calibri" w:eastAsia="Calibri" w:hAnsi="Calibri" w:cs="Calibri"/>
                                <w:b/>
                                <w:color w:val="000000"/>
                                <w:sz w:val="20"/>
                                <w:lang w:val="en-GB"/>
                              </w:rPr>
                              <w:t>ENPV&gt;0, FNPV≈0</w:t>
                            </w:r>
                          </w:p>
                          <w:p w14:paraId="55C47AA5" w14:textId="77777777" w:rsidR="007463B9" w:rsidRPr="0045151D" w:rsidRDefault="007463B9">
                            <w:pPr>
                              <w:spacing w:after="120"/>
                              <w:jc w:val="center"/>
                              <w:textDirection w:val="btLr"/>
                              <w:rPr>
                                <w:lang w:val="en-GB"/>
                              </w:rPr>
                            </w:pPr>
                            <w:r w:rsidRPr="0045151D">
                              <w:rPr>
                                <w:rFonts w:ascii="Calibri" w:eastAsia="Calibri" w:hAnsi="Calibri" w:cs="Calibri"/>
                                <w:color w:val="000000"/>
                                <w:sz w:val="17"/>
                                <w:lang w:val="en-GB"/>
                              </w:rPr>
                              <w:t>The project is economically justified and financially viable.</w:t>
                            </w:r>
                          </w:p>
                        </w:txbxContent>
                      </v:textbox>
                    </v:rect>
                  </w:pict>
                </mc:Fallback>
              </mc:AlternateContent>
            </w:r>
            <w:r w:rsidR="00641FB5">
              <w:rPr>
                <w:noProof/>
                <w:lang w:eastAsia="pl-PL"/>
              </w:rPr>
              <mc:AlternateContent>
                <mc:Choice Requires="wpg">
                  <w:drawing>
                    <wp:anchor distT="0" distB="0" distL="114300" distR="114300" simplePos="0" relativeHeight="251707392" behindDoc="0" locked="0" layoutInCell="1" hidden="0" allowOverlap="1" wp14:anchorId="45D9137B" wp14:editId="33CD2735">
                      <wp:simplePos x="0" y="0"/>
                      <wp:positionH relativeFrom="column">
                        <wp:posOffset>1054100</wp:posOffset>
                      </wp:positionH>
                      <wp:positionV relativeFrom="paragraph">
                        <wp:posOffset>25400</wp:posOffset>
                      </wp:positionV>
                      <wp:extent cx="25400" cy="159237"/>
                      <wp:effectExtent l="0" t="0" r="0" b="0"/>
                      <wp:wrapNone/>
                      <wp:docPr id="484" name="Łącznik prosty ze strzałką 484"/>
                      <wp:cNvGraphicFramePr/>
                      <a:graphic xmlns:a="http://schemas.openxmlformats.org/drawingml/2006/main">
                        <a:graphicData uri="http://schemas.microsoft.com/office/word/2010/wordprocessingShape">
                          <wps:wsp>
                            <wps:cNvCnPr/>
                            <wps:spPr>
                              <a:xfrm>
                                <a:off x="5346000" y="3700382"/>
                                <a:ext cx="0" cy="159237"/>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1054100</wp:posOffset>
                      </wp:positionH>
                      <wp:positionV relativeFrom="paragraph">
                        <wp:posOffset>25400</wp:posOffset>
                      </wp:positionV>
                      <wp:extent cx="25400" cy="159237"/>
                      <wp:effectExtent b="0" l="0" r="0" t="0"/>
                      <wp:wrapNone/>
                      <wp:docPr id="484" name="image41.png"/>
                      <a:graphic>
                        <a:graphicData uri="http://schemas.openxmlformats.org/drawingml/2006/picture">
                          <pic:pic>
                            <pic:nvPicPr>
                              <pic:cNvPr id="0" name="image41.png"/>
                              <pic:cNvPicPr preferRelativeResize="0"/>
                            </pic:nvPicPr>
                            <pic:blipFill>
                              <a:blip r:embed="rId99"/>
                              <a:srcRect/>
                              <a:stretch>
                                <a:fillRect/>
                              </a:stretch>
                            </pic:blipFill>
                            <pic:spPr>
                              <a:xfrm>
                                <a:off x="0" y="0"/>
                                <a:ext cx="25400" cy="159237"/>
                              </a:xfrm>
                              <a:prstGeom prst="rect"/>
                              <a:ln/>
                            </pic:spPr>
                          </pic:pic>
                        </a:graphicData>
                      </a:graphic>
                    </wp:anchor>
                  </w:drawing>
                </mc:Fallback>
              </mc:AlternateContent>
            </w:r>
            <w:r w:rsidR="00641FB5">
              <w:rPr>
                <w:noProof/>
                <w:lang w:eastAsia="pl-PL"/>
              </w:rPr>
              <mc:AlternateContent>
                <mc:Choice Requires="wpg">
                  <w:drawing>
                    <wp:anchor distT="0" distB="0" distL="114300" distR="114300" simplePos="0" relativeHeight="251708416" behindDoc="0" locked="0" layoutInCell="1" hidden="0" allowOverlap="1" wp14:anchorId="6065E7B4" wp14:editId="4076E139">
                      <wp:simplePos x="0" y="0"/>
                      <wp:positionH relativeFrom="column">
                        <wp:posOffset>1727200</wp:posOffset>
                      </wp:positionH>
                      <wp:positionV relativeFrom="paragraph">
                        <wp:posOffset>317500</wp:posOffset>
                      </wp:positionV>
                      <wp:extent cx="617080" cy="25400"/>
                      <wp:effectExtent l="0" t="0" r="0" b="0"/>
                      <wp:wrapNone/>
                      <wp:docPr id="468" name="Łącznik prosty ze strzałką 468"/>
                      <wp:cNvGraphicFramePr/>
                      <a:graphic xmlns:a="http://schemas.openxmlformats.org/drawingml/2006/main">
                        <a:graphicData uri="http://schemas.microsoft.com/office/word/2010/wordprocessingShape">
                          <wps:wsp>
                            <wps:cNvCnPr/>
                            <wps:spPr>
                              <a:xfrm>
                                <a:off x="5037460" y="3780000"/>
                                <a:ext cx="617080" cy="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1727200</wp:posOffset>
                      </wp:positionH>
                      <wp:positionV relativeFrom="paragraph">
                        <wp:posOffset>317500</wp:posOffset>
                      </wp:positionV>
                      <wp:extent cx="617080" cy="25400"/>
                      <wp:effectExtent b="0" l="0" r="0" t="0"/>
                      <wp:wrapNone/>
                      <wp:docPr id="468" name="image24.png"/>
                      <a:graphic>
                        <a:graphicData uri="http://schemas.openxmlformats.org/drawingml/2006/picture">
                          <pic:pic>
                            <pic:nvPicPr>
                              <pic:cNvPr id="0" name="image24.png"/>
                              <pic:cNvPicPr preferRelativeResize="0"/>
                            </pic:nvPicPr>
                            <pic:blipFill>
                              <a:blip r:embed="rId100"/>
                              <a:srcRect/>
                              <a:stretch>
                                <a:fillRect/>
                              </a:stretch>
                            </pic:blipFill>
                            <pic:spPr>
                              <a:xfrm>
                                <a:off x="0" y="0"/>
                                <a:ext cx="617080" cy="25400"/>
                              </a:xfrm>
                              <a:prstGeom prst="rect"/>
                              <a:ln/>
                            </pic:spPr>
                          </pic:pic>
                        </a:graphicData>
                      </a:graphic>
                    </wp:anchor>
                  </w:drawing>
                </mc:Fallback>
              </mc:AlternateContent>
            </w:r>
          </w:p>
          <w:p w14:paraId="2AB74033" w14:textId="77777777" w:rsidR="00600DEE" w:rsidRPr="0045151D" w:rsidRDefault="00600DEE">
            <w:pPr>
              <w:spacing w:line="276" w:lineRule="auto"/>
              <w:ind w:right="170"/>
              <w:jc w:val="both"/>
              <w:rPr>
                <w:rFonts w:ascii="Calibri" w:eastAsia="Calibri" w:hAnsi="Calibri" w:cs="Calibri"/>
                <w:sz w:val="20"/>
                <w:szCs w:val="20"/>
                <w:lang w:val="en-GB"/>
              </w:rPr>
            </w:pPr>
          </w:p>
          <w:p w14:paraId="53269FA5" w14:textId="77777777" w:rsidR="00600DEE" w:rsidRPr="0045151D" w:rsidRDefault="00600DEE">
            <w:pPr>
              <w:spacing w:line="276" w:lineRule="auto"/>
              <w:ind w:right="170"/>
              <w:jc w:val="both"/>
              <w:rPr>
                <w:rFonts w:ascii="Calibri" w:eastAsia="Calibri" w:hAnsi="Calibri" w:cs="Calibri"/>
                <w:sz w:val="20"/>
                <w:szCs w:val="20"/>
                <w:lang w:val="en-GB"/>
              </w:rPr>
            </w:pPr>
          </w:p>
          <w:p w14:paraId="0BC762D9" w14:textId="77777777" w:rsidR="00600DEE" w:rsidRPr="0045151D" w:rsidRDefault="00600DEE">
            <w:pPr>
              <w:spacing w:line="276" w:lineRule="auto"/>
              <w:ind w:right="170"/>
              <w:jc w:val="both"/>
              <w:rPr>
                <w:rFonts w:ascii="Calibri" w:eastAsia="Calibri" w:hAnsi="Calibri" w:cs="Calibri"/>
                <w:sz w:val="20"/>
                <w:szCs w:val="20"/>
                <w:lang w:val="en-GB"/>
              </w:rPr>
            </w:pPr>
          </w:p>
          <w:p w14:paraId="7B27D381" w14:textId="77777777" w:rsidR="00600DEE" w:rsidRPr="0045151D" w:rsidRDefault="00641FB5">
            <w:pPr>
              <w:spacing w:line="276" w:lineRule="auto"/>
              <w:ind w:right="170"/>
              <w:jc w:val="both"/>
              <w:rPr>
                <w:rFonts w:ascii="Calibri" w:eastAsia="Calibri" w:hAnsi="Calibri" w:cs="Calibri"/>
                <w:sz w:val="18"/>
                <w:szCs w:val="18"/>
                <w:lang w:val="en-GB"/>
              </w:rPr>
            </w:pPr>
            <w:r w:rsidRPr="0045151D">
              <w:rPr>
                <w:rFonts w:ascii="Calibri" w:eastAsia="Calibri" w:hAnsi="Calibri" w:cs="Calibri"/>
                <w:sz w:val="18"/>
                <w:szCs w:val="18"/>
                <w:lang w:val="en-GB"/>
              </w:rPr>
              <w:t>*In cases where financial performance of a project is above FDR, public funds can be used if the financial performance is not excessive (as defined in the relevant documents)</w:t>
            </w:r>
          </w:p>
          <w:p w14:paraId="41E9F04D" w14:textId="77777777" w:rsidR="00600DEE" w:rsidRDefault="00641FB5">
            <w:pPr>
              <w:spacing w:after="240" w:line="276" w:lineRule="auto"/>
              <w:ind w:right="170"/>
              <w:rPr>
                <w:rFonts w:ascii="Calibri" w:eastAsia="Calibri" w:hAnsi="Calibri" w:cs="Calibri"/>
                <w:b/>
                <w:i/>
                <w:color w:val="323299"/>
              </w:rPr>
            </w:pPr>
            <w:r>
              <w:rPr>
                <w:rFonts w:ascii="Calibri" w:eastAsia="Calibri" w:hAnsi="Calibri" w:cs="Calibri"/>
                <w:b/>
                <w:i/>
                <w:sz w:val="16"/>
                <w:szCs w:val="16"/>
              </w:rPr>
              <w:t>Source: proprietary work.</w:t>
            </w:r>
          </w:p>
        </w:tc>
      </w:tr>
      <w:tr w:rsidR="00600DEE" w:rsidRPr="008C4407" w14:paraId="3A33BA1B" w14:textId="77777777" w:rsidTr="00E12F72">
        <w:tc>
          <w:tcPr>
            <w:tcW w:w="7740" w:type="dxa"/>
            <w:gridSpan w:val="2"/>
            <w:tcBorders>
              <w:right w:val="single" w:sz="4" w:space="0" w:color="000000"/>
            </w:tcBorders>
            <w:tcMar>
              <w:left w:w="284" w:type="dxa"/>
              <w:right w:w="284" w:type="dxa"/>
            </w:tcMar>
          </w:tcPr>
          <w:p w14:paraId="1A29D222" w14:textId="77777777" w:rsidR="00600DEE" w:rsidRDefault="00641FB5" w:rsidP="00E12F72">
            <w:pPr>
              <w:pBdr>
                <w:top w:val="nil"/>
                <w:left w:val="nil"/>
                <w:bottom w:val="nil"/>
                <w:right w:val="nil"/>
                <w:between w:val="nil"/>
              </w:pBdr>
              <w:jc w:val="both"/>
              <w:rPr>
                <w:rFonts w:ascii="Calibri" w:eastAsia="Calibri" w:hAnsi="Calibri" w:cs="Calibri"/>
                <w:b/>
                <w:color w:val="4F81BD"/>
                <w:sz w:val="20"/>
                <w:szCs w:val="20"/>
              </w:rPr>
            </w:pPr>
            <w:r>
              <w:rPr>
                <w:rFonts w:ascii="Calibri" w:eastAsia="Calibri" w:hAnsi="Calibri" w:cs="Calibri"/>
                <w:b/>
                <w:color w:val="4F81BD"/>
                <w:sz w:val="20"/>
                <w:szCs w:val="20"/>
              </w:rPr>
              <w:lastRenderedPageBreak/>
              <w:t>Rysunek 2. Diagram analizy kosztów i korzyści z najważniejszymi działaniami i ich rezultatami</w:t>
            </w:r>
          </w:p>
          <w:tbl>
            <w:tblPr>
              <w:tblStyle w:val="a3"/>
              <w:tblW w:w="7324" w:type="dxa"/>
              <w:tblLayout w:type="fixed"/>
              <w:tblLook w:val="0000" w:firstRow="0" w:lastRow="0" w:firstColumn="0" w:lastColumn="0" w:noHBand="0" w:noVBand="0"/>
            </w:tblPr>
            <w:tblGrid>
              <w:gridCol w:w="250"/>
              <w:gridCol w:w="1450"/>
              <w:gridCol w:w="422"/>
              <w:gridCol w:w="2385"/>
              <w:gridCol w:w="562"/>
              <w:gridCol w:w="2004"/>
              <w:gridCol w:w="251"/>
            </w:tblGrid>
            <w:tr w:rsidR="00600DEE" w14:paraId="4CA2D03B" w14:textId="77777777" w:rsidTr="00E12F72">
              <w:trPr>
                <w:trHeight w:val="65"/>
              </w:trPr>
              <w:tc>
                <w:tcPr>
                  <w:tcW w:w="250" w:type="dxa"/>
                  <w:tcBorders>
                    <w:top w:val="nil"/>
                    <w:left w:val="nil"/>
                    <w:bottom w:val="nil"/>
                    <w:right w:val="nil"/>
                  </w:tcBorders>
                  <w:shd w:val="clear" w:color="auto" w:fill="999999"/>
                </w:tcPr>
                <w:p w14:paraId="516F13E1" w14:textId="77777777" w:rsidR="00600DEE" w:rsidRDefault="00600DEE">
                  <w:pPr>
                    <w:rPr>
                      <w:rFonts w:ascii="Calibri" w:eastAsia="Calibri" w:hAnsi="Calibri" w:cs="Calibri"/>
                    </w:rPr>
                  </w:pPr>
                </w:p>
              </w:tc>
              <w:tc>
                <w:tcPr>
                  <w:tcW w:w="1450" w:type="dxa"/>
                  <w:tcBorders>
                    <w:top w:val="nil"/>
                    <w:left w:val="nil"/>
                    <w:bottom w:val="nil"/>
                    <w:right w:val="nil"/>
                  </w:tcBorders>
                  <w:shd w:val="clear" w:color="auto" w:fill="999999"/>
                </w:tcPr>
                <w:p w14:paraId="2D5A7B0D" w14:textId="77777777" w:rsidR="00600DEE" w:rsidRDefault="00600DEE">
                  <w:pPr>
                    <w:rPr>
                      <w:rFonts w:ascii="Calibri" w:eastAsia="Calibri" w:hAnsi="Calibri" w:cs="Calibri"/>
                    </w:rPr>
                  </w:pPr>
                </w:p>
              </w:tc>
              <w:tc>
                <w:tcPr>
                  <w:tcW w:w="422" w:type="dxa"/>
                  <w:tcBorders>
                    <w:top w:val="nil"/>
                    <w:left w:val="nil"/>
                    <w:bottom w:val="nil"/>
                    <w:right w:val="nil"/>
                  </w:tcBorders>
                  <w:shd w:val="clear" w:color="auto" w:fill="999999"/>
                </w:tcPr>
                <w:p w14:paraId="032F732C" w14:textId="77777777" w:rsidR="00600DEE" w:rsidRDefault="00600DEE">
                  <w:pPr>
                    <w:rPr>
                      <w:rFonts w:ascii="Calibri" w:eastAsia="Calibri" w:hAnsi="Calibri" w:cs="Calibri"/>
                    </w:rPr>
                  </w:pPr>
                </w:p>
              </w:tc>
              <w:tc>
                <w:tcPr>
                  <w:tcW w:w="2385" w:type="dxa"/>
                  <w:tcBorders>
                    <w:top w:val="nil"/>
                    <w:left w:val="nil"/>
                    <w:bottom w:val="nil"/>
                    <w:right w:val="nil"/>
                  </w:tcBorders>
                  <w:shd w:val="clear" w:color="auto" w:fill="999999"/>
                </w:tcPr>
                <w:p w14:paraId="4E622378" w14:textId="77777777" w:rsidR="00600DEE" w:rsidRDefault="00600DEE">
                  <w:pPr>
                    <w:rPr>
                      <w:rFonts w:ascii="Calibri" w:eastAsia="Calibri" w:hAnsi="Calibri" w:cs="Calibri"/>
                    </w:rPr>
                  </w:pPr>
                </w:p>
              </w:tc>
              <w:tc>
                <w:tcPr>
                  <w:tcW w:w="562" w:type="dxa"/>
                  <w:tcBorders>
                    <w:top w:val="nil"/>
                    <w:left w:val="nil"/>
                    <w:bottom w:val="nil"/>
                    <w:right w:val="nil"/>
                  </w:tcBorders>
                  <w:shd w:val="clear" w:color="auto" w:fill="999999"/>
                </w:tcPr>
                <w:p w14:paraId="25F78D30" w14:textId="77777777" w:rsidR="00600DEE" w:rsidRDefault="00600DEE">
                  <w:pPr>
                    <w:rPr>
                      <w:rFonts w:ascii="Calibri" w:eastAsia="Calibri" w:hAnsi="Calibri" w:cs="Calibri"/>
                    </w:rPr>
                  </w:pPr>
                </w:p>
              </w:tc>
              <w:tc>
                <w:tcPr>
                  <w:tcW w:w="2004" w:type="dxa"/>
                  <w:tcBorders>
                    <w:top w:val="nil"/>
                    <w:left w:val="nil"/>
                    <w:bottom w:val="nil"/>
                    <w:right w:val="nil"/>
                  </w:tcBorders>
                  <w:shd w:val="clear" w:color="auto" w:fill="999999"/>
                </w:tcPr>
                <w:p w14:paraId="24F025B5" w14:textId="77777777" w:rsidR="00600DEE" w:rsidRDefault="00600DEE">
                  <w:pPr>
                    <w:rPr>
                      <w:rFonts w:ascii="Calibri" w:eastAsia="Calibri" w:hAnsi="Calibri" w:cs="Calibri"/>
                    </w:rPr>
                  </w:pPr>
                </w:p>
              </w:tc>
              <w:tc>
                <w:tcPr>
                  <w:tcW w:w="251" w:type="dxa"/>
                  <w:tcBorders>
                    <w:top w:val="nil"/>
                    <w:left w:val="nil"/>
                    <w:bottom w:val="nil"/>
                    <w:right w:val="nil"/>
                  </w:tcBorders>
                  <w:shd w:val="clear" w:color="auto" w:fill="999999"/>
                </w:tcPr>
                <w:p w14:paraId="2BE35E3B" w14:textId="77777777" w:rsidR="00600DEE" w:rsidRDefault="00600DEE">
                  <w:pPr>
                    <w:rPr>
                      <w:rFonts w:ascii="Calibri" w:eastAsia="Calibri" w:hAnsi="Calibri" w:cs="Calibri"/>
                    </w:rPr>
                  </w:pPr>
                </w:p>
              </w:tc>
            </w:tr>
            <w:tr w:rsidR="00600DEE" w14:paraId="6550D673" w14:textId="77777777" w:rsidTr="00E12F72">
              <w:trPr>
                <w:trHeight w:val="60"/>
              </w:trPr>
              <w:tc>
                <w:tcPr>
                  <w:tcW w:w="250" w:type="dxa"/>
                  <w:tcBorders>
                    <w:top w:val="nil"/>
                    <w:left w:val="nil"/>
                    <w:bottom w:val="nil"/>
                    <w:right w:val="nil"/>
                  </w:tcBorders>
                </w:tcPr>
                <w:p w14:paraId="1D1B3643" w14:textId="77777777" w:rsidR="00600DEE" w:rsidRDefault="00600DEE">
                  <w:pPr>
                    <w:rPr>
                      <w:rFonts w:ascii="Calibri" w:eastAsia="Calibri" w:hAnsi="Calibri" w:cs="Calibri"/>
                    </w:rPr>
                  </w:pPr>
                </w:p>
              </w:tc>
              <w:tc>
                <w:tcPr>
                  <w:tcW w:w="1450" w:type="dxa"/>
                  <w:tcBorders>
                    <w:top w:val="nil"/>
                    <w:left w:val="nil"/>
                    <w:bottom w:val="single" w:sz="8" w:space="0" w:color="000000"/>
                    <w:right w:val="nil"/>
                  </w:tcBorders>
                </w:tcPr>
                <w:p w14:paraId="37FD5F1D" w14:textId="77777777" w:rsidR="00600DEE" w:rsidRDefault="00600DEE">
                  <w:pPr>
                    <w:rPr>
                      <w:rFonts w:ascii="Calibri" w:eastAsia="Calibri" w:hAnsi="Calibri" w:cs="Calibri"/>
                    </w:rPr>
                  </w:pPr>
                </w:p>
              </w:tc>
              <w:tc>
                <w:tcPr>
                  <w:tcW w:w="422" w:type="dxa"/>
                  <w:tcBorders>
                    <w:top w:val="nil"/>
                    <w:left w:val="nil"/>
                    <w:bottom w:val="nil"/>
                    <w:right w:val="nil"/>
                  </w:tcBorders>
                </w:tcPr>
                <w:p w14:paraId="0E36ACE9" w14:textId="77777777" w:rsidR="00600DEE" w:rsidRDefault="00600DEE">
                  <w:pPr>
                    <w:rPr>
                      <w:rFonts w:ascii="Calibri" w:eastAsia="Calibri" w:hAnsi="Calibri" w:cs="Calibri"/>
                    </w:rPr>
                  </w:pPr>
                </w:p>
              </w:tc>
              <w:tc>
                <w:tcPr>
                  <w:tcW w:w="2385" w:type="dxa"/>
                  <w:tcBorders>
                    <w:top w:val="nil"/>
                    <w:left w:val="nil"/>
                    <w:bottom w:val="single" w:sz="8" w:space="0" w:color="000000"/>
                    <w:right w:val="nil"/>
                  </w:tcBorders>
                </w:tcPr>
                <w:p w14:paraId="62942429" w14:textId="77777777" w:rsidR="00600DEE" w:rsidRDefault="00600DEE">
                  <w:pPr>
                    <w:rPr>
                      <w:rFonts w:ascii="Calibri" w:eastAsia="Calibri" w:hAnsi="Calibri" w:cs="Calibri"/>
                    </w:rPr>
                  </w:pPr>
                </w:p>
              </w:tc>
              <w:tc>
                <w:tcPr>
                  <w:tcW w:w="562" w:type="dxa"/>
                  <w:tcBorders>
                    <w:top w:val="nil"/>
                    <w:left w:val="nil"/>
                    <w:bottom w:val="nil"/>
                    <w:right w:val="nil"/>
                  </w:tcBorders>
                </w:tcPr>
                <w:p w14:paraId="683C179A" w14:textId="77777777" w:rsidR="00600DEE" w:rsidRDefault="00600DEE">
                  <w:pPr>
                    <w:rPr>
                      <w:rFonts w:ascii="Calibri" w:eastAsia="Calibri" w:hAnsi="Calibri" w:cs="Calibri"/>
                    </w:rPr>
                  </w:pPr>
                </w:p>
              </w:tc>
              <w:tc>
                <w:tcPr>
                  <w:tcW w:w="2004" w:type="dxa"/>
                  <w:tcBorders>
                    <w:top w:val="nil"/>
                    <w:left w:val="nil"/>
                    <w:bottom w:val="single" w:sz="8" w:space="0" w:color="000000"/>
                    <w:right w:val="nil"/>
                  </w:tcBorders>
                </w:tcPr>
                <w:p w14:paraId="64625F90" w14:textId="77777777" w:rsidR="00600DEE" w:rsidRDefault="00600DEE">
                  <w:pPr>
                    <w:rPr>
                      <w:rFonts w:ascii="Calibri" w:eastAsia="Calibri" w:hAnsi="Calibri" w:cs="Calibri"/>
                    </w:rPr>
                  </w:pPr>
                </w:p>
              </w:tc>
              <w:tc>
                <w:tcPr>
                  <w:tcW w:w="251" w:type="dxa"/>
                  <w:tcBorders>
                    <w:top w:val="nil"/>
                    <w:left w:val="nil"/>
                    <w:bottom w:val="nil"/>
                    <w:right w:val="nil"/>
                  </w:tcBorders>
                </w:tcPr>
                <w:p w14:paraId="2CF8F161" w14:textId="77777777" w:rsidR="00600DEE" w:rsidRDefault="00600DEE">
                  <w:pPr>
                    <w:rPr>
                      <w:rFonts w:ascii="Calibri" w:eastAsia="Calibri" w:hAnsi="Calibri" w:cs="Calibri"/>
                    </w:rPr>
                  </w:pPr>
                </w:p>
              </w:tc>
            </w:tr>
            <w:tr w:rsidR="00600DEE" w14:paraId="38EE5C3D" w14:textId="77777777" w:rsidTr="00E12F72">
              <w:trPr>
                <w:trHeight w:val="303"/>
              </w:trPr>
              <w:tc>
                <w:tcPr>
                  <w:tcW w:w="250" w:type="dxa"/>
                  <w:tcBorders>
                    <w:right w:val="single" w:sz="8" w:space="0" w:color="000000"/>
                  </w:tcBorders>
                  <w:vAlign w:val="center"/>
                </w:tcPr>
                <w:p w14:paraId="693FED2A" w14:textId="77777777" w:rsidR="00600DEE" w:rsidRDefault="00600DEE">
                  <w:pPr>
                    <w:jc w:val="center"/>
                    <w:rPr>
                      <w:rFonts w:ascii="Calibri" w:eastAsia="Calibri" w:hAnsi="Calibri" w:cs="Calibri"/>
                      <w:b/>
                      <w:color w:val="366091"/>
                      <w:sz w:val="18"/>
                      <w:szCs w:val="18"/>
                    </w:rPr>
                  </w:pPr>
                </w:p>
              </w:tc>
              <w:tc>
                <w:tcPr>
                  <w:tcW w:w="1450" w:type="dxa"/>
                  <w:tcBorders>
                    <w:top w:val="single" w:sz="8" w:space="0" w:color="000000"/>
                    <w:left w:val="single" w:sz="8" w:space="0" w:color="000000"/>
                    <w:bottom w:val="single" w:sz="8" w:space="0" w:color="000000"/>
                    <w:right w:val="single" w:sz="8" w:space="0" w:color="000000"/>
                  </w:tcBorders>
                  <w:vAlign w:val="center"/>
                </w:tcPr>
                <w:p w14:paraId="547A59F8" w14:textId="77777777" w:rsidR="00600DEE" w:rsidRDefault="00641FB5">
                  <w:pPr>
                    <w:jc w:val="center"/>
                    <w:rPr>
                      <w:rFonts w:ascii="Calibri" w:eastAsia="Calibri" w:hAnsi="Calibri" w:cs="Calibri"/>
                      <w:b/>
                      <w:color w:val="366091"/>
                      <w:sz w:val="18"/>
                      <w:szCs w:val="18"/>
                    </w:rPr>
                  </w:pPr>
                  <w:r>
                    <w:rPr>
                      <w:rFonts w:ascii="Calibri" w:eastAsia="Calibri" w:hAnsi="Calibri" w:cs="Calibri"/>
                      <w:b/>
                      <w:color w:val="366091"/>
                      <w:sz w:val="18"/>
                      <w:szCs w:val="18"/>
                    </w:rPr>
                    <w:t xml:space="preserve"> Etapy AKK </w:t>
                  </w:r>
                </w:p>
              </w:tc>
              <w:tc>
                <w:tcPr>
                  <w:tcW w:w="422" w:type="dxa"/>
                  <w:tcBorders>
                    <w:left w:val="single" w:sz="8" w:space="0" w:color="000000"/>
                    <w:right w:val="single" w:sz="8" w:space="0" w:color="000000"/>
                  </w:tcBorders>
                  <w:vAlign w:val="center"/>
                </w:tcPr>
                <w:p w14:paraId="74DA66A4" w14:textId="77777777" w:rsidR="00600DEE" w:rsidRDefault="00600DEE">
                  <w:pPr>
                    <w:jc w:val="center"/>
                    <w:rPr>
                      <w:rFonts w:ascii="Calibri" w:eastAsia="Calibri" w:hAnsi="Calibri" w:cs="Calibri"/>
                      <w:b/>
                      <w:color w:val="366091"/>
                      <w:sz w:val="18"/>
                      <w:szCs w:val="18"/>
                    </w:rPr>
                  </w:pPr>
                </w:p>
              </w:tc>
              <w:tc>
                <w:tcPr>
                  <w:tcW w:w="2385" w:type="dxa"/>
                  <w:tcBorders>
                    <w:top w:val="single" w:sz="8" w:space="0" w:color="000000"/>
                    <w:left w:val="single" w:sz="8" w:space="0" w:color="000000"/>
                    <w:bottom w:val="single" w:sz="8" w:space="0" w:color="000000"/>
                    <w:right w:val="single" w:sz="8" w:space="0" w:color="000000"/>
                  </w:tcBorders>
                  <w:vAlign w:val="center"/>
                </w:tcPr>
                <w:p w14:paraId="79A0A2D4" w14:textId="77777777" w:rsidR="00600DEE" w:rsidRDefault="00641FB5">
                  <w:pPr>
                    <w:jc w:val="center"/>
                    <w:rPr>
                      <w:rFonts w:ascii="Calibri" w:eastAsia="Calibri" w:hAnsi="Calibri" w:cs="Calibri"/>
                      <w:b/>
                      <w:color w:val="366091"/>
                      <w:sz w:val="18"/>
                      <w:szCs w:val="18"/>
                    </w:rPr>
                  </w:pPr>
                  <w:r>
                    <w:rPr>
                      <w:rFonts w:ascii="Calibri" w:eastAsia="Calibri" w:hAnsi="Calibri" w:cs="Calibri"/>
                      <w:b/>
                      <w:color w:val="366091"/>
                      <w:sz w:val="18"/>
                      <w:szCs w:val="18"/>
                    </w:rPr>
                    <w:t xml:space="preserve">Działania </w:t>
                  </w:r>
                </w:p>
              </w:tc>
              <w:tc>
                <w:tcPr>
                  <w:tcW w:w="562" w:type="dxa"/>
                  <w:tcBorders>
                    <w:left w:val="single" w:sz="8" w:space="0" w:color="000000"/>
                    <w:right w:val="single" w:sz="8" w:space="0" w:color="000000"/>
                  </w:tcBorders>
                  <w:vAlign w:val="center"/>
                </w:tcPr>
                <w:p w14:paraId="22938598" w14:textId="77777777" w:rsidR="00600DEE" w:rsidRDefault="00600DEE">
                  <w:pPr>
                    <w:jc w:val="center"/>
                    <w:rPr>
                      <w:rFonts w:ascii="Calibri" w:eastAsia="Calibri" w:hAnsi="Calibri" w:cs="Calibri"/>
                      <w:b/>
                      <w:color w:val="366091"/>
                      <w:sz w:val="18"/>
                      <w:szCs w:val="18"/>
                    </w:rPr>
                  </w:pPr>
                </w:p>
              </w:tc>
              <w:tc>
                <w:tcPr>
                  <w:tcW w:w="2004" w:type="dxa"/>
                  <w:tcBorders>
                    <w:top w:val="single" w:sz="8" w:space="0" w:color="000000"/>
                    <w:left w:val="single" w:sz="8" w:space="0" w:color="000000"/>
                    <w:bottom w:val="single" w:sz="8" w:space="0" w:color="000000"/>
                    <w:right w:val="single" w:sz="8" w:space="0" w:color="000000"/>
                  </w:tcBorders>
                  <w:vAlign w:val="center"/>
                </w:tcPr>
                <w:p w14:paraId="1078E553" w14:textId="77777777" w:rsidR="00600DEE" w:rsidRDefault="00641FB5">
                  <w:pPr>
                    <w:jc w:val="center"/>
                    <w:rPr>
                      <w:rFonts w:ascii="Calibri" w:eastAsia="Calibri" w:hAnsi="Calibri" w:cs="Calibri"/>
                      <w:b/>
                      <w:color w:val="366091"/>
                      <w:sz w:val="18"/>
                      <w:szCs w:val="18"/>
                    </w:rPr>
                  </w:pPr>
                  <w:r>
                    <w:rPr>
                      <w:rFonts w:ascii="Calibri" w:eastAsia="Calibri" w:hAnsi="Calibri" w:cs="Calibri"/>
                      <w:b/>
                      <w:color w:val="366091"/>
                      <w:sz w:val="18"/>
                      <w:szCs w:val="18"/>
                    </w:rPr>
                    <w:t xml:space="preserve">Rezultaty </w:t>
                  </w:r>
                </w:p>
              </w:tc>
              <w:tc>
                <w:tcPr>
                  <w:tcW w:w="251" w:type="dxa"/>
                  <w:tcBorders>
                    <w:left w:val="single" w:sz="8" w:space="0" w:color="000000"/>
                  </w:tcBorders>
                  <w:vAlign w:val="center"/>
                </w:tcPr>
                <w:p w14:paraId="0902511C" w14:textId="77777777" w:rsidR="00600DEE" w:rsidRDefault="00600DEE">
                  <w:pPr>
                    <w:jc w:val="center"/>
                    <w:rPr>
                      <w:rFonts w:ascii="Calibri" w:eastAsia="Calibri" w:hAnsi="Calibri" w:cs="Calibri"/>
                      <w:color w:val="4F81BD"/>
                      <w:sz w:val="18"/>
                      <w:szCs w:val="18"/>
                    </w:rPr>
                  </w:pPr>
                </w:p>
              </w:tc>
            </w:tr>
            <w:tr w:rsidR="00600DEE" w14:paraId="55D1B4F2" w14:textId="77777777" w:rsidTr="00E12F72">
              <w:trPr>
                <w:trHeight w:val="60"/>
              </w:trPr>
              <w:tc>
                <w:tcPr>
                  <w:tcW w:w="250" w:type="dxa"/>
                  <w:tcBorders>
                    <w:bottom w:val="single" w:sz="8" w:space="0" w:color="000000"/>
                  </w:tcBorders>
                </w:tcPr>
                <w:p w14:paraId="2B556B6D" w14:textId="77777777" w:rsidR="00600DEE" w:rsidRDefault="00600DEE">
                  <w:pPr>
                    <w:rPr>
                      <w:rFonts w:ascii="Calibri" w:eastAsia="Calibri" w:hAnsi="Calibri" w:cs="Calibri"/>
                    </w:rPr>
                  </w:pPr>
                </w:p>
              </w:tc>
              <w:tc>
                <w:tcPr>
                  <w:tcW w:w="1450" w:type="dxa"/>
                  <w:tcBorders>
                    <w:top w:val="single" w:sz="8" w:space="0" w:color="000000"/>
                    <w:bottom w:val="single" w:sz="8" w:space="0" w:color="000000"/>
                  </w:tcBorders>
                </w:tcPr>
                <w:p w14:paraId="0706F138" w14:textId="77777777" w:rsidR="00600DEE" w:rsidRDefault="00600DEE">
                  <w:pPr>
                    <w:rPr>
                      <w:rFonts w:ascii="Calibri" w:eastAsia="Calibri" w:hAnsi="Calibri" w:cs="Calibri"/>
                    </w:rPr>
                  </w:pPr>
                </w:p>
              </w:tc>
              <w:tc>
                <w:tcPr>
                  <w:tcW w:w="422" w:type="dxa"/>
                  <w:tcBorders>
                    <w:bottom w:val="single" w:sz="8" w:space="0" w:color="000000"/>
                  </w:tcBorders>
                </w:tcPr>
                <w:p w14:paraId="3060A2CC" w14:textId="77777777" w:rsidR="00600DEE" w:rsidRDefault="00600DEE">
                  <w:pPr>
                    <w:rPr>
                      <w:rFonts w:ascii="Calibri" w:eastAsia="Calibri" w:hAnsi="Calibri" w:cs="Calibri"/>
                    </w:rPr>
                  </w:pPr>
                </w:p>
              </w:tc>
              <w:tc>
                <w:tcPr>
                  <w:tcW w:w="2385" w:type="dxa"/>
                  <w:tcBorders>
                    <w:top w:val="single" w:sz="8" w:space="0" w:color="000000"/>
                    <w:bottom w:val="single" w:sz="8" w:space="0" w:color="000000"/>
                  </w:tcBorders>
                </w:tcPr>
                <w:p w14:paraId="06524175" w14:textId="77777777" w:rsidR="00600DEE" w:rsidRDefault="00600DEE">
                  <w:pPr>
                    <w:rPr>
                      <w:rFonts w:ascii="Calibri" w:eastAsia="Calibri" w:hAnsi="Calibri" w:cs="Calibri"/>
                    </w:rPr>
                  </w:pPr>
                </w:p>
              </w:tc>
              <w:tc>
                <w:tcPr>
                  <w:tcW w:w="562" w:type="dxa"/>
                  <w:tcBorders>
                    <w:bottom w:val="single" w:sz="8" w:space="0" w:color="000000"/>
                  </w:tcBorders>
                </w:tcPr>
                <w:p w14:paraId="1CA5D4B6" w14:textId="77777777" w:rsidR="00600DEE" w:rsidRDefault="00600DEE">
                  <w:pPr>
                    <w:rPr>
                      <w:rFonts w:ascii="Calibri" w:eastAsia="Calibri" w:hAnsi="Calibri" w:cs="Calibri"/>
                    </w:rPr>
                  </w:pPr>
                </w:p>
              </w:tc>
              <w:tc>
                <w:tcPr>
                  <w:tcW w:w="2004" w:type="dxa"/>
                  <w:tcBorders>
                    <w:top w:val="single" w:sz="8" w:space="0" w:color="000000"/>
                    <w:bottom w:val="single" w:sz="8" w:space="0" w:color="000000"/>
                  </w:tcBorders>
                </w:tcPr>
                <w:p w14:paraId="20DE0E3B" w14:textId="77777777" w:rsidR="00600DEE" w:rsidRDefault="00600DEE">
                  <w:pPr>
                    <w:rPr>
                      <w:rFonts w:ascii="Calibri" w:eastAsia="Calibri" w:hAnsi="Calibri" w:cs="Calibri"/>
                    </w:rPr>
                  </w:pPr>
                </w:p>
              </w:tc>
              <w:tc>
                <w:tcPr>
                  <w:tcW w:w="251" w:type="dxa"/>
                  <w:tcBorders>
                    <w:bottom w:val="single" w:sz="8" w:space="0" w:color="000000"/>
                  </w:tcBorders>
                </w:tcPr>
                <w:p w14:paraId="01D4A52F" w14:textId="77777777" w:rsidR="00600DEE" w:rsidRDefault="00600DEE">
                  <w:pPr>
                    <w:rPr>
                      <w:rFonts w:ascii="Calibri" w:eastAsia="Calibri" w:hAnsi="Calibri" w:cs="Calibri"/>
                    </w:rPr>
                  </w:pPr>
                </w:p>
              </w:tc>
            </w:tr>
            <w:tr w:rsidR="00600DEE" w14:paraId="17AFE288" w14:textId="77777777" w:rsidTr="00023AC0">
              <w:trPr>
                <w:trHeight w:hRule="exact" w:val="340"/>
              </w:trPr>
              <w:tc>
                <w:tcPr>
                  <w:tcW w:w="250" w:type="dxa"/>
                  <w:tcBorders>
                    <w:top w:val="single" w:sz="8" w:space="0" w:color="000000"/>
                    <w:left w:val="single" w:sz="8" w:space="0" w:color="000000"/>
                    <w:bottom w:val="single" w:sz="8" w:space="0" w:color="000000"/>
                  </w:tcBorders>
                  <w:shd w:val="clear" w:color="auto" w:fill="DBE5F1"/>
                  <w:vAlign w:val="center"/>
                </w:tcPr>
                <w:p w14:paraId="4929A625" w14:textId="77777777" w:rsidR="00600DEE" w:rsidRDefault="00600DEE">
                  <w:pPr>
                    <w:jc w:val="center"/>
                    <w:rPr>
                      <w:rFonts w:ascii="Calibri" w:eastAsia="Calibri" w:hAnsi="Calibri" w:cs="Calibri"/>
                      <w:b/>
                    </w:rPr>
                  </w:pPr>
                </w:p>
              </w:tc>
              <w:tc>
                <w:tcPr>
                  <w:tcW w:w="1450" w:type="dxa"/>
                  <w:tcBorders>
                    <w:top w:val="single" w:sz="8" w:space="0" w:color="000000"/>
                    <w:bottom w:val="single" w:sz="8" w:space="0" w:color="000000"/>
                  </w:tcBorders>
                  <w:shd w:val="clear" w:color="auto" w:fill="DBE5F1"/>
                  <w:vAlign w:val="center"/>
                </w:tcPr>
                <w:p w14:paraId="5DD7BF0B" w14:textId="77777777" w:rsidR="00600DEE" w:rsidRDefault="00600DEE">
                  <w:pPr>
                    <w:jc w:val="center"/>
                    <w:rPr>
                      <w:rFonts w:ascii="Calibri" w:eastAsia="Calibri" w:hAnsi="Calibri" w:cs="Calibri"/>
                      <w:b/>
                    </w:rPr>
                  </w:pPr>
                </w:p>
              </w:tc>
              <w:tc>
                <w:tcPr>
                  <w:tcW w:w="422" w:type="dxa"/>
                  <w:tcBorders>
                    <w:top w:val="single" w:sz="8" w:space="0" w:color="000000"/>
                    <w:bottom w:val="single" w:sz="8" w:space="0" w:color="000000"/>
                  </w:tcBorders>
                  <w:shd w:val="clear" w:color="auto" w:fill="DBE5F1"/>
                  <w:vAlign w:val="center"/>
                </w:tcPr>
                <w:p w14:paraId="38C8EE86" w14:textId="77777777" w:rsidR="00600DEE" w:rsidRDefault="00600DEE">
                  <w:pPr>
                    <w:jc w:val="center"/>
                    <w:rPr>
                      <w:rFonts w:ascii="Calibri" w:eastAsia="Calibri" w:hAnsi="Calibri" w:cs="Calibri"/>
                    </w:rPr>
                  </w:pPr>
                </w:p>
              </w:tc>
              <w:tc>
                <w:tcPr>
                  <w:tcW w:w="2385" w:type="dxa"/>
                  <w:tcBorders>
                    <w:top w:val="single" w:sz="8" w:space="0" w:color="000000"/>
                    <w:bottom w:val="single" w:sz="8" w:space="0" w:color="000000"/>
                  </w:tcBorders>
                  <w:shd w:val="clear" w:color="auto" w:fill="DBE5F1"/>
                  <w:vAlign w:val="center"/>
                </w:tcPr>
                <w:p w14:paraId="0F73693E" w14:textId="77777777" w:rsidR="00600DEE" w:rsidRDefault="00641FB5">
                  <w:pPr>
                    <w:jc w:val="center"/>
                    <w:rPr>
                      <w:rFonts w:ascii="Calibri" w:eastAsia="Calibri" w:hAnsi="Calibri" w:cs="Calibri"/>
                      <w:b/>
                      <w:sz w:val="22"/>
                      <w:szCs w:val="22"/>
                    </w:rPr>
                  </w:pPr>
                  <w:r>
                    <w:rPr>
                      <w:rFonts w:ascii="Calibri" w:eastAsia="Calibri" w:hAnsi="Calibri" w:cs="Calibri"/>
                      <w:b/>
                      <w:sz w:val="22"/>
                      <w:szCs w:val="22"/>
                    </w:rPr>
                    <w:t>Faza I</w:t>
                  </w:r>
                </w:p>
              </w:tc>
              <w:tc>
                <w:tcPr>
                  <w:tcW w:w="562" w:type="dxa"/>
                  <w:tcBorders>
                    <w:top w:val="single" w:sz="8" w:space="0" w:color="000000"/>
                    <w:bottom w:val="single" w:sz="8" w:space="0" w:color="000000"/>
                  </w:tcBorders>
                  <w:shd w:val="clear" w:color="auto" w:fill="DBE5F1"/>
                  <w:vAlign w:val="center"/>
                </w:tcPr>
                <w:p w14:paraId="59992BD7" w14:textId="77777777" w:rsidR="00600DEE" w:rsidRDefault="00600DEE">
                  <w:pPr>
                    <w:jc w:val="center"/>
                    <w:rPr>
                      <w:rFonts w:ascii="Calibri" w:eastAsia="Calibri" w:hAnsi="Calibri" w:cs="Calibri"/>
                    </w:rPr>
                  </w:pPr>
                </w:p>
              </w:tc>
              <w:tc>
                <w:tcPr>
                  <w:tcW w:w="2004" w:type="dxa"/>
                  <w:tcBorders>
                    <w:top w:val="single" w:sz="8" w:space="0" w:color="000000"/>
                    <w:bottom w:val="single" w:sz="8" w:space="0" w:color="000000"/>
                  </w:tcBorders>
                  <w:shd w:val="clear" w:color="auto" w:fill="DBE5F1"/>
                  <w:vAlign w:val="center"/>
                </w:tcPr>
                <w:p w14:paraId="6433B969" w14:textId="77777777" w:rsidR="00600DEE" w:rsidRDefault="00600DEE">
                  <w:pPr>
                    <w:jc w:val="center"/>
                    <w:rPr>
                      <w:rFonts w:ascii="Calibri" w:eastAsia="Calibri" w:hAnsi="Calibri" w:cs="Calibri"/>
                    </w:rPr>
                  </w:pPr>
                </w:p>
              </w:tc>
              <w:tc>
                <w:tcPr>
                  <w:tcW w:w="251" w:type="dxa"/>
                  <w:tcBorders>
                    <w:top w:val="single" w:sz="8" w:space="0" w:color="000000"/>
                    <w:bottom w:val="single" w:sz="8" w:space="0" w:color="000000"/>
                    <w:right w:val="single" w:sz="8" w:space="0" w:color="000000"/>
                  </w:tcBorders>
                  <w:shd w:val="clear" w:color="auto" w:fill="DBE5F1"/>
                  <w:vAlign w:val="center"/>
                </w:tcPr>
                <w:p w14:paraId="2F5CD6F9" w14:textId="77777777" w:rsidR="00600DEE" w:rsidRDefault="00600DEE">
                  <w:pPr>
                    <w:jc w:val="center"/>
                    <w:rPr>
                      <w:rFonts w:ascii="Calibri" w:eastAsia="Calibri" w:hAnsi="Calibri" w:cs="Calibri"/>
                    </w:rPr>
                  </w:pPr>
                </w:p>
              </w:tc>
            </w:tr>
            <w:tr w:rsidR="00600DEE" w14:paraId="68C7B528" w14:textId="77777777" w:rsidTr="00E12F72">
              <w:trPr>
                <w:trHeight w:val="60"/>
              </w:trPr>
              <w:tc>
                <w:tcPr>
                  <w:tcW w:w="250" w:type="dxa"/>
                  <w:tcBorders>
                    <w:top w:val="single" w:sz="8" w:space="0" w:color="000000"/>
                  </w:tcBorders>
                </w:tcPr>
                <w:p w14:paraId="5192273D" w14:textId="77777777" w:rsidR="00600DEE" w:rsidRDefault="00600DEE">
                  <w:pPr>
                    <w:rPr>
                      <w:rFonts w:ascii="Calibri" w:eastAsia="Calibri" w:hAnsi="Calibri" w:cs="Calibri"/>
                      <w:b/>
                    </w:rPr>
                  </w:pPr>
                </w:p>
              </w:tc>
              <w:tc>
                <w:tcPr>
                  <w:tcW w:w="1450" w:type="dxa"/>
                  <w:tcBorders>
                    <w:top w:val="single" w:sz="8" w:space="0" w:color="000000"/>
                  </w:tcBorders>
                </w:tcPr>
                <w:p w14:paraId="6EF832F6" w14:textId="77777777" w:rsidR="00600DEE" w:rsidRDefault="00600DEE">
                  <w:pPr>
                    <w:rPr>
                      <w:rFonts w:ascii="Calibri" w:eastAsia="Calibri" w:hAnsi="Calibri" w:cs="Calibri"/>
                      <w:b/>
                    </w:rPr>
                  </w:pPr>
                </w:p>
              </w:tc>
              <w:tc>
                <w:tcPr>
                  <w:tcW w:w="422" w:type="dxa"/>
                  <w:tcBorders>
                    <w:top w:val="single" w:sz="8" w:space="0" w:color="000000"/>
                  </w:tcBorders>
                </w:tcPr>
                <w:p w14:paraId="42C80579" w14:textId="77777777" w:rsidR="00600DEE" w:rsidRDefault="00600DEE">
                  <w:pPr>
                    <w:rPr>
                      <w:rFonts w:ascii="Calibri" w:eastAsia="Calibri" w:hAnsi="Calibri" w:cs="Calibri"/>
                    </w:rPr>
                  </w:pPr>
                </w:p>
              </w:tc>
              <w:tc>
                <w:tcPr>
                  <w:tcW w:w="2385" w:type="dxa"/>
                  <w:tcBorders>
                    <w:top w:val="single" w:sz="8" w:space="0" w:color="000000"/>
                  </w:tcBorders>
                </w:tcPr>
                <w:p w14:paraId="0E86C169" w14:textId="77777777" w:rsidR="00600DEE" w:rsidRDefault="00600DEE">
                  <w:pPr>
                    <w:rPr>
                      <w:rFonts w:ascii="Calibri" w:eastAsia="Calibri" w:hAnsi="Calibri" w:cs="Calibri"/>
                    </w:rPr>
                  </w:pPr>
                </w:p>
              </w:tc>
              <w:tc>
                <w:tcPr>
                  <w:tcW w:w="562" w:type="dxa"/>
                  <w:tcBorders>
                    <w:top w:val="single" w:sz="8" w:space="0" w:color="000000"/>
                  </w:tcBorders>
                </w:tcPr>
                <w:p w14:paraId="62B69370" w14:textId="77777777" w:rsidR="00600DEE" w:rsidRDefault="00600DEE">
                  <w:pPr>
                    <w:rPr>
                      <w:rFonts w:ascii="Calibri" w:eastAsia="Calibri" w:hAnsi="Calibri" w:cs="Calibri"/>
                    </w:rPr>
                  </w:pPr>
                </w:p>
              </w:tc>
              <w:tc>
                <w:tcPr>
                  <w:tcW w:w="2004" w:type="dxa"/>
                  <w:tcBorders>
                    <w:top w:val="single" w:sz="8" w:space="0" w:color="000000"/>
                  </w:tcBorders>
                </w:tcPr>
                <w:p w14:paraId="114315AB" w14:textId="77777777" w:rsidR="00600DEE" w:rsidRDefault="00600DEE">
                  <w:pPr>
                    <w:rPr>
                      <w:rFonts w:ascii="Calibri" w:eastAsia="Calibri" w:hAnsi="Calibri" w:cs="Calibri"/>
                    </w:rPr>
                  </w:pPr>
                </w:p>
              </w:tc>
              <w:tc>
                <w:tcPr>
                  <w:tcW w:w="251" w:type="dxa"/>
                  <w:tcBorders>
                    <w:top w:val="single" w:sz="8" w:space="0" w:color="000000"/>
                  </w:tcBorders>
                </w:tcPr>
                <w:p w14:paraId="55A2FCC3" w14:textId="77777777" w:rsidR="00600DEE" w:rsidRDefault="00600DEE">
                  <w:pPr>
                    <w:rPr>
                      <w:rFonts w:ascii="Calibri" w:eastAsia="Calibri" w:hAnsi="Calibri" w:cs="Calibri"/>
                    </w:rPr>
                  </w:pPr>
                </w:p>
              </w:tc>
            </w:tr>
            <w:tr w:rsidR="00600DEE" w14:paraId="01BCDE3D" w14:textId="77777777" w:rsidTr="00E12F72">
              <w:trPr>
                <w:trHeight w:val="2689"/>
              </w:trPr>
              <w:tc>
                <w:tcPr>
                  <w:tcW w:w="250" w:type="dxa"/>
                </w:tcPr>
                <w:p w14:paraId="507DA416" w14:textId="77777777" w:rsidR="00600DEE" w:rsidRDefault="00600DEE">
                  <w:pPr>
                    <w:rPr>
                      <w:rFonts w:ascii="Calibri" w:eastAsia="Calibri" w:hAnsi="Calibri" w:cs="Calibri"/>
                      <w:b/>
                    </w:rPr>
                  </w:pPr>
                </w:p>
              </w:tc>
              <w:tc>
                <w:tcPr>
                  <w:tcW w:w="1450" w:type="dxa"/>
                  <w:shd w:val="clear" w:color="auto" w:fill="F2F2F2"/>
                  <w:vAlign w:val="center"/>
                </w:tcPr>
                <w:p w14:paraId="7F0CB0B0" w14:textId="77777777" w:rsidR="00600DEE" w:rsidRDefault="00641FB5">
                  <w:pPr>
                    <w:ind w:right="170"/>
                    <w:rPr>
                      <w:rFonts w:ascii="Calibri" w:eastAsia="Calibri" w:hAnsi="Calibri" w:cs="Calibri"/>
                      <w:b/>
                      <w:sz w:val="16"/>
                      <w:szCs w:val="16"/>
                    </w:rPr>
                  </w:pPr>
                  <w:r>
                    <w:rPr>
                      <w:rFonts w:ascii="Calibri" w:eastAsia="Calibri" w:hAnsi="Calibri" w:cs="Calibri"/>
                      <w:b/>
                      <w:sz w:val="16"/>
                      <w:szCs w:val="16"/>
                    </w:rPr>
                    <w:t>Przygotowanie danych</w:t>
                  </w:r>
                </w:p>
                <w:p w14:paraId="24E341D5" w14:textId="77777777" w:rsidR="00600DEE" w:rsidRDefault="00641FB5">
                  <w:pPr>
                    <w:ind w:right="170"/>
                    <w:rPr>
                      <w:rFonts w:ascii="Calibri" w:eastAsia="Calibri" w:hAnsi="Calibri" w:cs="Calibri"/>
                      <w:b/>
                      <w:sz w:val="16"/>
                      <w:szCs w:val="16"/>
                    </w:rPr>
                  </w:pPr>
                  <w:r>
                    <w:rPr>
                      <w:rFonts w:ascii="Calibri" w:eastAsia="Calibri" w:hAnsi="Calibri" w:cs="Calibri"/>
                      <w:b/>
                      <w:sz w:val="16"/>
                      <w:szCs w:val="16"/>
                    </w:rPr>
                    <w:t xml:space="preserve">wejściowych, </w:t>
                  </w:r>
                </w:p>
                <w:p w14:paraId="3D613F74" w14:textId="77777777" w:rsidR="00600DEE" w:rsidRDefault="00641FB5">
                  <w:pPr>
                    <w:ind w:right="170"/>
                    <w:rPr>
                      <w:rFonts w:ascii="Calibri" w:eastAsia="Calibri" w:hAnsi="Calibri" w:cs="Calibri"/>
                      <w:b/>
                    </w:rPr>
                  </w:pPr>
                  <w:r>
                    <w:rPr>
                      <w:rFonts w:ascii="Calibri" w:eastAsia="Calibri" w:hAnsi="Calibri" w:cs="Calibri"/>
                      <w:b/>
                      <w:sz w:val="16"/>
                      <w:szCs w:val="16"/>
                    </w:rPr>
                    <w:t xml:space="preserve">Identyfikacja celów projektu oraz wybór wariantu/ów dla celów </w:t>
                  </w:r>
                  <w:r>
                    <w:rPr>
                      <w:rFonts w:ascii="Calibri" w:eastAsia="Calibri" w:hAnsi="Calibri" w:cs="Calibri"/>
                      <w:b/>
                    </w:rPr>
                    <w:br/>
                  </w:r>
                  <w:r>
                    <w:rPr>
                      <w:rFonts w:ascii="Calibri" w:eastAsia="Calibri" w:hAnsi="Calibri" w:cs="Calibri"/>
                      <w:b/>
                      <w:sz w:val="16"/>
                      <w:szCs w:val="16"/>
                    </w:rPr>
                    <w:t xml:space="preserve">analizy kosztów </w:t>
                  </w:r>
                  <w:r>
                    <w:rPr>
                      <w:rFonts w:ascii="Calibri" w:eastAsia="Calibri" w:hAnsi="Calibri" w:cs="Calibri"/>
                      <w:b/>
                      <w:sz w:val="16"/>
                      <w:szCs w:val="16"/>
                    </w:rPr>
                    <w:br/>
                    <w:t>i korzyści</w:t>
                  </w:r>
                </w:p>
              </w:tc>
              <w:tc>
                <w:tcPr>
                  <w:tcW w:w="422" w:type="dxa"/>
                </w:tcPr>
                <w:p w14:paraId="56CC0C06" w14:textId="77777777" w:rsidR="00600DEE" w:rsidRDefault="00641FB5">
                  <w:pPr>
                    <w:rPr>
                      <w:rFonts w:ascii="Calibri" w:eastAsia="Calibri" w:hAnsi="Calibri" w:cs="Calibri"/>
                    </w:rPr>
                  </w:pPr>
                  <w:r>
                    <w:rPr>
                      <w:noProof/>
                      <w:lang w:eastAsia="pl-PL"/>
                    </w:rPr>
                    <mc:AlternateContent>
                      <mc:Choice Requires="wps">
                        <w:drawing>
                          <wp:anchor distT="0" distB="0" distL="114300" distR="114300" simplePos="0" relativeHeight="251709440" behindDoc="0" locked="0" layoutInCell="1" hidden="0" allowOverlap="1" wp14:anchorId="2BAB12B6" wp14:editId="5CF9A323">
                            <wp:simplePos x="0" y="0"/>
                            <wp:positionH relativeFrom="column">
                              <wp:posOffset>-25399</wp:posOffset>
                            </wp:positionH>
                            <wp:positionV relativeFrom="paragraph">
                              <wp:posOffset>342900</wp:posOffset>
                            </wp:positionV>
                            <wp:extent cx="263000" cy="248600"/>
                            <wp:effectExtent l="0" t="0" r="0" b="0"/>
                            <wp:wrapNone/>
                            <wp:docPr id="473" name="Strzałka: w prawo 473"/>
                            <wp:cNvGraphicFramePr/>
                            <a:graphic xmlns:a="http://schemas.openxmlformats.org/drawingml/2006/main">
                              <a:graphicData uri="http://schemas.microsoft.com/office/word/2010/wordprocessingShape">
                                <wps:wsp>
                                  <wps:cNvSpPr/>
                                  <wps:spPr>
                                    <a:xfrm>
                                      <a:off x="5227200" y="3668400"/>
                                      <a:ext cx="237600" cy="223200"/>
                                    </a:xfrm>
                                    <a:prstGeom prst="rightArrow">
                                      <a:avLst>
                                        <a:gd name="adj1" fmla="val 50000"/>
                                        <a:gd name="adj2" fmla="val 50000"/>
                                      </a:avLst>
                                    </a:prstGeom>
                                    <a:solidFill>
                                      <a:srgbClr val="DAE5F1"/>
                                    </a:solidFill>
                                    <a:ln w="25400" cap="flat" cmpd="sng">
                                      <a:solidFill>
                                        <a:srgbClr val="93B3D7"/>
                                      </a:solidFill>
                                      <a:prstDash val="solid"/>
                                      <a:round/>
                                      <a:headEnd type="none" w="sm" len="sm"/>
                                      <a:tailEnd type="none" w="sm" len="sm"/>
                                    </a:ln>
                                  </wps:spPr>
                                  <wps:txbx>
                                    <w:txbxContent>
                                      <w:p w14:paraId="76F9021D"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AB12B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473" o:spid="_x0000_s1050" type="#_x0000_t13" style="position:absolute;margin-left:-2pt;margin-top:27pt;width:20.7pt;height:19.5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" adj="11455" fillcolor="#dae5f1" strokecolor="#93b3d7" strokeweight="2pt">
                            <v:stroke startarrowwidth="narrow" startarrowlength="short" endarrowwidth="narrow" endarrowlength="short" joinstyle="round"/>
                            <v:textbox inset="2.53958mm,2.53958mm,2.53958mm,2.53958mm">
                              <w:txbxContent>
                                <w:p w14:paraId="76F9021D" w14:textId="77777777" w:rsidR="007463B9" w:rsidRDefault="007463B9">
                                  <w:pPr>
                                    <w:textDirection w:val="btLr"/>
                                  </w:pPr>
                                </w:p>
                              </w:txbxContent>
                            </v:textbox>
                          </v:shape>
                        </w:pict>
                      </mc:Fallback>
                    </mc:AlternateContent>
                  </w:r>
                </w:p>
              </w:tc>
              <w:tc>
                <w:tcPr>
                  <w:tcW w:w="2385" w:type="dxa"/>
                  <w:vAlign w:val="center"/>
                </w:tcPr>
                <w:p w14:paraId="6CF61593" w14:textId="77777777" w:rsidR="00600DEE" w:rsidRDefault="00641FB5">
                  <w:pPr>
                    <w:rPr>
                      <w:rFonts w:ascii="Calibri" w:eastAsia="Calibri" w:hAnsi="Calibri" w:cs="Calibri"/>
                      <w:sz w:val="13"/>
                      <w:szCs w:val="13"/>
                    </w:rPr>
                  </w:pPr>
                  <w:r>
                    <w:rPr>
                      <w:rFonts w:ascii="Calibri" w:eastAsia="Calibri" w:hAnsi="Calibri" w:cs="Calibri"/>
                      <w:sz w:val="13"/>
                      <w:szCs w:val="13"/>
                    </w:rPr>
                    <w:t>- Kontekst strategiczny</w:t>
                  </w:r>
                </w:p>
                <w:p w14:paraId="37A6889C" w14:textId="77777777" w:rsidR="00600DEE" w:rsidRDefault="00641FB5">
                  <w:pPr>
                    <w:rPr>
                      <w:rFonts w:ascii="Calibri" w:eastAsia="Calibri" w:hAnsi="Calibri" w:cs="Calibri"/>
                      <w:sz w:val="13"/>
                      <w:szCs w:val="13"/>
                    </w:rPr>
                  </w:pPr>
                  <w:r>
                    <w:rPr>
                      <w:rFonts w:ascii="Calibri" w:eastAsia="Calibri" w:hAnsi="Calibri" w:cs="Calibri"/>
                      <w:sz w:val="13"/>
                      <w:szCs w:val="13"/>
                    </w:rPr>
                    <w:t>- Podsumowanie wcześniejszych prac studialnych</w:t>
                  </w:r>
                </w:p>
                <w:p w14:paraId="0AD3AB35" w14:textId="77777777" w:rsidR="00600DEE" w:rsidRDefault="00641FB5">
                  <w:pPr>
                    <w:rPr>
                      <w:rFonts w:ascii="Calibri" w:eastAsia="Calibri" w:hAnsi="Calibri" w:cs="Calibri"/>
                      <w:sz w:val="13"/>
                      <w:szCs w:val="13"/>
                    </w:rPr>
                  </w:pPr>
                  <w:r>
                    <w:rPr>
                      <w:rFonts w:ascii="Calibri" w:eastAsia="Calibri" w:hAnsi="Calibri" w:cs="Calibri"/>
                      <w:sz w:val="13"/>
                      <w:szCs w:val="13"/>
                    </w:rPr>
                    <w:t>- Stan istniejący</w:t>
                  </w:r>
                </w:p>
                <w:p w14:paraId="755BBE42" w14:textId="77777777" w:rsidR="00600DEE" w:rsidRDefault="00641FB5">
                  <w:pPr>
                    <w:rPr>
                      <w:rFonts w:ascii="Calibri" w:eastAsia="Calibri" w:hAnsi="Calibri" w:cs="Calibri"/>
                      <w:sz w:val="13"/>
                      <w:szCs w:val="13"/>
                    </w:rPr>
                  </w:pPr>
                  <w:r>
                    <w:rPr>
                      <w:rFonts w:ascii="Calibri" w:eastAsia="Calibri" w:hAnsi="Calibri" w:cs="Calibri"/>
                      <w:sz w:val="13"/>
                      <w:szCs w:val="13"/>
                    </w:rPr>
                    <w:t>- Cele projektu zgodne ze strategią</w:t>
                  </w:r>
                </w:p>
                <w:p w14:paraId="5B9ED80B" w14:textId="77777777" w:rsidR="00600DEE" w:rsidRDefault="00641FB5">
                  <w:pPr>
                    <w:rPr>
                      <w:rFonts w:ascii="Calibri" w:eastAsia="Calibri" w:hAnsi="Calibri" w:cs="Calibri"/>
                      <w:sz w:val="13"/>
                      <w:szCs w:val="13"/>
                    </w:rPr>
                  </w:pPr>
                  <w:r>
                    <w:rPr>
                      <w:rFonts w:ascii="Calibri" w:eastAsia="Calibri" w:hAnsi="Calibri" w:cs="Calibri"/>
                      <w:sz w:val="13"/>
                      <w:szCs w:val="13"/>
                    </w:rPr>
                    <w:t>– Identyfikacja/ Wybór wariantów projektu/Analiza wariantów strategicznych/technicznych (jeżeli dotyczy)</w:t>
                  </w:r>
                </w:p>
                <w:p w14:paraId="77D317C0"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Określenie wariantu bezinwestycyjnego</w:t>
                  </w:r>
                </w:p>
                <w:p w14:paraId="78432751" w14:textId="77777777" w:rsidR="00600DEE" w:rsidRDefault="00641FB5">
                  <w:pPr>
                    <w:rPr>
                      <w:rFonts w:ascii="Calibri" w:eastAsia="Calibri" w:hAnsi="Calibri" w:cs="Calibri"/>
                      <w:sz w:val="13"/>
                      <w:szCs w:val="13"/>
                    </w:rPr>
                  </w:pPr>
                  <w:r>
                    <w:rPr>
                      <w:rFonts w:ascii="Calibri" w:eastAsia="Calibri" w:hAnsi="Calibri" w:cs="Calibri"/>
                      <w:sz w:val="13"/>
                      <w:szCs w:val="13"/>
                    </w:rPr>
                    <w:t>- Określenie okresu referencyjnego</w:t>
                  </w:r>
                </w:p>
                <w:p w14:paraId="43485752" w14:textId="77777777" w:rsidR="00600DEE" w:rsidRDefault="00641FB5">
                  <w:pPr>
                    <w:rPr>
                      <w:rFonts w:ascii="Calibri" w:eastAsia="Calibri" w:hAnsi="Calibri" w:cs="Calibri"/>
                      <w:sz w:val="13"/>
                      <w:szCs w:val="13"/>
                    </w:rPr>
                  </w:pPr>
                  <w:r>
                    <w:rPr>
                      <w:rFonts w:ascii="Calibri" w:eastAsia="Calibri" w:hAnsi="Calibri" w:cs="Calibri"/>
                      <w:sz w:val="13"/>
                      <w:szCs w:val="13"/>
                    </w:rPr>
                    <w:t>- Przygotowanie wskaźników makroekonomicznych</w:t>
                  </w:r>
                </w:p>
                <w:p w14:paraId="494AB93C" w14:textId="77777777" w:rsidR="00600DEE" w:rsidRDefault="00641FB5">
                  <w:pPr>
                    <w:rPr>
                      <w:rFonts w:ascii="Calibri" w:eastAsia="Calibri" w:hAnsi="Calibri" w:cs="Calibri"/>
                      <w:sz w:val="13"/>
                      <w:szCs w:val="13"/>
                    </w:rPr>
                  </w:pPr>
                  <w:r>
                    <w:rPr>
                      <w:rFonts w:ascii="Calibri" w:eastAsia="Calibri" w:hAnsi="Calibri" w:cs="Calibri"/>
                      <w:sz w:val="13"/>
                      <w:szCs w:val="13"/>
                    </w:rPr>
                    <w:t>- Prognoza ruchu</w:t>
                  </w:r>
                </w:p>
                <w:p w14:paraId="52B10179" w14:textId="77777777" w:rsidR="00600DEE" w:rsidRDefault="00641FB5">
                  <w:pPr>
                    <w:rPr>
                      <w:rFonts w:ascii="Calibri" w:eastAsia="Calibri" w:hAnsi="Calibri" w:cs="Calibri"/>
                      <w:sz w:val="13"/>
                      <w:szCs w:val="13"/>
                    </w:rPr>
                  </w:pPr>
                  <w:r>
                    <w:rPr>
                      <w:rFonts w:ascii="Calibri" w:eastAsia="Calibri" w:hAnsi="Calibri" w:cs="Calibri"/>
                      <w:sz w:val="13"/>
                      <w:szCs w:val="13"/>
                    </w:rPr>
                    <w:t>- Projekcja przychodów</w:t>
                  </w:r>
                </w:p>
                <w:p w14:paraId="6B924E27" w14:textId="77777777" w:rsidR="00600DEE" w:rsidRDefault="00641FB5">
                  <w:pPr>
                    <w:rPr>
                      <w:rFonts w:ascii="Calibri" w:eastAsia="Calibri" w:hAnsi="Calibri" w:cs="Calibri"/>
                      <w:sz w:val="13"/>
                      <w:szCs w:val="13"/>
                    </w:rPr>
                  </w:pPr>
                  <w:r>
                    <w:rPr>
                      <w:rFonts w:ascii="Calibri" w:eastAsia="Calibri" w:hAnsi="Calibri" w:cs="Calibri"/>
                      <w:sz w:val="13"/>
                      <w:szCs w:val="13"/>
                    </w:rPr>
                    <w:t xml:space="preserve">- Założenia kosztowe </w:t>
                  </w:r>
                </w:p>
                <w:p w14:paraId="66CD2E25" w14:textId="77777777" w:rsidR="00600DEE" w:rsidRDefault="00641FB5">
                  <w:pPr>
                    <w:ind w:right="170"/>
                    <w:rPr>
                      <w:rFonts w:ascii="Calibri" w:eastAsia="Calibri" w:hAnsi="Calibri" w:cs="Calibri"/>
                    </w:rPr>
                  </w:pPr>
                  <w:r>
                    <w:rPr>
                      <w:rFonts w:ascii="Calibri" w:eastAsia="Calibri" w:hAnsi="Calibri" w:cs="Calibri"/>
                      <w:sz w:val="13"/>
                      <w:szCs w:val="13"/>
                    </w:rPr>
                    <w:t>- Wartość rezydualna</w:t>
                  </w:r>
                </w:p>
              </w:tc>
              <w:tc>
                <w:tcPr>
                  <w:tcW w:w="562" w:type="dxa"/>
                </w:tcPr>
                <w:p w14:paraId="68702492" w14:textId="77777777" w:rsidR="00600DEE" w:rsidRDefault="00641FB5">
                  <w:pPr>
                    <w:rPr>
                      <w:rFonts w:ascii="Calibri" w:eastAsia="Calibri" w:hAnsi="Calibri" w:cs="Calibri"/>
                    </w:rPr>
                  </w:pPr>
                  <w:r>
                    <w:rPr>
                      <w:noProof/>
                      <w:lang w:eastAsia="pl-PL"/>
                    </w:rPr>
                    <mc:AlternateContent>
                      <mc:Choice Requires="wps">
                        <w:drawing>
                          <wp:anchor distT="0" distB="0" distL="114300" distR="114300" simplePos="0" relativeHeight="251710464" behindDoc="0" locked="0" layoutInCell="1" hidden="0" allowOverlap="1" wp14:anchorId="6FF45971" wp14:editId="0C183B31">
                            <wp:simplePos x="0" y="0"/>
                            <wp:positionH relativeFrom="column">
                              <wp:posOffset>-101599</wp:posOffset>
                            </wp:positionH>
                            <wp:positionV relativeFrom="paragraph">
                              <wp:posOffset>342900</wp:posOffset>
                            </wp:positionV>
                            <wp:extent cx="262586" cy="248036"/>
                            <wp:effectExtent l="0" t="0" r="0" b="0"/>
                            <wp:wrapNone/>
                            <wp:docPr id="465" name="Strzałka: w prawo 465"/>
                            <wp:cNvGraphicFramePr/>
                            <a:graphic xmlns:a="http://schemas.openxmlformats.org/drawingml/2006/main">
                              <a:graphicData uri="http://schemas.microsoft.com/office/word/2010/wordprocessingShape">
                                <wps:wsp>
                                  <wps:cNvSpPr/>
                                  <wps:spPr>
                                    <a:xfrm>
                                      <a:off x="5227407" y="3668682"/>
                                      <a:ext cx="237186" cy="222636"/>
                                    </a:xfrm>
                                    <a:prstGeom prst="rightArrow">
                                      <a:avLst>
                                        <a:gd name="adj1" fmla="val 50000"/>
                                        <a:gd name="adj2" fmla="val 50000"/>
                                      </a:avLst>
                                    </a:prstGeom>
                                    <a:solidFill>
                                      <a:srgbClr val="DAE5F1"/>
                                    </a:solidFill>
                                    <a:ln w="25400" cap="flat" cmpd="sng">
                                      <a:solidFill>
                                        <a:srgbClr val="93B3D7"/>
                                      </a:solidFill>
                                      <a:prstDash val="solid"/>
                                      <a:round/>
                                      <a:headEnd type="none" w="sm" len="sm"/>
                                      <a:tailEnd type="none" w="sm" len="sm"/>
                                    </a:ln>
                                  </wps:spPr>
                                  <wps:txbx>
                                    <w:txbxContent>
                                      <w:p w14:paraId="421267F1"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F45971" id="Strzałka: w prawo 465" o:spid="_x0000_s1051" type="#_x0000_t13" style="position:absolute;margin-left:-8pt;margin-top:27pt;width:20.7pt;height:19.5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" adj="11463" fillcolor="#dae5f1" strokecolor="#93b3d7" strokeweight="2pt">
                            <v:stroke startarrowwidth="narrow" startarrowlength="short" endarrowwidth="narrow" endarrowlength="short" joinstyle="round"/>
                            <v:textbox inset="2.53958mm,2.53958mm,2.53958mm,2.53958mm">
                              <w:txbxContent>
                                <w:p w14:paraId="421267F1" w14:textId="77777777" w:rsidR="007463B9" w:rsidRDefault="007463B9">
                                  <w:pPr>
                                    <w:textDirection w:val="btLr"/>
                                  </w:pPr>
                                </w:p>
                              </w:txbxContent>
                            </v:textbox>
                          </v:shape>
                        </w:pict>
                      </mc:Fallback>
                    </mc:AlternateContent>
                  </w:r>
                </w:p>
              </w:tc>
              <w:tc>
                <w:tcPr>
                  <w:tcW w:w="2004" w:type="dxa"/>
                  <w:shd w:val="clear" w:color="auto" w:fill="A6A6A6"/>
                  <w:vAlign w:val="center"/>
                </w:tcPr>
                <w:p w14:paraId="3137DACB" w14:textId="77777777" w:rsidR="00600DEE" w:rsidRDefault="00641FB5">
                  <w:pPr>
                    <w:ind w:right="170"/>
                    <w:rPr>
                      <w:rFonts w:ascii="Calibri" w:eastAsia="Calibri" w:hAnsi="Calibri" w:cs="Calibri"/>
                      <w:sz w:val="16"/>
                      <w:szCs w:val="16"/>
                    </w:rPr>
                  </w:pPr>
                  <w:r>
                    <w:rPr>
                      <w:rFonts w:ascii="Calibri" w:eastAsia="Calibri" w:hAnsi="Calibri" w:cs="Calibri"/>
                      <w:sz w:val="16"/>
                      <w:szCs w:val="16"/>
                    </w:rPr>
                    <w:t>- Warianty inwestycyjne/ Wybór najkorzystniejszego wariantu</w:t>
                  </w:r>
                </w:p>
                <w:p w14:paraId="46D16AD9" w14:textId="77777777" w:rsidR="00600DEE" w:rsidRDefault="00641FB5">
                  <w:pPr>
                    <w:ind w:right="170"/>
                    <w:rPr>
                      <w:rFonts w:ascii="Calibri" w:eastAsia="Calibri" w:hAnsi="Calibri" w:cs="Calibri"/>
                    </w:rPr>
                  </w:pPr>
                  <w:r>
                    <w:rPr>
                      <w:rFonts w:ascii="Calibri" w:eastAsia="Calibri" w:hAnsi="Calibri" w:cs="Calibri"/>
                      <w:sz w:val="16"/>
                      <w:szCs w:val="16"/>
                    </w:rPr>
                    <w:t xml:space="preserve"> - Wszystkie dane wejściowe do analizy społeczno-ekonomicznej i finansowej</w:t>
                  </w:r>
                </w:p>
              </w:tc>
              <w:tc>
                <w:tcPr>
                  <w:tcW w:w="251" w:type="dxa"/>
                </w:tcPr>
                <w:p w14:paraId="6AFCDD26" w14:textId="77777777" w:rsidR="00600DEE" w:rsidRDefault="00600DEE">
                  <w:pPr>
                    <w:rPr>
                      <w:rFonts w:ascii="Calibri" w:eastAsia="Calibri" w:hAnsi="Calibri" w:cs="Calibri"/>
                    </w:rPr>
                  </w:pPr>
                </w:p>
              </w:tc>
            </w:tr>
            <w:tr w:rsidR="00600DEE" w14:paraId="1105D7B9" w14:textId="77777777" w:rsidTr="00E12F72">
              <w:trPr>
                <w:trHeight w:val="65"/>
              </w:trPr>
              <w:tc>
                <w:tcPr>
                  <w:tcW w:w="250" w:type="dxa"/>
                  <w:tcBorders>
                    <w:bottom w:val="single" w:sz="8" w:space="0" w:color="000000"/>
                  </w:tcBorders>
                </w:tcPr>
                <w:p w14:paraId="45A67F22" w14:textId="77777777" w:rsidR="00600DEE" w:rsidRDefault="00600DEE">
                  <w:pPr>
                    <w:rPr>
                      <w:rFonts w:ascii="Calibri" w:eastAsia="Calibri" w:hAnsi="Calibri" w:cs="Calibri"/>
                      <w:b/>
                    </w:rPr>
                  </w:pPr>
                </w:p>
              </w:tc>
              <w:tc>
                <w:tcPr>
                  <w:tcW w:w="1450" w:type="dxa"/>
                  <w:tcBorders>
                    <w:bottom w:val="single" w:sz="8" w:space="0" w:color="000000"/>
                  </w:tcBorders>
                </w:tcPr>
                <w:p w14:paraId="1F68254E" w14:textId="77777777" w:rsidR="00600DEE" w:rsidRDefault="00600DEE">
                  <w:pPr>
                    <w:rPr>
                      <w:rFonts w:ascii="Calibri" w:eastAsia="Calibri" w:hAnsi="Calibri" w:cs="Calibri"/>
                      <w:b/>
                    </w:rPr>
                  </w:pPr>
                </w:p>
              </w:tc>
              <w:tc>
                <w:tcPr>
                  <w:tcW w:w="422" w:type="dxa"/>
                  <w:tcBorders>
                    <w:bottom w:val="single" w:sz="8" w:space="0" w:color="000000"/>
                  </w:tcBorders>
                </w:tcPr>
                <w:p w14:paraId="796BE5AB" w14:textId="77777777" w:rsidR="00600DEE" w:rsidRDefault="00600DEE">
                  <w:pPr>
                    <w:rPr>
                      <w:rFonts w:ascii="Calibri" w:eastAsia="Calibri" w:hAnsi="Calibri" w:cs="Calibri"/>
                    </w:rPr>
                  </w:pPr>
                </w:p>
              </w:tc>
              <w:tc>
                <w:tcPr>
                  <w:tcW w:w="2385" w:type="dxa"/>
                  <w:tcBorders>
                    <w:bottom w:val="single" w:sz="8" w:space="0" w:color="000000"/>
                  </w:tcBorders>
                </w:tcPr>
                <w:p w14:paraId="3B56C423" w14:textId="77777777" w:rsidR="00600DEE" w:rsidRDefault="00600DEE">
                  <w:pPr>
                    <w:rPr>
                      <w:rFonts w:ascii="Calibri" w:eastAsia="Calibri" w:hAnsi="Calibri" w:cs="Calibri"/>
                    </w:rPr>
                  </w:pPr>
                </w:p>
              </w:tc>
              <w:tc>
                <w:tcPr>
                  <w:tcW w:w="562" w:type="dxa"/>
                  <w:tcBorders>
                    <w:bottom w:val="single" w:sz="8" w:space="0" w:color="000000"/>
                  </w:tcBorders>
                </w:tcPr>
                <w:p w14:paraId="0AAF45AA" w14:textId="77777777" w:rsidR="00600DEE" w:rsidRDefault="00600DEE">
                  <w:pPr>
                    <w:rPr>
                      <w:rFonts w:ascii="Calibri" w:eastAsia="Calibri" w:hAnsi="Calibri" w:cs="Calibri"/>
                    </w:rPr>
                  </w:pPr>
                </w:p>
              </w:tc>
              <w:tc>
                <w:tcPr>
                  <w:tcW w:w="2004" w:type="dxa"/>
                  <w:tcBorders>
                    <w:bottom w:val="single" w:sz="8" w:space="0" w:color="000000"/>
                  </w:tcBorders>
                </w:tcPr>
                <w:p w14:paraId="01104129" w14:textId="77777777" w:rsidR="00600DEE" w:rsidRDefault="00600DEE">
                  <w:pPr>
                    <w:rPr>
                      <w:rFonts w:ascii="Calibri" w:eastAsia="Calibri" w:hAnsi="Calibri" w:cs="Calibri"/>
                    </w:rPr>
                  </w:pPr>
                </w:p>
              </w:tc>
              <w:tc>
                <w:tcPr>
                  <w:tcW w:w="251" w:type="dxa"/>
                  <w:tcBorders>
                    <w:bottom w:val="single" w:sz="8" w:space="0" w:color="000000"/>
                  </w:tcBorders>
                </w:tcPr>
                <w:p w14:paraId="67A0706C" w14:textId="77777777" w:rsidR="00600DEE" w:rsidRDefault="00600DEE">
                  <w:pPr>
                    <w:rPr>
                      <w:rFonts w:ascii="Calibri" w:eastAsia="Calibri" w:hAnsi="Calibri" w:cs="Calibri"/>
                    </w:rPr>
                  </w:pPr>
                </w:p>
              </w:tc>
            </w:tr>
            <w:tr w:rsidR="00600DEE" w14:paraId="6430ADEB" w14:textId="77777777" w:rsidTr="00023AC0">
              <w:trPr>
                <w:trHeight w:val="340"/>
              </w:trPr>
              <w:tc>
                <w:tcPr>
                  <w:tcW w:w="250" w:type="dxa"/>
                  <w:tcBorders>
                    <w:top w:val="single" w:sz="8" w:space="0" w:color="000000"/>
                    <w:left w:val="single" w:sz="8" w:space="0" w:color="000000"/>
                    <w:bottom w:val="single" w:sz="8" w:space="0" w:color="000000"/>
                  </w:tcBorders>
                  <w:shd w:val="clear" w:color="auto" w:fill="B8CCE4"/>
                  <w:vAlign w:val="center"/>
                </w:tcPr>
                <w:p w14:paraId="28319625" w14:textId="77777777" w:rsidR="00600DEE" w:rsidRDefault="00600DEE">
                  <w:pPr>
                    <w:jc w:val="center"/>
                    <w:rPr>
                      <w:rFonts w:ascii="Calibri" w:eastAsia="Calibri" w:hAnsi="Calibri" w:cs="Calibri"/>
                      <w:b/>
                    </w:rPr>
                  </w:pPr>
                </w:p>
              </w:tc>
              <w:tc>
                <w:tcPr>
                  <w:tcW w:w="1450" w:type="dxa"/>
                  <w:tcBorders>
                    <w:top w:val="single" w:sz="8" w:space="0" w:color="000000"/>
                    <w:bottom w:val="single" w:sz="8" w:space="0" w:color="000000"/>
                  </w:tcBorders>
                  <w:shd w:val="clear" w:color="auto" w:fill="B8CCE4"/>
                  <w:vAlign w:val="center"/>
                </w:tcPr>
                <w:p w14:paraId="1159DD4A" w14:textId="77777777" w:rsidR="00600DEE" w:rsidRDefault="00600DEE">
                  <w:pPr>
                    <w:jc w:val="center"/>
                    <w:rPr>
                      <w:rFonts w:ascii="Calibri" w:eastAsia="Calibri" w:hAnsi="Calibri" w:cs="Calibri"/>
                      <w:b/>
                    </w:rPr>
                  </w:pPr>
                </w:p>
              </w:tc>
              <w:tc>
                <w:tcPr>
                  <w:tcW w:w="422" w:type="dxa"/>
                  <w:tcBorders>
                    <w:top w:val="single" w:sz="8" w:space="0" w:color="000000"/>
                    <w:bottom w:val="single" w:sz="8" w:space="0" w:color="000000"/>
                  </w:tcBorders>
                  <w:shd w:val="clear" w:color="auto" w:fill="B8CCE4"/>
                  <w:vAlign w:val="center"/>
                </w:tcPr>
                <w:p w14:paraId="3F8B1D2D" w14:textId="77777777" w:rsidR="00600DEE" w:rsidRDefault="00600DEE">
                  <w:pPr>
                    <w:jc w:val="center"/>
                    <w:rPr>
                      <w:rFonts w:ascii="Calibri" w:eastAsia="Calibri" w:hAnsi="Calibri" w:cs="Calibri"/>
                    </w:rPr>
                  </w:pPr>
                </w:p>
              </w:tc>
              <w:tc>
                <w:tcPr>
                  <w:tcW w:w="2385" w:type="dxa"/>
                  <w:tcBorders>
                    <w:top w:val="single" w:sz="8" w:space="0" w:color="000000"/>
                    <w:bottom w:val="single" w:sz="8" w:space="0" w:color="000000"/>
                  </w:tcBorders>
                  <w:shd w:val="clear" w:color="auto" w:fill="B8CCE4"/>
                  <w:vAlign w:val="center"/>
                </w:tcPr>
                <w:p w14:paraId="56EB1127" w14:textId="77777777" w:rsidR="00600DEE" w:rsidRDefault="00641FB5">
                  <w:pPr>
                    <w:jc w:val="center"/>
                    <w:rPr>
                      <w:rFonts w:ascii="Calibri" w:eastAsia="Calibri" w:hAnsi="Calibri" w:cs="Calibri"/>
                      <w:b/>
                      <w:sz w:val="22"/>
                      <w:szCs w:val="22"/>
                    </w:rPr>
                  </w:pPr>
                  <w:r>
                    <w:rPr>
                      <w:rFonts w:ascii="Calibri" w:eastAsia="Calibri" w:hAnsi="Calibri" w:cs="Calibri"/>
                      <w:b/>
                      <w:sz w:val="22"/>
                      <w:szCs w:val="22"/>
                    </w:rPr>
                    <w:t>Faza II</w:t>
                  </w:r>
                </w:p>
              </w:tc>
              <w:tc>
                <w:tcPr>
                  <w:tcW w:w="562" w:type="dxa"/>
                  <w:tcBorders>
                    <w:top w:val="single" w:sz="8" w:space="0" w:color="000000"/>
                    <w:bottom w:val="single" w:sz="8" w:space="0" w:color="000000"/>
                  </w:tcBorders>
                  <w:shd w:val="clear" w:color="auto" w:fill="B8CCE4"/>
                  <w:vAlign w:val="center"/>
                </w:tcPr>
                <w:p w14:paraId="12FDDBCA" w14:textId="77777777" w:rsidR="00600DEE" w:rsidRDefault="00600DEE">
                  <w:pPr>
                    <w:jc w:val="center"/>
                    <w:rPr>
                      <w:rFonts w:ascii="Calibri" w:eastAsia="Calibri" w:hAnsi="Calibri" w:cs="Calibri"/>
                    </w:rPr>
                  </w:pPr>
                </w:p>
              </w:tc>
              <w:tc>
                <w:tcPr>
                  <w:tcW w:w="2004" w:type="dxa"/>
                  <w:tcBorders>
                    <w:top w:val="single" w:sz="8" w:space="0" w:color="000000"/>
                    <w:bottom w:val="single" w:sz="8" w:space="0" w:color="000000"/>
                  </w:tcBorders>
                  <w:shd w:val="clear" w:color="auto" w:fill="B8CCE4"/>
                  <w:vAlign w:val="center"/>
                </w:tcPr>
                <w:p w14:paraId="2FE586F6" w14:textId="77777777" w:rsidR="00600DEE" w:rsidRDefault="00600DEE">
                  <w:pPr>
                    <w:jc w:val="center"/>
                    <w:rPr>
                      <w:rFonts w:ascii="Calibri" w:eastAsia="Calibri" w:hAnsi="Calibri" w:cs="Calibri"/>
                    </w:rPr>
                  </w:pPr>
                </w:p>
              </w:tc>
              <w:tc>
                <w:tcPr>
                  <w:tcW w:w="251" w:type="dxa"/>
                  <w:tcBorders>
                    <w:top w:val="single" w:sz="8" w:space="0" w:color="000000"/>
                    <w:bottom w:val="single" w:sz="8" w:space="0" w:color="000000"/>
                    <w:right w:val="single" w:sz="8" w:space="0" w:color="000000"/>
                  </w:tcBorders>
                  <w:shd w:val="clear" w:color="auto" w:fill="B8CCE4"/>
                  <w:vAlign w:val="center"/>
                </w:tcPr>
                <w:p w14:paraId="13775626" w14:textId="77777777" w:rsidR="00600DEE" w:rsidRDefault="00600DEE">
                  <w:pPr>
                    <w:jc w:val="center"/>
                    <w:rPr>
                      <w:rFonts w:ascii="Calibri" w:eastAsia="Calibri" w:hAnsi="Calibri" w:cs="Calibri"/>
                    </w:rPr>
                  </w:pPr>
                </w:p>
              </w:tc>
            </w:tr>
            <w:tr w:rsidR="00600DEE" w14:paraId="79F5AC25" w14:textId="77777777" w:rsidTr="00E12F72">
              <w:trPr>
                <w:trHeight w:val="60"/>
              </w:trPr>
              <w:tc>
                <w:tcPr>
                  <w:tcW w:w="250" w:type="dxa"/>
                  <w:tcBorders>
                    <w:top w:val="single" w:sz="8" w:space="0" w:color="000000"/>
                  </w:tcBorders>
                </w:tcPr>
                <w:p w14:paraId="3A8D0077" w14:textId="77777777" w:rsidR="00600DEE" w:rsidRDefault="00600DEE">
                  <w:pPr>
                    <w:rPr>
                      <w:rFonts w:ascii="Calibri" w:eastAsia="Calibri" w:hAnsi="Calibri" w:cs="Calibri"/>
                      <w:b/>
                    </w:rPr>
                  </w:pPr>
                </w:p>
              </w:tc>
              <w:tc>
                <w:tcPr>
                  <w:tcW w:w="1450" w:type="dxa"/>
                  <w:tcBorders>
                    <w:top w:val="single" w:sz="8" w:space="0" w:color="000000"/>
                  </w:tcBorders>
                </w:tcPr>
                <w:p w14:paraId="4E57A4E1" w14:textId="77777777" w:rsidR="00600DEE" w:rsidRDefault="00600DEE">
                  <w:pPr>
                    <w:rPr>
                      <w:rFonts w:ascii="Calibri" w:eastAsia="Calibri" w:hAnsi="Calibri" w:cs="Calibri"/>
                      <w:b/>
                    </w:rPr>
                  </w:pPr>
                </w:p>
              </w:tc>
              <w:tc>
                <w:tcPr>
                  <w:tcW w:w="422" w:type="dxa"/>
                  <w:tcBorders>
                    <w:top w:val="single" w:sz="8" w:space="0" w:color="000000"/>
                  </w:tcBorders>
                </w:tcPr>
                <w:p w14:paraId="135D28CD" w14:textId="77777777" w:rsidR="00600DEE" w:rsidRDefault="00600DEE">
                  <w:pPr>
                    <w:rPr>
                      <w:rFonts w:ascii="Calibri" w:eastAsia="Calibri" w:hAnsi="Calibri" w:cs="Calibri"/>
                    </w:rPr>
                  </w:pPr>
                </w:p>
              </w:tc>
              <w:tc>
                <w:tcPr>
                  <w:tcW w:w="2385" w:type="dxa"/>
                  <w:tcBorders>
                    <w:top w:val="single" w:sz="8" w:space="0" w:color="000000"/>
                  </w:tcBorders>
                </w:tcPr>
                <w:p w14:paraId="77F30AE0" w14:textId="77777777" w:rsidR="00600DEE" w:rsidRDefault="00600DEE">
                  <w:pPr>
                    <w:rPr>
                      <w:rFonts w:ascii="Calibri" w:eastAsia="Calibri" w:hAnsi="Calibri" w:cs="Calibri"/>
                    </w:rPr>
                  </w:pPr>
                </w:p>
              </w:tc>
              <w:tc>
                <w:tcPr>
                  <w:tcW w:w="562" w:type="dxa"/>
                  <w:tcBorders>
                    <w:top w:val="single" w:sz="8" w:space="0" w:color="000000"/>
                  </w:tcBorders>
                </w:tcPr>
                <w:p w14:paraId="41F51B60" w14:textId="77777777" w:rsidR="00600DEE" w:rsidRDefault="00600DEE">
                  <w:pPr>
                    <w:rPr>
                      <w:rFonts w:ascii="Calibri" w:eastAsia="Calibri" w:hAnsi="Calibri" w:cs="Calibri"/>
                    </w:rPr>
                  </w:pPr>
                </w:p>
              </w:tc>
              <w:tc>
                <w:tcPr>
                  <w:tcW w:w="2004" w:type="dxa"/>
                  <w:tcBorders>
                    <w:top w:val="single" w:sz="8" w:space="0" w:color="000000"/>
                  </w:tcBorders>
                </w:tcPr>
                <w:p w14:paraId="73281035" w14:textId="77777777" w:rsidR="00600DEE" w:rsidRDefault="00600DEE">
                  <w:pPr>
                    <w:rPr>
                      <w:rFonts w:ascii="Calibri" w:eastAsia="Calibri" w:hAnsi="Calibri" w:cs="Calibri"/>
                    </w:rPr>
                  </w:pPr>
                </w:p>
              </w:tc>
              <w:tc>
                <w:tcPr>
                  <w:tcW w:w="251" w:type="dxa"/>
                  <w:tcBorders>
                    <w:top w:val="single" w:sz="8" w:space="0" w:color="000000"/>
                  </w:tcBorders>
                </w:tcPr>
                <w:p w14:paraId="6302B564" w14:textId="77777777" w:rsidR="00600DEE" w:rsidRDefault="00600DEE">
                  <w:pPr>
                    <w:rPr>
                      <w:rFonts w:ascii="Calibri" w:eastAsia="Calibri" w:hAnsi="Calibri" w:cs="Calibri"/>
                    </w:rPr>
                  </w:pPr>
                </w:p>
              </w:tc>
            </w:tr>
            <w:tr w:rsidR="00600DEE" w14:paraId="267B6CB3" w14:textId="77777777" w:rsidTr="00E12F72">
              <w:trPr>
                <w:trHeight w:val="1411"/>
              </w:trPr>
              <w:tc>
                <w:tcPr>
                  <w:tcW w:w="250" w:type="dxa"/>
                </w:tcPr>
                <w:p w14:paraId="60D9FA14" w14:textId="77777777" w:rsidR="00600DEE" w:rsidRDefault="00600DEE">
                  <w:pPr>
                    <w:rPr>
                      <w:rFonts w:ascii="Calibri" w:eastAsia="Calibri" w:hAnsi="Calibri" w:cs="Calibri"/>
                      <w:b/>
                    </w:rPr>
                  </w:pPr>
                </w:p>
              </w:tc>
              <w:tc>
                <w:tcPr>
                  <w:tcW w:w="1450" w:type="dxa"/>
                  <w:shd w:val="clear" w:color="auto" w:fill="F2F2F2"/>
                  <w:vAlign w:val="center"/>
                </w:tcPr>
                <w:p w14:paraId="255BCE2C" w14:textId="77777777" w:rsidR="00600DEE" w:rsidRDefault="00641FB5">
                  <w:pPr>
                    <w:ind w:right="170"/>
                    <w:rPr>
                      <w:rFonts w:ascii="Calibri" w:eastAsia="Calibri" w:hAnsi="Calibri" w:cs="Calibri"/>
                      <w:b/>
                      <w:sz w:val="16"/>
                      <w:szCs w:val="16"/>
                    </w:rPr>
                  </w:pPr>
                  <w:r>
                    <w:rPr>
                      <w:rFonts w:ascii="Calibri" w:eastAsia="Calibri" w:hAnsi="Calibri" w:cs="Calibri"/>
                      <w:b/>
                      <w:sz w:val="16"/>
                      <w:szCs w:val="16"/>
                    </w:rPr>
                    <w:t>Analiza</w:t>
                  </w:r>
                </w:p>
                <w:p w14:paraId="4E013FF5" w14:textId="77777777" w:rsidR="00600DEE" w:rsidRDefault="00641FB5">
                  <w:pPr>
                    <w:ind w:right="170"/>
                    <w:rPr>
                      <w:rFonts w:ascii="Calibri" w:eastAsia="Calibri" w:hAnsi="Calibri" w:cs="Calibri"/>
                      <w:b/>
                    </w:rPr>
                  </w:pPr>
                  <w:r>
                    <w:rPr>
                      <w:rFonts w:ascii="Calibri" w:eastAsia="Calibri" w:hAnsi="Calibri" w:cs="Calibri"/>
                      <w:b/>
                      <w:sz w:val="16"/>
                      <w:szCs w:val="16"/>
                    </w:rPr>
                    <w:t>ekonomiczna</w:t>
                  </w:r>
                </w:p>
              </w:tc>
              <w:tc>
                <w:tcPr>
                  <w:tcW w:w="422" w:type="dxa"/>
                </w:tcPr>
                <w:p w14:paraId="20FF68E8" w14:textId="77777777" w:rsidR="00600DEE" w:rsidRDefault="00641FB5">
                  <w:pPr>
                    <w:rPr>
                      <w:rFonts w:ascii="Calibri" w:eastAsia="Calibri" w:hAnsi="Calibri" w:cs="Calibri"/>
                    </w:rPr>
                  </w:pPr>
                  <w:r>
                    <w:rPr>
                      <w:noProof/>
                      <w:lang w:eastAsia="pl-PL"/>
                    </w:rPr>
                    <mc:AlternateContent>
                      <mc:Choice Requires="wps">
                        <w:drawing>
                          <wp:anchor distT="0" distB="0" distL="114300" distR="114300" simplePos="0" relativeHeight="251711488" behindDoc="0" locked="0" layoutInCell="1" hidden="0" allowOverlap="1" wp14:anchorId="18A37316" wp14:editId="5182D3E1">
                            <wp:simplePos x="0" y="0"/>
                            <wp:positionH relativeFrom="column">
                              <wp:posOffset>1</wp:posOffset>
                            </wp:positionH>
                            <wp:positionV relativeFrom="paragraph">
                              <wp:posOffset>342900</wp:posOffset>
                            </wp:positionV>
                            <wp:extent cx="263000" cy="248600"/>
                            <wp:effectExtent l="0" t="0" r="0" b="0"/>
                            <wp:wrapNone/>
                            <wp:docPr id="521" name="Strzałka: w prawo 521"/>
                            <wp:cNvGraphicFramePr/>
                            <a:graphic xmlns:a="http://schemas.openxmlformats.org/drawingml/2006/main">
                              <a:graphicData uri="http://schemas.microsoft.com/office/word/2010/wordprocessingShape">
                                <wps:wsp>
                                  <wps:cNvSpPr/>
                                  <wps:spPr>
                                    <a:xfrm>
                                      <a:off x="5227200" y="3668400"/>
                                      <a:ext cx="237600" cy="223200"/>
                                    </a:xfrm>
                                    <a:prstGeom prst="rightArrow">
                                      <a:avLst>
                                        <a:gd name="adj1" fmla="val 50000"/>
                                        <a:gd name="adj2" fmla="val 50000"/>
                                      </a:avLst>
                                    </a:prstGeom>
                                    <a:solidFill>
                                      <a:srgbClr val="93B3D7"/>
                                    </a:solidFill>
                                    <a:ln w="25400" cap="flat" cmpd="sng">
                                      <a:solidFill>
                                        <a:srgbClr val="366092"/>
                                      </a:solidFill>
                                      <a:prstDash val="solid"/>
                                      <a:round/>
                                      <a:headEnd type="none" w="sm" len="sm"/>
                                      <a:tailEnd type="none" w="sm" len="sm"/>
                                    </a:ln>
                                  </wps:spPr>
                                  <wps:txbx>
                                    <w:txbxContent>
                                      <w:p w14:paraId="0EE55553"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A37316" id="Strzałka: w prawo 521" o:spid="_x0000_s1052" type="#_x0000_t13" style="position:absolute;margin-left:0;margin-top:27pt;width:20.7pt;height:19.5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" adj="11455" fillcolor="#93b3d7" strokecolor="#366092" strokeweight="2pt">
                            <v:stroke startarrowwidth="narrow" startarrowlength="short" endarrowwidth="narrow" endarrowlength="short" joinstyle="round"/>
                            <v:textbox inset="2.53958mm,2.53958mm,2.53958mm,2.53958mm">
                              <w:txbxContent>
                                <w:p w14:paraId="0EE55553" w14:textId="77777777" w:rsidR="007463B9" w:rsidRDefault="007463B9">
                                  <w:pPr>
                                    <w:textDirection w:val="btLr"/>
                                  </w:pPr>
                                </w:p>
                              </w:txbxContent>
                            </v:textbox>
                          </v:shape>
                        </w:pict>
                      </mc:Fallback>
                    </mc:AlternateContent>
                  </w:r>
                  <w:r>
                    <w:rPr>
                      <w:noProof/>
                      <w:lang w:eastAsia="pl-PL"/>
                    </w:rPr>
                    <mc:AlternateContent>
                      <mc:Choice Requires="wps">
                        <w:drawing>
                          <wp:anchor distT="0" distB="0" distL="114300" distR="114300" simplePos="0" relativeHeight="251712512" behindDoc="0" locked="0" layoutInCell="1" hidden="0" allowOverlap="1" wp14:anchorId="2307441E" wp14:editId="68CD0385">
                            <wp:simplePos x="0" y="0"/>
                            <wp:positionH relativeFrom="column">
                              <wp:posOffset>1701800</wp:posOffset>
                            </wp:positionH>
                            <wp:positionV relativeFrom="paragraph">
                              <wp:posOffset>342900</wp:posOffset>
                            </wp:positionV>
                            <wp:extent cx="262586" cy="248036"/>
                            <wp:effectExtent l="0" t="0" r="0" b="0"/>
                            <wp:wrapNone/>
                            <wp:docPr id="517" name="Strzałka: w prawo 517"/>
                            <wp:cNvGraphicFramePr/>
                            <a:graphic xmlns:a="http://schemas.openxmlformats.org/drawingml/2006/main">
                              <a:graphicData uri="http://schemas.microsoft.com/office/word/2010/wordprocessingShape">
                                <wps:wsp>
                                  <wps:cNvSpPr/>
                                  <wps:spPr>
                                    <a:xfrm>
                                      <a:off x="5227407" y="3668682"/>
                                      <a:ext cx="237186" cy="222636"/>
                                    </a:xfrm>
                                    <a:prstGeom prst="rightArrow">
                                      <a:avLst>
                                        <a:gd name="adj1" fmla="val 50000"/>
                                        <a:gd name="adj2" fmla="val 50000"/>
                                      </a:avLst>
                                    </a:prstGeom>
                                    <a:solidFill>
                                      <a:srgbClr val="93B3D7"/>
                                    </a:solidFill>
                                    <a:ln w="25400" cap="flat" cmpd="sng">
                                      <a:solidFill>
                                        <a:srgbClr val="366092"/>
                                      </a:solidFill>
                                      <a:prstDash val="solid"/>
                                      <a:round/>
                                      <a:headEnd type="none" w="sm" len="sm"/>
                                      <a:tailEnd type="none" w="sm" len="sm"/>
                                    </a:ln>
                                  </wps:spPr>
                                  <wps:txbx>
                                    <w:txbxContent>
                                      <w:p w14:paraId="1B9702AC"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07441E" id="Strzałka: w prawo 517" o:spid="_x0000_s1053" type="#_x0000_t13" style="position:absolute;margin-left:134pt;margin-top:27pt;width:20.7pt;height:19.5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" adj="11463" fillcolor="#93b3d7" strokecolor="#366092" strokeweight="2pt">
                            <v:stroke startarrowwidth="narrow" startarrowlength="short" endarrowwidth="narrow" endarrowlength="short" joinstyle="round"/>
                            <v:textbox inset="2.53958mm,2.53958mm,2.53958mm,2.53958mm">
                              <w:txbxContent>
                                <w:p w14:paraId="1B9702AC" w14:textId="77777777" w:rsidR="007463B9" w:rsidRDefault="007463B9">
                                  <w:pPr>
                                    <w:textDirection w:val="btLr"/>
                                  </w:pPr>
                                </w:p>
                              </w:txbxContent>
                            </v:textbox>
                          </v:shape>
                        </w:pict>
                      </mc:Fallback>
                    </mc:AlternateContent>
                  </w:r>
                </w:p>
              </w:tc>
              <w:tc>
                <w:tcPr>
                  <w:tcW w:w="2385" w:type="dxa"/>
                  <w:vAlign w:val="center"/>
                </w:tcPr>
                <w:p w14:paraId="01684A07"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Określenie założeń</w:t>
                  </w:r>
                </w:p>
                <w:p w14:paraId="18EC956F"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xml:space="preserve">- Przeliczniki z cen  rynkowych na  rozrachunkowe (ukryte) </w:t>
                  </w:r>
                </w:p>
                <w:p w14:paraId="472D8137"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xml:space="preserve">- Obliczanie kosztów i korzyści ekonomicznych </w:t>
                  </w:r>
                </w:p>
                <w:p w14:paraId="37C301AC"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Obliczanie wskaźników efektywności ekonomicznej</w:t>
                  </w:r>
                </w:p>
                <w:p w14:paraId="4F23E7D2" w14:textId="77777777" w:rsidR="00600DEE" w:rsidRDefault="00641FB5">
                  <w:pPr>
                    <w:ind w:right="170"/>
                    <w:rPr>
                      <w:rFonts w:ascii="Calibri" w:eastAsia="Calibri" w:hAnsi="Calibri" w:cs="Calibri"/>
                    </w:rPr>
                  </w:pPr>
                  <w:r>
                    <w:rPr>
                      <w:rFonts w:ascii="Calibri" w:eastAsia="Calibri" w:hAnsi="Calibri" w:cs="Calibri"/>
                      <w:sz w:val="13"/>
                      <w:szCs w:val="13"/>
                    </w:rPr>
                    <w:t>- Wybór ostatecznego wariantu projektu (w uzasadnionych przypadkach)</w:t>
                  </w:r>
                </w:p>
              </w:tc>
              <w:tc>
                <w:tcPr>
                  <w:tcW w:w="562" w:type="dxa"/>
                </w:tcPr>
                <w:p w14:paraId="2F812FF1" w14:textId="77777777" w:rsidR="00600DEE" w:rsidRDefault="00600DEE">
                  <w:pPr>
                    <w:rPr>
                      <w:rFonts w:ascii="Calibri" w:eastAsia="Calibri" w:hAnsi="Calibri" w:cs="Calibri"/>
                    </w:rPr>
                  </w:pPr>
                </w:p>
              </w:tc>
              <w:tc>
                <w:tcPr>
                  <w:tcW w:w="2004" w:type="dxa"/>
                  <w:shd w:val="clear" w:color="auto" w:fill="A6A6A6"/>
                  <w:vAlign w:val="center"/>
                </w:tcPr>
                <w:p w14:paraId="0A19036D" w14:textId="77777777" w:rsidR="00600DEE" w:rsidRDefault="00641FB5">
                  <w:pPr>
                    <w:ind w:right="170"/>
                    <w:rPr>
                      <w:rFonts w:ascii="Calibri" w:eastAsia="Calibri" w:hAnsi="Calibri" w:cs="Calibri"/>
                      <w:sz w:val="12"/>
                      <w:szCs w:val="12"/>
                    </w:rPr>
                  </w:pPr>
                  <w:r>
                    <w:rPr>
                      <w:rFonts w:ascii="Calibri" w:eastAsia="Calibri" w:hAnsi="Calibri" w:cs="Calibri"/>
                      <w:sz w:val="12"/>
                      <w:szCs w:val="12"/>
                    </w:rPr>
                    <w:t>- Wybór najlepszego wariantu inwestycyjnego z uwzględnieniem szerokiej perspektywy społecznej (w przypadku stosowania AKK przy wyborze wariantów)</w:t>
                  </w:r>
                </w:p>
                <w:p w14:paraId="7CA51C06" w14:textId="77777777" w:rsidR="00600DEE" w:rsidRDefault="00641FB5">
                  <w:pPr>
                    <w:ind w:right="170"/>
                    <w:rPr>
                      <w:rFonts w:ascii="Calibri" w:eastAsia="Calibri" w:hAnsi="Calibri" w:cs="Calibri"/>
                      <w:sz w:val="16"/>
                      <w:szCs w:val="16"/>
                    </w:rPr>
                  </w:pPr>
                  <w:r>
                    <w:rPr>
                      <w:rFonts w:ascii="Calibri" w:eastAsia="Calibri" w:hAnsi="Calibri" w:cs="Calibri"/>
                      <w:sz w:val="12"/>
                      <w:szCs w:val="12"/>
                    </w:rPr>
                    <w:t>- Wykazanie, że inwestycja jest ekonomicznie wskazana i warta dofinansowania</w:t>
                  </w:r>
                </w:p>
              </w:tc>
              <w:tc>
                <w:tcPr>
                  <w:tcW w:w="251" w:type="dxa"/>
                </w:tcPr>
                <w:p w14:paraId="6531118E" w14:textId="77777777" w:rsidR="00600DEE" w:rsidRDefault="00600DEE">
                  <w:pPr>
                    <w:rPr>
                      <w:rFonts w:ascii="Calibri" w:eastAsia="Calibri" w:hAnsi="Calibri" w:cs="Calibri"/>
                    </w:rPr>
                  </w:pPr>
                </w:p>
              </w:tc>
            </w:tr>
            <w:tr w:rsidR="00600DEE" w14:paraId="1542B54D" w14:textId="77777777" w:rsidTr="00E12F72">
              <w:trPr>
                <w:trHeight w:val="60"/>
              </w:trPr>
              <w:tc>
                <w:tcPr>
                  <w:tcW w:w="250" w:type="dxa"/>
                  <w:tcBorders>
                    <w:bottom w:val="single" w:sz="8" w:space="0" w:color="000000"/>
                  </w:tcBorders>
                </w:tcPr>
                <w:p w14:paraId="1E8E05A2" w14:textId="77777777" w:rsidR="00600DEE" w:rsidRDefault="00600DEE">
                  <w:pPr>
                    <w:rPr>
                      <w:rFonts w:ascii="Calibri" w:eastAsia="Calibri" w:hAnsi="Calibri" w:cs="Calibri"/>
                      <w:b/>
                    </w:rPr>
                  </w:pPr>
                </w:p>
                <w:p w14:paraId="06898AAF" w14:textId="77777777" w:rsidR="00E12F72" w:rsidRDefault="00E12F72">
                  <w:pPr>
                    <w:rPr>
                      <w:rFonts w:ascii="Calibri" w:eastAsia="Calibri" w:hAnsi="Calibri" w:cs="Calibri"/>
                      <w:b/>
                    </w:rPr>
                  </w:pPr>
                </w:p>
                <w:p w14:paraId="619C5EC4" w14:textId="77777777" w:rsidR="00E12F72" w:rsidRDefault="00E12F72">
                  <w:pPr>
                    <w:rPr>
                      <w:rFonts w:ascii="Calibri" w:eastAsia="Calibri" w:hAnsi="Calibri" w:cs="Calibri"/>
                      <w:b/>
                    </w:rPr>
                  </w:pPr>
                </w:p>
                <w:p w14:paraId="75AAD34B" w14:textId="77777777" w:rsidR="00E12F72" w:rsidRDefault="00E12F72">
                  <w:pPr>
                    <w:rPr>
                      <w:rFonts w:ascii="Calibri" w:eastAsia="Calibri" w:hAnsi="Calibri" w:cs="Calibri"/>
                      <w:b/>
                    </w:rPr>
                  </w:pPr>
                </w:p>
                <w:p w14:paraId="6805C905" w14:textId="3578DF48" w:rsidR="00E12F72" w:rsidRDefault="00E12F72">
                  <w:pPr>
                    <w:rPr>
                      <w:rFonts w:ascii="Calibri" w:eastAsia="Calibri" w:hAnsi="Calibri" w:cs="Calibri"/>
                      <w:b/>
                    </w:rPr>
                  </w:pPr>
                </w:p>
              </w:tc>
              <w:tc>
                <w:tcPr>
                  <w:tcW w:w="1450" w:type="dxa"/>
                  <w:tcBorders>
                    <w:bottom w:val="single" w:sz="8" w:space="0" w:color="000000"/>
                  </w:tcBorders>
                </w:tcPr>
                <w:p w14:paraId="40FDB549" w14:textId="77777777" w:rsidR="00600DEE" w:rsidRDefault="00600DEE">
                  <w:pPr>
                    <w:rPr>
                      <w:rFonts w:ascii="Calibri" w:eastAsia="Calibri" w:hAnsi="Calibri" w:cs="Calibri"/>
                      <w:b/>
                    </w:rPr>
                  </w:pPr>
                </w:p>
              </w:tc>
              <w:tc>
                <w:tcPr>
                  <w:tcW w:w="422" w:type="dxa"/>
                  <w:tcBorders>
                    <w:bottom w:val="single" w:sz="8" w:space="0" w:color="000000"/>
                  </w:tcBorders>
                </w:tcPr>
                <w:p w14:paraId="60207DA5" w14:textId="77777777" w:rsidR="00600DEE" w:rsidRDefault="00600DEE">
                  <w:pPr>
                    <w:rPr>
                      <w:rFonts w:ascii="Calibri" w:eastAsia="Calibri" w:hAnsi="Calibri" w:cs="Calibri"/>
                    </w:rPr>
                  </w:pPr>
                </w:p>
              </w:tc>
              <w:tc>
                <w:tcPr>
                  <w:tcW w:w="2385" w:type="dxa"/>
                  <w:tcBorders>
                    <w:bottom w:val="single" w:sz="8" w:space="0" w:color="000000"/>
                  </w:tcBorders>
                </w:tcPr>
                <w:p w14:paraId="598111C2" w14:textId="77777777" w:rsidR="00600DEE" w:rsidRDefault="00600DEE">
                  <w:pPr>
                    <w:rPr>
                      <w:rFonts w:ascii="Calibri" w:eastAsia="Calibri" w:hAnsi="Calibri" w:cs="Calibri"/>
                    </w:rPr>
                  </w:pPr>
                </w:p>
              </w:tc>
              <w:tc>
                <w:tcPr>
                  <w:tcW w:w="562" w:type="dxa"/>
                  <w:tcBorders>
                    <w:bottom w:val="single" w:sz="8" w:space="0" w:color="000000"/>
                  </w:tcBorders>
                </w:tcPr>
                <w:p w14:paraId="4793321E" w14:textId="77777777" w:rsidR="00600DEE" w:rsidRDefault="00600DEE">
                  <w:pPr>
                    <w:rPr>
                      <w:rFonts w:ascii="Calibri" w:eastAsia="Calibri" w:hAnsi="Calibri" w:cs="Calibri"/>
                    </w:rPr>
                  </w:pPr>
                </w:p>
              </w:tc>
              <w:tc>
                <w:tcPr>
                  <w:tcW w:w="2004" w:type="dxa"/>
                  <w:tcBorders>
                    <w:bottom w:val="single" w:sz="8" w:space="0" w:color="000000"/>
                  </w:tcBorders>
                </w:tcPr>
                <w:p w14:paraId="74F67F4A" w14:textId="77777777" w:rsidR="00600DEE" w:rsidRDefault="00600DEE">
                  <w:pPr>
                    <w:rPr>
                      <w:rFonts w:ascii="Calibri" w:eastAsia="Calibri" w:hAnsi="Calibri" w:cs="Calibri"/>
                    </w:rPr>
                  </w:pPr>
                </w:p>
              </w:tc>
              <w:tc>
                <w:tcPr>
                  <w:tcW w:w="251" w:type="dxa"/>
                  <w:tcBorders>
                    <w:bottom w:val="single" w:sz="8" w:space="0" w:color="000000"/>
                  </w:tcBorders>
                </w:tcPr>
                <w:p w14:paraId="2F7E2448" w14:textId="77777777" w:rsidR="00600DEE" w:rsidRDefault="00600DEE">
                  <w:pPr>
                    <w:rPr>
                      <w:rFonts w:ascii="Calibri" w:eastAsia="Calibri" w:hAnsi="Calibri" w:cs="Calibri"/>
                    </w:rPr>
                  </w:pPr>
                </w:p>
              </w:tc>
            </w:tr>
            <w:tr w:rsidR="00E12F72" w14:paraId="03D65314" w14:textId="77777777" w:rsidTr="00E12F72">
              <w:trPr>
                <w:trHeight w:val="340"/>
              </w:trPr>
              <w:tc>
                <w:tcPr>
                  <w:tcW w:w="250" w:type="dxa"/>
                  <w:tcBorders>
                    <w:top w:val="single" w:sz="8" w:space="0" w:color="000000"/>
                    <w:left w:val="single" w:sz="8" w:space="0" w:color="000000"/>
                    <w:bottom w:val="single" w:sz="8" w:space="0" w:color="000000"/>
                  </w:tcBorders>
                  <w:shd w:val="clear" w:color="auto" w:fill="95B3D7"/>
                  <w:vAlign w:val="center"/>
                </w:tcPr>
                <w:p w14:paraId="3B3207F7" w14:textId="77777777" w:rsidR="00E12F72" w:rsidRDefault="00E12F72">
                  <w:pPr>
                    <w:jc w:val="center"/>
                    <w:rPr>
                      <w:rFonts w:ascii="Calibri" w:eastAsia="Calibri" w:hAnsi="Calibri" w:cs="Calibri"/>
                      <w:b/>
                    </w:rPr>
                  </w:pPr>
                </w:p>
              </w:tc>
              <w:tc>
                <w:tcPr>
                  <w:tcW w:w="6823" w:type="dxa"/>
                  <w:gridSpan w:val="5"/>
                  <w:tcBorders>
                    <w:top w:val="single" w:sz="8" w:space="0" w:color="000000"/>
                    <w:bottom w:val="single" w:sz="8" w:space="0" w:color="000000"/>
                  </w:tcBorders>
                  <w:shd w:val="clear" w:color="auto" w:fill="95B3D7"/>
                  <w:vAlign w:val="center"/>
                </w:tcPr>
                <w:p w14:paraId="71662A96" w14:textId="3397E70F" w:rsidR="00E12F72" w:rsidRDefault="00E12F72">
                  <w:pPr>
                    <w:jc w:val="center"/>
                    <w:rPr>
                      <w:rFonts w:ascii="Calibri" w:eastAsia="Calibri" w:hAnsi="Calibri" w:cs="Calibri"/>
                    </w:rPr>
                  </w:pPr>
                  <w:r>
                    <w:rPr>
                      <w:rFonts w:ascii="Calibri" w:eastAsia="Calibri" w:hAnsi="Calibri" w:cs="Calibri"/>
                      <w:b/>
                      <w:sz w:val="22"/>
                      <w:szCs w:val="22"/>
                    </w:rPr>
                    <w:t>Faza III</w:t>
                  </w:r>
                </w:p>
              </w:tc>
              <w:tc>
                <w:tcPr>
                  <w:tcW w:w="251" w:type="dxa"/>
                  <w:tcBorders>
                    <w:top w:val="single" w:sz="8" w:space="0" w:color="000000"/>
                    <w:bottom w:val="single" w:sz="8" w:space="0" w:color="000000"/>
                    <w:right w:val="single" w:sz="8" w:space="0" w:color="000000"/>
                  </w:tcBorders>
                  <w:shd w:val="clear" w:color="auto" w:fill="95B3D7"/>
                  <w:vAlign w:val="center"/>
                </w:tcPr>
                <w:p w14:paraId="777CA517" w14:textId="77777777" w:rsidR="00E12F72" w:rsidRDefault="00E12F72">
                  <w:pPr>
                    <w:jc w:val="center"/>
                    <w:rPr>
                      <w:rFonts w:ascii="Calibri" w:eastAsia="Calibri" w:hAnsi="Calibri" w:cs="Calibri"/>
                    </w:rPr>
                  </w:pPr>
                </w:p>
              </w:tc>
            </w:tr>
            <w:tr w:rsidR="00600DEE" w14:paraId="0B721222" w14:textId="77777777" w:rsidTr="00E12F72">
              <w:trPr>
                <w:trHeight w:val="60"/>
              </w:trPr>
              <w:tc>
                <w:tcPr>
                  <w:tcW w:w="250" w:type="dxa"/>
                  <w:tcBorders>
                    <w:top w:val="single" w:sz="8" w:space="0" w:color="000000"/>
                  </w:tcBorders>
                </w:tcPr>
                <w:p w14:paraId="503DD326" w14:textId="77777777" w:rsidR="00600DEE" w:rsidRDefault="00600DEE">
                  <w:pPr>
                    <w:rPr>
                      <w:rFonts w:ascii="Calibri" w:eastAsia="Calibri" w:hAnsi="Calibri" w:cs="Calibri"/>
                      <w:b/>
                    </w:rPr>
                  </w:pPr>
                </w:p>
              </w:tc>
              <w:tc>
                <w:tcPr>
                  <w:tcW w:w="1450" w:type="dxa"/>
                  <w:tcBorders>
                    <w:top w:val="single" w:sz="8" w:space="0" w:color="000000"/>
                  </w:tcBorders>
                </w:tcPr>
                <w:p w14:paraId="6EDA2B13" w14:textId="77777777" w:rsidR="00600DEE" w:rsidRDefault="00600DEE">
                  <w:pPr>
                    <w:rPr>
                      <w:rFonts w:ascii="Calibri" w:eastAsia="Calibri" w:hAnsi="Calibri" w:cs="Calibri"/>
                      <w:b/>
                    </w:rPr>
                  </w:pPr>
                </w:p>
              </w:tc>
              <w:tc>
                <w:tcPr>
                  <w:tcW w:w="422" w:type="dxa"/>
                  <w:tcBorders>
                    <w:top w:val="single" w:sz="8" w:space="0" w:color="000000"/>
                  </w:tcBorders>
                </w:tcPr>
                <w:p w14:paraId="42B362AD" w14:textId="77777777" w:rsidR="00600DEE" w:rsidRDefault="00600DEE">
                  <w:pPr>
                    <w:rPr>
                      <w:rFonts w:ascii="Calibri" w:eastAsia="Calibri" w:hAnsi="Calibri" w:cs="Calibri"/>
                    </w:rPr>
                  </w:pPr>
                </w:p>
              </w:tc>
              <w:tc>
                <w:tcPr>
                  <w:tcW w:w="2385" w:type="dxa"/>
                  <w:tcBorders>
                    <w:top w:val="single" w:sz="8" w:space="0" w:color="000000"/>
                  </w:tcBorders>
                </w:tcPr>
                <w:p w14:paraId="76DD5A8A" w14:textId="77777777" w:rsidR="00600DEE" w:rsidRDefault="00600DEE">
                  <w:pPr>
                    <w:rPr>
                      <w:rFonts w:ascii="Calibri" w:eastAsia="Calibri" w:hAnsi="Calibri" w:cs="Calibri"/>
                    </w:rPr>
                  </w:pPr>
                </w:p>
              </w:tc>
              <w:tc>
                <w:tcPr>
                  <w:tcW w:w="562" w:type="dxa"/>
                  <w:tcBorders>
                    <w:top w:val="single" w:sz="8" w:space="0" w:color="000000"/>
                  </w:tcBorders>
                </w:tcPr>
                <w:p w14:paraId="24E75C37" w14:textId="77777777" w:rsidR="00600DEE" w:rsidRDefault="00600DEE">
                  <w:pPr>
                    <w:rPr>
                      <w:rFonts w:ascii="Calibri" w:eastAsia="Calibri" w:hAnsi="Calibri" w:cs="Calibri"/>
                    </w:rPr>
                  </w:pPr>
                </w:p>
              </w:tc>
              <w:tc>
                <w:tcPr>
                  <w:tcW w:w="2004" w:type="dxa"/>
                  <w:tcBorders>
                    <w:top w:val="single" w:sz="8" w:space="0" w:color="000000"/>
                  </w:tcBorders>
                </w:tcPr>
                <w:p w14:paraId="5AC97C07" w14:textId="77777777" w:rsidR="00600DEE" w:rsidRDefault="00600DEE">
                  <w:pPr>
                    <w:rPr>
                      <w:rFonts w:ascii="Calibri" w:eastAsia="Calibri" w:hAnsi="Calibri" w:cs="Calibri"/>
                    </w:rPr>
                  </w:pPr>
                </w:p>
              </w:tc>
              <w:tc>
                <w:tcPr>
                  <w:tcW w:w="251" w:type="dxa"/>
                  <w:tcBorders>
                    <w:top w:val="single" w:sz="8" w:space="0" w:color="000000"/>
                  </w:tcBorders>
                </w:tcPr>
                <w:p w14:paraId="7EA7EE68" w14:textId="77777777" w:rsidR="00600DEE" w:rsidRDefault="00600DEE">
                  <w:pPr>
                    <w:rPr>
                      <w:rFonts w:ascii="Calibri" w:eastAsia="Calibri" w:hAnsi="Calibri" w:cs="Calibri"/>
                    </w:rPr>
                  </w:pPr>
                </w:p>
              </w:tc>
            </w:tr>
            <w:tr w:rsidR="00600DEE" w14:paraId="3E52FC8F" w14:textId="77777777" w:rsidTr="00E12F72">
              <w:trPr>
                <w:trHeight w:hRule="exact" w:val="1134"/>
              </w:trPr>
              <w:tc>
                <w:tcPr>
                  <w:tcW w:w="250" w:type="dxa"/>
                </w:tcPr>
                <w:p w14:paraId="322E49B1" w14:textId="77777777" w:rsidR="00600DEE" w:rsidRDefault="00600DEE">
                  <w:pPr>
                    <w:rPr>
                      <w:rFonts w:ascii="Calibri" w:eastAsia="Calibri" w:hAnsi="Calibri" w:cs="Calibri"/>
                      <w:b/>
                    </w:rPr>
                  </w:pPr>
                </w:p>
              </w:tc>
              <w:tc>
                <w:tcPr>
                  <w:tcW w:w="1450" w:type="dxa"/>
                  <w:shd w:val="clear" w:color="auto" w:fill="F2F2F2"/>
                  <w:vAlign w:val="center"/>
                </w:tcPr>
                <w:p w14:paraId="34CDCCA4" w14:textId="77777777" w:rsidR="00600DEE" w:rsidRDefault="00641FB5">
                  <w:pPr>
                    <w:ind w:right="170"/>
                    <w:rPr>
                      <w:rFonts w:ascii="Calibri" w:eastAsia="Calibri" w:hAnsi="Calibri" w:cs="Calibri"/>
                      <w:b/>
                      <w:sz w:val="16"/>
                      <w:szCs w:val="16"/>
                    </w:rPr>
                  </w:pPr>
                  <w:r>
                    <w:rPr>
                      <w:rFonts w:ascii="Calibri" w:eastAsia="Calibri" w:hAnsi="Calibri" w:cs="Calibri"/>
                      <w:b/>
                      <w:sz w:val="16"/>
                      <w:szCs w:val="16"/>
                    </w:rPr>
                    <w:t>Analiza</w:t>
                  </w:r>
                </w:p>
                <w:p w14:paraId="5630720A" w14:textId="77777777" w:rsidR="00600DEE" w:rsidRDefault="00641FB5">
                  <w:pPr>
                    <w:ind w:right="170"/>
                    <w:rPr>
                      <w:rFonts w:ascii="Calibri" w:eastAsia="Calibri" w:hAnsi="Calibri" w:cs="Calibri"/>
                      <w:b/>
                    </w:rPr>
                  </w:pPr>
                  <w:r>
                    <w:rPr>
                      <w:rFonts w:ascii="Calibri" w:eastAsia="Calibri" w:hAnsi="Calibri" w:cs="Calibri"/>
                      <w:b/>
                      <w:sz w:val="16"/>
                      <w:szCs w:val="16"/>
                    </w:rPr>
                    <w:t>finansowa</w:t>
                  </w:r>
                </w:p>
              </w:tc>
              <w:tc>
                <w:tcPr>
                  <w:tcW w:w="422" w:type="dxa"/>
                </w:tcPr>
                <w:p w14:paraId="1B93C7E5" w14:textId="77777777" w:rsidR="00600DEE" w:rsidRDefault="00641FB5">
                  <w:pPr>
                    <w:rPr>
                      <w:rFonts w:ascii="Calibri" w:eastAsia="Calibri" w:hAnsi="Calibri" w:cs="Calibri"/>
                    </w:rPr>
                  </w:pPr>
                  <w:r>
                    <w:rPr>
                      <w:noProof/>
                      <w:lang w:eastAsia="pl-PL"/>
                    </w:rPr>
                    <mc:AlternateContent>
                      <mc:Choice Requires="wps">
                        <w:drawing>
                          <wp:anchor distT="0" distB="0" distL="114300" distR="114300" simplePos="0" relativeHeight="251713536" behindDoc="0" locked="0" layoutInCell="1" hidden="0" allowOverlap="1" wp14:anchorId="1C0CF03E" wp14:editId="376935B8">
                            <wp:simplePos x="0" y="0"/>
                            <wp:positionH relativeFrom="column">
                              <wp:posOffset>1</wp:posOffset>
                            </wp:positionH>
                            <wp:positionV relativeFrom="paragraph">
                              <wp:posOffset>165100</wp:posOffset>
                            </wp:positionV>
                            <wp:extent cx="263000" cy="248600"/>
                            <wp:effectExtent l="0" t="0" r="0" b="0"/>
                            <wp:wrapNone/>
                            <wp:docPr id="518" name="Strzałka: w prawo 518"/>
                            <wp:cNvGraphicFramePr/>
                            <a:graphic xmlns:a="http://schemas.openxmlformats.org/drawingml/2006/main">
                              <a:graphicData uri="http://schemas.microsoft.com/office/word/2010/wordprocessingShape">
                                <wps:wsp>
                                  <wps:cNvSpPr/>
                                  <wps:spPr>
                                    <a:xfrm>
                                      <a:off x="5227200" y="3668400"/>
                                      <a:ext cx="237600" cy="223200"/>
                                    </a:xfrm>
                                    <a:prstGeom prst="rightArrow">
                                      <a:avLst>
                                        <a:gd name="adj1" fmla="val 50000"/>
                                        <a:gd name="adj2" fmla="val 50000"/>
                                      </a:avLst>
                                    </a:prstGeom>
                                    <a:solidFill>
                                      <a:srgbClr val="538CD5"/>
                                    </a:solidFill>
                                    <a:ln w="25400" cap="flat" cmpd="sng">
                                      <a:solidFill>
                                        <a:srgbClr val="366092"/>
                                      </a:solidFill>
                                      <a:prstDash val="solid"/>
                                      <a:round/>
                                      <a:headEnd type="none" w="sm" len="sm"/>
                                      <a:tailEnd type="none" w="sm" len="sm"/>
                                    </a:ln>
                                  </wps:spPr>
                                  <wps:txbx>
                                    <w:txbxContent>
                                      <w:p w14:paraId="52AD9038"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0CF03E" id="Strzałka: w prawo 518" o:spid="_x0000_s1054" type="#_x0000_t13" style="position:absolute;margin-left:0;margin-top:13pt;width:20.7pt;height:19.5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" adj="11455" fillcolor="#538cd5" strokecolor="#366092" strokeweight="2pt">
                            <v:stroke startarrowwidth="narrow" startarrowlength="short" endarrowwidth="narrow" endarrowlength="short" joinstyle="round"/>
                            <v:textbox inset="2.53958mm,2.53958mm,2.53958mm,2.53958mm">
                              <w:txbxContent>
                                <w:p w14:paraId="52AD9038" w14:textId="77777777" w:rsidR="007463B9" w:rsidRDefault="007463B9">
                                  <w:pPr>
                                    <w:textDirection w:val="btLr"/>
                                  </w:pPr>
                                </w:p>
                              </w:txbxContent>
                            </v:textbox>
                          </v:shape>
                        </w:pict>
                      </mc:Fallback>
                    </mc:AlternateContent>
                  </w:r>
                  <w:r>
                    <w:rPr>
                      <w:noProof/>
                      <w:lang w:eastAsia="pl-PL"/>
                    </w:rPr>
                    <mc:AlternateContent>
                      <mc:Choice Requires="wps">
                        <w:drawing>
                          <wp:anchor distT="0" distB="0" distL="114300" distR="114300" simplePos="0" relativeHeight="251714560" behindDoc="0" locked="0" layoutInCell="1" hidden="0" allowOverlap="1" wp14:anchorId="5A3E9A5A" wp14:editId="2EB4459D">
                            <wp:simplePos x="0" y="0"/>
                            <wp:positionH relativeFrom="column">
                              <wp:posOffset>1701800</wp:posOffset>
                            </wp:positionH>
                            <wp:positionV relativeFrom="paragraph">
                              <wp:posOffset>165100</wp:posOffset>
                            </wp:positionV>
                            <wp:extent cx="262586" cy="248036"/>
                            <wp:effectExtent l="0" t="0" r="0" b="0"/>
                            <wp:wrapNone/>
                            <wp:docPr id="469" name="Strzałka: w prawo 469"/>
                            <wp:cNvGraphicFramePr/>
                            <a:graphic xmlns:a="http://schemas.openxmlformats.org/drawingml/2006/main">
                              <a:graphicData uri="http://schemas.microsoft.com/office/word/2010/wordprocessingShape">
                                <wps:wsp>
                                  <wps:cNvSpPr/>
                                  <wps:spPr>
                                    <a:xfrm>
                                      <a:off x="5227407" y="3668682"/>
                                      <a:ext cx="237186" cy="222636"/>
                                    </a:xfrm>
                                    <a:prstGeom prst="rightArrow">
                                      <a:avLst>
                                        <a:gd name="adj1" fmla="val 50000"/>
                                        <a:gd name="adj2" fmla="val 50000"/>
                                      </a:avLst>
                                    </a:prstGeom>
                                    <a:solidFill>
                                      <a:srgbClr val="538CD5"/>
                                    </a:solidFill>
                                    <a:ln w="25400" cap="flat" cmpd="sng">
                                      <a:solidFill>
                                        <a:srgbClr val="366092"/>
                                      </a:solidFill>
                                      <a:prstDash val="solid"/>
                                      <a:round/>
                                      <a:headEnd type="none" w="sm" len="sm"/>
                                      <a:tailEnd type="none" w="sm" len="sm"/>
                                    </a:ln>
                                  </wps:spPr>
                                  <wps:txbx>
                                    <w:txbxContent>
                                      <w:p w14:paraId="17788888"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3E9A5A" id="Strzałka: w prawo 469" o:spid="_x0000_s1055" type="#_x0000_t13" style="position:absolute;margin-left:134pt;margin-top:13pt;width:20.7pt;height:19.5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" adj="11463" fillcolor="#538cd5" strokecolor="#366092" strokeweight="2pt">
                            <v:stroke startarrowwidth="narrow" startarrowlength="short" endarrowwidth="narrow" endarrowlength="short" joinstyle="round"/>
                            <v:textbox inset="2.53958mm,2.53958mm,2.53958mm,2.53958mm">
                              <w:txbxContent>
                                <w:p w14:paraId="17788888" w14:textId="77777777" w:rsidR="007463B9" w:rsidRDefault="007463B9">
                                  <w:pPr>
                                    <w:textDirection w:val="btLr"/>
                                  </w:pPr>
                                </w:p>
                              </w:txbxContent>
                            </v:textbox>
                          </v:shape>
                        </w:pict>
                      </mc:Fallback>
                    </mc:AlternateContent>
                  </w:r>
                </w:p>
              </w:tc>
              <w:tc>
                <w:tcPr>
                  <w:tcW w:w="2385" w:type="dxa"/>
                  <w:vAlign w:val="center"/>
                </w:tcPr>
                <w:p w14:paraId="0F686300"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Określenie założeń</w:t>
                  </w:r>
                </w:p>
                <w:p w14:paraId="32AAC36E"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xml:space="preserve">- Zestawienie przepływów pieniężnych </w:t>
                  </w:r>
                </w:p>
                <w:p w14:paraId="5C1810ED"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xml:space="preserve">- Opłacalność finansowa projektu </w:t>
                  </w:r>
                </w:p>
                <w:p w14:paraId="224E3641"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Trwałość finansowa projektu</w:t>
                  </w:r>
                </w:p>
                <w:p w14:paraId="2D843381"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xml:space="preserve">- Ustalenie wkładu UE </w:t>
                  </w:r>
                </w:p>
                <w:p w14:paraId="43B8B82D" w14:textId="77777777" w:rsidR="00600DEE" w:rsidRDefault="00600DEE">
                  <w:pPr>
                    <w:ind w:right="170"/>
                    <w:rPr>
                      <w:rFonts w:ascii="Calibri" w:eastAsia="Calibri" w:hAnsi="Calibri" w:cs="Calibri"/>
                    </w:rPr>
                  </w:pPr>
                </w:p>
              </w:tc>
              <w:tc>
                <w:tcPr>
                  <w:tcW w:w="562" w:type="dxa"/>
                </w:tcPr>
                <w:p w14:paraId="207E67CC" w14:textId="77777777" w:rsidR="00600DEE" w:rsidRDefault="00600DEE">
                  <w:pPr>
                    <w:rPr>
                      <w:rFonts w:ascii="Calibri" w:eastAsia="Calibri" w:hAnsi="Calibri" w:cs="Calibri"/>
                    </w:rPr>
                  </w:pPr>
                </w:p>
              </w:tc>
              <w:tc>
                <w:tcPr>
                  <w:tcW w:w="2004" w:type="dxa"/>
                  <w:shd w:val="clear" w:color="auto" w:fill="A6A6A6"/>
                  <w:vAlign w:val="center"/>
                </w:tcPr>
                <w:p w14:paraId="2C60C198" w14:textId="77777777" w:rsidR="00600DEE" w:rsidRDefault="00641FB5">
                  <w:pPr>
                    <w:ind w:right="170"/>
                    <w:rPr>
                      <w:rFonts w:ascii="Calibri" w:eastAsia="Calibri" w:hAnsi="Calibri" w:cs="Calibri"/>
                      <w:sz w:val="13"/>
                      <w:szCs w:val="13"/>
                    </w:rPr>
                  </w:pPr>
                  <w:r>
                    <w:rPr>
                      <w:rFonts w:ascii="Calibri" w:eastAsia="Calibri" w:hAnsi="Calibri" w:cs="Calibri"/>
                      <w:sz w:val="13"/>
                      <w:szCs w:val="13"/>
                    </w:rPr>
                    <w:t>- Wykazanie, że inwestycja wymaga dofinansowania</w:t>
                  </w:r>
                </w:p>
                <w:p w14:paraId="16EFBECF" w14:textId="77777777" w:rsidR="00600DEE" w:rsidRDefault="00641FB5">
                  <w:pPr>
                    <w:ind w:right="170"/>
                    <w:rPr>
                      <w:rFonts w:ascii="Calibri" w:eastAsia="Calibri" w:hAnsi="Calibri" w:cs="Calibri"/>
                      <w:sz w:val="16"/>
                      <w:szCs w:val="16"/>
                    </w:rPr>
                  </w:pPr>
                  <w:r>
                    <w:rPr>
                      <w:rFonts w:ascii="Calibri" w:eastAsia="Calibri" w:hAnsi="Calibri" w:cs="Calibri"/>
                      <w:sz w:val="13"/>
                      <w:szCs w:val="13"/>
                    </w:rPr>
                    <w:t xml:space="preserve">- Obliczenie kwoty dotacji UE </w:t>
                  </w:r>
                </w:p>
              </w:tc>
              <w:tc>
                <w:tcPr>
                  <w:tcW w:w="251" w:type="dxa"/>
                </w:tcPr>
                <w:p w14:paraId="0677D5D5" w14:textId="77777777" w:rsidR="00600DEE" w:rsidRDefault="00600DEE">
                  <w:pPr>
                    <w:rPr>
                      <w:rFonts w:ascii="Calibri" w:eastAsia="Calibri" w:hAnsi="Calibri" w:cs="Calibri"/>
                    </w:rPr>
                  </w:pPr>
                </w:p>
              </w:tc>
            </w:tr>
            <w:tr w:rsidR="00600DEE" w14:paraId="73964653" w14:textId="77777777" w:rsidTr="00E12F72">
              <w:trPr>
                <w:trHeight w:val="69"/>
              </w:trPr>
              <w:tc>
                <w:tcPr>
                  <w:tcW w:w="250" w:type="dxa"/>
                  <w:tcBorders>
                    <w:bottom w:val="single" w:sz="8" w:space="0" w:color="000000"/>
                  </w:tcBorders>
                </w:tcPr>
                <w:p w14:paraId="10AFCBED" w14:textId="77777777" w:rsidR="00600DEE" w:rsidRDefault="00600DEE">
                  <w:pPr>
                    <w:rPr>
                      <w:rFonts w:ascii="Calibri" w:eastAsia="Calibri" w:hAnsi="Calibri" w:cs="Calibri"/>
                      <w:b/>
                    </w:rPr>
                  </w:pPr>
                </w:p>
              </w:tc>
              <w:tc>
                <w:tcPr>
                  <w:tcW w:w="1450" w:type="dxa"/>
                  <w:tcBorders>
                    <w:bottom w:val="single" w:sz="8" w:space="0" w:color="000000"/>
                  </w:tcBorders>
                </w:tcPr>
                <w:p w14:paraId="432EEBA2" w14:textId="77777777" w:rsidR="00600DEE" w:rsidRDefault="00600DEE">
                  <w:pPr>
                    <w:rPr>
                      <w:rFonts w:ascii="Calibri" w:eastAsia="Calibri" w:hAnsi="Calibri" w:cs="Calibri"/>
                      <w:b/>
                    </w:rPr>
                  </w:pPr>
                </w:p>
              </w:tc>
              <w:tc>
                <w:tcPr>
                  <w:tcW w:w="422" w:type="dxa"/>
                  <w:tcBorders>
                    <w:bottom w:val="single" w:sz="8" w:space="0" w:color="000000"/>
                  </w:tcBorders>
                </w:tcPr>
                <w:p w14:paraId="7A1289F4" w14:textId="77777777" w:rsidR="00600DEE" w:rsidRDefault="00600DEE">
                  <w:pPr>
                    <w:rPr>
                      <w:rFonts w:ascii="Calibri" w:eastAsia="Calibri" w:hAnsi="Calibri" w:cs="Calibri"/>
                    </w:rPr>
                  </w:pPr>
                </w:p>
              </w:tc>
              <w:tc>
                <w:tcPr>
                  <w:tcW w:w="2385" w:type="dxa"/>
                  <w:tcBorders>
                    <w:bottom w:val="single" w:sz="8" w:space="0" w:color="000000"/>
                  </w:tcBorders>
                </w:tcPr>
                <w:p w14:paraId="34434942" w14:textId="77777777" w:rsidR="00600DEE" w:rsidRDefault="00600DEE">
                  <w:pPr>
                    <w:rPr>
                      <w:rFonts w:ascii="Calibri" w:eastAsia="Calibri" w:hAnsi="Calibri" w:cs="Calibri"/>
                    </w:rPr>
                  </w:pPr>
                </w:p>
              </w:tc>
              <w:tc>
                <w:tcPr>
                  <w:tcW w:w="562" w:type="dxa"/>
                  <w:tcBorders>
                    <w:bottom w:val="single" w:sz="8" w:space="0" w:color="000000"/>
                  </w:tcBorders>
                </w:tcPr>
                <w:p w14:paraId="145E26F2" w14:textId="77777777" w:rsidR="00600DEE" w:rsidRDefault="00600DEE">
                  <w:pPr>
                    <w:rPr>
                      <w:rFonts w:ascii="Calibri" w:eastAsia="Calibri" w:hAnsi="Calibri" w:cs="Calibri"/>
                    </w:rPr>
                  </w:pPr>
                </w:p>
              </w:tc>
              <w:tc>
                <w:tcPr>
                  <w:tcW w:w="2004" w:type="dxa"/>
                  <w:tcBorders>
                    <w:bottom w:val="single" w:sz="8" w:space="0" w:color="000000"/>
                  </w:tcBorders>
                </w:tcPr>
                <w:p w14:paraId="7B08CDB4" w14:textId="77777777" w:rsidR="00600DEE" w:rsidRDefault="00600DEE">
                  <w:pPr>
                    <w:rPr>
                      <w:rFonts w:ascii="Calibri" w:eastAsia="Calibri" w:hAnsi="Calibri" w:cs="Calibri"/>
                    </w:rPr>
                  </w:pPr>
                </w:p>
              </w:tc>
              <w:tc>
                <w:tcPr>
                  <w:tcW w:w="251" w:type="dxa"/>
                  <w:tcBorders>
                    <w:bottom w:val="single" w:sz="8" w:space="0" w:color="000000"/>
                  </w:tcBorders>
                </w:tcPr>
                <w:p w14:paraId="1BC870A6" w14:textId="77777777" w:rsidR="00600DEE" w:rsidRDefault="00600DEE">
                  <w:pPr>
                    <w:rPr>
                      <w:rFonts w:ascii="Calibri" w:eastAsia="Calibri" w:hAnsi="Calibri" w:cs="Calibri"/>
                    </w:rPr>
                  </w:pPr>
                </w:p>
              </w:tc>
            </w:tr>
            <w:tr w:rsidR="00600DEE" w14:paraId="6D9AAA7B" w14:textId="77777777" w:rsidTr="00E12F72">
              <w:trPr>
                <w:trHeight w:hRule="exact" w:val="340"/>
              </w:trPr>
              <w:tc>
                <w:tcPr>
                  <w:tcW w:w="250" w:type="dxa"/>
                  <w:tcBorders>
                    <w:top w:val="single" w:sz="8" w:space="0" w:color="000000"/>
                    <w:left w:val="single" w:sz="8" w:space="0" w:color="000000"/>
                    <w:bottom w:val="single" w:sz="8" w:space="0" w:color="000000"/>
                  </w:tcBorders>
                  <w:shd w:val="clear" w:color="auto" w:fill="366091"/>
                  <w:vAlign w:val="center"/>
                </w:tcPr>
                <w:p w14:paraId="6714DCEE" w14:textId="77777777" w:rsidR="00600DEE" w:rsidRDefault="00600DEE">
                  <w:pPr>
                    <w:jc w:val="center"/>
                    <w:rPr>
                      <w:rFonts w:ascii="Calibri" w:eastAsia="Calibri" w:hAnsi="Calibri" w:cs="Calibri"/>
                      <w:b/>
                    </w:rPr>
                  </w:pPr>
                </w:p>
              </w:tc>
              <w:tc>
                <w:tcPr>
                  <w:tcW w:w="1450" w:type="dxa"/>
                  <w:tcBorders>
                    <w:top w:val="single" w:sz="8" w:space="0" w:color="000000"/>
                    <w:bottom w:val="single" w:sz="8" w:space="0" w:color="000000"/>
                  </w:tcBorders>
                  <w:shd w:val="clear" w:color="auto" w:fill="366091"/>
                  <w:vAlign w:val="center"/>
                </w:tcPr>
                <w:p w14:paraId="266C7D31" w14:textId="77777777" w:rsidR="00600DEE" w:rsidRDefault="00600DEE">
                  <w:pPr>
                    <w:jc w:val="center"/>
                    <w:rPr>
                      <w:rFonts w:ascii="Calibri" w:eastAsia="Calibri" w:hAnsi="Calibri" w:cs="Calibri"/>
                      <w:b/>
                    </w:rPr>
                  </w:pPr>
                </w:p>
              </w:tc>
              <w:tc>
                <w:tcPr>
                  <w:tcW w:w="422" w:type="dxa"/>
                  <w:tcBorders>
                    <w:top w:val="single" w:sz="8" w:space="0" w:color="000000"/>
                    <w:bottom w:val="single" w:sz="8" w:space="0" w:color="000000"/>
                  </w:tcBorders>
                  <w:shd w:val="clear" w:color="auto" w:fill="366091"/>
                  <w:vAlign w:val="center"/>
                </w:tcPr>
                <w:p w14:paraId="2B0B7567" w14:textId="77777777" w:rsidR="00600DEE" w:rsidRDefault="00600DEE">
                  <w:pPr>
                    <w:jc w:val="center"/>
                    <w:rPr>
                      <w:rFonts w:ascii="Calibri" w:eastAsia="Calibri" w:hAnsi="Calibri" w:cs="Calibri"/>
                    </w:rPr>
                  </w:pPr>
                </w:p>
              </w:tc>
              <w:tc>
                <w:tcPr>
                  <w:tcW w:w="2385" w:type="dxa"/>
                  <w:tcBorders>
                    <w:top w:val="single" w:sz="8" w:space="0" w:color="000000"/>
                    <w:bottom w:val="single" w:sz="8" w:space="0" w:color="000000"/>
                  </w:tcBorders>
                  <w:shd w:val="clear" w:color="auto" w:fill="366091"/>
                  <w:vAlign w:val="center"/>
                </w:tcPr>
                <w:p w14:paraId="71A3B786" w14:textId="77777777" w:rsidR="00600DEE" w:rsidRDefault="00641FB5">
                  <w:pPr>
                    <w:jc w:val="center"/>
                    <w:rPr>
                      <w:rFonts w:ascii="Calibri" w:eastAsia="Calibri" w:hAnsi="Calibri" w:cs="Calibri"/>
                      <w:b/>
                      <w:sz w:val="22"/>
                      <w:szCs w:val="22"/>
                    </w:rPr>
                  </w:pPr>
                  <w:r>
                    <w:rPr>
                      <w:rFonts w:ascii="Calibri" w:eastAsia="Calibri" w:hAnsi="Calibri" w:cs="Calibri"/>
                      <w:b/>
                      <w:color w:val="FFFFFF"/>
                      <w:sz w:val="22"/>
                      <w:szCs w:val="22"/>
                    </w:rPr>
                    <w:t>Faza IV</w:t>
                  </w:r>
                </w:p>
              </w:tc>
              <w:tc>
                <w:tcPr>
                  <w:tcW w:w="562" w:type="dxa"/>
                  <w:tcBorders>
                    <w:top w:val="single" w:sz="8" w:space="0" w:color="000000"/>
                    <w:bottom w:val="single" w:sz="8" w:space="0" w:color="000000"/>
                  </w:tcBorders>
                  <w:shd w:val="clear" w:color="auto" w:fill="366091"/>
                  <w:vAlign w:val="center"/>
                </w:tcPr>
                <w:p w14:paraId="30C477FB" w14:textId="77777777" w:rsidR="00600DEE" w:rsidRDefault="00600DEE">
                  <w:pPr>
                    <w:jc w:val="center"/>
                    <w:rPr>
                      <w:rFonts w:ascii="Calibri" w:eastAsia="Calibri" w:hAnsi="Calibri" w:cs="Calibri"/>
                    </w:rPr>
                  </w:pPr>
                </w:p>
              </w:tc>
              <w:tc>
                <w:tcPr>
                  <w:tcW w:w="2004" w:type="dxa"/>
                  <w:tcBorders>
                    <w:top w:val="single" w:sz="8" w:space="0" w:color="000000"/>
                    <w:bottom w:val="single" w:sz="8" w:space="0" w:color="000000"/>
                  </w:tcBorders>
                  <w:shd w:val="clear" w:color="auto" w:fill="366091"/>
                  <w:vAlign w:val="center"/>
                </w:tcPr>
                <w:p w14:paraId="7C3BAC06" w14:textId="77777777" w:rsidR="00600DEE" w:rsidRDefault="00600DEE">
                  <w:pPr>
                    <w:jc w:val="center"/>
                    <w:rPr>
                      <w:rFonts w:ascii="Calibri" w:eastAsia="Calibri" w:hAnsi="Calibri" w:cs="Calibri"/>
                    </w:rPr>
                  </w:pPr>
                </w:p>
              </w:tc>
              <w:tc>
                <w:tcPr>
                  <w:tcW w:w="251" w:type="dxa"/>
                  <w:tcBorders>
                    <w:top w:val="single" w:sz="8" w:space="0" w:color="000000"/>
                    <w:bottom w:val="single" w:sz="8" w:space="0" w:color="000000"/>
                    <w:right w:val="single" w:sz="8" w:space="0" w:color="000000"/>
                  </w:tcBorders>
                  <w:shd w:val="clear" w:color="auto" w:fill="366091"/>
                  <w:vAlign w:val="center"/>
                </w:tcPr>
                <w:p w14:paraId="18436C33" w14:textId="77777777" w:rsidR="00600DEE" w:rsidRDefault="00600DEE">
                  <w:pPr>
                    <w:jc w:val="center"/>
                    <w:rPr>
                      <w:rFonts w:ascii="Calibri" w:eastAsia="Calibri" w:hAnsi="Calibri" w:cs="Calibri"/>
                    </w:rPr>
                  </w:pPr>
                </w:p>
              </w:tc>
            </w:tr>
            <w:tr w:rsidR="00600DEE" w14:paraId="5F827CDC" w14:textId="77777777" w:rsidTr="00E12F72">
              <w:trPr>
                <w:trHeight w:val="60"/>
              </w:trPr>
              <w:tc>
                <w:tcPr>
                  <w:tcW w:w="250" w:type="dxa"/>
                  <w:tcBorders>
                    <w:top w:val="single" w:sz="8" w:space="0" w:color="000000"/>
                  </w:tcBorders>
                </w:tcPr>
                <w:p w14:paraId="618B153C" w14:textId="77777777" w:rsidR="00600DEE" w:rsidRDefault="00600DEE">
                  <w:pPr>
                    <w:rPr>
                      <w:rFonts w:ascii="Calibri" w:eastAsia="Calibri" w:hAnsi="Calibri" w:cs="Calibri"/>
                      <w:b/>
                    </w:rPr>
                  </w:pPr>
                </w:p>
              </w:tc>
              <w:tc>
                <w:tcPr>
                  <w:tcW w:w="1450" w:type="dxa"/>
                  <w:tcBorders>
                    <w:top w:val="single" w:sz="8" w:space="0" w:color="000000"/>
                  </w:tcBorders>
                </w:tcPr>
                <w:p w14:paraId="2FBA9602" w14:textId="77777777" w:rsidR="00600DEE" w:rsidRDefault="00600DEE">
                  <w:pPr>
                    <w:rPr>
                      <w:rFonts w:ascii="Calibri" w:eastAsia="Calibri" w:hAnsi="Calibri" w:cs="Calibri"/>
                      <w:b/>
                    </w:rPr>
                  </w:pPr>
                </w:p>
              </w:tc>
              <w:tc>
                <w:tcPr>
                  <w:tcW w:w="422" w:type="dxa"/>
                  <w:tcBorders>
                    <w:top w:val="single" w:sz="8" w:space="0" w:color="000000"/>
                  </w:tcBorders>
                </w:tcPr>
                <w:p w14:paraId="2419A431" w14:textId="77777777" w:rsidR="00600DEE" w:rsidRDefault="00600DEE">
                  <w:pPr>
                    <w:rPr>
                      <w:rFonts w:ascii="Calibri" w:eastAsia="Calibri" w:hAnsi="Calibri" w:cs="Calibri"/>
                    </w:rPr>
                  </w:pPr>
                </w:p>
              </w:tc>
              <w:tc>
                <w:tcPr>
                  <w:tcW w:w="2385" w:type="dxa"/>
                  <w:tcBorders>
                    <w:top w:val="single" w:sz="8" w:space="0" w:color="000000"/>
                  </w:tcBorders>
                </w:tcPr>
                <w:p w14:paraId="06BCC100" w14:textId="77777777" w:rsidR="00600DEE" w:rsidRDefault="00600DEE">
                  <w:pPr>
                    <w:rPr>
                      <w:rFonts w:ascii="Calibri" w:eastAsia="Calibri" w:hAnsi="Calibri" w:cs="Calibri"/>
                    </w:rPr>
                  </w:pPr>
                </w:p>
              </w:tc>
              <w:tc>
                <w:tcPr>
                  <w:tcW w:w="562" w:type="dxa"/>
                  <w:tcBorders>
                    <w:top w:val="single" w:sz="8" w:space="0" w:color="000000"/>
                  </w:tcBorders>
                </w:tcPr>
                <w:p w14:paraId="1244BE45" w14:textId="77777777" w:rsidR="00600DEE" w:rsidRDefault="00600DEE">
                  <w:pPr>
                    <w:rPr>
                      <w:rFonts w:ascii="Calibri" w:eastAsia="Calibri" w:hAnsi="Calibri" w:cs="Calibri"/>
                    </w:rPr>
                  </w:pPr>
                </w:p>
              </w:tc>
              <w:tc>
                <w:tcPr>
                  <w:tcW w:w="2004" w:type="dxa"/>
                  <w:tcBorders>
                    <w:top w:val="single" w:sz="8" w:space="0" w:color="000000"/>
                  </w:tcBorders>
                </w:tcPr>
                <w:p w14:paraId="7244296A" w14:textId="77777777" w:rsidR="00600DEE" w:rsidRDefault="00600DEE">
                  <w:pPr>
                    <w:rPr>
                      <w:rFonts w:ascii="Calibri" w:eastAsia="Calibri" w:hAnsi="Calibri" w:cs="Calibri"/>
                    </w:rPr>
                  </w:pPr>
                </w:p>
              </w:tc>
              <w:tc>
                <w:tcPr>
                  <w:tcW w:w="251" w:type="dxa"/>
                  <w:tcBorders>
                    <w:top w:val="single" w:sz="8" w:space="0" w:color="000000"/>
                  </w:tcBorders>
                </w:tcPr>
                <w:p w14:paraId="3BF5CB3B" w14:textId="77777777" w:rsidR="00600DEE" w:rsidRDefault="00600DEE">
                  <w:pPr>
                    <w:rPr>
                      <w:rFonts w:ascii="Calibri" w:eastAsia="Calibri" w:hAnsi="Calibri" w:cs="Calibri"/>
                    </w:rPr>
                  </w:pPr>
                </w:p>
              </w:tc>
            </w:tr>
            <w:tr w:rsidR="00600DEE" w14:paraId="46F83294" w14:textId="77777777" w:rsidTr="00E12F72">
              <w:trPr>
                <w:trHeight w:hRule="exact" w:val="1531"/>
              </w:trPr>
              <w:tc>
                <w:tcPr>
                  <w:tcW w:w="250" w:type="dxa"/>
                </w:tcPr>
                <w:p w14:paraId="2BFCE960" w14:textId="77777777" w:rsidR="00600DEE" w:rsidRDefault="00600DEE">
                  <w:pPr>
                    <w:rPr>
                      <w:rFonts w:ascii="Calibri" w:eastAsia="Calibri" w:hAnsi="Calibri" w:cs="Calibri"/>
                      <w:b/>
                    </w:rPr>
                  </w:pPr>
                </w:p>
              </w:tc>
              <w:tc>
                <w:tcPr>
                  <w:tcW w:w="1450" w:type="dxa"/>
                  <w:shd w:val="clear" w:color="auto" w:fill="F2F2F2"/>
                  <w:vAlign w:val="center"/>
                </w:tcPr>
                <w:p w14:paraId="2091DF78" w14:textId="77777777" w:rsidR="00600DEE" w:rsidRDefault="00641FB5">
                  <w:pPr>
                    <w:ind w:right="170"/>
                    <w:rPr>
                      <w:rFonts w:ascii="Calibri" w:eastAsia="Calibri" w:hAnsi="Calibri" w:cs="Calibri"/>
                      <w:b/>
                    </w:rPr>
                  </w:pPr>
                  <w:r>
                    <w:rPr>
                      <w:rFonts w:ascii="Calibri" w:eastAsia="Calibri" w:hAnsi="Calibri" w:cs="Calibri"/>
                      <w:b/>
                      <w:sz w:val="16"/>
                      <w:szCs w:val="16"/>
                    </w:rPr>
                    <w:t xml:space="preserve">Ocena ryzyka </w:t>
                  </w:r>
                </w:p>
              </w:tc>
              <w:tc>
                <w:tcPr>
                  <w:tcW w:w="422" w:type="dxa"/>
                </w:tcPr>
                <w:p w14:paraId="1736BF09" w14:textId="77777777" w:rsidR="00600DEE" w:rsidRDefault="00641FB5">
                  <w:pPr>
                    <w:rPr>
                      <w:rFonts w:ascii="Calibri" w:eastAsia="Calibri" w:hAnsi="Calibri" w:cs="Calibri"/>
                    </w:rPr>
                  </w:pPr>
                  <w:r>
                    <w:rPr>
                      <w:noProof/>
                      <w:lang w:eastAsia="pl-PL"/>
                    </w:rPr>
                    <mc:AlternateContent>
                      <mc:Choice Requires="wps">
                        <w:drawing>
                          <wp:anchor distT="0" distB="0" distL="114300" distR="114300" simplePos="0" relativeHeight="251715584" behindDoc="0" locked="0" layoutInCell="1" hidden="0" allowOverlap="1" wp14:anchorId="54DF667C" wp14:editId="196B83B5">
                            <wp:simplePos x="0" y="0"/>
                            <wp:positionH relativeFrom="column">
                              <wp:posOffset>1</wp:posOffset>
                            </wp:positionH>
                            <wp:positionV relativeFrom="paragraph">
                              <wp:posOffset>266700</wp:posOffset>
                            </wp:positionV>
                            <wp:extent cx="263000" cy="248600"/>
                            <wp:effectExtent l="0" t="0" r="0" b="0"/>
                            <wp:wrapNone/>
                            <wp:docPr id="488" name="Strzałka: w prawo 488"/>
                            <wp:cNvGraphicFramePr/>
                            <a:graphic xmlns:a="http://schemas.openxmlformats.org/drawingml/2006/main">
                              <a:graphicData uri="http://schemas.microsoft.com/office/word/2010/wordprocessingShape">
                                <wps:wsp>
                                  <wps:cNvSpPr/>
                                  <wps:spPr>
                                    <a:xfrm>
                                      <a:off x="5227200" y="3668400"/>
                                      <a:ext cx="237600" cy="223200"/>
                                    </a:xfrm>
                                    <a:prstGeom prst="rightArrow">
                                      <a:avLst>
                                        <a:gd name="adj1" fmla="val 50000"/>
                                        <a:gd name="adj2" fmla="val 50000"/>
                                      </a:avLst>
                                    </a:prstGeom>
                                    <a:solidFill>
                                      <a:srgbClr val="366092"/>
                                    </a:solidFill>
                                    <a:ln w="25400" cap="flat" cmpd="sng">
                                      <a:solidFill>
                                        <a:srgbClr val="17365D"/>
                                      </a:solidFill>
                                      <a:prstDash val="solid"/>
                                      <a:round/>
                                      <a:headEnd type="none" w="sm" len="sm"/>
                                      <a:tailEnd type="none" w="sm" len="sm"/>
                                    </a:ln>
                                  </wps:spPr>
                                  <wps:txbx>
                                    <w:txbxContent>
                                      <w:p w14:paraId="44187A89"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DF667C" id="Strzałka: w prawo 488" o:spid="_x0000_s1056" type="#_x0000_t13" style="position:absolute;margin-left:0;margin-top:21pt;width:20.7pt;height:19.5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" adj="11455" fillcolor="#366092" strokecolor="#17365d" strokeweight="2pt">
                            <v:stroke startarrowwidth="narrow" startarrowlength="short" endarrowwidth="narrow" endarrowlength="short" joinstyle="round"/>
                            <v:textbox inset="2.53958mm,2.53958mm,2.53958mm,2.53958mm">
                              <w:txbxContent>
                                <w:p w14:paraId="44187A89" w14:textId="77777777" w:rsidR="007463B9" w:rsidRDefault="007463B9">
                                  <w:pPr>
                                    <w:textDirection w:val="btLr"/>
                                  </w:pPr>
                                </w:p>
                              </w:txbxContent>
                            </v:textbox>
                          </v:shape>
                        </w:pict>
                      </mc:Fallback>
                    </mc:AlternateContent>
                  </w:r>
                  <w:r>
                    <w:rPr>
                      <w:noProof/>
                      <w:lang w:eastAsia="pl-PL"/>
                    </w:rPr>
                    <mc:AlternateContent>
                      <mc:Choice Requires="wps">
                        <w:drawing>
                          <wp:anchor distT="0" distB="0" distL="114300" distR="114300" simplePos="0" relativeHeight="251716608" behindDoc="0" locked="0" layoutInCell="1" hidden="0" allowOverlap="1" wp14:anchorId="4CA8765E" wp14:editId="75D1D627">
                            <wp:simplePos x="0" y="0"/>
                            <wp:positionH relativeFrom="column">
                              <wp:posOffset>1701800</wp:posOffset>
                            </wp:positionH>
                            <wp:positionV relativeFrom="paragraph">
                              <wp:posOffset>266700</wp:posOffset>
                            </wp:positionV>
                            <wp:extent cx="262586" cy="248036"/>
                            <wp:effectExtent l="0" t="0" r="0" b="0"/>
                            <wp:wrapNone/>
                            <wp:docPr id="493" name="Strzałka: w prawo 493"/>
                            <wp:cNvGraphicFramePr/>
                            <a:graphic xmlns:a="http://schemas.openxmlformats.org/drawingml/2006/main">
                              <a:graphicData uri="http://schemas.microsoft.com/office/word/2010/wordprocessingShape">
                                <wps:wsp>
                                  <wps:cNvSpPr/>
                                  <wps:spPr>
                                    <a:xfrm>
                                      <a:off x="5227407" y="3668682"/>
                                      <a:ext cx="237186" cy="222636"/>
                                    </a:xfrm>
                                    <a:prstGeom prst="rightArrow">
                                      <a:avLst>
                                        <a:gd name="adj1" fmla="val 50000"/>
                                        <a:gd name="adj2" fmla="val 50000"/>
                                      </a:avLst>
                                    </a:prstGeom>
                                    <a:solidFill>
                                      <a:srgbClr val="366092"/>
                                    </a:solidFill>
                                    <a:ln w="25400" cap="flat" cmpd="sng">
                                      <a:solidFill>
                                        <a:srgbClr val="17365D"/>
                                      </a:solidFill>
                                      <a:prstDash val="solid"/>
                                      <a:round/>
                                      <a:headEnd type="none" w="sm" len="sm"/>
                                      <a:tailEnd type="none" w="sm" len="sm"/>
                                    </a:ln>
                                  </wps:spPr>
                                  <wps:txbx>
                                    <w:txbxContent>
                                      <w:p w14:paraId="7C24C01F"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A8765E" id="Strzałka: w prawo 493" o:spid="_x0000_s1057" type="#_x0000_t13" style="position:absolute;margin-left:134pt;margin-top:21pt;width:20.7pt;height:19.5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" adj="11463" fillcolor="#366092" strokecolor="#17365d" strokeweight="2pt">
                            <v:stroke startarrowwidth="narrow" startarrowlength="short" endarrowwidth="narrow" endarrowlength="short" joinstyle="round"/>
                            <v:textbox inset="2.53958mm,2.53958mm,2.53958mm,2.53958mm">
                              <w:txbxContent>
                                <w:p w14:paraId="7C24C01F" w14:textId="77777777" w:rsidR="007463B9" w:rsidRDefault="007463B9">
                                  <w:pPr>
                                    <w:textDirection w:val="btLr"/>
                                  </w:pPr>
                                </w:p>
                              </w:txbxContent>
                            </v:textbox>
                          </v:shape>
                        </w:pict>
                      </mc:Fallback>
                    </mc:AlternateContent>
                  </w:r>
                </w:p>
              </w:tc>
              <w:tc>
                <w:tcPr>
                  <w:tcW w:w="2385" w:type="dxa"/>
                  <w:vAlign w:val="center"/>
                </w:tcPr>
                <w:p w14:paraId="2A4B77D7" w14:textId="77777777" w:rsidR="00600DEE" w:rsidRDefault="00641FB5">
                  <w:pPr>
                    <w:ind w:right="170"/>
                    <w:rPr>
                      <w:rFonts w:ascii="Calibri" w:eastAsia="Calibri" w:hAnsi="Calibri" w:cs="Calibri"/>
                      <w:sz w:val="14"/>
                      <w:szCs w:val="14"/>
                    </w:rPr>
                  </w:pPr>
                  <w:r>
                    <w:rPr>
                      <w:rFonts w:ascii="Calibri" w:eastAsia="Calibri" w:hAnsi="Calibri" w:cs="Calibri"/>
                      <w:sz w:val="14"/>
                      <w:szCs w:val="14"/>
                    </w:rPr>
                    <w:t xml:space="preserve">- Analiza wrażliwości </w:t>
                  </w:r>
                </w:p>
                <w:p w14:paraId="2C413618" w14:textId="77777777" w:rsidR="00600DEE" w:rsidRDefault="00641FB5">
                  <w:pPr>
                    <w:ind w:right="170"/>
                    <w:rPr>
                      <w:rFonts w:ascii="Calibri" w:eastAsia="Calibri" w:hAnsi="Calibri" w:cs="Calibri"/>
                      <w:sz w:val="14"/>
                      <w:szCs w:val="14"/>
                    </w:rPr>
                  </w:pPr>
                  <w:r>
                    <w:rPr>
                      <w:rFonts w:ascii="Calibri" w:eastAsia="Calibri" w:hAnsi="Calibri" w:cs="Calibri"/>
                      <w:sz w:val="14"/>
                      <w:szCs w:val="14"/>
                    </w:rPr>
                    <w:t xml:space="preserve">- Analiza ryzyka </w:t>
                  </w:r>
                </w:p>
              </w:tc>
              <w:tc>
                <w:tcPr>
                  <w:tcW w:w="562" w:type="dxa"/>
                </w:tcPr>
                <w:p w14:paraId="5CC4F907" w14:textId="77777777" w:rsidR="00600DEE" w:rsidRDefault="00600DEE">
                  <w:pPr>
                    <w:rPr>
                      <w:rFonts w:ascii="Calibri" w:eastAsia="Calibri" w:hAnsi="Calibri" w:cs="Calibri"/>
                    </w:rPr>
                  </w:pPr>
                </w:p>
              </w:tc>
              <w:tc>
                <w:tcPr>
                  <w:tcW w:w="2004" w:type="dxa"/>
                  <w:shd w:val="clear" w:color="auto" w:fill="A6A6A6"/>
                  <w:vAlign w:val="center"/>
                </w:tcPr>
                <w:p w14:paraId="0B92783C" w14:textId="77777777" w:rsidR="00600DEE" w:rsidRDefault="00641FB5">
                  <w:pPr>
                    <w:ind w:right="181"/>
                    <w:rPr>
                      <w:rFonts w:ascii="Calibri" w:eastAsia="Calibri" w:hAnsi="Calibri" w:cs="Calibri"/>
                      <w:sz w:val="13"/>
                      <w:szCs w:val="13"/>
                    </w:rPr>
                  </w:pPr>
                  <w:r>
                    <w:rPr>
                      <w:rFonts w:ascii="Calibri" w:eastAsia="Calibri" w:hAnsi="Calibri" w:cs="Calibri"/>
                      <w:sz w:val="13"/>
                      <w:szCs w:val="13"/>
                    </w:rPr>
                    <w:t xml:space="preserve">- Ocena wrażliwości rezultatów projektu na zmiany (dla zmiennych kluczowych oraz identyfikacja zmiennych krytycznych w tym wartości progowe) </w:t>
                  </w:r>
                </w:p>
                <w:p w14:paraId="0D1B3E7D" w14:textId="77777777" w:rsidR="00600DEE" w:rsidRDefault="00641FB5">
                  <w:pPr>
                    <w:ind w:right="170"/>
                    <w:rPr>
                      <w:rFonts w:ascii="Calibri" w:eastAsia="Calibri" w:hAnsi="Calibri" w:cs="Calibri"/>
                      <w:sz w:val="16"/>
                      <w:szCs w:val="16"/>
                    </w:rPr>
                  </w:pPr>
                  <w:r>
                    <w:rPr>
                      <w:rFonts w:ascii="Calibri" w:eastAsia="Calibri" w:hAnsi="Calibri" w:cs="Calibri"/>
                      <w:sz w:val="13"/>
                      <w:szCs w:val="13"/>
                    </w:rPr>
                    <w:t>- Omówienie obszarów ryzyka związanych z projektem</w:t>
                  </w:r>
                </w:p>
              </w:tc>
              <w:tc>
                <w:tcPr>
                  <w:tcW w:w="251" w:type="dxa"/>
                </w:tcPr>
                <w:p w14:paraId="6938E6B9" w14:textId="77777777" w:rsidR="00600DEE" w:rsidRDefault="00600DEE">
                  <w:pPr>
                    <w:rPr>
                      <w:rFonts w:ascii="Calibri" w:eastAsia="Calibri" w:hAnsi="Calibri" w:cs="Calibri"/>
                    </w:rPr>
                  </w:pPr>
                </w:p>
              </w:tc>
            </w:tr>
            <w:tr w:rsidR="00600DEE" w14:paraId="2F544846" w14:textId="77777777" w:rsidTr="00E12F72">
              <w:trPr>
                <w:trHeight w:val="79"/>
              </w:trPr>
              <w:tc>
                <w:tcPr>
                  <w:tcW w:w="250" w:type="dxa"/>
                </w:tcPr>
                <w:p w14:paraId="3AB93CC5" w14:textId="77777777" w:rsidR="00600DEE" w:rsidRDefault="00600DEE">
                  <w:pPr>
                    <w:rPr>
                      <w:rFonts w:ascii="Calibri" w:eastAsia="Calibri" w:hAnsi="Calibri" w:cs="Calibri"/>
                    </w:rPr>
                  </w:pPr>
                </w:p>
              </w:tc>
              <w:tc>
                <w:tcPr>
                  <w:tcW w:w="1450" w:type="dxa"/>
                </w:tcPr>
                <w:p w14:paraId="6F5D25B5" w14:textId="77777777" w:rsidR="00600DEE" w:rsidRDefault="00600DEE">
                  <w:pPr>
                    <w:rPr>
                      <w:rFonts w:ascii="Calibri" w:eastAsia="Calibri" w:hAnsi="Calibri" w:cs="Calibri"/>
                    </w:rPr>
                  </w:pPr>
                </w:p>
              </w:tc>
              <w:tc>
                <w:tcPr>
                  <w:tcW w:w="422" w:type="dxa"/>
                </w:tcPr>
                <w:p w14:paraId="637C9048" w14:textId="77777777" w:rsidR="00600DEE" w:rsidRDefault="00600DEE">
                  <w:pPr>
                    <w:rPr>
                      <w:rFonts w:ascii="Calibri" w:eastAsia="Calibri" w:hAnsi="Calibri" w:cs="Calibri"/>
                    </w:rPr>
                  </w:pPr>
                </w:p>
              </w:tc>
              <w:tc>
                <w:tcPr>
                  <w:tcW w:w="2385" w:type="dxa"/>
                </w:tcPr>
                <w:p w14:paraId="3CB7F9FD" w14:textId="77777777" w:rsidR="00600DEE" w:rsidRDefault="00600DEE">
                  <w:pPr>
                    <w:rPr>
                      <w:rFonts w:ascii="Calibri" w:eastAsia="Calibri" w:hAnsi="Calibri" w:cs="Calibri"/>
                    </w:rPr>
                  </w:pPr>
                </w:p>
              </w:tc>
              <w:tc>
                <w:tcPr>
                  <w:tcW w:w="562" w:type="dxa"/>
                </w:tcPr>
                <w:p w14:paraId="78FE44F6" w14:textId="77777777" w:rsidR="00600DEE" w:rsidRDefault="00600DEE">
                  <w:pPr>
                    <w:rPr>
                      <w:rFonts w:ascii="Calibri" w:eastAsia="Calibri" w:hAnsi="Calibri" w:cs="Calibri"/>
                    </w:rPr>
                  </w:pPr>
                </w:p>
              </w:tc>
              <w:tc>
                <w:tcPr>
                  <w:tcW w:w="2004" w:type="dxa"/>
                </w:tcPr>
                <w:p w14:paraId="4DA87A57" w14:textId="77777777" w:rsidR="00600DEE" w:rsidRDefault="00600DEE">
                  <w:pPr>
                    <w:rPr>
                      <w:rFonts w:ascii="Calibri" w:eastAsia="Calibri" w:hAnsi="Calibri" w:cs="Calibri"/>
                    </w:rPr>
                  </w:pPr>
                </w:p>
              </w:tc>
              <w:tc>
                <w:tcPr>
                  <w:tcW w:w="251" w:type="dxa"/>
                </w:tcPr>
                <w:p w14:paraId="536A47E0" w14:textId="77777777" w:rsidR="00600DEE" w:rsidRDefault="00600DEE">
                  <w:pPr>
                    <w:rPr>
                      <w:rFonts w:ascii="Calibri" w:eastAsia="Calibri" w:hAnsi="Calibri" w:cs="Calibri"/>
                    </w:rPr>
                  </w:pPr>
                </w:p>
              </w:tc>
            </w:tr>
            <w:tr w:rsidR="00600DEE" w14:paraId="1B842348" w14:textId="77777777" w:rsidTr="00E12F72">
              <w:trPr>
                <w:trHeight w:hRule="exact" w:val="340"/>
              </w:trPr>
              <w:tc>
                <w:tcPr>
                  <w:tcW w:w="250" w:type="dxa"/>
                  <w:tcBorders>
                    <w:top w:val="nil"/>
                    <w:left w:val="nil"/>
                    <w:bottom w:val="nil"/>
                    <w:right w:val="nil"/>
                  </w:tcBorders>
                  <w:shd w:val="clear" w:color="auto" w:fill="999999"/>
                </w:tcPr>
                <w:p w14:paraId="4F656E7C" w14:textId="77777777" w:rsidR="00600DEE" w:rsidRDefault="00600DEE">
                  <w:pPr>
                    <w:rPr>
                      <w:rFonts w:ascii="Calibri" w:eastAsia="Calibri" w:hAnsi="Calibri" w:cs="Calibri"/>
                    </w:rPr>
                  </w:pPr>
                </w:p>
              </w:tc>
              <w:tc>
                <w:tcPr>
                  <w:tcW w:w="1450" w:type="dxa"/>
                  <w:tcBorders>
                    <w:top w:val="nil"/>
                    <w:left w:val="nil"/>
                    <w:bottom w:val="nil"/>
                    <w:right w:val="nil"/>
                  </w:tcBorders>
                  <w:shd w:val="clear" w:color="auto" w:fill="999999"/>
                </w:tcPr>
                <w:p w14:paraId="014C68B6" w14:textId="77777777" w:rsidR="00600DEE" w:rsidRDefault="00600DEE">
                  <w:pPr>
                    <w:rPr>
                      <w:rFonts w:ascii="Calibri" w:eastAsia="Calibri" w:hAnsi="Calibri" w:cs="Calibri"/>
                    </w:rPr>
                  </w:pPr>
                </w:p>
              </w:tc>
              <w:tc>
                <w:tcPr>
                  <w:tcW w:w="422" w:type="dxa"/>
                  <w:tcBorders>
                    <w:top w:val="nil"/>
                    <w:left w:val="nil"/>
                    <w:bottom w:val="nil"/>
                    <w:right w:val="nil"/>
                  </w:tcBorders>
                  <w:shd w:val="clear" w:color="auto" w:fill="999999"/>
                </w:tcPr>
                <w:p w14:paraId="6B59C38A" w14:textId="77777777" w:rsidR="00600DEE" w:rsidRDefault="00600DEE">
                  <w:pPr>
                    <w:rPr>
                      <w:rFonts w:ascii="Calibri" w:eastAsia="Calibri" w:hAnsi="Calibri" w:cs="Calibri"/>
                    </w:rPr>
                  </w:pPr>
                </w:p>
              </w:tc>
              <w:tc>
                <w:tcPr>
                  <w:tcW w:w="2385" w:type="dxa"/>
                  <w:tcBorders>
                    <w:top w:val="nil"/>
                    <w:left w:val="nil"/>
                    <w:bottom w:val="nil"/>
                    <w:right w:val="nil"/>
                  </w:tcBorders>
                  <w:shd w:val="clear" w:color="auto" w:fill="999999"/>
                </w:tcPr>
                <w:p w14:paraId="6DAF7287" w14:textId="77777777" w:rsidR="00600DEE" w:rsidRDefault="00600DEE">
                  <w:pPr>
                    <w:rPr>
                      <w:rFonts w:ascii="Calibri" w:eastAsia="Calibri" w:hAnsi="Calibri" w:cs="Calibri"/>
                    </w:rPr>
                  </w:pPr>
                </w:p>
              </w:tc>
              <w:tc>
                <w:tcPr>
                  <w:tcW w:w="562" w:type="dxa"/>
                  <w:tcBorders>
                    <w:top w:val="nil"/>
                    <w:left w:val="nil"/>
                    <w:bottom w:val="nil"/>
                    <w:right w:val="nil"/>
                  </w:tcBorders>
                  <w:shd w:val="clear" w:color="auto" w:fill="999999"/>
                </w:tcPr>
                <w:p w14:paraId="7EC991E9" w14:textId="77777777" w:rsidR="00600DEE" w:rsidRDefault="00600DEE">
                  <w:pPr>
                    <w:rPr>
                      <w:rFonts w:ascii="Calibri" w:eastAsia="Calibri" w:hAnsi="Calibri" w:cs="Calibri"/>
                    </w:rPr>
                  </w:pPr>
                </w:p>
              </w:tc>
              <w:tc>
                <w:tcPr>
                  <w:tcW w:w="2004" w:type="dxa"/>
                  <w:tcBorders>
                    <w:top w:val="nil"/>
                    <w:left w:val="nil"/>
                    <w:bottom w:val="nil"/>
                    <w:right w:val="nil"/>
                  </w:tcBorders>
                  <w:shd w:val="clear" w:color="auto" w:fill="999999"/>
                </w:tcPr>
                <w:p w14:paraId="15EF9501" w14:textId="77777777" w:rsidR="00600DEE" w:rsidRDefault="00600DEE">
                  <w:pPr>
                    <w:rPr>
                      <w:rFonts w:ascii="Calibri" w:eastAsia="Calibri" w:hAnsi="Calibri" w:cs="Calibri"/>
                    </w:rPr>
                  </w:pPr>
                </w:p>
              </w:tc>
              <w:tc>
                <w:tcPr>
                  <w:tcW w:w="251" w:type="dxa"/>
                  <w:tcBorders>
                    <w:top w:val="nil"/>
                    <w:left w:val="nil"/>
                    <w:bottom w:val="nil"/>
                    <w:right w:val="nil"/>
                  </w:tcBorders>
                  <w:shd w:val="clear" w:color="auto" w:fill="999999"/>
                </w:tcPr>
                <w:p w14:paraId="2333F67F" w14:textId="77777777" w:rsidR="00600DEE" w:rsidRDefault="00600DEE">
                  <w:pPr>
                    <w:rPr>
                      <w:rFonts w:ascii="Calibri" w:eastAsia="Calibri" w:hAnsi="Calibri" w:cs="Calibri"/>
                    </w:rPr>
                  </w:pPr>
                </w:p>
              </w:tc>
            </w:tr>
          </w:tbl>
          <w:p w14:paraId="374A3D06" w14:textId="77777777" w:rsidR="00600DEE" w:rsidRDefault="00641FB5">
            <w:pPr>
              <w:keepNext/>
              <w:pBdr>
                <w:top w:val="nil"/>
                <w:left w:val="nil"/>
                <w:bottom w:val="nil"/>
                <w:right w:val="nil"/>
                <w:between w:val="nil"/>
              </w:pBdr>
              <w:tabs>
                <w:tab w:val="left" w:pos="720"/>
                <w:tab w:val="left" w:pos="0"/>
              </w:tabs>
              <w:spacing w:before="120" w:after="120"/>
              <w:rPr>
                <w:rFonts w:ascii="Calibri" w:eastAsia="Calibri" w:hAnsi="Calibri" w:cs="Calibri"/>
                <w:b/>
                <w:i/>
                <w:color w:val="000000"/>
                <w:sz w:val="16"/>
                <w:szCs w:val="16"/>
              </w:rPr>
            </w:pPr>
            <w:r>
              <w:rPr>
                <w:rFonts w:ascii="Calibri" w:eastAsia="Calibri" w:hAnsi="Calibri" w:cs="Calibri"/>
                <w:b/>
                <w:i/>
                <w:color w:val="000000"/>
                <w:sz w:val="16"/>
                <w:szCs w:val="16"/>
              </w:rPr>
              <w:t>Źródło: opracowanie własne.</w:t>
            </w:r>
          </w:p>
          <w:p w14:paraId="3613EE0A" w14:textId="77777777" w:rsidR="00600DEE" w:rsidRDefault="00641FB5">
            <w:pPr>
              <w:spacing w:after="100"/>
              <w:jc w:val="both"/>
              <w:rPr>
                <w:rFonts w:ascii="Calibri" w:eastAsia="Calibri" w:hAnsi="Calibri" w:cs="Calibri"/>
                <w:color w:val="222222"/>
                <w:sz w:val="22"/>
                <w:szCs w:val="22"/>
              </w:rPr>
            </w:pPr>
            <w:r>
              <w:rPr>
                <w:rFonts w:ascii="Calibri" w:eastAsia="Calibri" w:hAnsi="Calibri" w:cs="Calibri"/>
                <w:i/>
                <w:sz w:val="20"/>
                <w:szCs w:val="20"/>
              </w:rPr>
              <w:t>NB:</w:t>
            </w:r>
            <w:r>
              <w:rPr>
                <w:rFonts w:ascii="Calibri" w:eastAsia="Calibri" w:hAnsi="Calibri" w:cs="Calibri"/>
                <w:sz w:val="20"/>
                <w:szCs w:val="20"/>
              </w:rPr>
              <w:t xml:space="preserve"> </w:t>
            </w:r>
            <w:r>
              <w:rPr>
                <w:rFonts w:ascii="Calibri" w:eastAsia="Calibri" w:hAnsi="Calibri" w:cs="Calibri"/>
                <w:color w:val="222222"/>
                <w:sz w:val="20"/>
                <w:szCs w:val="20"/>
              </w:rPr>
              <w:t>Dla projektów drogowych w miastach mogą mieć zastosowanie wskazówki zawarte w ‘’Niebieskiej Księdze dla Transportu Publicznego’’ (zwłaszcza w odniesieniu do sposobu modelowania i prognozowania ruchu), w przypadku, gdy spodziewany jest znaczący wpływ projektu drogowego na rozkład ruchu na sieć oraz podział zadań przewozowych w transporcie publicznym.</w:t>
            </w:r>
          </w:p>
        </w:tc>
        <w:tc>
          <w:tcPr>
            <w:tcW w:w="7365" w:type="dxa"/>
            <w:tcBorders>
              <w:left w:val="single" w:sz="4" w:space="0" w:color="000000"/>
            </w:tcBorders>
            <w:tcMar>
              <w:left w:w="284" w:type="dxa"/>
              <w:right w:w="284" w:type="dxa"/>
            </w:tcMar>
          </w:tcPr>
          <w:p w14:paraId="4EA7E979" w14:textId="77E677DF" w:rsidR="00600DEE" w:rsidRPr="0045151D" w:rsidRDefault="00641FB5" w:rsidP="00E12F72">
            <w:pPr>
              <w:keepNext/>
              <w:pBdr>
                <w:top w:val="nil"/>
                <w:left w:val="nil"/>
                <w:bottom w:val="nil"/>
                <w:right w:val="nil"/>
                <w:between w:val="nil"/>
              </w:pBdr>
              <w:tabs>
                <w:tab w:val="left" w:pos="720"/>
                <w:tab w:val="left" w:pos="796"/>
              </w:tabs>
              <w:ind w:right="28"/>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lastRenderedPageBreak/>
              <w:t>Figure 2. Diagram of cost-benefit analysis, with key actions and their results</w:t>
            </w:r>
          </w:p>
          <w:p w14:paraId="5F91B01A" w14:textId="77777777" w:rsidR="00E12F72" w:rsidRPr="0045151D" w:rsidRDefault="00E12F72" w:rsidP="00E12F72">
            <w:pPr>
              <w:keepNext/>
              <w:pBdr>
                <w:top w:val="nil"/>
                <w:left w:val="nil"/>
                <w:bottom w:val="nil"/>
                <w:right w:val="nil"/>
                <w:between w:val="nil"/>
              </w:pBdr>
              <w:tabs>
                <w:tab w:val="left" w:pos="720"/>
                <w:tab w:val="left" w:pos="796"/>
              </w:tabs>
              <w:ind w:right="28"/>
              <w:rPr>
                <w:rFonts w:ascii="Calibri" w:eastAsia="Calibri" w:hAnsi="Calibri" w:cs="Calibri"/>
                <w:b/>
                <w:color w:val="4F81BD"/>
                <w:sz w:val="20"/>
                <w:szCs w:val="20"/>
                <w:lang w:val="en-GB"/>
              </w:rPr>
            </w:pPr>
          </w:p>
          <w:tbl>
            <w:tblPr>
              <w:tblStyle w:val="a4"/>
              <w:tblW w:w="7053" w:type="dxa"/>
              <w:tblLayout w:type="fixed"/>
              <w:tblLook w:val="0000" w:firstRow="0" w:lastRow="0" w:firstColumn="0" w:lastColumn="0" w:noHBand="0" w:noVBand="0"/>
            </w:tblPr>
            <w:tblGrid>
              <w:gridCol w:w="251"/>
              <w:gridCol w:w="1425"/>
              <w:gridCol w:w="555"/>
              <w:gridCol w:w="2308"/>
              <w:gridCol w:w="566"/>
              <w:gridCol w:w="1698"/>
              <w:gridCol w:w="250"/>
            </w:tblGrid>
            <w:tr w:rsidR="00600DEE" w:rsidRPr="008C4407" w14:paraId="2165E84D" w14:textId="77777777" w:rsidTr="00E12F72">
              <w:trPr>
                <w:trHeight w:val="195"/>
              </w:trPr>
              <w:tc>
                <w:tcPr>
                  <w:tcW w:w="251" w:type="dxa"/>
                  <w:tcBorders>
                    <w:top w:val="nil"/>
                    <w:left w:val="nil"/>
                    <w:bottom w:val="nil"/>
                    <w:right w:val="nil"/>
                  </w:tcBorders>
                  <w:shd w:val="clear" w:color="auto" w:fill="999999"/>
                </w:tcPr>
                <w:p w14:paraId="1AB4AE49" w14:textId="77777777" w:rsidR="00600DEE" w:rsidRPr="0045151D" w:rsidRDefault="00600DEE">
                  <w:pPr>
                    <w:rPr>
                      <w:rFonts w:ascii="Calibri" w:eastAsia="Calibri" w:hAnsi="Calibri" w:cs="Calibri"/>
                      <w:lang w:val="en-GB"/>
                    </w:rPr>
                  </w:pPr>
                </w:p>
              </w:tc>
              <w:tc>
                <w:tcPr>
                  <w:tcW w:w="1425" w:type="dxa"/>
                  <w:tcBorders>
                    <w:top w:val="nil"/>
                    <w:left w:val="nil"/>
                    <w:bottom w:val="nil"/>
                    <w:right w:val="nil"/>
                  </w:tcBorders>
                  <w:shd w:val="clear" w:color="auto" w:fill="999999"/>
                </w:tcPr>
                <w:p w14:paraId="208EEC81" w14:textId="77777777" w:rsidR="00600DEE" w:rsidRPr="0045151D" w:rsidRDefault="00600DEE">
                  <w:pPr>
                    <w:rPr>
                      <w:rFonts w:ascii="Calibri" w:eastAsia="Calibri" w:hAnsi="Calibri" w:cs="Calibri"/>
                      <w:lang w:val="en-GB"/>
                    </w:rPr>
                  </w:pPr>
                </w:p>
              </w:tc>
              <w:tc>
                <w:tcPr>
                  <w:tcW w:w="555" w:type="dxa"/>
                  <w:tcBorders>
                    <w:top w:val="nil"/>
                    <w:left w:val="nil"/>
                    <w:bottom w:val="nil"/>
                    <w:right w:val="nil"/>
                  </w:tcBorders>
                  <w:shd w:val="clear" w:color="auto" w:fill="999999"/>
                </w:tcPr>
                <w:p w14:paraId="2613DD5E" w14:textId="77777777" w:rsidR="00600DEE" w:rsidRPr="0045151D" w:rsidRDefault="00600DEE">
                  <w:pPr>
                    <w:rPr>
                      <w:rFonts w:ascii="Calibri" w:eastAsia="Calibri" w:hAnsi="Calibri" w:cs="Calibri"/>
                      <w:lang w:val="en-GB"/>
                    </w:rPr>
                  </w:pPr>
                </w:p>
              </w:tc>
              <w:tc>
                <w:tcPr>
                  <w:tcW w:w="2308" w:type="dxa"/>
                  <w:tcBorders>
                    <w:top w:val="nil"/>
                    <w:left w:val="nil"/>
                    <w:bottom w:val="nil"/>
                    <w:right w:val="nil"/>
                  </w:tcBorders>
                  <w:shd w:val="clear" w:color="auto" w:fill="999999"/>
                </w:tcPr>
                <w:p w14:paraId="63202415" w14:textId="77777777" w:rsidR="00600DEE" w:rsidRPr="0045151D" w:rsidRDefault="00600DEE">
                  <w:pPr>
                    <w:rPr>
                      <w:rFonts w:ascii="Calibri" w:eastAsia="Calibri" w:hAnsi="Calibri" w:cs="Calibri"/>
                      <w:lang w:val="en-GB"/>
                    </w:rPr>
                  </w:pPr>
                </w:p>
              </w:tc>
              <w:tc>
                <w:tcPr>
                  <w:tcW w:w="566" w:type="dxa"/>
                  <w:tcBorders>
                    <w:top w:val="nil"/>
                    <w:left w:val="nil"/>
                    <w:bottom w:val="nil"/>
                    <w:right w:val="nil"/>
                  </w:tcBorders>
                  <w:shd w:val="clear" w:color="auto" w:fill="999999"/>
                </w:tcPr>
                <w:p w14:paraId="631517A9" w14:textId="77777777" w:rsidR="00600DEE" w:rsidRPr="0045151D" w:rsidRDefault="00600DEE">
                  <w:pPr>
                    <w:rPr>
                      <w:rFonts w:ascii="Calibri" w:eastAsia="Calibri" w:hAnsi="Calibri" w:cs="Calibri"/>
                      <w:lang w:val="en-GB"/>
                    </w:rPr>
                  </w:pPr>
                </w:p>
              </w:tc>
              <w:tc>
                <w:tcPr>
                  <w:tcW w:w="1698" w:type="dxa"/>
                  <w:tcBorders>
                    <w:top w:val="nil"/>
                    <w:left w:val="nil"/>
                    <w:bottom w:val="nil"/>
                    <w:right w:val="nil"/>
                  </w:tcBorders>
                  <w:shd w:val="clear" w:color="auto" w:fill="999999"/>
                </w:tcPr>
                <w:p w14:paraId="3B39AD06" w14:textId="77777777" w:rsidR="00600DEE" w:rsidRPr="0045151D" w:rsidRDefault="00600DEE">
                  <w:pPr>
                    <w:rPr>
                      <w:rFonts w:ascii="Calibri" w:eastAsia="Calibri" w:hAnsi="Calibri" w:cs="Calibri"/>
                      <w:lang w:val="en-GB"/>
                    </w:rPr>
                  </w:pPr>
                </w:p>
              </w:tc>
              <w:tc>
                <w:tcPr>
                  <w:tcW w:w="250" w:type="dxa"/>
                  <w:tcBorders>
                    <w:top w:val="nil"/>
                    <w:left w:val="nil"/>
                    <w:bottom w:val="nil"/>
                    <w:right w:val="nil"/>
                  </w:tcBorders>
                  <w:shd w:val="clear" w:color="auto" w:fill="999999"/>
                </w:tcPr>
                <w:p w14:paraId="2EAF97F9" w14:textId="77777777" w:rsidR="00600DEE" w:rsidRPr="0045151D" w:rsidRDefault="00600DEE">
                  <w:pPr>
                    <w:rPr>
                      <w:rFonts w:ascii="Calibri" w:eastAsia="Calibri" w:hAnsi="Calibri" w:cs="Calibri"/>
                      <w:lang w:val="en-GB"/>
                    </w:rPr>
                  </w:pPr>
                </w:p>
              </w:tc>
            </w:tr>
            <w:tr w:rsidR="00600DEE" w:rsidRPr="008C4407" w14:paraId="3AA8D576" w14:textId="77777777" w:rsidTr="00E12F72">
              <w:trPr>
                <w:trHeight w:val="63"/>
              </w:trPr>
              <w:tc>
                <w:tcPr>
                  <w:tcW w:w="251" w:type="dxa"/>
                  <w:tcBorders>
                    <w:top w:val="nil"/>
                    <w:left w:val="nil"/>
                    <w:bottom w:val="nil"/>
                    <w:right w:val="nil"/>
                  </w:tcBorders>
                </w:tcPr>
                <w:p w14:paraId="5D8D9854" w14:textId="77777777" w:rsidR="00600DEE" w:rsidRPr="0045151D" w:rsidRDefault="00600DEE">
                  <w:pPr>
                    <w:rPr>
                      <w:rFonts w:ascii="Calibri" w:eastAsia="Calibri" w:hAnsi="Calibri" w:cs="Calibri"/>
                      <w:lang w:val="en-GB"/>
                    </w:rPr>
                  </w:pPr>
                </w:p>
              </w:tc>
              <w:tc>
                <w:tcPr>
                  <w:tcW w:w="1425" w:type="dxa"/>
                  <w:tcBorders>
                    <w:top w:val="nil"/>
                    <w:left w:val="nil"/>
                    <w:bottom w:val="single" w:sz="8" w:space="0" w:color="000000"/>
                    <w:right w:val="nil"/>
                  </w:tcBorders>
                </w:tcPr>
                <w:p w14:paraId="1C19BDDD" w14:textId="77777777" w:rsidR="00600DEE" w:rsidRPr="0045151D" w:rsidRDefault="00600DEE">
                  <w:pPr>
                    <w:rPr>
                      <w:rFonts w:ascii="Calibri" w:eastAsia="Calibri" w:hAnsi="Calibri" w:cs="Calibri"/>
                      <w:sz w:val="16"/>
                      <w:szCs w:val="16"/>
                      <w:lang w:val="en-GB"/>
                    </w:rPr>
                  </w:pPr>
                </w:p>
              </w:tc>
              <w:tc>
                <w:tcPr>
                  <w:tcW w:w="555" w:type="dxa"/>
                  <w:tcBorders>
                    <w:top w:val="nil"/>
                    <w:left w:val="nil"/>
                    <w:bottom w:val="nil"/>
                    <w:right w:val="nil"/>
                  </w:tcBorders>
                </w:tcPr>
                <w:p w14:paraId="2295779E" w14:textId="77777777" w:rsidR="00600DEE" w:rsidRPr="0045151D" w:rsidRDefault="00600DEE">
                  <w:pPr>
                    <w:rPr>
                      <w:rFonts w:ascii="Calibri" w:eastAsia="Calibri" w:hAnsi="Calibri" w:cs="Calibri"/>
                      <w:lang w:val="en-GB"/>
                    </w:rPr>
                  </w:pPr>
                </w:p>
              </w:tc>
              <w:tc>
                <w:tcPr>
                  <w:tcW w:w="2308" w:type="dxa"/>
                  <w:tcBorders>
                    <w:top w:val="nil"/>
                    <w:left w:val="nil"/>
                    <w:bottom w:val="single" w:sz="8" w:space="0" w:color="000000"/>
                    <w:right w:val="nil"/>
                  </w:tcBorders>
                </w:tcPr>
                <w:p w14:paraId="5B1AA1F1" w14:textId="77777777" w:rsidR="00600DEE" w:rsidRPr="0045151D" w:rsidRDefault="00600DEE">
                  <w:pPr>
                    <w:rPr>
                      <w:rFonts w:ascii="Calibri" w:eastAsia="Calibri" w:hAnsi="Calibri" w:cs="Calibri"/>
                      <w:lang w:val="en-GB"/>
                    </w:rPr>
                  </w:pPr>
                </w:p>
              </w:tc>
              <w:tc>
                <w:tcPr>
                  <w:tcW w:w="566" w:type="dxa"/>
                  <w:tcBorders>
                    <w:top w:val="nil"/>
                    <w:left w:val="nil"/>
                    <w:bottom w:val="nil"/>
                    <w:right w:val="nil"/>
                  </w:tcBorders>
                </w:tcPr>
                <w:p w14:paraId="27C38793" w14:textId="77777777" w:rsidR="00600DEE" w:rsidRPr="0045151D" w:rsidRDefault="00600DEE">
                  <w:pPr>
                    <w:rPr>
                      <w:rFonts w:ascii="Calibri" w:eastAsia="Calibri" w:hAnsi="Calibri" w:cs="Calibri"/>
                      <w:lang w:val="en-GB"/>
                    </w:rPr>
                  </w:pPr>
                </w:p>
              </w:tc>
              <w:tc>
                <w:tcPr>
                  <w:tcW w:w="1698" w:type="dxa"/>
                  <w:tcBorders>
                    <w:top w:val="nil"/>
                    <w:left w:val="nil"/>
                    <w:bottom w:val="single" w:sz="8" w:space="0" w:color="000000"/>
                    <w:right w:val="nil"/>
                  </w:tcBorders>
                </w:tcPr>
                <w:p w14:paraId="1334D0E5" w14:textId="77777777" w:rsidR="00600DEE" w:rsidRPr="0045151D" w:rsidRDefault="00600DEE">
                  <w:pPr>
                    <w:rPr>
                      <w:rFonts w:ascii="Calibri" w:eastAsia="Calibri" w:hAnsi="Calibri" w:cs="Calibri"/>
                      <w:lang w:val="en-GB"/>
                    </w:rPr>
                  </w:pPr>
                </w:p>
              </w:tc>
              <w:tc>
                <w:tcPr>
                  <w:tcW w:w="250" w:type="dxa"/>
                  <w:tcBorders>
                    <w:top w:val="nil"/>
                    <w:left w:val="nil"/>
                    <w:bottom w:val="nil"/>
                    <w:right w:val="nil"/>
                  </w:tcBorders>
                </w:tcPr>
                <w:p w14:paraId="6C3EA766" w14:textId="77777777" w:rsidR="00600DEE" w:rsidRPr="0045151D" w:rsidRDefault="00600DEE">
                  <w:pPr>
                    <w:rPr>
                      <w:rFonts w:ascii="Calibri" w:eastAsia="Calibri" w:hAnsi="Calibri" w:cs="Calibri"/>
                      <w:lang w:val="en-GB"/>
                    </w:rPr>
                  </w:pPr>
                </w:p>
              </w:tc>
            </w:tr>
            <w:tr w:rsidR="00600DEE" w14:paraId="3CFDA8D7" w14:textId="77777777" w:rsidTr="00E12F72">
              <w:trPr>
                <w:trHeight w:val="298"/>
              </w:trPr>
              <w:tc>
                <w:tcPr>
                  <w:tcW w:w="251" w:type="dxa"/>
                  <w:tcBorders>
                    <w:right w:val="single" w:sz="8" w:space="0" w:color="000000"/>
                  </w:tcBorders>
                  <w:vAlign w:val="center"/>
                </w:tcPr>
                <w:p w14:paraId="7A11EECC" w14:textId="77777777" w:rsidR="00600DEE" w:rsidRPr="0045151D" w:rsidRDefault="00600DEE">
                  <w:pPr>
                    <w:jc w:val="center"/>
                    <w:rPr>
                      <w:rFonts w:ascii="Calibri" w:eastAsia="Calibri" w:hAnsi="Calibri" w:cs="Calibri"/>
                      <w:b/>
                      <w:color w:val="366091"/>
                      <w:sz w:val="18"/>
                      <w:szCs w:val="18"/>
                      <w:lang w:val="en-GB"/>
                    </w:rPr>
                  </w:pPr>
                </w:p>
              </w:tc>
              <w:tc>
                <w:tcPr>
                  <w:tcW w:w="1425" w:type="dxa"/>
                  <w:tcBorders>
                    <w:top w:val="single" w:sz="8" w:space="0" w:color="000000"/>
                    <w:left w:val="single" w:sz="8" w:space="0" w:color="000000"/>
                    <w:bottom w:val="single" w:sz="8" w:space="0" w:color="000000"/>
                    <w:right w:val="single" w:sz="8" w:space="0" w:color="000000"/>
                  </w:tcBorders>
                  <w:vAlign w:val="center"/>
                </w:tcPr>
                <w:p w14:paraId="1D030DA2" w14:textId="77777777" w:rsidR="00600DEE" w:rsidRDefault="00641FB5">
                  <w:pPr>
                    <w:jc w:val="center"/>
                    <w:rPr>
                      <w:rFonts w:ascii="Calibri" w:eastAsia="Calibri" w:hAnsi="Calibri" w:cs="Calibri"/>
                      <w:b/>
                      <w:color w:val="366091"/>
                      <w:sz w:val="18"/>
                      <w:szCs w:val="18"/>
                    </w:rPr>
                  </w:pPr>
                  <w:r>
                    <w:rPr>
                      <w:rFonts w:ascii="Calibri" w:eastAsia="Calibri" w:hAnsi="Calibri" w:cs="Calibri"/>
                      <w:b/>
                      <w:color w:val="366091"/>
                      <w:sz w:val="18"/>
                      <w:szCs w:val="18"/>
                    </w:rPr>
                    <w:t xml:space="preserve">CBA Stages </w:t>
                  </w:r>
                </w:p>
              </w:tc>
              <w:tc>
                <w:tcPr>
                  <w:tcW w:w="555" w:type="dxa"/>
                  <w:tcBorders>
                    <w:left w:val="single" w:sz="8" w:space="0" w:color="000000"/>
                    <w:right w:val="single" w:sz="8" w:space="0" w:color="000000"/>
                  </w:tcBorders>
                  <w:vAlign w:val="center"/>
                </w:tcPr>
                <w:p w14:paraId="192ECDB4" w14:textId="77777777" w:rsidR="00600DEE" w:rsidRDefault="00600DEE">
                  <w:pPr>
                    <w:jc w:val="center"/>
                    <w:rPr>
                      <w:rFonts w:ascii="Calibri" w:eastAsia="Calibri" w:hAnsi="Calibri" w:cs="Calibri"/>
                      <w:b/>
                      <w:color w:val="366091"/>
                      <w:sz w:val="18"/>
                      <w:szCs w:val="18"/>
                    </w:rPr>
                  </w:pPr>
                </w:p>
              </w:tc>
              <w:tc>
                <w:tcPr>
                  <w:tcW w:w="2308" w:type="dxa"/>
                  <w:tcBorders>
                    <w:top w:val="single" w:sz="8" w:space="0" w:color="000000"/>
                    <w:left w:val="single" w:sz="8" w:space="0" w:color="000000"/>
                    <w:bottom w:val="single" w:sz="8" w:space="0" w:color="000000"/>
                    <w:right w:val="single" w:sz="8" w:space="0" w:color="000000"/>
                  </w:tcBorders>
                  <w:vAlign w:val="center"/>
                </w:tcPr>
                <w:p w14:paraId="339641AA" w14:textId="77777777" w:rsidR="00600DEE" w:rsidRDefault="00641FB5">
                  <w:pPr>
                    <w:jc w:val="center"/>
                    <w:rPr>
                      <w:rFonts w:ascii="Calibri" w:eastAsia="Calibri" w:hAnsi="Calibri" w:cs="Calibri"/>
                      <w:b/>
                      <w:color w:val="366091"/>
                      <w:sz w:val="18"/>
                      <w:szCs w:val="18"/>
                    </w:rPr>
                  </w:pPr>
                  <w:r>
                    <w:rPr>
                      <w:rFonts w:ascii="Calibri" w:eastAsia="Calibri" w:hAnsi="Calibri" w:cs="Calibri"/>
                      <w:b/>
                      <w:color w:val="366091"/>
                      <w:sz w:val="18"/>
                      <w:szCs w:val="18"/>
                    </w:rPr>
                    <w:t>Actions</w:t>
                  </w:r>
                </w:p>
              </w:tc>
              <w:tc>
                <w:tcPr>
                  <w:tcW w:w="566" w:type="dxa"/>
                  <w:tcBorders>
                    <w:left w:val="single" w:sz="8" w:space="0" w:color="000000"/>
                    <w:right w:val="single" w:sz="8" w:space="0" w:color="000000"/>
                  </w:tcBorders>
                  <w:vAlign w:val="center"/>
                </w:tcPr>
                <w:p w14:paraId="2661F758" w14:textId="77777777" w:rsidR="00600DEE" w:rsidRDefault="00600DEE">
                  <w:pPr>
                    <w:jc w:val="center"/>
                    <w:rPr>
                      <w:rFonts w:ascii="Calibri" w:eastAsia="Calibri" w:hAnsi="Calibri" w:cs="Calibri"/>
                      <w:b/>
                      <w:color w:val="366091"/>
                      <w:sz w:val="18"/>
                      <w:szCs w:val="18"/>
                    </w:rPr>
                  </w:pPr>
                </w:p>
              </w:tc>
              <w:tc>
                <w:tcPr>
                  <w:tcW w:w="1698" w:type="dxa"/>
                  <w:tcBorders>
                    <w:top w:val="single" w:sz="8" w:space="0" w:color="000000"/>
                    <w:left w:val="single" w:sz="8" w:space="0" w:color="000000"/>
                    <w:bottom w:val="single" w:sz="8" w:space="0" w:color="000000"/>
                    <w:right w:val="single" w:sz="8" w:space="0" w:color="000000"/>
                  </w:tcBorders>
                  <w:vAlign w:val="center"/>
                </w:tcPr>
                <w:p w14:paraId="175AA39E" w14:textId="77777777" w:rsidR="00600DEE" w:rsidRDefault="00641FB5">
                  <w:pPr>
                    <w:jc w:val="center"/>
                    <w:rPr>
                      <w:rFonts w:ascii="Calibri" w:eastAsia="Calibri" w:hAnsi="Calibri" w:cs="Calibri"/>
                      <w:b/>
                      <w:color w:val="366091"/>
                      <w:sz w:val="18"/>
                      <w:szCs w:val="18"/>
                    </w:rPr>
                  </w:pPr>
                  <w:r>
                    <w:rPr>
                      <w:rFonts w:ascii="Calibri" w:eastAsia="Calibri" w:hAnsi="Calibri" w:cs="Calibri"/>
                      <w:b/>
                      <w:color w:val="366091"/>
                      <w:sz w:val="18"/>
                      <w:szCs w:val="18"/>
                    </w:rPr>
                    <w:t>Results</w:t>
                  </w:r>
                </w:p>
              </w:tc>
              <w:tc>
                <w:tcPr>
                  <w:tcW w:w="250" w:type="dxa"/>
                  <w:tcBorders>
                    <w:left w:val="single" w:sz="8" w:space="0" w:color="000000"/>
                  </w:tcBorders>
                  <w:vAlign w:val="center"/>
                </w:tcPr>
                <w:p w14:paraId="0B43A42A" w14:textId="77777777" w:rsidR="00600DEE" w:rsidRDefault="00600DEE">
                  <w:pPr>
                    <w:jc w:val="center"/>
                    <w:rPr>
                      <w:rFonts w:ascii="Calibri" w:eastAsia="Calibri" w:hAnsi="Calibri" w:cs="Calibri"/>
                      <w:sz w:val="18"/>
                      <w:szCs w:val="18"/>
                    </w:rPr>
                  </w:pPr>
                </w:p>
              </w:tc>
            </w:tr>
            <w:tr w:rsidR="00600DEE" w14:paraId="17BB7B05" w14:textId="77777777" w:rsidTr="00E12F72">
              <w:trPr>
                <w:trHeight w:val="63"/>
              </w:trPr>
              <w:tc>
                <w:tcPr>
                  <w:tcW w:w="251" w:type="dxa"/>
                  <w:tcBorders>
                    <w:bottom w:val="single" w:sz="8" w:space="0" w:color="000000"/>
                  </w:tcBorders>
                </w:tcPr>
                <w:p w14:paraId="6A4301D1" w14:textId="77777777" w:rsidR="00600DEE" w:rsidRDefault="00600DEE">
                  <w:pPr>
                    <w:rPr>
                      <w:rFonts w:ascii="Calibri" w:eastAsia="Calibri" w:hAnsi="Calibri" w:cs="Calibri"/>
                    </w:rPr>
                  </w:pPr>
                </w:p>
              </w:tc>
              <w:tc>
                <w:tcPr>
                  <w:tcW w:w="1425" w:type="dxa"/>
                  <w:tcBorders>
                    <w:top w:val="single" w:sz="8" w:space="0" w:color="000000"/>
                    <w:bottom w:val="single" w:sz="8" w:space="0" w:color="000000"/>
                  </w:tcBorders>
                </w:tcPr>
                <w:p w14:paraId="27A9943B" w14:textId="77777777" w:rsidR="00600DEE" w:rsidRDefault="00600DEE">
                  <w:pPr>
                    <w:rPr>
                      <w:rFonts w:ascii="Calibri" w:eastAsia="Calibri" w:hAnsi="Calibri" w:cs="Calibri"/>
                    </w:rPr>
                  </w:pPr>
                </w:p>
              </w:tc>
              <w:tc>
                <w:tcPr>
                  <w:tcW w:w="555" w:type="dxa"/>
                  <w:tcBorders>
                    <w:bottom w:val="single" w:sz="8" w:space="0" w:color="000000"/>
                  </w:tcBorders>
                </w:tcPr>
                <w:p w14:paraId="2FA86517" w14:textId="77777777" w:rsidR="00600DEE" w:rsidRDefault="00600DEE">
                  <w:pPr>
                    <w:rPr>
                      <w:rFonts w:ascii="Calibri" w:eastAsia="Calibri" w:hAnsi="Calibri" w:cs="Calibri"/>
                    </w:rPr>
                  </w:pPr>
                </w:p>
              </w:tc>
              <w:tc>
                <w:tcPr>
                  <w:tcW w:w="2308" w:type="dxa"/>
                  <w:tcBorders>
                    <w:top w:val="single" w:sz="8" w:space="0" w:color="000000"/>
                    <w:bottom w:val="single" w:sz="8" w:space="0" w:color="000000"/>
                  </w:tcBorders>
                </w:tcPr>
                <w:p w14:paraId="6A3AEC09" w14:textId="77777777" w:rsidR="00600DEE" w:rsidRDefault="00600DEE">
                  <w:pPr>
                    <w:rPr>
                      <w:rFonts w:ascii="Calibri" w:eastAsia="Calibri" w:hAnsi="Calibri" w:cs="Calibri"/>
                    </w:rPr>
                  </w:pPr>
                </w:p>
              </w:tc>
              <w:tc>
                <w:tcPr>
                  <w:tcW w:w="566" w:type="dxa"/>
                  <w:tcBorders>
                    <w:bottom w:val="single" w:sz="8" w:space="0" w:color="000000"/>
                  </w:tcBorders>
                </w:tcPr>
                <w:p w14:paraId="717DF673" w14:textId="77777777" w:rsidR="00600DEE" w:rsidRDefault="00600DEE">
                  <w:pPr>
                    <w:rPr>
                      <w:rFonts w:ascii="Calibri" w:eastAsia="Calibri" w:hAnsi="Calibri" w:cs="Calibri"/>
                    </w:rPr>
                  </w:pPr>
                </w:p>
              </w:tc>
              <w:tc>
                <w:tcPr>
                  <w:tcW w:w="1698" w:type="dxa"/>
                  <w:tcBorders>
                    <w:top w:val="single" w:sz="8" w:space="0" w:color="000000"/>
                    <w:bottom w:val="single" w:sz="8" w:space="0" w:color="000000"/>
                  </w:tcBorders>
                </w:tcPr>
                <w:p w14:paraId="08648A2C" w14:textId="77777777" w:rsidR="00600DEE" w:rsidRDefault="00600DEE">
                  <w:pPr>
                    <w:rPr>
                      <w:rFonts w:ascii="Calibri" w:eastAsia="Calibri" w:hAnsi="Calibri" w:cs="Calibri"/>
                    </w:rPr>
                  </w:pPr>
                </w:p>
              </w:tc>
              <w:tc>
                <w:tcPr>
                  <w:tcW w:w="250" w:type="dxa"/>
                  <w:tcBorders>
                    <w:bottom w:val="single" w:sz="8" w:space="0" w:color="000000"/>
                  </w:tcBorders>
                </w:tcPr>
                <w:p w14:paraId="14157F25" w14:textId="77777777" w:rsidR="00600DEE" w:rsidRDefault="00600DEE">
                  <w:pPr>
                    <w:rPr>
                      <w:rFonts w:ascii="Calibri" w:eastAsia="Calibri" w:hAnsi="Calibri" w:cs="Calibri"/>
                    </w:rPr>
                  </w:pPr>
                </w:p>
              </w:tc>
            </w:tr>
            <w:tr w:rsidR="00600DEE" w14:paraId="56C55790" w14:textId="77777777" w:rsidTr="00023AC0">
              <w:trPr>
                <w:trHeight w:hRule="exact" w:val="340"/>
              </w:trPr>
              <w:tc>
                <w:tcPr>
                  <w:tcW w:w="251" w:type="dxa"/>
                  <w:tcBorders>
                    <w:top w:val="single" w:sz="8" w:space="0" w:color="000000"/>
                    <w:left w:val="single" w:sz="8" w:space="0" w:color="000000"/>
                    <w:bottom w:val="single" w:sz="8" w:space="0" w:color="000000"/>
                  </w:tcBorders>
                  <w:shd w:val="clear" w:color="auto" w:fill="DBE5F1"/>
                  <w:vAlign w:val="center"/>
                </w:tcPr>
                <w:p w14:paraId="0E6B3AB9" w14:textId="77777777" w:rsidR="00600DEE" w:rsidRDefault="00600DEE">
                  <w:pPr>
                    <w:jc w:val="center"/>
                    <w:rPr>
                      <w:rFonts w:ascii="Calibri" w:eastAsia="Calibri" w:hAnsi="Calibri" w:cs="Calibri"/>
                      <w:b/>
                    </w:rPr>
                  </w:pPr>
                </w:p>
              </w:tc>
              <w:tc>
                <w:tcPr>
                  <w:tcW w:w="1425" w:type="dxa"/>
                  <w:tcBorders>
                    <w:top w:val="single" w:sz="8" w:space="0" w:color="000000"/>
                    <w:bottom w:val="single" w:sz="8" w:space="0" w:color="000000"/>
                  </w:tcBorders>
                  <w:shd w:val="clear" w:color="auto" w:fill="DBE5F1"/>
                  <w:vAlign w:val="center"/>
                </w:tcPr>
                <w:p w14:paraId="42B87EC2" w14:textId="77777777" w:rsidR="00600DEE" w:rsidRDefault="00600DEE">
                  <w:pPr>
                    <w:jc w:val="center"/>
                    <w:rPr>
                      <w:rFonts w:ascii="Calibri" w:eastAsia="Calibri" w:hAnsi="Calibri" w:cs="Calibri"/>
                      <w:b/>
                    </w:rPr>
                  </w:pPr>
                </w:p>
              </w:tc>
              <w:tc>
                <w:tcPr>
                  <w:tcW w:w="555" w:type="dxa"/>
                  <w:tcBorders>
                    <w:top w:val="single" w:sz="8" w:space="0" w:color="000000"/>
                    <w:bottom w:val="single" w:sz="8" w:space="0" w:color="000000"/>
                  </w:tcBorders>
                  <w:shd w:val="clear" w:color="auto" w:fill="DBE5F1"/>
                  <w:vAlign w:val="center"/>
                </w:tcPr>
                <w:p w14:paraId="3AE3B11E" w14:textId="77777777" w:rsidR="00600DEE" w:rsidRDefault="00600DEE">
                  <w:pPr>
                    <w:jc w:val="center"/>
                    <w:rPr>
                      <w:rFonts w:ascii="Calibri" w:eastAsia="Calibri" w:hAnsi="Calibri" w:cs="Calibri"/>
                    </w:rPr>
                  </w:pPr>
                </w:p>
              </w:tc>
              <w:tc>
                <w:tcPr>
                  <w:tcW w:w="2308" w:type="dxa"/>
                  <w:tcBorders>
                    <w:top w:val="single" w:sz="8" w:space="0" w:color="000000"/>
                    <w:bottom w:val="single" w:sz="8" w:space="0" w:color="000000"/>
                  </w:tcBorders>
                  <w:shd w:val="clear" w:color="auto" w:fill="DBE5F1"/>
                  <w:vAlign w:val="center"/>
                </w:tcPr>
                <w:p w14:paraId="4C0EA12B" w14:textId="77777777" w:rsidR="00600DEE" w:rsidRDefault="00641FB5">
                  <w:pPr>
                    <w:jc w:val="center"/>
                    <w:rPr>
                      <w:rFonts w:ascii="Calibri" w:eastAsia="Calibri" w:hAnsi="Calibri" w:cs="Calibri"/>
                      <w:b/>
                      <w:sz w:val="22"/>
                      <w:szCs w:val="22"/>
                    </w:rPr>
                  </w:pPr>
                  <w:r>
                    <w:rPr>
                      <w:rFonts w:ascii="Calibri" w:eastAsia="Calibri" w:hAnsi="Calibri" w:cs="Calibri"/>
                      <w:b/>
                      <w:sz w:val="22"/>
                      <w:szCs w:val="22"/>
                    </w:rPr>
                    <w:t>Phase I</w:t>
                  </w:r>
                </w:p>
              </w:tc>
              <w:tc>
                <w:tcPr>
                  <w:tcW w:w="566" w:type="dxa"/>
                  <w:tcBorders>
                    <w:top w:val="single" w:sz="8" w:space="0" w:color="000000"/>
                    <w:bottom w:val="single" w:sz="8" w:space="0" w:color="000000"/>
                  </w:tcBorders>
                  <w:shd w:val="clear" w:color="auto" w:fill="DBE5F1"/>
                  <w:vAlign w:val="center"/>
                </w:tcPr>
                <w:p w14:paraId="6849BD38" w14:textId="77777777" w:rsidR="00600DEE" w:rsidRDefault="00600DEE">
                  <w:pPr>
                    <w:jc w:val="center"/>
                    <w:rPr>
                      <w:rFonts w:ascii="Calibri" w:eastAsia="Calibri" w:hAnsi="Calibri" w:cs="Calibri"/>
                    </w:rPr>
                  </w:pPr>
                </w:p>
              </w:tc>
              <w:tc>
                <w:tcPr>
                  <w:tcW w:w="1698" w:type="dxa"/>
                  <w:tcBorders>
                    <w:top w:val="single" w:sz="8" w:space="0" w:color="000000"/>
                    <w:bottom w:val="single" w:sz="8" w:space="0" w:color="000000"/>
                  </w:tcBorders>
                  <w:shd w:val="clear" w:color="auto" w:fill="DBE5F1"/>
                  <w:vAlign w:val="center"/>
                </w:tcPr>
                <w:p w14:paraId="6FECFBEF" w14:textId="77777777" w:rsidR="00600DEE" w:rsidRDefault="00600DEE">
                  <w:pPr>
                    <w:jc w:val="center"/>
                    <w:rPr>
                      <w:rFonts w:ascii="Calibri" w:eastAsia="Calibri" w:hAnsi="Calibri" w:cs="Calibri"/>
                    </w:rPr>
                  </w:pPr>
                </w:p>
              </w:tc>
              <w:tc>
                <w:tcPr>
                  <w:tcW w:w="250" w:type="dxa"/>
                  <w:tcBorders>
                    <w:top w:val="single" w:sz="8" w:space="0" w:color="000000"/>
                    <w:bottom w:val="single" w:sz="8" w:space="0" w:color="000000"/>
                    <w:right w:val="single" w:sz="8" w:space="0" w:color="000000"/>
                  </w:tcBorders>
                  <w:shd w:val="clear" w:color="auto" w:fill="DBE5F1"/>
                  <w:vAlign w:val="center"/>
                </w:tcPr>
                <w:p w14:paraId="718A03EC" w14:textId="77777777" w:rsidR="00600DEE" w:rsidRDefault="00600DEE">
                  <w:pPr>
                    <w:jc w:val="center"/>
                    <w:rPr>
                      <w:rFonts w:ascii="Calibri" w:eastAsia="Calibri" w:hAnsi="Calibri" w:cs="Calibri"/>
                    </w:rPr>
                  </w:pPr>
                </w:p>
              </w:tc>
            </w:tr>
            <w:tr w:rsidR="00600DEE" w14:paraId="5FF0216C" w14:textId="77777777" w:rsidTr="00E12F72">
              <w:trPr>
                <w:trHeight w:val="63"/>
              </w:trPr>
              <w:tc>
                <w:tcPr>
                  <w:tcW w:w="251" w:type="dxa"/>
                  <w:tcBorders>
                    <w:top w:val="single" w:sz="8" w:space="0" w:color="000000"/>
                  </w:tcBorders>
                </w:tcPr>
                <w:p w14:paraId="6BBD1FA1" w14:textId="77777777" w:rsidR="00600DEE" w:rsidRDefault="00600DEE">
                  <w:pPr>
                    <w:rPr>
                      <w:rFonts w:ascii="Calibri" w:eastAsia="Calibri" w:hAnsi="Calibri" w:cs="Calibri"/>
                      <w:b/>
                    </w:rPr>
                  </w:pPr>
                </w:p>
              </w:tc>
              <w:tc>
                <w:tcPr>
                  <w:tcW w:w="1425" w:type="dxa"/>
                  <w:tcBorders>
                    <w:top w:val="single" w:sz="8" w:space="0" w:color="000000"/>
                  </w:tcBorders>
                </w:tcPr>
                <w:p w14:paraId="5173480B" w14:textId="77777777" w:rsidR="00600DEE" w:rsidRDefault="00600DEE">
                  <w:pPr>
                    <w:rPr>
                      <w:rFonts w:ascii="Calibri" w:eastAsia="Calibri" w:hAnsi="Calibri" w:cs="Calibri"/>
                      <w:b/>
                    </w:rPr>
                  </w:pPr>
                </w:p>
              </w:tc>
              <w:tc>
                <w:tcPr>
                  <w:tcW w:w="555" w:type="dxa"/>
                  <w:tcBorders>
                    <w:top w:val="single" w:sz="8" w:space="0" w:color="000000"/>
                  </w:tcBorders>
                </w:tcPr>
                <w:p w14:paraId="4E9F9ED8" w14:textId="77777777" w:rsidR="00600DEE" w:rsidRDefault="00600DEE">
                  <w:pPr>
                    <w:rPr>
                      <w:rFonts w:ascii="Calibri" w:eastAsia="Calibri" w:hAnsi="Calibri" w:cs="Calibri"/>
                    </w:rPr>
                  </w:pPr>
                </w:p>
              </w:tc>
              <w:tc>
                <w:tcPr>
                  <w:tcW w:w="2308" w:type="dxa"/>
                  <w:tcBorders>
                    <w:top w:val="single" w:sz="8" w:space="0" w:color="000000"/>
                  </w:tcBorders>
                </w:tcPr>
                <w:p w14:paraId="5C9D9DEF" w14:textId="77777777" w:rsidR="00600DEE" w:rsidRDefault="00600DEE">
                  <w:pPr>
                    <w:rPr>
                      <w:rFonts w:ascii="Calibri" w:eastAsia="Calibri" w:hAnsi="Calibri" w:cs="Calibri"/>
                    </w:rPr>
                  </w:pPr>
                </w:p>
              </w:tc>
              <w:tc>
                <w:tcPr>
                  <w:tcW w:w="566" w:type="dxa"/>
                  <w:tcBorders>
                    <w:top w:val="single" w:sz="8" w:space="0" w:color="000000"/>
                  </w:tcBorders>
                </w:tcPr>
                <w:p w14:paraId="25C0AF05" w14:textId="77777777" w:rsidR="00600DEE" w:rsidRDefault="00600DEE">
                  <w:pPr>
                    <w:rPr>
                      <w:rFonts w:ascii="Calibri" w:eastAsia="Calibri" w:hAnsi="Calibri" w:cs="Calibri"/>
                    </w:rPr>
                  </w:pPr>
                </w:p>
              </w:tc>
              <w:tc>
                <w:tcPr>
                  <w:tcW w:w="1698" w:type="dxa"/>
                  <w:tcBorders>
                    <w:top w:val="single" w:sz="8" w:space="0" w:color="000000"/>
                  </w:tcBorders>
                </w:tcPr>
                <w:p w14:paraId="6C071A72" w14:textId="77777777" w:rsidR="00600DEE" w:rsidRDefault="00600DEE">
                  <w:pPr>
                    <w:rPr>
                      <w:rFonts w:ascii="Calibri" w:eastAsia="Calibri" w:hAnsi="Calibri" w:cs="Calibri"/>
                    </w:rPr>
                  </w:pPr>
                </w:p>
              </w:tc>
              <w:tc>
                <w:tcPr>
                  <w:tcW w:w="250" w:type="dxa"/>
                  <w:tcBorders>
                    <w:top w:val="single" w:sz="8" w:space="0" w:color="000000"/>
                  </w:tcBorders>
                </w:tcPr>
                <w:p w14:paraId="678E7A21" w14:textId="77777777" w:rsidR="00600DEE" w:rsidRDefault="00600DEE">
                  <w:pPr>
                    <w:rPr>
                      <w:rFonts w:ascii="Calibri" w:eastAsia="Calibri" w:hAnsi="Calibri" w:cs="Calibri"/>
                    </w:rPr>
                  </w:pPr>
                </w:p>
              </w:tc>
            </w:tr>
            <w:tr w:rsidR="00600DEE" w:rsidRPr="008C4407" w14:paraId="3BA365AE" w14:textId="77777777" w:rsidTr="00E12F72">
              <w:trPr>
                <w:trHeight w:val="2772"/>
              </w:trPr>
              <w:tc>
                <w:tcPr>
                  <w:tcW w:w="251" w:type="dxa"/>
                </w:tcPr>
                <w:p w14:paraId="1A3F197C" w14:textId="77777777" w:rsidR="00600DEE" w:rsidRDefault="00600DEE">
                  <w:pPr>
                    <w:rPr>
                      <w:rFonts w:ascii="Calibri" w:eastAsia="Calibri" w:hAnsi="Calibri" w:cs="Calibri"/>
                      <w:b/>
                    </w:rPr>
                  </w:pPr>
                </w:p>
              </w:tc>
              <w:tc>
                <w:tcPr>
                  <w:tcW w:w="1425" w:type="dxa"/>
                  <w:shd w:val="clear" w:color="auto" w:fill="F2F2F2"/>
                  <w:vAlign w:val="center"/>
                </w:tcPr>
                <w:p w14:paraId="01C15715" w14:textId="77777777" w:rsidR="00600DEE" w:rsidRPr="0045151D" w:rsidRDefault="00641FB5">
                  <w:pPr>
                    <w:ind w:right="170"/>
                    <w:rPr>
                      <w:rFonts w:ascii="Calibri" w:eastAsia="Calibri" w:hAnsi="Calibri" w:cs="Calibri"/>
                      <w:b/>
                      <w:sz w:val="16"/>
                      <w:szCs w:val="16"/>
                      <w:lang w:val="en-GB"/>
                    </w:rPr>
                  </w:pPr>
                  <w:r w:rsidRPr="0045151D">
                    <w:rPr>
                      <w:rFonts w:ascii="Calibri" w:eastAsia="Calibri" w:hAnsi="Calibri" w:cs="Calibri"/>
                      <w:b/>
                      <w:sz w:val="16"/>
                      <w:szCs w:val="16"/>
                      <w:lang w:val="en-GB"/>
                    </w:rPr>
                    <w:t>Inputs preparation,</w:t>
                  </w:r>
                </w:p>
                <w:p w14:paraId="71367A79" w14:textId="77777777" w:rsidR="00600DEE" w:rsidRPr="0045151D" w:rsidRDefault="00641FB5">
                  <w:pPr>
                    <w:ind w:right="170"/>
                    <w:rPr>
                      <w:rFonts w:ascii="Calibri" w:eastAsia="Calibri" w:hAnsi="Calibri" w:cs="Calibri"/>
                      <w:b/>
                      <w:sz w:val="16"/>
                      <w:szCs w:val="16"/>
                      <w:lang w:val="en-GB"/>
                    </w:rPr>
                  </w:pPr>
                  <w:r w:rsidRPr="0045151D">
                    <w:rPr>
                      <w:rFonts w:ascii="Calibri" w:eastAsia="Calibri" w:hAnsi="Calibri" w:cs="Calibri"/>
                      <w:b/>
                      <w:sz w:val="16"/>
                      <w:szCs w:val="16"/>
                      <w:lang w:val="en-GB"/>
                    </w:rPr>
                    <w:t xml:space="preserve">Identification of project objectives and </w:t>
                  </w:r>
                </w:p>
                <w:p w14:paraId="5205567D" w14:textId="77777777" w:rsidR="00600DEE" w:rsidRPr="0045151D" w:rsidRDefault="00641FB5">
                  <w:pPr>
                    <w:ind w:right="170"/>
                    <w:rPr>
                      <w:rFonts w:ascii="Calibri" w:eastAsia="Calibri" w:hAnsi="Calibri" w:cs="Calibri"/>
                      <w:b/>
                      <w:lang w:val="en-GB"/>
                    </w:rPr>
                  </w:pPr>
                  <w:r w:rsidRPr="0045151D">
                    <w:rPr>
                      <w:rFonts w:ascii="Calibri" w:eastAsia="Calibri" w:hAnsi="Calibri" w:cs="Calibri"/>
                      <w:b/>
                      <w:sz w:val="16"/>
                      <w:szCs w:val="16"/>
                      <w:lang w:val="en-GB"/>
                    </w:rPr>
                    <w:t>Option/s selection for cost-benefit analysis</w:t>
                  </w:r>
                </w:p>
              </w:tc>
              <w:tc>
                <w:tcPr>
                  <w:tcW w:w="555" w:type="dxa"/>
                </w:tcPr>
                <w:p w14:paraId="31D3E4C9" w14:textId="77777777" w:rsidR="00600DEE" w:rsidRPr="0045151D" w:rsidRDefault="00641FB5">
                  <w:pPr>
                    <w:rPr>
                      <w:rFonts w:ascii="Calibri" w:eastAsia="Calibri" w:hAnsi="Calibri" w:cs="Calibri"/>
                      <w:lang w:val="en-GB"/>
                    </w:rPr>
                  </w:pPr>
                  <w:r>
                    <w:rPr>
                      <w:noProof/>
                      <w:lang w:eastAsia="pl-PL"/>
                    </w:rPr>
                    <mc:AlternateContent>
                      <mc:Choice Requires="wps">
                        <w:drawing>
                          <wp:anchor distT="0" distB="0" distL="114300" distR="114300" simplePos="0" relativeHeight="251717632" behindDoc="0" locked="0" layoutInCell="1" hidden="0" allowOverlap="1" wp14:anchorId="0E11867D" wp14:editId="516127AD">
                            <wp:simplePos x="0" y="0"/>
                            <wp:positionH relativeFrom="column">
                              <wp:posOffset>-12699</wp:posOffset>
                            </wp:positionH>
                            <wp:positionV relativeFrom="paragraph">
                              <wp:posOffset>342900</wp:posOffset>
                            </wp:positionV>
                            <wp:extent cx="263000" cy="248600"/>
                            <wp:effectExtent l="0" t="0" r="0" b="0"/>
                            <wp:wrapNone/>
                            <wp:docPr id="503" name="Strzałka: w prawo 503"/>
                            <wp:cNvGraphicFramePr/>
                            <a:graphic xmlns:a="http://schemas.openxmlformats.org/drawingml/2006/main">
                              <a:graphicData uri="http://schemas.microsoft.com/office/word/2010/wordprocessingShape">
                                <wps:wsp>
                                  <wps:cNvSpPr/>
                                  <wps:spPr>
                                    <a:xfrm>
                                      <a:off x="5227200" y="3668400"/>
                                      <a:ext cx="237600" cy="223200"/>
                                    </a:xfrm>
                                    <a:prstGeom prst="rightArrow">
                                      <a:avLst>
                                        <a:gd name="adj1" fmla="val 50000"/>
                                        <a:gd name="adj2" fmla="val 50000"/>
                                      </a:avLst>
                                    </a:prstGeom>
                                    <a:solidFill>
                                      <a:srgbClr val="DAE5F1"/>
                                    </a:solidFill>
                                    <a:ln w="25400" cap="flat" cmpd="sng">
                                      <a:solidFill>
                                        <a:srgbClr val="93B3D7"/>
                                      </a:solidFill>
                                      <a:prstDash val="solid"/>
                                      <a:round/>
                                      <a:headEnd type="none" w="sm" len="sm"/>
                                      <a:tailEnd type="none" w="sm" len="sm"/>
                                    </a:ln>
                                  </wps:spPr>
                                  <wps:txbx>
                                    <w:txbxContent>
                                      <w:p w14:paraId="69DF9521"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11867D" id="Strzałka: w prawo 503" o:spid="_x0000_s1058" type="#_x0000_t13" style="position:absolute;margin-left:-1pt;margin-top:27pt;width:20.7pt;height:19.5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" adj="11455" fillcolor="#dae5f1" strokecolor="#93b3d7" strokeweight="2pt">
                            <v:stroke startarrowwidth="narrow" startarrowlength="short" endarrowwidth="narrow" endarrowlength="short" joinstyle="round"/>
                            <v:textbox inset="2.53958mm,2.53958mm,2.53958mm,2.53958mm">
                              <w:txbxContent>
                                <w:p w14:paraId="69DF9521" w14:textId="77777777" w:rsidR="007463B9" w:rsidRDefault="007463B9">
                                  <w:pPr>
                                    <w:textDirection w:val="btLr"/>
                                  </w:pPr>
                                </w:p>
                              </w:txbxContent>
                            </v:textbox>
                          </v:shape>
                        </w:pict>
                      </mc:Fallback>
                    </mc:AlternateContent>
                  </w:r>
                  <w:r>
                    <w:rPr>
                      <w:noProof/>
                      <w:lang w:eastAsia="pl-PL"/>
                    </w:rPr>
                    <mc:AlternateContent>
                      <mc:Choice Requires="wps">
                        <w:drawing>
                          <wp:anchor distT="0" distB="0" distL="114300" distR="114300" simplePos="0" relativeHeight="251718656" behindDoc="0" locked="0" layoutInCell="1" hidden="0" allowOverlap="1" wp14:anchorId="173BEF84" wp14:editId="7160625B">
                            <wp:simplePos x="0" y="0"/>
                            <wp:positionH relativeFrom="column">
                              <wp:posOffset>1689100</wp:posOffset>
                            </wp:positionH>
                            <wp:positionV relativeFrom="paragraph">
                              <wp:posOffset>342900</wp:posOffset>
                            </wp:positionV>
                            <wp:extent cx="262586" cy="248036"/>
                            <wp:effectExtent l="0" t="0" r="0" b="0"/>
                            <wp:wrapNone/>
                            <wp:docPr id="486" name="Strzałka: w prawo 486"/>
                            <wp:cNvGraphicFramePr/>
                            <a:graphic xmlns:a="http://schemas.openxmlformats.org/drawingml/2006/main">
                              <a:graphicData uri="http://schemas.microsoft.com/office/word/2010/wordprocessingShape">
                                <wps:wsp>
                                  <wps:cNvSpPr/>
                                  <wps:spPr>
                                    <a:xfrm>
                                      <a:off x="5227407" y="3668682"/>
                                      <a:ext cx="237186" cy="222636"/>
                                    </a:xfrm>
                                    <a:prstGeom prst="rightArrow">
                                      <a:avLst>
                                        <a:gd name="adj1" fmla="val 50000"/>
                                        <a:gd name="adj2" fmla="val 50000"/>
                                      </a:avLst>
                                    </a:prstGeom>
                                    <a:solidFill>
                                      <a:srgbClr val="DAE5F1"/>
                                    </a:solidFill>
                                    <a:ln w="25400" cap="flat" cmpd="sng">
                                      <a:solidFill>
                                        <a:srgbClr val="93B3D7"/>
                                      </a:solidFill>
                                      <a:prstDash val="solid"/>
                                      <a:round/>
                                      <a:headEnd type="none" w="sm" len="sm"/>
                                      <a:tailEnd type="none" w="sm" len="sm"/>
                                    </a:ln>
                                  </wps:spPr>
                                  <wps:txbx>
                                    <w:txbxContent>
                                      <w:p w14:paraId="75F57D46"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3BEF84" id="Strzałka: w prawo 486" o:spid="_x0000_s1059" type="#_x0000_t13" style="position:absolute;margin-left:133pt;margin-top:27pt;width:20.7pt;height:19.5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" adj="11463" fillcolor="#dae5f1" strokecolor="#93b3d7" strokeweight="2pt">
                            <v:stroke startarrowwidth="narrow" startarrowlength="short" endarrowwidth="narrow" endarrowlength="short" joinstyle="round"/>
                            <v:textbox inset="2.53958mm,2.53958mm,2.53958mm,2.53958mm">
                              <w:txbxContent>
                                <w:p w14:paraId="75F57D46" w14:textId="77777777" w:rsidR="007463B9" w:rsidRDefault="007463B9">
                                  <w:pPr>
                                    <w:textDirection w:val="btLr"/>
                                  </w:pPr>
                                </w:p>
                              </w:txbxContent>
                            </v:textbox>
                          </v:shape>
                        </w:pict>
                      </mc:Fallback>
                    </mc:AlternateContent>
                  </w:r>
                </w:p>
              </w:tc>
              <w:tc>
                <w:tcPr>
                  <w:tcW w:w="2308" w:type="dxa"/>
                  <w:vAlign w:val="center"/>
                </w:tcPr>
                <w:p w14:paraId="28FCB1A9"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Strategic context</w:t>
                  </w:r>
                </w:p>
                <w:p w14:paraId="0138748B"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Summary of previous project studies</w:t>
                  </w:r>
                </w:p>
                <w:p w14:paraId="6DDBAB4C"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xml:space="preserve">- Existing conditions </w:t>
                  </w:r>
                </w:p>
                <w:p w14:paraId="1F47624C"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Project objectives in line with strategy</w:t>
                  </w:r>
                </w:p>
                <w:p w14:paraId="1092BAFB"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Identification/ Selection of project options /Strategic/Technical options analysis where applicable</w:t>
                  </w:r>
                </w:p>
                <w:p w14:paraId="681BD997"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Definition of the Without Project Option</w:t>
                  </w:r>
                </w:p>
                <w:p w14:paraId="0F776EB8"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Determination of project reference period</w:t>
                  </w:r>
                </w:p>
                <w:p w14:paraId="73DF3BCB"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Preparation of macroeconomics indicators</w:t>
                  </w:r>
                </w:p>
                <w:p w14:paraId="5605C85D"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Traffic forecast</w:t>
                  </w:r>
                </w:p>
                <w:p w14:paraId="36E48E19" w14:textId="77777777" w:rsidR="00600DEE" w:rsidRPr="0045151D" w:rsidRDefault="00641FB5">
                  <w:pPr>
                    <w:rPr>
                      <w:rFonts w:ascii="Calibri" w:eastAsia="Calibri" w:hAnsi="Calibri" w:cs="Calibri"/>
                      <w:sz w:val="13"/>
                      <w:szCs w:val="13"/>
                      <w:lang w:val="en-GB"/>
                    </w:rPr>
                  </w:pPr>
                  <w:r w:rsidRPr="0045151D">
                    <w:rPr>
                      <w:rFonts w:ascii="Calibri" w:eastAsia="Calibri" w:hAnsi="Calibri" w:cs="Calibri"/>
                      <w:sz w:val="13"/>
                      <w:szCs w:val="13"/>
                      <w:lang w:val="en-GB"/>
                    </w:rPr>
                    <w:t>- Revenue projection</w:t>
                  </w:r>
                </w:p>
                <w:p w14:paraId="792C27A6" w14:textId="77777777" w:rsidR="00600DEE" w:rsidRPr="0045151D" w:rsidRDefault="00641FB5">
                  <w:pPr>
                    <w:ind w:right="170"/>
                    <w:rPr>
                      <w:rFonts w:ascii="Calibri" w:eastAsia="Calibri" w:hAnsi="Calibri" w:cs="Calibri"/>
                      <w:sz w:val="13"/>
                      <w:szCs w:val="13"/>
                      <w:lang w:val="en-GB"/>
                    </w:rPr>
                  </w:pPr>
                  <w:r w:rsidRPr="0045151D">
                    <w:rPr>
                      <w:rFonts w:ascii="Calibri" w:eastAsia="Calibri" w:hAnsi="Calibri" w:cs="Calibri"/>
                      <w:sz w:val="13"/>
                      <w:szCs w:val="13"/>
                      <w:lang w:val="en-GB"/>
                    </w:rPr>
                    <w:t>- Cost assumptions</w:t>
                  </w:r>
                </w:p>
                <w:p w14:paraId="2DFA11F4" w14:textId="77777777" w:rsidR="00600DEE" w:rsidRDefault="00641FB5">
                  <w:pPr>
                    <w:ind w:right="170"/>
                    <w:rPr>
                      <w:rFonts w:ascii="Calibri" w:eastAsia="Calibri" w:hAnsi="Calibri" w:cs="Calibri"/>
                    </w:rPr>
                  </w:pPr>
                  <w:r>
                    <w:rPr>
                      <w:rFonts w:ascii="Calibri" w:eastAsia="Calibri" w:hAnsi="Calibri" w:cs="Calibri"/>
                      <w:sz w:val="13"/>
                      <w:szCs w:val="13"/>
                    </w:rPr>
                    <w:t>- Residual value</w:t>
                  </w:r>
                </w:p>
              </w:tc>
              <w:tc>
                <w:tcPr>
                  <w:tcW w:w="566" w:type="dxa"/>
                </w:tcPr>
                <w:p w14:paraId="6D8F80D9" w14:textId="77777777" w:rsidR="00600DEE" w:rsidRDefault="00600DEE">
                  <w:pPr>
                    <w:rPr>
                      <w:rFonts w:ascii="Calibri" w:eastAsia="Calibri" w:hAnsi="Calibri" w:cs="Calibri"/>
                    </w:rPr>
                  </w:pPr>
                </w:p>
              </w:tc>
              <w:tc>
                <w:tcPr>
                  <w:tcW w:w="1698" w:type="dxa"/>
                  <w:shd w:val="clear" w:color="auto" w:fill="A6A6A6"/>
                  <w:vAlign w:val="center"/>
                </w:tcPr>
                <w:p w14:paraId="354F026A" w14:textId="77777777" w:rsidR="00600DEE" w:rsidRPr="0045151D" w:rsidRDefault="00641FB5">
                  <w:pPr>
                    <w:ind w:right="170"/>
                    <w:rPr>
                      <w:rFonts w:ascii="Calibri" w:eastAsia="Calibri" w:hAnsi="Calibri" w:cs="Calibri"/>
                      <w:sz w:val="16"/>
                      <w:szCs w:val="16"/>
                      <w:lang w:val="en-GB"/>
                    </w:rPr>
                  </w:pPr>
                  <w:r w:rsidRPr="0045151D">
                    <w:rPr>
                      <w:rFonts w:ascii="Calibri" w:eastAsia="Calibri" w:hAnsi="Calibri" w:cs="Calibri"/>
                      <w:sz w:val="16"/>
                      <w:szCs w:val="16"/>
                      <w:lang w:val="en-GB"/>
                    </w:rPr>
                    <w:t>- Project options/ Best option selected</w:t>
                  </w:r>
                </w:p>
                <w:p w14:paraId="331C6078" w14:textId="77777777" w:rsidR="00600DEE" w:rsidRPr="0045151D" w:rsidRDefault="00641FB5">
                  <w:pPr>
                    <w:ind w:right="170"/>
                    <w:rPr>
                      <w:rFonts w:ascii="Calibri" w:eastAsia="Calibri" w:hAnsi="Calibri" w:cs="Calibri"/>
                      <w:lang w:val="en-GB"/>
                    </w:rPr>
                  </w:pPr>
                  <w:r w:rsidRPr="0045151D">
                    <w:rPr>
                      <w:rFonts w:ascii="Calibri" w:eastAsia="Calibri" w:hAnsi="Calibri" w:cs="Calibri"/>
                      <w:sz w:val="16"/>
                      <w:szCs w:val="16"/>
                      <w:lang w:val="en-GB"/>
                    </w:rPr>
                    <w:t>- All input data for socio-economic and financial analysis</w:t>
                  </w:r>
                </w:p>
              </w:tc>
              <w:tc>
                <w:tcPr>
                  <w:tcW w:w="250" w:type="dxa"/>
                </w:tcPr>
                <w:p w14:paraId="62ADABC4" w14:textId="77777777" w:rsidR="00600DEE" w:rsidRPr="0045151D" w:rsidRDefault="00600DEE">
                  <w:pPr>
                    <w:rPr>
                      <w:rFonts w:ascii="Calibri" w:eastAsia="Calibri" w:hAnsi="Calibri" w:cs="Calibri"/>
                      <w:lang w:val="en-GB"/>
                    </w:rPr>
                  </w:pPr>
                </w:p>
              </w:tc>
            </w:tr>
            <w:tr w:rsidR="00600DEE" w:rsidRPr="008C4407" w14:paraId="04ECCA8D" w14:textId="77777777" w:rsidTr="00E12F72">
              <w:trPr>
                <w:trHeight w:val="53"/>
              </w:trPr>
              <w:tc>
                <w:tcPr>
                  <w:tcW w:w="251" w:type="dxa"/>
                  <w:tcBorders>
                    <w:bottom w:val="single" w:sz="8" w:space="0" w:color="000000"/>
                  </w:tcBorders>
                </w:tcPr>
                <w:p w14:paraId="06809822" w14:textId="77777777" w:rsidR="00600DEE" w:rsidRPr="0045151D" w:rsidRDefault="00600DEE">
                  <w:pPr>
                    <w:rPr>
                      <w:rFonts w:ascii="Calibri" w:eastAsia="Calibri" w:hAnsi="Calibri" w:cs="Calibri"/>
                      <w:b/>
                      <w:lang w:val="en-GB"/>
                    </w:rPr>
                  </w:pPr>
                </w:p>
              </w:tc>
              <w:tc>
                <w:tcPr>
                  <w:tcW w:w="1425" w:type="dxa"/>
                  <w:tcBorders>
                    <w:bottom w:val="single" w:sz="8" w:space="0" w:color="000000"/>
                  </w:tcBorders>
                </w:tcPr>
                <w:p w14:paraId="0E59149D" w14:textId="77777777" w:rsidR="00600DEE" w:rsidRPr="0045151D" w:rsidRDefault="00600DEE">
                  <w:pPr>
                    <w:rPr>
                      <w:rFonts w:ascii="Calibri" w:eastAsia="Calibri" w:hAnsi="Calibri" w:cs="Calibri"/>
                      <w:b/>
                      <w:lang w:val="en-GB"/>
                    </w:rPr>
                  </w:pPr>
                </w:p>
              </w:tc>
              <w:tc>
                <w:tcPr>
                  <w:tcW w:w="555" w:type="dxa"/>
                  <w:tcBorders>
                    <w:bottom w:val="single" w:sz="8" w:space="0" w:color="000000"/>
                  </w:tcBorders>
                </w:tcPr>
                <w:p w14:paraId="0A7890B9" w14:textId="77777777" w:rsidR="00600DEE" w:rsidRPr="0045151D" w:rsidRDefault="00600DEE">
                  <w:pPr>
                    <w:rPr>
                      <w:rFonts w:ascii="Calibri" w:eastAsia="Calibri" w:hAnsi="Calibri" w:cs="Calibri"/>
                      <w:lang w:val="en-GB"/>
                    </w:rPr>
                  </w:pPr>
                </w:p>
              </w:tc>
              <w:tc>
                <w:tcPr>
                  <w:tcW w:w="2308" w:type="dxa"/>
                  <w:tcBorders>
                    <w:bottom w:val="single" w:sz="8" w:space="0" w:color="000000"/>
                  </w:tcBorders>
                </w:tcPr>
                <w:p w14:paraId="4E54B9D6" w14:textId="77777777" w:rsidR="00600DEE" w:rsidRPr="0045151D" w:rsidRDefault="00600DEE">
                  <w:pPr>
                    <w:rPr>
                      <w:rFonts w:ascii="Calibri" w:eastAsia="Calibri" w:hAnsi="Calibri" w:cs="Calibri"/>
                      <w:lang w:val="en-GB"/>
                    </w:rPr>
                  </w:pPr>
                </w:p>
              </w:tc>
              <w:tc>
                <w:tcPr>
                  <w:tcW w:w="566" w:type="dxa"/>
                  <w:tcBorders>
                    <w:bottom w:val="single" w:sz="8" w:space="0" w:color="000000"/>
                  </w:tcBorders>
                </w:tcPr>
                <w:p w14:paraId="236A1C2A" w14:textId="77777777" w:rsidR="00600DEE" w:rsidRPr="0045151D" w:rsidRDefault="00600DEE">
                  <w:pPr>
                    <w:rPr>
                      <w:rFonts w:ascii="Calibri" w:eastAsia="Calibri" w:hAnsi="Calibri" w:cs="Calibri"/>
                      <w:lang w:val="en-GB"/>
                    </w:rPr>
                  </w:pPr>
                </w:p>
              </w:tc>
              <w:tc>
                <w:tcPr>
                  <w:tcW w:w="1698" w:type="dxa"/>
                  <w:tcBorders>
                    <w:bottom w:val="single" w:sz="8" w:space="0" w:color="000000"/>
                  </w:tcBorders>
                </w:tcPr>
                <w:p w14:paraId="38C72D6F" w14:textId="77777777" w:rsidR="00600DEE" w:rsidRPr="0045151D" w:rsidRDefault="00600DEE">
                  <w:pPr>
                    <w:rPr>
                      <w:rFonts w:ascii="Calibri" w:eastAsia="Calibri" w:hAnsi="Calibri" w:cs="Calibri"/>
                      <w:lang w:val="en-GB"/>
                    </w:rPr>
                  </w:pPr>
                </w:p>
              </w:tc>
              <w:tc>
                <w:tcPr>
                  <w:tcW w:w="250" w:type="dxa"/>
                  <w:tcBorders>
                    <w:bottom w:val="single" w:sz="8" w:space="0" w:color="000000"/>
                  </w:tcBorders>
                </w:tcPr>
                <w:p w14:paraId="4C26BB50" w14:textId="77777777" w:rsidR="00600DEE" w:rsidRPr="0045151D" w:rsidRDefault="00600DEE">
                  <w:pPr>
                    <w:rPr>
                      <w:rFonts w:ascii="Calibri" w:eastAsia="Calibri" w:hAnsi="Calibri" w:cs="Calibri"/>
                      <w:lang w:val="en-GB"/>
                    </w:rPr>
                  </w:pPr>
                </w:p>
              </w:tc>
            </w:tr>
            <w:tr w:rsidR="00600DEE" w14:paraId="7ABCD5A1" w14:textId="77777777" w:rsidTr="00023AC0">
              <w:trPr>
                <w:trHeight w:val="340"/>
              </w:trPr>
              <w:tc>
                <w:tcPr>
                  <w:tcW w:w="251" w:type="dxa"/>
                  <w:tcBorders>
                    <w:top w:val="single" w:sz="8" w:space="0" w:color="000000"/>
                    <w:left w:val="single" w:sz="8" w:space="0" w:color="000000"/>
                    <w:bottom w:val="single" w:sz="8" w:space="0" w:color="000000"/>
                  </w:tcBorders>
                  <w:shd w:val="clear" w:color="auto" w:fill="B8CCE4"/>
                  <w:vAlign w:val="center"/>
                </w:tcPr>
                <w:p w14:paraId="0B233893" w14:textId="77777777" w:rsidR="00600DEE" w:rsidRPr="0045151D" w:rsidRDefault="00600DEE">
                  <w:pPr>
                    <w:jc w:val="center"/>
                    <w:rPr>
                      <w:rFonts w:ascii="Calibri" w:eastAsia="Calibri" w:hAnsi="Calibri" w:cs="Calibri"/>
                      <w:b/>
                      <w:lang w:val="en-GB"/>
                    </w:rPr>
                  </w:pPr>
                </w:p>
              </w:tc>
              <w:tc>
                <w:tcPr>
                  <w:tcW w:w="1425" w:type="dxa"/>
                  <w:tcBorders>
                    <w:top w:val="single" w:sz="8" w:space="0" w:color="000000"/>
                    <w:bottom w:val="single" w:sz="8" w:space="0" w:color="000000"/>
                  </w:tcBorders>
                  <w:shd w:val="clear" w:color="auto" w:fill="B8CCE4"/>
                  <w:vAlign w:val="center"/>
                </w:tcPr>
                <w:p w14:paraId="613E1F77" w14:textId="77777777" w:rsidR="00600DEE" w:rsidRPr="0045151D" w:rsidRDefault="00600DEE">
                  <w:pPr>
                    <w:jc w:val="center"/>
                    <w:rPr>
                      <w:rFonts w:ascii="Calibri" w:eastAsia="Calibri" w:hAnsi="Calibri" w:cs="Calibri"/>
                      <w:b/>
                      <w:lang w:val="en-GB"/>
                    </w:rPr>
                  </w:pPr>
                </w:p>
              </w:tc>
              <w:tc>
                <w:tcPr>
                  <w:tcW w:w="555" w:type="dxa"/>
                  <w:tcBorders>
                    <w:top w:val="single" w:sz="8" w:space="0" w:color="000000"/>
                    <w:bottom w:val="single" w:sz="8" w:space="0" w:color="000000"/>
                  </w:tcBorders>
                  <w:shd w:val="clear" w:color="auto" w:fill="B8CCE4"/>
                  <w:vAlign w:val="center"/>
                </w:tcPr>
                <w:p w14:paraId="2749FDAF" w14:textId="77777777" w:rsidR="00600DEE" w:rsidRPr="0045151D" w:rsidRDefault="00600DEE">
                  <w:pPr>
                    <w:jc w:val="center"/>
                    <w:rPr>
                      <w:rFonts w:ascii="Calibri" w:eastAsia="Calibri" w:hAnsi="Calibri" w:cs="Calibri"/>
                      <w:lang w:val="en-GB"/>
                    </w:rPr>
                  </w:pPr>
                </w:p>
              </w:tc>
              <w:tc>
                <w:tcPr>
                  <w:tcW w:w="2308" w:type="dxa"/>
                  <w:tcBorders>
                    <w:top w:val="single" w:sz="8" w:space="0" w:color="000000"/>
                    <w:bottom w:val="single" w:sz="8" w:space="0" w:color="000000"/>
                  </w:tcBorders>
                  <w:shd w:val="clear" w:color="auto" w:fill="B8CCE4"/>
                  <w:vAlign w:val="center"/>
                </w:tcPr>
                <w:p w14:paraId="5C95FA2A" w14:textId="77777777" w:rsidR="00600DEE" w:rsidRDefault="00641FB5">
                  <w:pPr>
                    <w:jc w:val="center"/>
                    <w:rPr>
                      <w:rFonts w:ascii="Calibri" w:eastAsia="Calibri" w:hAnsi="Calibri" w:cs="Calibri"/>
                      <w:b/>
                      <w:sz w:val="22"/>
                      <w:szCs w:val="22"/>
                    </w:rPr>
                  </w:pPr>
                  <w:r>
                    <w:rPr>
                      <w:rFonts w:ascii="Calibri" w:eastAsia="Calibri" w:hAnsi="Calibri" w:cs="Calibri"/>
                      <w:b/>
                      <w:sz w:val="22"/>
                      <w:szCs w:val="22"/>
                    </w:rPr>
                    <w:t>Phase II</w:t>
                  </w:r>
                </w:p>
              </w:tc>
              <w:tc>
                <w:tcPr>
                  <w:tcW w:w="566" w:type="dxa"/>
                  <w:tcBorders>
                    <w:top w:val="single" w:sz="8" w:space="0" w:color="000000"/>
                    <w:bottom w:val="single" w:sz="8" w:space="0" w:color="000000"/>
                  </w:tcBorders>
                  <w:shd w:val="clear" w:color="auto" w:fill="B8CCE4"/>
                  <w:vAlign w:val="center"/>
                </w:tcPr>
                <w:p w14:paraId="00AB0410" w14:textId="77777777" w:rsidR="00600DEE" w:rsidRDefault="00600DEE">
                  <w:pPr>
                    <w:jc w:val="center"/>
                    <w:rPr>
                      <w:rFonts w:ascii="Calibri" w:eastAsia="Calibri" w:hAnsi="Calibri" w:cs="Calibri"/>
                    </w:rPr>
                  </w:pPr>
                </w:p>
              </w:tc>
              <w:tc>
                <w:tcPr>
                  <w:tcW w:w="1698" w:type="dxa"/>
                  <w:tcBorders>
                    <w:top w:val="single" w:sz="8" w:space="0" w:color="000000"/>
                    <w:bottom w:val="single" w:sz="8" w:space="0" w:color="000000"/>
                  </w:tcBorders>
                  <w:shd w:val="clear" w:color="auto" w:fill="B8CCE4"/>
                  <w:vAlign w:val="center"/>
                </w:tcPr>
                <w:p w14:paraId="3BC79562" w14:textId="77777777" w:rsidR="00600DEE" w:rsidRDefault="00600DEE">
                  <w:pPr>
                    <w:jc w:val="center"/>
                    <w:rPr>
                      <w:rFonts w:ascii="Calibri" w:eastAsia="Calibri" w:hAnsi="Calibri" w:cs="Calibri"/>
                    </w:rPr>
                  </w:pPr>
                </w:p>
              </w:tc>
              <w:tc>
                <w:tcPr>
                  <w:tcW w:w="250" w:type="dxa"/>
                  <w:tcBorders>
                    <w:top w:val="single" w:sz="8" w:space="0" w:color="000000"/>
                    <w:bottom w:val="single" w:sz="8" w:space="0" w:color="000000"/>
                    <w:right w:val="single" w:sz="8" w:space="0" w:color="000000"/>
                  </w:tcBorders>
                  <w:shd w:val="clear" w:color="auto" w:fill="B8CCE4"/>
                  <w:vAlign w:val="center"/>
                </w:tcPr>
                <w:p w14:paraId="72BA9396" w14:textId="77777777" w:rsidR="00600DEE" w:rsidRDefault="00600DEE">
                  <w:pPr>
                    <w:jc w:val="center"/>
                    <w:rPr>
                      <w:rFonts w:ascii="Calibri" w:eastAsia="Calibri" w:hAnsi="Calibri" w:cs="Calibri"/>
                    </w:rPr>
                  </w:pPr>
                </w:p>
              </w:tc>
            </w:tr>
            <w:tr w:rsidR="00600DEE" w14:paraId="4438CA1F" w14:textId="77777777" w:rsidTr="00E12F72">
              <w:trPr>
                <w:trHeight w:val="63"/>
              </w:trPr>
              <w:tc>
                <w:tcPr>
                  <w:tcW w:w="251" w:type="dxa"/>
                  <w:tcBorders>
                    <w:top w:val="single" w:sz="8" w:space="0" w:color="000000"/>
                  </w:tcBorders>
                </w:tcPr>
                <w:p w14:paraId="395C704F" w14:textId="77777777" w:rsidR="00600DEE" w:rsidRDefault="00600DEE">
                  <w:pPr>
                    <w:rPr>
                      <w:rFonts w:ascii="Calibri" w:eastAsia="Calibri" w:hAnsi="Calibri" w:cs="Calibri"/>
                      <w:b/>
                    </w:rPr>
                  </w:pPr>
                </w:p>
              </w:tc>
              <w:tc>
                <w:tcPr>
                  <w:tcW w:w="1425" w:type="dxa"/>
                  <w:tcBorders>
                    <w:top w:val="single" w:sz="8" w:space="0" w:color="000000"/>
                  </w:tcBorders>
                </w:tcPr>
                <w:p w14:paraId="2A4D530E" w14:textId="77777777" w:rsidR="00600DEE" w:rsidRDefault="00600DEE">
                  <w:pPr>
                    <w:rPr>
                      <w:rFonts w:ascii="Calibri" w:eastAsia="Calibri" w:hAnsi="Calibri" w:cs="Calibri"/>
                      <w:b/>
                    </w:rPr>
                  </w:pPr>
                </w:p>
              </w:tc>
              <w:tc>
                <w:tcPr>
                  <w:tcW w:w="555" w:type="dxa"/>
                  <w:tcBorders>
                    <w:top w:val="single" w:sz="8" w:space="0" w:color="000000"/>
                  </w:tcBorders>
                </w:tcPr>
                <w:p w14:paraId="7377F715" w14:textId="77777777" w:rsidR="00600DEE" w:rsidRDefault="00600DEE">
                  <w:pPr>
                    <w:rPr>
                      <w:rFonts w:ascii="Calibri" w:eastAsia="Calibri" w:hAnsi="Calibri" w:cs="Calibri"/>
                    </w:rPr>
                  </w:pPr>
                </w:p>
              </w:tc>
              <w:tc>
                <w:tcPr>
                  <w:tcW w:w="2308" w:type="dxa"/>
                  <w:tcBorders>
                    <w:top w:val="single" w:sz="8" w:space="0" w:color="000000"/>
                  </w:tcBorders>
                </w:tcPr>
                <w:p w14:paraId="5C4EC6E8" w14:textId="77777777" w:rsidR="00600DEE" w:rsidRDefault="00600DEE">
                  <w:pPr>
                    <w:rPr>
                      <w:rFonts w:ascii="Calibri" w:eastAsia="Calibri" w:hAnsi="Calibri" w:cs="Calibri"/>
                    </w:rPr>
                  </w:pPr>
                </w:p>
              </w:tc>
              <w:tc>
                <w:tcPr>
                  <w:tcW w:w="566" w:type="dxa"/>
                  <w:tcBorders>
                    <w:top w:val="single" w:sz="8" w:space="0" w:color="000000"/>
                  </w:tcBorders>
                </w:tcPr>
                <w:p w14:paraId="553189DF" w14:textId="77777777" w:rsidR="00600DEE" w:rsidRDefault="00600DEE">
                  <w:pPr>
                    <w:rPr>
                      <w:rFonts w:ascii="Calibri" w:eastAsia="Calibri" w:hAnsi="Calibri" w:cs="Calibri"/>
                    </w:rPr>
                  </w:pPr>
                </w:p>
              </w:tc>
              <w:tc>
                <w:tcPr>
                  <w:tcW w:w="1698" w:type="dxa"/>
                  <w:tcBorders>
                    <w:top w:val="single" w:sz="8" w:space="0" w:color="000000"/>
                  </w:tcBorders>
                </w:tcPr>
                <w:p w14:paraId="688316D0" w14:textId="77777777" w:rsidR="00600DEE" w:rsidRDefault="00600DEE">
                  <w:pPr>
                    <w:rPr>
                      <w:rFonts w:ascii="Calibri" w:eastAsia="Calibri" w:hAnsi="Calibri" w:cs="Calibri"/>
                    </w:rPr>
                  </w:pPr>
                </w:p>
              </w:tc>
              <w:tc>
                <w:tcPr>
                  <w:tcW w:w="250" w:type="dxa"/>
                  <w:tcBorders>
                    <w:top w:val="single" w:sz="8" w:space="0" w:color="000000"/>
                  </w:tcBorders>
                </w:tcPr>
                <w:p w14:paraId="080F0B7F" w14:textId="77777777" w:rsidR="00600DEE" w:rsidRDefault="00600DEE">
                  <w:pPr>
                    <w:rPr>
                      <w:rFonts w:ascii="Calibri" w:eastAsia="Calibri" w:hAnsi="Calibri" w:cs="Calibri"/>
                    </w:rPr>
                  </w:pPr>
                </w:p>
              </w:tc>
            </w:tr>
            <w:tr w:rsidR="00600DEE" w:rsidRPr="008C4407" w14:paraId="014C8C19" w14:textId="77777777" w:rsidTr="00E12F72">
              <w:trPr>
                <w:trHeight w:val="1410"/>
              </w:trPr>
              <w:tc>
                <w:tcPr>
                  <w:tcW w:w="251" w:type="dxa"/>
                </w:tcPr>
                <w:p w14:paraId="51AEEFF0" w14:textId="77777777" w:rsidR="00600DEE" w:rsidRDefault="00600DEE">
                  <w:pPr>
                    <w:rPr>
                      <w:rFonts w:ascii="Calibri" w:eastAsia="Calibri" w:hAnsi="Calibri" w:cs="Calibri"/>
                      <w:b/>
                    </w:rPr>
                  </w:pPr>
                </w:p>
              </w:tc>
              <w:tc>
                <w:tcPr>
                  <w:tcW w:w="1425" w:type="dxa"/>
                  <w:shd w:val="clear" w:color="auto" w:fill="F2F2F2"/>
                  <w:vAlign w:val="center"/>
                </w:tcPr>
                <w:p w14:paraId="3F379A83" w14:textId="77777777" w:rsidR="00600DEE" w:rsidRDefault="00641FB5">
                  <w:pPr>
                    <w:ind w:right="170"/>
                    <w:rPr>
                      <w:rFonts w:ascii="Calibri" w:eastAsia="Calibri" w:hAnsi="Calibri" w:cs="Calibri"/>
                      <w:b/>
                    </w:rPr>
                  </w:pPr>
                  <w:r>
                    <w:rPr>
                      <w:rFonts w:ascii="Calibri" w:eastAsia="Calibri" w:hAnsi="Calibri" w:cs="Calibri"/>
                      <w:b/>
                      <w:sz w:val="16"/>
                      <w:szCs w:val="16"/>
                    </w:rPr>
                    <w:t>Economic Analysis</w:t>
                  </w:r>
                </w:p>
              </w:tc>
              <w:tc>
                <w:tcPr>
                  <w:tcW w:w="555" w:type="dxa"/>
                </w:tcPr>
                <w:p w14:paraId="532F62A3" w14:textId="77777777" w:rsidR="00600DEE" w:rsidRDefault="00641FB5">
                  <w:pPr>
                    <w:rPr>
                      <w:rFonts w:ascii="Calibri" w:eastAsia="Calibri" w:hAnsi="Calibri" w:cs="Calibri"/>
                    </w:rPr>
                  </w:pPr>
                  <w:r>
                    <w:rPr>
                      <w:noProof/>
                      <w:lang w:eastAsia="pl-PL"/>
                    </w:rPr>
                    <mc:AlternateContent>
                      <mc:Choice Requires="wps">
                        <w:drawing>
                          <wp:anchor distT="0" distB="0" distL="114300" distR="114300" simplePos="0" relativeHeight="251719680" behindDoc="0" locked="0" layoutInCell="1" hidden="0" allowOverlap="1" wp14:anchorId="19AA413C" wp14:editId="33955E29">
                            <wp:simplePos x="0" y="0"/>
                            <wp:positionH relativeFrom="column">
                              <wp:posOffset>-12699</wp:posOffset>
                            </wp:positionH>
                            <wp:positionV relativeFrom="paragraph">
                              <wp:posOffset>419100</wp:posOffset>
                            </wp:positionV>
                            <wp:extent cx="263000" cy="248600"/>
                            <wp:effectExtent l="0" t="0" r="0" b="0"/>
                            <wp:wrapNone/>
                            <wp:docPr id="477" name="Strzałka: w prawo 477"/>
                            <wp:cNvGraphicFramePr/>
                            <a:graphic xmlns:a="http://schemas.openxmlformats.org/drawingml/2006/main">
                              <a:graphicData uri="http://schemas.microsoft.com/office/word/2010/wordprocessingShape">
                                <wps:wsp>
                                  <wps:cNvSpPr/>
                                  <wps:spPr>
                                    <a:xfrm>
                                      <a:off x="5227200" y="3668400"/>
                                      <a:ext cx="237600" cy="223200"/>
                                    </a:xfrm>
                                    <a:prstGeom prst="rightArrow">
                                      <a:avLst>
                                        <a:gd name="adj1" fmla="val 50000"/>
                                        <a:gd name="adj2" fmla="val 50000"/>
                                      </a:avLst>
                                    </a:prstGeom>
                                    <a:solidFill>
                                      <a:srgbClr val="93B3D7"/>
                                    </a:solidFill>
                                    <a:ln w="25400" cap="flat" cmpd="sng">
                                      <a:solidFill>
                                        <a:srgbClr val="366092"/>
                                      </a:solidFill>
                                      <a:prstDash val="solid"/>
                                      <a:round/>
                                      <a:headEnd type="none" w="sm" len="sm"/>
                                      <a:tailEnd type="none" w="sm" len="sm"/>
                                    </a:ln>
                                  </wps:spPr>
                                  <wps:txbx>
                                    <w:txbxContent>
                                      <w:p w14:paraId="0B18DFA3"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AA413C" id="Strzałka: w prawo 477" o:spid="_x0000_s1060" type="#_x0000_t13" style="position:absolute;margin-left:-1pt;margin-top:33pt;width:20.7pt;height:19.5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" adj="11455" fillcolor="#93b3d7" strokecolor="#366092" strokeweight="2pt">
                            <v:stroke startarrowwidth="narrow" startarrowlength="short" endarrowwidth="narrow" endarrowlength="short" joinstyle="round"/>
                            <v:textbox inset="2.53958mm,2.53958mm,2.53958mm,2.53958mm">
                              <w:txbxContent>
                                <w:p w14:paraId="0B18DFA3" w14:textId="77777777" w:rsidR="007463B9" w:rsidRDefault="007463B9">
                                  <w:pPr>
                                    <w:textDirection w:val="btLr"/>
                                  </w:pPr>
                                </w:p>
                              </w:txbxContent>
                            </v:textbox>
                          </v:shape>
                        </w:pict>
                      </mc:Fallback>
                    </mc:AlternateContent>
                  </w:r>
                </w:p>
              </w:tc>
              <w:tc>
                <w:tcPr>
                  <w:tcW w:w="2308" w:type="dxa"/>
                  <w:vAlign w:val="center"/>
                </w:tcPr>
                <w:p w14:paraId="5BE7F941" w14:textId="77777777" w:rsidR="00600DEE" w:rsidRPr="0045151D" w:rsidRDefault="00641FB5">
                  <w:pPr>
                    <w:ind w:right="170"/>
                    <w:rPr>
                      <w:rFonts w:ascii="Calibri" w:eastAsia="Calibri" w:hAnsi="Calibri" w:cs="Calibri"/>
                      <w:sz w:val="13"/>
                      <w:szCs w:val="13"/>
                      <w:lang w:val="en-GB"/>
                    </w:rPr>
                  </w:pPr>
                  <w:r w:rsidRPr="0045151D">
                    <w:rPr>
                      <w:rFonts w:ascii="Calibri" w:eastAsia="Calibri" w:hAnsi="Calibri" w:cs="Calibri"/>
                      <w:sz w:val="13"/>
                      <w:szCs w:val="13"/>
                      <w:lang w:val="en-GB"/>
                    </w:rPr>
                    <w:t>- Definition of assumptions</w:t>
                  </w:r>
                </w:p>
                <w:p w14:paraId="6D521DFC" w14:textId="77777777" w:rsidR="00600DEE" w:rsidRPr="0045151D" w:rsidRDefault="00641FB5">
                  <w:pPr>
                    <w:ind w:right="170"/>
                    <w:rPr>
                      <w:rFonts w:ascii="Calibri" w:eastAsia="Calibri" w:hAnsi="Calibri" w:cs="Calibri"/>
                      <w:sz w:val="13"/>
                      <w:szCs w:val="13"/>
                      <w:lang w:val="en-GB"/>
                    </w:rPr>
                  </w:pPr>
                  <w:r w:rsidRPr="0045151D">
                    <w:rPr>
                      <w:rFonts w:ascii="Calibri" w:eastAsia="Calibri" w:hAnsi="Calibri" w:cs="Calibri"/>
                      <w:sz w:val="13"/>
                      <w:szCs w:val="13"/>
                      <w:lang w:val="en-GB"/>
                    </w:rPr>
                    <w:t>- Conversion from market to accounting (shadow) prices</w:t>
                  </w:r>
                </w:p>
                <w:p w14:paraId="0255318E" w14:textId="77777777" w:rsidR="00600DEE" w:rsidRPr="0045151D" w:rsidRDefault="00641FB5">
                  <w:pPr>
                    <w:ind w:right="170"/>
                    <w:rPr>
                      <w:rFonts w:ascii="Calibri" w:eastAsia="Calibri" w:hAnsi="Calibri" w:cs="Calibri"/>
                      <w:sz w:val="13"/>
                      <w:szCs w:val="13"/>
                      <w:lang w:val="en-GB"/>
                    </w:rPr>
                  </w:pPr>
                  <w:r w:rsidRPr="0045151D">
                    <w:rPr>
                      <w:rFonts w:ascii="Calibri" w:eastAsia="Calibri" w:hAnsi="Calibri" w:cs="Calibri"/>
                      <w:sz w:val="13"/>
                      <w:szCs w:val="13"/>
                      <w:lang w:val="en-GB"/>
                    </w:rPr>
                    <w:t>- Calculation of economic costs and benefits</w:t>
                  </w:r>
                </w:p>
                <w:p w14:paraId="195AC25F" w14:textId="77777777" w:rsidR="00600DEE" w:rsidRPr="0045151D" w:rsidRDefault="00641FB5">
                  <w:pPr>
                    <w:ind w:right="170"/>
                    <w:rPr>
                      <w:rFonts w:ascii="Calibri" w:eastAsia="Calibri" w:hAnsi="Calibri" w:cs="Calibri"/>
                      <w:sz w:val="13"/>
                      <w:szCs w:val="13"/>
                      <w:lang w:val="en-GB"/>
                    </w:rPr>
                  </w:pPr>
                  <w:r w:rsidRPr="0045151D">
                    <w:rPr>
                      <w:rFonts w:ascii="Calibri" w:eastAsia="Calibri" w:hAnsi="Calibri" w:cs="Calibri"/>
                      <w:sz w:val="13"/>
                      <w:szCs w:val="13"/>
                      <w:lang w:val="en-GB"/>
                    </w:rPr>
                    <w:t>- Calculation of economic performance indicators</w:t>
                  </w:r>
                </w:p>
                <w:p w14:paraId="49DF6951" w14:textId="77777777" w:rsidR="00600DEE" w:rsidRPr="0045151D" w:rsidRDefault="00641FB5">
                  <w:pPr>
                    <w:ind w:right="170"/>
                    <w:rPr>
                      <w:rFonts w:ascii="Calibri" w:eastAsia="Calibri" w:hAnsi="Calibri" w:cs="Calibri"/>
                      <w:lang w:val="en-GB"/>
                    </w:rPr>
                  </w:pPr>
                  <w:r w:rsidRPr="0045151D">
                    <w:rPr>
                      <w:rFonts w:ascii="Calibri" w:eastAsia="Calibri" w:hAnsi="Calibri" w:cs="Calibri"/>
                      <w:sz w:val="13"/>
                      <w:szCs w:val="13"/>
                      <w:lang w:val="en-GB"/>
                    </w:rPr>
                    <w:t>- Selection of final project option (if applicable)</w:t>
                  </w:r>
                </w:p>
              </w:tc>
              <w:tc>
                <w:tcPr>
                  <w:tcW w:w="566" w:type="dxa"/>
                </w:tcPr>
                <w:p w14:paraId="1AD818C0" w14:textId="77777777" w:rsidR="00600DEE" w:rsidRPr="0045151D" w:rsidRDefault="00641FB5">
                  <w:pPr>
                    <w:rPr>
                      <w:rFonts w:ascii="Calibri" w:eastAsia="Calibri" w:hAnsi="Calibri" w:cs="Calibri"/>
                      <w:lang w:val="en-GB"/>
                    </w:rPr>
                  </w:pPr>
                  <w:r>
                    <w:rPr>
                      <w:noProof/>
                      <w:lang w:eastAsia="pl-PL"/>
                    </w:rPr>
                    <mc:AlternateContent>
                      <mc:Choice Requires="wps">
                        <w:drawing>
                          <wp:anchor distT="0" distB="0" distL="114300" distR="114300" simplePos="0" relativeHeight="251720704" behindDoc="0" locked="0" layoutInCell="1" hidden="0" allowOverlap="1" wp14:anchorId="044A09B0" wp14:editId="276260A8">
                            <wp:simplePos x="0" y="0"/>
                            <wp:positionH relativeFrom="column">
                              <wp:posOffset>-38099</wp:posOffset>
                            </wp:positionH>
                            <wp:positionV relativeFrom="paragraph">
                              <wp:posOffset>419100</wp:posOffset>
                            </wp:positionV>
                            <wp:extent cx="262255" cy="247650"/>
                            <wp:effectExtent l="0" t="0" r="0" b="0"/>
                            <wp:wrapNone/>
                            <wp:docPr id="490" name="Strzałka: w prawo 490"/>
                            <wp:cNvGraphicFramePr/>
                            <a:graphic xmlns:a="http://schemas.openxmlformats.org/drawingml/2006/main">
                              <a:graphicData uri="http://schemas.microsoft.com/office/word/2010/wordprocessingShape">
                                <wps:wsp>
                                  <wps:cNvSpPr/>
                                  <wps:spPr>
                                    <a:xfrm>
                                      <a:off x="5227573" y="3668875"/>
                                      <a:ext cx="236855" cy="222250"/>
                                    </a:xfrm>
                                    <a:prstGeom prst="rightArrow">
                                      <a:avLst>
                                        <a:gd name="adj1" fmla="val 50000"/>
                                        <a:gd name="adj2" fmla="val 50000"/>
                                      </a:avLst>
                                    </a:prstGeom>
                                    <a:solidFill>
                                      <a:srgbClr val="93B3D7"/>
                                    </a:solidFill>
                                    <a:ln w="25400" cap="flat" cmpd="sng">
                                      <a:solidFill>
                                        <a:srgbClr val="366092"/>
                                      </a:solidFill>
                                      <a:prstDash val="solid"/>
                                      <a:round/>
                                      <a:headEnd type="none" w="sm" len="sm"/>
                                      <a:tailEnd type="none" w="sm" len="sm"/>
                                    </a:ln>
                                  </wps:spPr>
                                  <wps:txbx>
                                    <w:txbxContent>
                                      <w:p w14:paraId="6F09A969"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4A09B0" id="Strzałka: w prawo 490" o:spid="_x0000_s1061" type="#_x0000_t13" style="position:absolute;margin-left:-3pt;margin-top:33pt;width:20.65pt;height:19.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" adj="11466" fillcolor="#93b3d7" strokecolor="#366092" strokeweight="2pt">
                            <v:stroke startarrowwidth="narrow" startarrowlength="short" endarrowwidth="narrow" endarrowlength="short" joinstyle="round"/>
                            <v:textbox inset="2.53958mm,2.53958mm,2.53958mm,2.53958mm">
                              <w:txbxContent>
                                <w:p w14:paraId="6F09A969" w14:textId="77777777" w:rsidR="007463B9" w:rsidRDefault="007463B9">
                                  <w:pPr>
                                    <w:textDirection w:val="btLr"/>
                                  </w:pPr>
                                </w:p>
                              </w:txbxContent>
                            </v:textbox>
                          </v:shape>
                        </w:pict>
                      </mc:Fallback>
                    </mc:AlternateContent>
                  </w:r>
                </w:p>
              </w:tc>
              <w:tc>
                <w:tcPr>
                  <w:tcW w:w="1698" w:type="dxa"/>
                  <w:shd w:val="clear" w:color="auto" w:fill="A6A6A6"/>
                  <w:vAlign w:val="center"/>
                </w:tcPr>
                <w:p w14:paraId="6F3A4CCC" w14:textId="77777777" w:rsidR="00600DEE" w:rsidRPr="0045151D" w:rsidRDefault="00641FB5">
                  <w:pPr>
                    <w:ind w:right="170"/>
                    <w:rPr>
                      <w:rFonts w:ascii="Calibri" w:eastAsia="Calibri" w:hAnsi="Calibri" w:cs="Calibri"/>
                      <w:sz w:val="12"/>
                      <w:szCs w:val="12"/>
                      <w:lang w:val="en-GB"/>
                    </w:rPr>
                  </w:pPr>
                  <w:r w:rsidRPr="0045151D">
                    <w:rPr>
                      <w:rFonts w:ascii="Calibri" w:eastAsia="Calibri" w:hAnsi="Calibri" w:cs="Calibri"/>
                      <w:sz w:val="12"/>
                      <w:szCs w:val="12"/>
                      <w:lang w:val="en-GB"/>
                    </w:rPr>
                    <w:t>- Selection of the best investment option within broad social perspective (in case of using CBA as option selection tool)</w:t>
                  </w:r>
                </w:p>
                <w:p w14:paraId="2AA12027" w14:textId="77777777" w:rsidR="00600DEE" w:rsidRPr="0045151D" w:rsidRDefault="00641FB5">
                  <w:pPr>
                    <w:ind w:right="170"/>
                    <w:rPr>
                      <w:rFonts w:ascii="Calibri" w:eastAsia="Calibri" w:hAnsi="Calibri" w:cs="Calibri"/>
                      <w:sz w:val="13"/>
                      <w:szCs w:val="13"/>
                      <w:lang w:val="en-GB"/>
                    </w:rPr>
                  </w:pPr>
                  <w:r w:rsidRPr="0045151D">
                    <w:rPr>
                      <w:rFonts w:ascii="Calibri" w:eastAsia="Calibri" w:hAnsi="Calibri" w:cs="Calibri"/>
                      <w:sz w:val="12"/>
                      <w:szCs w:val="12"/>
                      <w:lang w:val="en-GB"/>
                    </w:rPr>
                    <w:t>- Justification that the project investment option is economically advisable and deserves co-financing</w:t>
                  </w:r>
                </w:p>
              </w:tc>
              <w:tc>
                <w:tcPr>
                  <w:tcW w:w="250" w:type="dxa"/>
                </w:tcPr>
                <w:p w14:paraId="025B3D55" w14:textId="77777777" w:rsidR="00600DEE" w:rsidRPr="0045151D" w:rsidRDefault="00600DEE">
                  <w:pPr>
                    <w:rPr>
                      <w:rFonts w:ascii="Calibri" w:eastAsia="Calibri" w:hAnsi="Calibri" w:cs="Calibri"/>
                      <w:lang w:val="en-GB"/>
                    </w:rPr>
                  </w:pPr>
                </w:p>
              </w:tc>
            </w:tr>
            <w:tr w:rsidR="00600DEE" w:rsidRPr="008C4407" w14:paraId="10F68EEB" w14:textId="77777777" w:rsidTr="00E12F72">
              <w:trPr>
                <w:trHeight w:val="53"/>
              </w:trPr>
              <w:tc>
                <w:tcPr>
                  <w:tcW w:w="251" w:type="dxa"/>
                  <w:tcBorders>
                    <w:bottom w:val="single" w:sz="8" w:space="0" w:color="000000"/>
                  </w:tcBorders>
                </w:tcPr>
                <w:p w14:paraId="70A7409F" w14:textId="77777777" w:rsidR="00600DEE" w:rsidRPr="0045151D" w:rsidRDefault="00600DEE">
                  <w:pPr>
                    <w:rPr>
                      <w:rFonts w:ascii="Calibri" w:eastAsia="Calibri" w:hAnsi="Calibri" w:cs="Calibri"/>
                      <w:b/>
                      <w:lang w:val="en-GB"/>
                    </w:rPr>
                  </w:pPr>
                </w:p>
              </w:tc>
              <w:tc>
                <w:tcPr>
                  <w:tcW w:w="1425" w:type="dxa"/>
                  <w:tcBorders>
                    <w:bottom w:val="single" w:sz="8" w:space="0" w:color="000000"/>
                  </w:tcBorders>
                </w:tcPr>
                <w:p w14:paraId="12B08DE1" w14:textId="77777777" w:rsidR="00600DEE" w:rsidRPr="0045151D" w:rsidRDefault="00600DEE">
                  <w:pPr>
                    <w:rPr>
                      <w:rFonts w:ascii="Calibri" w:eastAsia="Calibri" w:hAnsi="Calibri" w:cs="Calibri"/>
                      <w:b/>
                      <w:lang w:val="en-GB"/>
                    </w:rPr>
                  </w:pPr>
                </w:p>
                <w:p w14:paraId="170A1DF7" w14:textId="77777777" w:rsidR="00E12F72" w:rsidRPr="0045151D" w:rsidRDefault="00E12F72">
                  <w:pPr>
                    <w:rPr>
                      <w:rFonts w:ascii="Calibri" w:eastAsia="Calibri" w:hAnsi="Calibri" w:cs="Calibri"/>
                      <w:b/>
                      <w:lang w:val="en-GB"/>
                    </w:rPr>
                  </w:pPr>
                </w:p>
                <w:p w14:paraId="10293199" w14:textId="77777777" w:rsidR="00E12F72" w:rsidRPr="0045151D" w:rsidRDefault="00E12F72">
                  <w:pPr>
                    <w:rPr>
                      <w:rFonts w:ascii="Calibri" w:eastAsia="Calibri" w:hAnsi="Calibri" w:cs="Calibri"/>
                      <w:b/>
                      <w:lang w:val="en-GB"/>
                    </w:rPr>
                  </w:pPr>
                </w:p>
                <w:p w14:paraId="6CD4DFCE" w14:textId="77777777" w:rsidR="00E12F72" w:rsidRPr="0045151D" w:rsidRDefault="00E12F72">
                  <w:pPr>
                    <w:rPr>
                      <w:rFonts w:ascii="Calibri" w:eastAsia="Calibri" w:hAnsi="Calibri" w:cs="Calibri"/>
                      <w:b/>
                      <w:lang w:val="en-GB"/>
                    </w:rPr>
                  </w:pPr>
                </w:p>
                <w:p w14:paraId="5B6704AC" w14:textId="12B8D1FE" w:rsidR="00E12F72" w:rsidRPr="0045151D" w:rsidRDefault="00E12F72" w:rsidP="008560D7">
                  <w:pPr>
                    <w:spacing w:after="160"/>
                    <w:rPr>
                      <w:rFonts w:ascii="Calibri" w:eastAsia="Calibri" w:hAnsi="Calibri" w:cs="Calibri"/>
                      <w:b/>
                      <w:lang w:val="en-GB"/>
                    </w:rPr>
                  </w:pPr>
                </w:p>
              </w:tc>
              <w:tc>
                <w:tcPr>
                  <w:tcW w:w="555" w:type="dxa"/>
                  <w:tcBorders>
                    <w:bottom w:val="single" w:sz="8" w:space="0" w:color="000000"/>
                  </w:tcBorders>
                </w:tcPr>
                <w:p w14:paraId="1A2B1D51" w14:textId="77777777" w:rsidR="00600DEE" w:rsidRPr="0045151D" w:rsidRDefault="00600DEE">
                  <w:pPr>
                    <w:rPr>
                      <w:rFonts w:ascii="Calibri" w:eastAsia="Calibri" w:hAnsi="Calibri" w:cs="Calibri"/>
                      <w:lang w:val="en-GB"/>
                    </w:rPr>
                  </w:pPr>
                </w:p>
              </w:tc>
              <w:tc>
                <w:tcPr>
                  <w:tcW w:w="2308" w:type="dxa"/>
                  <w:tcBorders>
                    <w:bottom w:val="single" w:sz="8" w:space="0" w:color="000000"/>
                  </w:tcBorders>
                </w:tcPr>
                <w:p w14:paraId="0310764F" w14:textId="77777777" w:rsidR="00600DEE" w:rsidRPr="0045151D" w:rsidRDefault="00600DEE">
                  <w:pPr>
                    <w:rPr>
                      <w:rFonts w:ascii="Calibri" w:eastAsia="Calibri" w:hAnsi="Calibri" w:cs="Calibri"/>
                      <w:lang w:val="en-GB"/>
                    </w:rPr>
                  </w:pPr>
                </w:p>
              </w:tc>
              <w:tc>
                <w:tcPr>
                  <w:tcW w:w="566" w:type="dxa"/>
                  <w:tcBorders>
                    <w:bottom w:val="single" w:sz="8" w:space="0" w:color="000000"/>
                  </w:tcBorders>
                </w:tcPr>
                <w:p w14:paraId="29976BEC" w14:textId="77777777" w:rsidR="00600DEE" w:rsidRPr="0045151D" w:rsidRDefault="00600DEE">
                  <w:pPr>
                    <w:rPr>
                      <w:rFonts w:ascii="Calibri" w:eastAsia="Calibri" w:hAnsi="Calibri" w:cs="Calibri"/>
                      <w:lang w:val="en-GB"/>
                    </w:rPr>
                  </w:pPr>
                </w:p>
              </w:tc>
              <w:tc>
                <w:tcPr>
                  <w:tcW w:w="1698" w:type="dxa"/>
                  <w:tcBorders>
                    <w:bottom w:val="single" w:sz="8" w:space="0" w:color="000000"/>
                  </w:tcBorders>
                </w:tcPr>
                <w:p w14:paraId="3114118F" w14:textId="77777777" w:rsidR="00600DEE" w:rsidRPr="0045151D" w:rsidRDefault="00600DEE">
                  <w:pPr>
                    <w:rPr>
                      <w:rFonts w:ascii="Calibri" w:eastAsia="Calibri" w:hAnsi="Calibri" w:cs="Calibri"/>
                      <w:lang w:val="en-GB"/>
                    </w:rPr>
                  </w:pPr>
                </w:p>
              </w:tc>
              <w:tc>
                <w:tcPr>
                  <w:tcW w:w="250" w:type="dxa"/>
                  <w:tcBorders>
                    <w:bottom w:val="single" w:sz="8" w:space="0" w:color="000000"/>
                  </w:tcBorders>
                </w:tcPr>
                <w:p w14:paraId="69F256BD" w14:textId="77777777" w:rsidR="00600DEE" w:rsidRPr="0045151D" w:rsidRDefault="00600DEE">
                  <w:pPr>
                    <w:rPr>
                      <w:rFonts w:ascii="Calibri" w:eastAsia="Calibri" w:hAnsi="Calibri" w:cs="Calibri"/>
                      <w:lang w:val="en-GB"/>
                    </w:rPr>
                  </w:pPr>
                </w:p>
              </w:tc>
            </w:tr>
            <w:tr w:rsidR="00E12F72" w14:paraId="49BC00AB" w14:textId="77777777" w:rsidTr="00E12F72">
              <w:trPr>
                <w:trHeight w:val="340"/>
              </w:trPr>
              <w:tc>
                <w:tcPr>
                  <w:tcW w:w="251" w:type="dxa"/>
                  <w:tcBorders>
                    <w:top w:val="single" w:sz="8" w:space="0" w:color="000000"/>
                    <w:left w:val="single" w:sz="8" w:space="0" w:color="000000"/>
                    <w:bottom w:val="single" w:sz="8" w:space="0" w:color="000000"/>
                  </w:tcBorders>
                  <w:shd w:val="clear" w:color="auto" w:fill="95B3D7"/>
                  <w:vAlign w:val="center"/>
                </w:tcPr>
                <w:p w14:paraId="5DD58351" w14:textId="77777777" w:rsidR="00E12F72" w:rsidRPr="0045151D" w:rsidRDefault="00E12F72">
                  <w:pPr>
                    <w:jc w:val="center"/>
                    <w:rPr>
                      <w:rFonts w:ascii="Calibri" w:eastAsia="Calibri" w:hAnsi="Calibri" w:cs="Calibri"/>
                      <w:b/>
                      <w:lang w:val="en-GB"/>
                    </w:rPr>
                  </w:pPr>
                </w:p>
              </w:tc>
              <w:tc>
                <w:tcPr>
                  <w:tcW w:w="6552" w:type="dxa"/>
                  <w:gridSpan w:val="5"/>
                  <w:tcBorders>
                    <w:top w:val="single" w:sz="8" w:space="0" w:color="000000"/>
                    <w:bottom w:val="single" w:sz="8" w:space="0" w:color="000000"/>
                  </w:tcBorders>
                  <w:shd w:val="clear" w:color="auto" w:fill="95B3D7"/>
                  <w:vAlign w:val="center"/>
                </w:tcPr>
                <w:p w14:paraId="085039D1" w14:textId="1FD87DB7" w:rsidR="00E12F72" w:rsidRDefault="00E12F72">
                  <w:pPr>
                    <w:jc w:val="center"/>
                    <w:rPr>
                      <w:rFonts w:ascii="Calibri" w:eastAsia="Calibri" w:hAnsi="Calibri" w:cs="Calibri"/>
                    </w:rPr>
                  </w:pPr>
                  <w:r>
                    <w:rPr>
                      <w:rFonts w:ascii="Calibri" w:eastAsia="Calibri" w:hAnsi="Calibri" w:cs="Calibri"/>
                      <w:b/>
                      <w:sz w:val="22"/>
                      <w:szCs w:val="22"/>
                    </w:rPr>
                    <w:t>Phase III</w:t>
                  </w:r>
                </w:p>
              </w:tc>
              <w:tc>
                <w:tcPr>
                  <w:tcW w:w="250" w:type="dxa"/>
                  <w:tcBorders>
                    <w:top w:val="single" w:sz="8" w:space="0" w:color="000000"/>
                    <w:bottom w:val="single" w:sz="8" w:space="0" w:color="000000"/>
                    <w:right w:val="single" w:sz="8" w:space="0" w:color="000000"/>
                  </w:tcBorders>
                  <w:shd w:val="clear" w:color="auto" w:fill="95B3D7"/>
                  <w:vAlign w:val="center"/>
                </w:tcPr>
                <w:p w14:paraId="08C6B28A" w14:textId="77777777" w:rsidR="00E12F72" w:rsidRDefault="00E12F72">
                  <w:pPr>
                    <w:jc w:val="center"/>
                    <w:rPr>
                      <w:rFonts w:ascii="Calibri" w:eastAsia="Calibri" w:hAnsi="Calibri" w:cs="Calibri"/>
                    </w:rPr>
                  </w:pPr>
                </w:p>
              </w:tc>
            </w:tr>
            <w:tr w:rsidR="00600DEE" w14:paraId="7F5D82EB" w14:textId="77777777" w:rsidTr="00E12F72">
              <w:trPr>
                <w:trHeight w:val="63"/>
              </w:trPr>
              <w:tc>
                <w:tcPr>
                  <w:tcW w:w="251" w:type="dxa"/>
                  <w:tcBorders>
                    <w:top w:val="single" w:sz="8" w:space="0" w:color="000000"/>
                  </w:tcBorders>
                </w:tcPr>
                <w:p w14:paraId="4C72843A" w14:textId="77777777" w:rsidR="00600DEE" w:rsidRDefault="00600DEE">
                  <w:pPr>
                    <w:rPr>
                      <w:rFonts w:ascii="Calibri" w:eastAsia="Calibri" w:hAnsi="Calibri" w:cs="Calibri"/>
                      <w:b/>
                    </w:rPr>
                  </w:pPr>
                </w:p>
              </w:tc>
              <w:tc>
                <w:tcPr>
                  <w:tcW w:w="1425" w:type="dxa"/>
                  <w:tcBorders>
                    <w:top w:val="single" w:sz="8" w:space="0" w:color="000000"/>
                  </w:tcBorders>
                </w:tcPr>
                <w:p w14:paraId="60477252" w14:textId="77777777" w:rsidR="00600DEE" w:rsidRDefault="00600DEE">
                  <w:pPr>
                    <w:rPr>
                      <w:rFonts w:ascii="Calibri" w:eastAsia="Calibri" w:hAnsi="Calibri" w:cs="Calibri"/>
                      <w:b/>
                    </w:rPr>
                  </w:pPr>
                </w:p>
              </w:tc>
              <w:tc>
                <w:tcPr>
                  <w:tcW w:w="555" w:type="dxa"/>
                  <w:tcBorders>
                    <w:top w:val="single" w:sz="8" w:space="0" w:color="000000"/>
                  </w:tcBorders>
                </w:tcPr>
                <w:p w14:paraId="2FF9980B" w14:textId="77777777" w:rsidR="00600DEE" w:rsidRDefault="00600DEE">
                  <w:pPr>
                    <w:rPr>
                      <w:rFonts w:ascii="Calibri" w:eastAsia="Calibri" w:hAnsi="Calibri" w:cs="Calibri"/>
                    </w:rPr>
                  </w:pPr>
                </w:p>
              </w:tc>
              <w:tc>
                <w:tcPr>
                  <w:tcW w:w="2308" w:type="dxa"/>
                  <w:tcBorders>
                    <w:top w:val="single" w:sz="8" w:space="0" w:color="000000"/>
                  </w:tcBorders>
                </w:tcPr>
                <w:p w14:paraId="154AB930" w14:textId="77777777" w:rsidR="00600DEE" w:rsidRDefault="00600DEE">
                  <w:pPr>
                    <w:rPr>
                      <w:rFonts w:ascii="Calibri" w:eastAsia="Calibri" w:hAnsi="Calibri" w:cs="Calibri"/>
                    </w:rPr>
                  </w:pPr>
                </w:p>
              </w:tc>
              <w:tc>
                <w:tcPr>
                  <w:tcW w:w="566" w:type="dxa"/>
                  <w:tcBorders>
                    <w:top w:val="single" w:sz="8" w:space="0" w:color="000000"/>
                  </w:tcBorders>
                </w:tcPr>
                <w:p w14:paraId="6EAF1C15" w14:textId="77777777" w:rsidR="00600DEE" w:rsidRDefault="00600DEE">
                  <w:pPr>
                    <w:rPr>
                      <w:rFonts w:ascii="Calibri" w:eastAsia="Calibri" w:hAnsi="Calibri" w:cs="Calibri"/>
                    </w:rPr>
                  </w:pPr>
                </w:p>
              </w:tc>
              <w:tc>
                <w:tcPr>
                  <w:tcW w:w="1698" w:type="dxa"/>
                  <w:tcBorders>
                    <w:top w:val="single" w:sz="8" w:space="0" w:color="000000"/>
                  </w:tcBorders>
                </w:tcPr>
                <w:p w14:paraId="4ED553EE" w14:textId="77777777" w:rsidR="00600DEE" w:rsidRDefault="00600DEE">
                  <w:pPr>
                    <w:rPr>
                      <w:rFonts w:ascii="Calibri" w:eastAsia="Calibri" w:hAnsi="Calibri" w:cs="Calibri"/>
                    </w:rPr>
                  </w:pPr>
                </w:p>
              </w:tc>
              <w:tc>
                <w:tcPr>
                  <w:tcW w:w="250" w:type="dxa"/>
                  <w:tcBorders>
                    <w:top w:val="single" w:sz="8" w:space="0" w:color="000000"/>
                  </w:tcBorders>
                </w:tcPr>
                <w:p w14:paraId="6901A681" w14:textId="77777777" w:rsidR="00600DEE" w:rsidRDefault="00600DEE">
                  <w:pPr>
                    <w:rPr>
                      <w:rFonts w:ascii="Calibri" w:eastAsia="Calibri" w:hAnsi="Calibri" w:cs="Calibri"/>
                    </w:rPr>
                  </w:pPr>
                </w:p>
              </w:tc>
            </w:tr>
            <w:tr w:rsidR="00600DEE" w:rsidRPr="008C4407" w14:paraId="138BEB36" w14:textId="77777777" w:rsidTr="00E12F72">
              <w:trPr>
                <w:trHeight w:hRule="exact" w:val="1134"/>
              </w:trPr>
              <w:tc>
                <w:tcPr>
                  <w:tcW w:w="251" w:type="dxa"/>
                </w:tcPr>
                <w:p w14:paraId="41746C54" w14:textId="77777777" w:rsidR="00600DEE" w:rsidRDefault="00600DEE">
                  <w:pPr>
                    <w:rPr>
                      <w:rFonts w:ascii="Calibri" w:eastAsia="Calibri" w:hAnsi="Calibri" w:cs="Calibri"/>
                      <w:b/>
                    </w:rPr>
                  </w:pPr>
                </w:p>
              </w:tc>
              <w:tc>
                <w:tcPr>
                  <w:tcW w:w="1425" w:type="dxa"/>
                  <w:shd w:val="clear" w:color="auto" w:fill="F2F2F2"/>
                  <w:vAlign w:val="center"/>
                </w:tcPr>
                <w:p w14:paraId="2A6CAF34" w14:textId="77777777" w:rsidR="00600DEE" w:rsidRDefault="00641FB5">
                  <w:pPr>
                    <w:ind w:right="170"/>
                    <w:rPr>
                      <w:rFonts w:ascii="Calibri" w:eastAsia="Calibri" w:hAnsi="Calibri" w:cs="Calibri"/>
                      <w:b/>
                    </w:rPr>
                  </w:pPr>
                  <w:r>
                    <w:rPr>
                      <w:rFonts w:ascii="Calibri" w:eastAsia="Calibri" w:hAnsi="Calibri" w:cs="Calibri"/>
                      <w:b/>
                      <w:sz w:val="16"/>
                      <w:szCs w:val="16"/>
                    </w:rPr>
                    <w:t>Financial Analysis</w:t>
                  </w:r>
                </w:p>
              </w:tc>
              <w:tc>
                <w:tcPr>
                  <w:tcW w:w="555" w:type="dxa"/>
                </w:tcPr>
                <w:p w14:paraId="268A2BD1" w14:textId="77777777" w:rsidR="00600DEE" w:rsidRDefault="00641FB5">
                  <w:pPr>
                    <w:rPr>
                      <w:rFonts w:ascii="Calibri" w:eastAsia="Calibri" w:hAnsi="Calibri" w:cs="Calibri"/>
                    </w:rPr>
                  </w:pPr>
                  <w:r>
                    <w:rPr>
                      <w:noProof/>
                      <w:lang w:eastAsia="pl-PL"/>
                    </w:rPr>
                    <mc:AlternateContent>
                      <mc:Choice Requires="wps">
                        <w:drawing>
                          <wp:anchor distT="0" distB="0" distL="114300" distR="114300" simplePos="0" relativeHeight="251721728" behindDoc="0" locked="0" layoutInCell="1" hidden="0" allowOverlap="1" wp14:anchorId="0422DDF5" wp14:editId="48A9BA13">
                            <wp:simplePos x="0" y="0"/>
                            <wp:positionH relativeFrom="column">
                              <wp:posOffset>-12699</wp:posOffset>
                            </wp:positionH>
                            <wp:positionV relativeFrom="paragraph">
                              <wp:posOffset>165100</wp:posOffset>
                            </wp:positionV>
                            <wp:extent cx="263000" cy="248600"/>
                            <wp:effectExtent l="0" t="0" r="0" b="0"/>
                            <wp:wrapNone/>
                            <wp:docPr id="526" name="Strzałka: w prawo 526"/>
                            <wp:cNvGraphicFramePr/>
                            <a:graphic xmlns:a="http://schemas.openxmlformats.org/drawingml/2006/main">
                              <a:graphicData uri="http://schemas.microsoft.com/office/word/2010/wordprocessingShape">
                                <wps:wsp>
                                  <wps:cNvSpPr/>
                                  <wps:spPr>
                                    <a:xfrm>
                                      <a:off x="5227200" y="3668400"/>
                                      <a:ext cx="237600" cy="223200"/>
                                    </a:xfrm>
                                    <a:prstGeom prst="rightArrow">
                                      <a:avLst>
                                        <a:gd name="adj1" fmla="val 50000"/>
                                        <a:gd name="adj2" fmla="val 50000"/>
                                      </a:avLst>
                                    </a:prstGeom>
                                    <a:solidFill>
                                      <a:srgbClr val="538CD5"/>
                                    </a:solidFill>
                                    <a:ln w="25400" cap="flat" cmpd="sng">
                                      <a:solidFill>
                                        <a:srgbClr val="366092"/>
                                      </a:solidFill>
                                      <a:prstDash val="solid"/>
                                      <a:round/>
                                      <a:headEnd type="none" w="sm" len="sm"/>
                                      <a:tailEnd type="none" w="sm" len="sm"/>
                                    </a:ln>
                                  </wps:spPr>
                                  <wps:txbx>
                                    <w:txbxContent>
                                      <w:p w14:paraId="1C2CAEC7"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22DDF5" id="Strzałka: w prawo 526" o:spid="_x0000_s1062" type="#_x0000_t13" style="position:absolute;margin-left:-1pt;margin-top:13pt;width:20.7pt;height:19.5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" adj="11455" fillcolor="#538cd5" strokecolor="#366092" strokeweight="2pt">
                            <v:stroke startarrowwidth="narrow" startarrowlength="short" endarrowwidth="narrow" endarrowlength="short" joinstyle="round"/>
                            <v:textbox inset="2.53958mm,2.53958mm,2.53958mm,2.53958mm">
                              <w:txbxContent>
                                <w:p w14:paraId="1C2CAEC7" w14:textId="77777777" w:rsidR="007463B9" w:rsidRDefault="007463B9">
                                  <w:pPr>
                                    <w:textDirection w:val="btLr"/>
                                  </w:pPr>
                                </w:p>
                              </w:txbxContent>
                            </v:textbox>
                          </v:shape>
                        </w:pict>
                      </mc:Fallback>
                    </mc:AlternateContent>
                  </w:r>
                  <w:r>
                    <w:rPr>
                      <w:noProof/>
                      <w:lang w:eastAsia="pl-PL"/>
                    </w:rPr>
                    <mc:AlternateContent>
                      <mc:Choice Requires="wps">
                        <w:drawing>
                          <wp:anchor distT="0" distB="0" distL="114300" distR="114300" simplePos="0" relativeHeight="251722752" behindDoc="0" locked="0" layoutInCell="1" hidden="0" allowOverlap="1" wp14:anchorId="32543BFA" wp14:editId="648DADD3">
                            <wp:simplePos x="0" y="0"/>
                            <wp:positionH relativeFrom="column">
                              <wp:posOffset>1689100</wp:posOffset>
                            </wp:positionH>
                            <wp:positionV relativeFrom="paragraph">
                              <wp:posOffset>165100</wp:posOffset>
                            </wp:positionV>
                            <wp:extent cx="262586" cy="248036"/>
                            <wp:effectExtent l="0" t="0" r="0" b="0"/>
                            <wp:wrapNone/>
                            <wp:docPr id="479" name="Strzałka: w prawo 479"/>
                            <wp:cNvGraphicFramePr/>
                            <a:graphic xmlns:a="http://schemas.openxmlformats.org/drawingml/2006/main">
                              <a:graphicData uri="http://schemas.microsoft.com/office/word/2010/wordprocessingShape">
                                <wps:wsp>
                                  <wps:cNvSpPr/>
                                  <wps:spPr>
                                    <a:xfrm>
                                      <a:off x="5227407" y="3668682"/>
                                      <a:ext cx="237186" cy="222636"/>
                                    </a:xfrm>
                                    <a:prstGeom prst="rightArrow">
                                      <a:avLst>
                                        <a:gd name="adj1" fmla="val 50000"/>
                                        <a:gd name="adj2" fmla="val 50000"/>
                                      </a:avLst>
                                    </a:prstGeom>
                                    <a:solidFill>
                                      <a:srgbClr val="538CD5"/>
                                    </a:solidFill>
                                    <a:ln w="25400" cap="flat" cmpd="sng">
                                      <a:solidFill>
                                        <a:srgbClr val="366092"/>
                                      </a:solidFill>
                                      <a:prstDash val="solid"/>
                                      <a:round/>
                                      <a:headEnd type="none" w="sm" len="sm"/>
                                      <a:tailEnd type="none" w="sm" len="sm"/>
                                    </a:ln>
                                  </wps:spPr>
                                  <wps:txbx>
                                    <w:txbxContent>
                                      <w:p w14:paraId="3AD638D8"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543BFA" id="Strzałka: w prawo 479" o:spid="_x0000_s1063" type="#_x0000_t13" style="position:absolute;margin-left:133pt;margin-top:13pt;width:20.7pt;height:19.5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" adj="11463" fillcolor="#538cd5" strokecolor="#366092" strokeweight="2pt">
                            <v:stroke startarrowwidth="narrow" startarrowlength="short" endarrowwidth="narrow" endarrowlength="short" joinstyle="round"/>
                            <v:textbox inset="2.53958mm,2.53958mm,2.53958mm,2.53958mm">
                              <w:txbxContent>
                                <w:p w14:paraId="3AD638D8" w14:textId="77777777" w:rsidR="007463B9" w:rsidRDefault="007463B9">
                                  <w:pPr>
                                    <w:textDirection w:val="btLr"/>
                                  </w:pPr>
                                </w:p>
                              </w:txbxContent>
                            </v:textbox>
                          </v:shape>
                        </w:pict>
                      </mc:Fallback>
                    </mc:AlternateContent>
                  </w:r>
                </w:p>
              </w:tc>
              <w:tc>
                <w:tcPr>
                  <w:tcW w:w="2308" w:type="dxa"/>
                  <w:vAlign w:val="center"/>
                </w:tcPr>
                <w:p w14:paraId="1DBFC72C" w14:textId="77777777" w:rsidR="00600DEE" w:rsidRPr="0045151D" w:rsidRDefault="00641FB5">
                  <w:pPr>
                    <w:spacing w:before="42"/>
                    <w:ind w:right="-20"/>
                    <w:rPr>
                      <w:rFonts w:ascii="Calibri" w:eastAsia="Calibri" w:hAnsi="Calibri" w:cs="Calibri"/>
                      <w:sz w:val="13"/>
                      <w:szCs w:val="13"/>
                      <w:lang w:val="en-GB"/>
                    </w:rPr>
                  </w:pPr>
                  <w:r w:rsidRPr="0045151D">
                    <w:rPr>
                      <w:rFonts w:ascii="Calibri" w:eastAsia="Calibri" w:hAnsi="Calibri" w:cs="Calibri"/>
                      <w:sz w:val="13"/>
                      <w:szCs w:val="13"/>
                      <w:lang w:val="en-GB"/>
                    </w:rPr>
                    <w:t>- Definition of assumptions</w:t>
                  </w:r>
                </w:p>
                <w:p w14:paraId="61489915" w14:textId="77777777" w:rsidR="00600DEE" w:rsidRPr="0045151D" w:rsidRDefault="00641FB5">
                  <w:pPr>
                    <w:spacing w:line="158" w:lineRule="auto"/>
                    <w:ind w:right="-20"/>
                    <w:rPr>
                      <w:rFonts w:ascii="Calibri" w:eastAsia="Calibri" w:hAnsi="Calibri" w:cs="Calibri"/>
                      <w:sz w:val="13"/>
                      <w:szCs w:val="13"/>
                      <w:lang w:val="en-GB"/>
                    </w:rPr>
                  </w:pPr>
                  <w:r w:rsidRPr="0045151D">
                    <w:rPr>
                      <w:rFonts w:ascii="Calibri" w:eastAsia="Calibri" w:hAnsi="Calibri" w:cs="Calibri"/>
                      <w:sz w:val="13"/>
                      <w:szCs w:val="13"/>
                      <w:lang w:val="en-GB"/>
                    </w:rPr>
                    <w:t xml:space="preserve">- Determination of cash flows    </w:t>
                  </w:r>
                </w:p>
                <w:p w14:paraId="39259A03" w14:textId="77777777" w:rsidR="00600DEE" w:rsidRDefault="00641FB5">
                  <w:pPr>
                    <w:ind w:right="-20"/>
                    <w:rPr>
                      <w:rFonts w:ascii="Calibri" w:eastAsia="Calibri" w:hAnsi="Calibri" w:cs="Calibri"/>
                      <w:sz w:val="13"/>
                      <w:szCs w:val="13"/>
                    </w:rPr>
                  </w:pPr>
                  <w:r>
                    <w:rPr>
                      <w:rFonts w:ascii="Calibri" w:eastAsia="Calibri" w:hAnsi="Calibri" w:cs="Calibri"/>
                      <w:sz w:val="13"/>
                      <w:szCs w:val="13"/>
                    </w:rPr>
                    <w:t>- Project’s financial profitability</w:t>
                  </w:r>
                </w:p>
                <w:p w14:paraId="729247B1" w14:textId="77777777" w:rsidR="00600DEE" w:rsidRDefault="00641FB5">
                  <w:pPr>
                    <w:ind w:right="-61"/>
                    <w:rPr>
                      <w:rFonts w:ascii="Calibri" w:eastAsia="Calibri" w:hAnsi="Calibri" w:cs="Calibri"/>
                      <w:sz w:val="13"/>
                      <w:szCs w:val="13"/>
                    </w:rPr>
                  </w:pPr>
                  <w:r>
                    <w:rPr>
                      <w:rFonts w:ascii="Calibri" w:eastAsia="Calibri" w:hAnsi="Calibri" w:cs="Calibri"/>
                      <w:sz w:val="13"/>
                      <w:szCs w:val="13"/>
                    </w:rPr>
                    <w:t>- Project’s financial sustainability</w:t>
                  </w:r>
                </w:p>
                <w:p w14:paraId="70D55300" w14:textId="77777777" w:rsidR="00600DEE" w:rsidRDefault="00641FB5">
                  <w:pPr>
                    <w:ind w:right="-61"/>
                    <w:rPr>
                      <w:rFonts w:ascii="Calibri" w:eastAsia="Calibri" w:hAnsi="Calibri" w:cs="Calibri"/>
                      <w:sz w:val="13"/>
                      <w:szCs w:val="13"/>
                    </w:rPr>
                  </w:pPr>
                  <w:r>
                    <w:rPr>
                      <w:rFonts w:ascii="Calibri" w:eastAsia="Calibri" w:hAnsi="Calibri" w:cs="Calibri"/>
                      <w:sz w:val="13"/>
                      <w:szCs w:val="13"/>
                    </w:rPr>
                    <w:t>- Determination of EU contribution</w:t>
                  </w:r>
                </w:p>
                <w:p w14:paraId="42DE1106" w14:textId="77777777" w:rsidR="00600DEE" w:rsidRDefault="00641FB5">
                  <w:pPr>
                    <w:ind w:right="170"/>
                    <w:rPr>
                      <w:rFonts w:ascii="Calibri" w:eastAsia="Calibri" w:hAnsi="Calibri" w:cs="Calibri"/>
                    </w:rPr>
                  </w:pPr>
                  <w:r>
                    <w:rPr>
                      <w:rFonts w:ascii="Calibri" w:eastAsia="Calibri" w:hAnsi="Calibri" w:cs="Calibri"/>
                      <w:sz w:val="14"/>
                      <w:szCs w:val="14"/>
                    </w:rPr>
                    <w:t xml:space="preserve">   </w:t>
                  </w:r>
                </w:p>
              </w:tc>
              <w:tc>
                <w:tcPr>
                  <w:tcW w:w="566" w:type="dxa"/>
                </w:tcPr>
                <w:p w14:paraId="5C3FEDEB" w14:textId="77777777" w:rsidR="00600DEE" w:rsidRDefault="00600DEE">
                  <w:pPr>
                    <w:rPr>
                      <w:rFonts w:ascii="Calibri" w:eastAsia="Calibri" w:hAnsi="Calibri" w:cs="Calibri"/>
                    </w:rPr>
                  </w:pPr>
                </w:p>
              </w:tc>
              <w:tc>
                <w:tcPr>
                  <w:tcW w:w="1698" w:type="dxa"/>
                  <w:shd w:val="clear" w:color="auto" w:fill="A6A6A6"/>
                  <w:vAlign w:val="center"/>
                </w:tcPr>
                <w:p w14:paraId="1B9728F0" w14:textId="77777777" w:rsidR="00600DEE" w:rsidRPr="0045151D" w:rsidRDefault="00641FB5">
                  <w:pPr>
                    <w:ind w:right="170"/>
                    <w:rPr>
                      <w:rFonts w:ascii="Calibri" w:eastAsia="Calibri" w:hAnsi="Calibri" w:cs="Calibri"/>
                      <w:sz w:val="13"/>
                      <w:szCs w:val="13"/>
                      <w:lang w:val="en-GB"/>
                    </w:rPr>
                  </w:pPr>
                  <w:r w:rsidRPr="0045151D">
                    <w:rPr>
                      <w:rFonts w:ascii="Calibri" w:eastAsia="Calibri" w:hAnsi="Calibri" w:cs="Calibri"/>
                      <w:sz w:val="13"/>
                      <w:szCs w:val="13"/>
                      <w:lang w:val="en-GB"/>
                    </w:rPr>
                    <w:t>- Justification that the investment needs co-financing</w:t>
                  </w:r>
                </w:p>
                <w:p w14:paraId="110A4D7E" w14:textId="77777777" w:rsidR="00600DEE" w:rsidRPr="0045151D" w:rsidRDefault="00641FB5">
                  <w:pPr>
                    <w:ind w:right="170"/>
                    <w:rPr>
                      <w:rFonts w:ascii="Calibri" w:eastAsia="Calibri" w:hAnsi="Calibri" w:cs="Calibri"/>
                      <w:sz w:val="16"/>
                      <w:szCs w:val="16"/>
                      <w:lang w:val="en-GB"/>
                    </w:rPr>
                  </w:pPr>
                  <w:r w:rsidRPr="0045151D">
                    <w:rPr>
                      <w:rFonts w:ascii="Calibri" w:eastAsia="Calibri" w:hAnsi="Calibri" w:cs="Calibri"/>
                      <w:sz w:val="13"/>
                      <w:szCs w:val="13"/>
                      <w:lang w:val="en-GB"/>
                    </w:rPr>
                    <w:t>- Calculation of EU grant amount</w:t>
                  </w:r>
                </w:p>
              </w:tc>
              <w:tc>
                <w:tcPr>
                  <w:tcW w:w="250" w:type="dxa"/>
                </w:tcPr>
                <w:p w14:paraId="534B8721" w14:textId="77777777" w:rsidR="00600DEE" w:rsidRPr="0045151D" w:rsidRDefault="00600DEE">
                  <w:pPr>
                    <w:rPr>
                      <w:rFonts w:ascii="Calibri" w:eastAsia="Calibri" w:hAnsi="Calibri" w:cs="Calibri"/>
                      <w:lang w:val="en-GB"/>
                    </w:rPr>
                  </w:pPr>
                </w:p>
              </w:tc>
            </w:tr>
            <w:tr w:rsidR="00600DEE" w:rsidRPr="008C4407" w14:paraId="34DEAA1F" w14:textId="77777777" w:rsidTr="00E12F72">
              <w:trPr>
                <w:trHeight w:val="165"/>
              </w:trPr>
              <w:tc>
                <w:tcPr>
                  <w:tcW w:w="251" w:type="dxa"/>
                  <w:tcBorders>
                    <w:bottom w:val="single" w:sz="8" w:space="0" w:color="000000"/>
                  </w:tcBorders>
                </w:tcPr>
                <w:p w14:paraId="79CB3182" w14:textId="77777777" w:rsidR="00600DEE" w:rsidRPr="0045151D" w:rsidRDefault="00600DEE">
                  <w:pPr>
                    <w:rPr>
                      <w:rFonts w:ascii="Calibri" w:eastAsia="Calibri" w:hAnsi="Calibri" w:cs="Calibri"/>
                      <w:b/>
                      <w:lang w:val="en-GB"/>
                    </w:rPr>
                  </w:pPr>
                </w:p>
              </w:tc>
              <w:tc>
                <w:tcPr>
                  <w:tcW w:w="1425" w:type="dxa"/>
                  <w:tcBorders>
                    <w:bottom w:val="single" w:sz="8" w:space="0" w:color="000000"/>
                  </w:tcBorders>
                </w:tcPr>
                <w:p w14:paraId="03373F97" w14:textId="77777777" w:rsidR="00600DEE" w:rsidRPr="0045151D" w:rsidRDefault="00600DEE">
                  <w:pPr>
                    <w:rPr>
                      <w:rFonts w:ascii="Calibri" w:eastAsia="Calibri" w:hAnsi="Calibri" w:cs="Calibri"/>
                      <w:b/>
                      <w:lang w:val="en-GB"/>
                    </w:rPr>
                  </w:pPr>
                </w:p>
              </w:tc>
              <w:tc>
                <w:tcPr>
                  <w:tcW w:w="555" w:type="dxa"/>
                  <w:tcBorders>
                    <w:bottom w:val="single" w:sz="8" w:space="0" w:color="000000"/>
                  </w:tcBorders>
                </w:tcPr>
                <w:p w14:paraId="798F44F7" w14:textId="77777777" w:rsidR="00600DEE" w:rsidRPr="0045151D" w:rsidRDefault="00600DEE">
                  <w:pPr>
                    <w:rPr>
                      <w:rFonts w:ascii="Calibri" w:eastAsia="Calibri" w:hAnsi="Calibri" w:cs="Calibri"/>
                      <w:lang w:val="en-GB"/>
                    </w:rPr>
                  </w:pPr>
                </w:p>
              </w:tc>
              <w:tc>
                <w:tcPr>
                  <w:tcW w:w="2308" w:type="dxa"/>
                  <w:tcBorders>
                    <w:bottom w:val="single" w:sz="8" w:space="0" w:color="000000"/>
                  </w:tcBorders>
                </w:tcPr>
                <w:p w14:paraId="0855B205" w14:textId="699D519C" w:rsidR="00E12F72" w:rsidRPr="0045151D" w:rsidRDefault="00E12F72">
                  <w:pPr>
                    <w:rPr>
                      <w:rFonts w:ascii="Calibri" w:eastAsia="Calibri" w:hAnsi="Calibri" w:cs="Calibri"/>
                      <w:lang w:val="en-GB"/>
                    </w:rPr>
                  </w:pPr>
                </w:p>
              </w:tc>
              <w:tc>
                <w:tcPr>
                  <w:tcW w:w="566" w:type="dxa"/>
                  <w:tcBorders>
                    <w:bottom w:val="single" w:sz="8" w:space="0" w:color="000000"/>
                  </w:tcBorders>
                </w:tcPr>
                <w:p w14:paraId="5A9B1ECA" w14:textId="77777777" w:rsidR="00600DEE" w:rsidRPr="0045151D" w:rsidRDefault="00600DEE">
                  <w:pPr>
                    <w:rPr>
                      <w:rFonts w:ascii="Calibri" w:eastAsia="Calibri" w:hAnsi="Calibri" w:cs="Calibri"/>
                      <w:lang w:val="en-GB"/>
                    </w:rPr>
                  </w:pPr>
                </w:p>
              </w:tc>
              <w:tc>
                <w:tcPr>
                  <w:tcW w:w="1698" w:type="dxa"/>
                  <w:tcBorders>
                    <w:bottom w:val="single" w:sz="8" w:space="0" w:color="000000"/>
                  </w:tcBorders>
                </w:tcPr>
                <w:p w14:paraId="0BF91556" w14:textId="77777777" w:rsidR="00600DEE" w:rsidRPr="0045151D" w:rsidRDefault="00600DEE">
                  <w:pPr>
                    <w:rPr>
                      <w:rFonts w:ascii="Calibri" w:eastAsia="Calibri" w:hAnsi="Calibri" w:cs="Calibri"/>
                      <w:lang w:val="en-GB"/>
                    </w:rPr>
                  </w:pPr>
                </w:p>
              </w:tc>
              <w:tc>
                <w:tcPr>
                  <w:tcW w:w="250" w:type="dxa"/>
                  <w:tcBorders>
                    <w:bottom w:val="single" w:sz="8" w:space="0" w:color="000000"/>
                  </w:tcBorders>
                </w:tcPr>
                <w:p w14:paraId="6DB43192" w14:textId="77777777" w:rsidR="00600DEE" w:rsidRPr="0045151D" w:rsidRDefault="00600DEE">
                  <w:pPr>
                    <w:rPr>
                      <w:rFonts w:ascii="Calibri" w:eastAsia="Calibri" w:hAnsi="Calibri" w:cs="Calibri"/>
                      <w:lang w:val="en-GB"/>
                    </w:rPr>
                  </w:pPr>
                </w:p>
              </w:tc>
            </w:tr>
            <w:tr w:rsidR="00600DEE" w14:paraId="6AB90A46" w14:textId="77777777" w:rsidTr="00E12F72">
              <w:trPr>
                <w:trHeight w:hRule="exact" w:val="340"/>
              </w:trPr>
              <w:tc>
                <w:tcPr>
                  <w:tcW w:w="251" w:type="dxa"/>
                  <w:tcBorders>
                    <w:top w:val="single" w:sz="8" w:space="0" w:color="000000"/>
                    <w:left w:val="single" w:sz="8" w:space="0" w:color="000000"/>
                    <w:bottom w:val="single" w:sz="8" w:space="0" w:color="000000"/>
                  </w:tcBorders>
                  <w:shd w:val="clear" w:color="auto" w:fill="366091"/>
                  <w:vAlign w:val="center"/>
                </w:tcPr>
                <w:p w14:paraId="5D31394F" w14:textId="77777777" w:rsidR="00600DEE" w:rsidRPr="0045151D" w:rsidRDefault="00600DEE">
                  <w:pPr>
                    <w:jc w:val="center"/>
                    <w:rPr>
                      <w:rFonts w:ascii="Calibri" w:eastAsia="Calibri" w:hAnsi="Calibri" w:cs="Calibri"/>
                      <w:b/>
                      <w:lang w:val="en-GB"/>
                    </w:rPr>
                  </w:pPr>
                </w:p>
              </w:tc>
              <w:tc>
                <w:tcPr>
                  <w:tcW w:w="1425" w:type="dxa"/>
                  <w:tcBorders>
                    <w:top w:val="single" w:sz="8" w:space="0" w:color="000000"/>
                    <w:bottom w:val="single" w:sz="8" w:space="0" w:color="000000"/>
                  </w:tcBorders>
                  <w:shd w:val="clear" w:color="auto" w:fill="366091"/>
                  <w:vAlign w:val="center"/>
                </w:tcPr>
                <w:p w14:paraId="44706191" w14:textId="77777777" w:rsidR="00600DEE" w:rsidRPr="0045151D" w:rsidRDefault="00600DEE">
                  <w:pPr>
                    <w:jc w:val="center"/>
                    <w:rPr>
                      <w:rFonts w:ascii="Calibri" w:eastAsia="Calibri" w:hAnsi="Calibri" w:cs="Calibri"/>
                      <w:b/>
                      <w:lang w:val="en-GB"/>
                    </w:rPr>
                  </w:pPr>
                </w:p>
              </w:tc>
              <w:tc>
                <w:tcPr>
                  <w:tcW w:w="555" w:type="dxa"/>
                  <w:tcBorders>
                    <w:top w:val="single" w:sz="8" w:space="0" w:color="000000"/>
                    <w:bottom w:val="single" w:sz="8" w:space="0" w:color="000000"/>
                  </w:tcBorders>
                  <w:shd w:val="clear" w:color="auto" w:fill="366091"/>
                  <w:vAlign w:val="center"/>
                </w:tcPr>
                <w:p w14:paraId="265BD7A9" w14:textId="77777777" w:rsidR="00600DEE" w:rsidRPr="0045151D" w:rsidRDefault="00600DEE">
                  <w:pPr>
                    <w:jc w:val="center"/>
                    <w:rPr>
                      <w:rFonts w:ascii="Calibri" w:eastAsia="Calibri" w:hAnsi="Calibri" w:cs="Calibri"/>
                      <w:lang w:val="en-GB"/>
                    </w:rPr>
                  </w:pPr>
                </w:p>
              </w:tc>
              <w:tc>
                <w:tcPr>
                  <w:tcW w:w="2308" w:type="dxa"/>
                  <w:tcBorders>
                    <w:top w:val="single" w:sz="8" w:space="0" w:color="000000"/>
                    <w:bottom w:val="single" w:sz="8" w:space="0" w:color="000000"/>
                  </w:tcBorders>
                  <w:shd w:val="clear" w:color="auto" w:fill="366091"/>
                  <w:vAlign w:val="center"/>
                </w:tcPr>
                <w:p w14:paraId="2C6D3C06" w14:textId="77777777" w:rsidR="00600DEE" w:rsidRDefault="00641FB5">
                  <w:pPr>
                    <w:jc w:val="center"/>
                    <w:rPr>
                      <w:rFonts w:ascii="Calibri" w:eastAsia="Calibri" w:hAnsi="Calibri" w:cs="Calibri"/>
                      <w:b/>
                      <w:sz w:val="22"/>
                      <w:szCs w:val="22"/>
                    </w:rPr>
                  </w:pPr>
                  <w:r>
                    <w:rPr>
                      <w:rFonts w:ascii="Calibri" w:eastAsia="Calibri" w:hAnsi="Calibri" w:cs="Calibri"/>
                      <w:b/>
                      <w:color w:val="FFFFFF"/>
                      <w:sz w:val="22"/>
                      <w:szCs w:val="22"/>
                    </w:rPr>
                    <w:t>Phase IV</w:t>
                  </w:r>
                </w:p>
              </w:tc>
              <w:tc>
                <w:tcPr>
                  <w:tcW w:w="566" w:type="dxa"/>
                  <w:tcBorders>
                    <w:top w:val="single" w:sz="8" w:space="0" w:color="000000"/>
                    <w:bottom w:val="single" w:sz="8" w:space="0" w:color="000000"/>
                  </w:tcBorders>
                  <w:shd w:val="clear" w:color="auto" w:fill="366091"/>
                  <w:vAlign w:val="center"/>
                </w:tcPr>
                <w:p w14:paraId="75A46C8C" w14:textId="77777777" w:rsidR="00600DEE" w:rsidRDefault="00600DEE">
                  <w:pPr>
                    <w:jc w:val="center"/>
                    <w:rPr>
                      <w:rFonts w:ascii="Calibri" w:eastAsia="Calibri" w:hAnsi="Calibri" w:cs="Calibri"/>
                    </w:rPr>
                  </w:pPr>
                </w:p>
              </w:tc>
              <w:tc>
                <w:tcPr>
                  <w:tcW w:w="1698" w:type="dxa"/>
                  <w:tcBorders>
                    <w:top w:val="single" w:sz="8" w:space="0" w:color="000000"/>
                    <w:bottom w:val="single" w:sz="8" w:space="0" w:color="000000"/>
                  </w:tcBorders>
                  <w:shd w:val="clear" w:color="auto" w:fill="366091"/>
                  <w:vAlign w:val="center"/>
                </w:tcPr>
                <w:p w14:paraId="3FE523CE" w14:textId="77777777" w:rsidR="00600DEE" w:rsidRDefault="00600DEE">
                  <w:pPr>
                    <w:jc w:val="center"/>
                    <w:rPr>
                      <w:rFonts w:ascii="Calibri" w:eastAsia="Calibri" w:hAnsi="Calibri" w:cs="Calibri"/>
                    </w:rPr>
                  </w:pPr>
                </w:p>
              </w:tc>
              <w:tc>
                <w:tcPr>
                  <w:tcW w:w="250" w:type="dxa"/>
                  <w:tcBorders>
                    <w:top w:val="single" w:sz="8" w:space="0" w:color="000000"/>
                    <w:bottom w:val="single" w:sz="8" w:space="0" w:color="000000"/>
                    <w:right w:val="single" w:sz="8" w:space="0" w:color="000000"/>
                  </w:tcBorders>
                  <w:shd w:val="clear" w:color="auto" w:fill="366091"/>
                  <w:vAlign w:val="center"/>
                </w:tcPr>
                <w:p w14:paraId="549B73DF" w14:textId="77777777" w:rsidR="00600DEE" w:rsidRDefault="00600DEE">
                  <w:pPr>
                    <w:jc w:val="center"/>
                    <w:rPr>
                      <w:rFonts w:ascii="Calibri" w:eastAsia="Calibri" w:hAnsi="Calibri" w:cs="Calibri"/>
                    </w:rPr>
                  </w:pPr>
                </w:p>
              </w:tc>
            </w:tr>
            <w:tr w:rsidR="00600DEE" w14:paraId="37086B0F" w14:textId="77777777" w:rsidTr="00E12F72">
              <w:trPr>
                <w:trHeight w:val="63"/>
              </w:trPr>
              <w:tc>
                <w:tcPr>
                  <w:tcW w:w="251" w:type="dxa"/>
                  <w:tcBorders>
                    <w:top w:val="single" w:sz="8" w:space="0" w:color="000000"/>
                  </w:tcBorders>
                </w:tcPr>
                <w:p w14:paraId="57CC1E95" w14:textId="77777777" w:rsidR="00600DEE" w:rsidRDefault="00600DEE">
                  <w:pPr>
                    <w:rPr>
                      <w:rFonts w:ascii="Calibri" w:eastAsia="Calibri" w:hAnsi="Calibri" w:cs="Calibri"/>
                      <w:b/>
                    </w:rPr>
                  </w:pPr>
                </w:p>
              </w:tc>
              <w:tc>
                <w:tcPr>
                  <w:tcW w:w="1425" w:type="dxa"/>
                  <w:tcBorders>
                    <w:top w:val="single" w:sz="8" w:space="0" w:color="000000"/>
                  </w:tcBorders>
                </w:tcPr>
                <w:p w14:paraId="4CBE1D55" w14:textId="77777777" w:rsidR="00600DEE" w:rsidRDefault="00600DEE">
                  <w:pPr>
                    <w:rPr>
                      <w:rFonts w:ascii="Calibri" w:eastAsia="Calibri" w:hAnsi="Calibri" w:cs="Calibri"/>
                      <w:b/>
                    </w:rPr>
                  </w:pPr>
                </w:p>
              </w:tc>
              <w:tc>
                <w:tcPr>
                  <w:tcW w:w="555" w:type="dxa"/>
                  <w:tcBorders>
                    <w:top w:val="single" w:sz="8" w:space="0" w:color="000000"/>
                  </w:tcBorders>
                </w:tcPr>
                <w:p w14:paraId="3478329A" w14:textId="77777777" w:rsidR="00600DEE" w:rsidRDefault="00600DEE">
                  <w:pPr>
                    <w:rPr>
                      <w:rFonts w:ascii="Calibri" w:eastAsia="Calibri" w:hAnsi="Calibri" w:cs="Calibri"/>
                    </w:rPr>
                  </w:pPr>
                </w:p>
              </w:tc>
              <w:tc>
                <w:tcPr>
                  <w:tcW w:w="2308" w:type="dxa"/>
                  <w:tcBorders>
                    <w:top w:val="single" w:sz="8" w:space="0" w:color="000000"/>
                  </w:tcBorders>
                </w:tcPr>
                <w:p w14:paraId="023A06EE" w14:textId="77777777" w:rsidR="00600DEE" w:rsidRDefault="00600DEE">
                  <w:pPr>
                    <w:rPr>
                      <w:rFonts w:ascii="Calibri" w:eastAsia="Calibri" w:hAnsi="Calibri" w:cs="Calibri"/>
                    </w:rPr>
                  </w:pPr>
                </w:p>
              </w:tc>
              <w:tc>
                <w:tcPr>
                  <w:tcW w:w="566" w:type="dxa"/>
                  <w:tcBorders>
                    <w:top w:val="single" w:sz="8" w:space="0" w:color="000000"/>
                  </w:tcBorders>
                </w:tcPr>
                <w:p w14:paraId="072888CB" w14:textId="77777777" w:rsidR="00600DEE" w:rsidRDefault="00600DEE">
                  <w:pPr>
                    <w:rPr>
                      <w:rFonts w:ascii="Calibri" w:eastAsia="Calibri" w:hAnsi="Calibri" w:cs="Calibri"/>
                    </w:rPr>
                  </w:pPr>
                </w:p>
              </w:tc>
              <w:tc>
                <w:tcPr>
                  <w:tcW w:w="1698" w:type="dxa"/>
                  <w:tcBorders>
                    <w:top w:val="single" w:sz="8" w:space="0" w:color="000000"/>
                  </w:tcBorders>
                </w:tcPr>
                <w:p w14:paraId="39148D4B" w14:textId="77777777" w:rsidR="00600DEE" w:rsidRDefault="00600DEE">
                  <w:pPr>
                    <w:rPr>
                      <w:rFonts w:ascii="Calibri" w:eastAsia="Calibri" w:hAnsi="Calibri" w:cs="Calibri"/>
                    </w:rPr>
                  </w:pPr>
                </w:p>
              </w:tc>
              <w:tc>
                <w:tcPr>
                  <w:tcW w:w="250" w:type="dxa"/>
                  <w:tcBorders>
                    <w:top w:val="single" w:sz="8" w:space="0" w:color="000000"/>
                  </w:tcBorders>
                </w:tcPr>
                <w:p w14:paraId="647D53E5" w14:textId="77777777" w:rsidR="00600DEE" w:rsidRDefault="00600DEE">
                  <w:pPr>
                    <w:rPr>
                      <w:rFonts w:ascii="Calibri" w:eastAsia="Calibri" w:hAnsi="Calibri" w:cs="Calibri"/>
                    </w:rPr>
                  </w:pPr>
                </w:p>
              </w:tc>
            </w:tr>
            <w:tr w:rsidR="00600DEE" w:rsidRPr="008C4407" w14:paraId="0567B853" w14:textId="77777777" w:rsidTr="00E12F72">
              <w:trPr>
                <w:trHeight w:hRule="exact" w:val="1531"/>
              </w:trPr>
              <w:tc>
                <w:tcPr>
                  <w:tcW w:w="251" w:type="dxa"/>
                </w:tcPr>
                <w:p w14:paraId="58FFE362" w14:textId="77777777" w:rsidR="00600DEE" w:rsidRDefault="00600DEE">
                  <w:pPr>
                    <w:rPr>
                      <w:rFonts w:ascii="Calibri" w:eastAsia="Calibri" w:hAnsi="Calibri" w:cs="Calibri"/>
                      <w:b/>
                    </w:rPr>
                  </w:pPr>
                </w:p>
              </w:tc>
              <w:tc>
                <w:tcPr>
                  <w:tcW w:w="1425" w:type="dxa"/>
                  <w:shd w:val="clear" w:color="auto" w:fill="F2F2F2"/>
                  <w:vAlign w:val="center"/>
                </w:tcPr>
                <w:p w14:paraId="6BC304A2" w14:textId="77777777" w:rsidR="00600DEE" w:rsidRDefault="00641FB5">
                  <w:pPr>
                    <w:ind w:right="170"/>
                    <w:rPr>
                      <w:rFonts w:ascii="Calibri" w:eastAsia="Calibri" w:hAnsi="Calibri" w:cs="Calibri"/>
                      <w:b/>
                      <w:sz w:val="16"/>
                      <w:szCs w:val="16"/>
                    </w:rPr>
                  </w:pPr>
                  <w:r>
                    <w:rPr>
                      <w:rFonts w:ascii="Calibri" w:eastAsia="Calibri" w:hAnsi="Calibri" w:cs="Calibri"/>
                      <w:b/>
                      <w:sz w:val="16"/>
                      <w:szCs w:val="16"/>
                    </w:rPr>
                    <w:t>Risk</w:t>
                  </w:r>
                </w:p>
                <w:p w14:paraId="3395B97B" w14:textId="77777777" w:rsidR="00600DEE" w:rsidRDefault="00641FB5">
                  <w:pPr>
                    <w:ind w:right="170"/>
                    <w:rPr>
                      <w:rFonts w:ascii="Calibri" w:eastAsia="Calibri" w:hAnsi="Calibri" w:cs="Calibri"/>
                      <w:b/>
                    </w:rPr>
                  </w:pPr>
                  <w:r>
                    <w:rPr>
                      <w:rFonts w:ascii="Calibri" w:eastAsia="Calibri" w:hAnsi="Calibri" w:cs="Calibri"/>
                      <w:b/>
                      <w:sz w:val="16"/>
                      <w:szCs w:val="16"/>
                    </w:rPr>
                    <w:t>Assessment</w:t>
                  </w:r>
                </w:p>
              </w:tc>
              <w:tc>
                <w:tcPr>
                  <w:tcW w:w="555" w:type="dxa"/>
                </w:tcPr>
                <w:p w14:paraId="11F97CA0" w14:textId="77777777" w:rsidR="00600DEE" w:rsidRDefault="00641FB5">
                  <w:pPr>
                    <w:rPr>
                      <w:rFonts w:ascii="Calibri" w:eastAsia="Calibri" w:hAnsi="Calibri" w:cs="Calibri"/>
                    </w:rPr>
                  </w:pPr>
                  <w:r>
                    <w:rPr>
                      <w:noProof/>
                      <w:lang w:eastAsia="pl-PL"/>
                    </w:rPr>
                    <mc:AlternateContent>
                      <mc:Choice Requires="wps">
                        <w:drawing>
                          <wp:anchor distT="0" distB="0" distL="114300" distR="114300" simplePos="0" relativeHeight="251723776" behindDoc="0" locked="0" layoutInCell="1" hidden="0" allowOverlap="1" wp14:anchorId="2A5266D9" wp14:editId="36405B97">
                            <wp:simplePos x="0" y="0"/>
                            <wp:positionH relativeFrom="column">
                              <wp:posOffset>-12699</wp:posOffset>
                            </wp:positionH>
                            <wp:positionV relativeFrom="paragraph">
                              <wp:posOffset>266700</wp:posOffset>
                            </wp:positionV>
                            <wp:extent cx="263000" cy="248600"/>
                            <wp:effectExtent l="0" t="0" r="0" b="0"/>
                            <wp:wrapNone/>
                            <wp:docPr id="492" name="Strzałka: w prawo 492"/>
                            <wp:cNvGraphicFramePr/>
                            <a:graphic xmlns:a="http://schemas.openxmlformats.org/drawingml/2006/main">
                              <a:graphicData uri="http://schemas.microsoft.com/office/word/2010/wordprocessingShape">
                                <wps:wsp>
                                  <wps:cNvSpPr/>
                                  <wps:spPr>
                                    <a:xfrm>
                                      <a:off x="5227200" y="3668400"/>
                                      <a:ext cx="237600" cy="223200"/>
                                    </a:xfrm>
                                    <a:prstGeom prst="rightArrow">
                                      <a:avLst>
                                        <a:gd name="adj1" fmla="val 50000"/>
                                        <a:gd name="adj2" fmla="val 50000"/>
                                      </a:avLst>
                                    </a:prstGeom>
                                    <a:solidFill>
                                      <a:srgbClr val="366092"/>
                                    </a:solidFill>
                                    <a:ln w="25400" cap="flat" cmpd="sng">
                                      <a:solidFill>
                                        <a:srgbClr val="17365D"/>
                                      </a:solidFill>
                                      <a:prstDash val="solid"/>
                                      <a:round/>
                                      <a:headEnd type="none" w="sm" len="sm"/>
                                      <a:tailEnd type="none" w="sm" len="sm"/>
                                    </a:ln>
                                  </wps:spPr>
                                  <wps:txbx>
                                    <w:txbxContent>
                                      <w:p w14:paraId="5403A57D"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5266D9" id="Strzałka: w prawo 492" o:spid="_x0000_s1064" type="#_x0000_t13" style="position:absolute;margin-left:-1pt;margin-top:21pt;width:20.7pt;height:19.5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" adj="11455" fillcolor="#366092" strokecolor="#17365d" strokeweight="2pt">
                            <v:stroke startarrowwidth="narrow" startarrowlength="short" endarrowwidth="narrow" endarrowlength="short" joinstyle="round"/>
                            <v:textbox inset="2.53958mm,2.53958mm,2.53958mm,2.53958mm">
                              <w:txbxContent>
                                <w:p w14:paraId="5403A57D" w14:textId="77777777" w:rsidR="007463B9" w:rsidRDefault="007463B9">
                                  <w:pPr>
                                    <w:textDirection w:val="btLr"/>
                                  </w:pPr>
                                </w:p>
                              </w:txbxContent>
                            </v:textbox>
                          </v:shape>
                        </w:pict>
                      </mc:Fallback>
                    </mc:AlternateContent>
                  </w:r>
                  <w:r>
                    <w:rPr>
                      <w:noProof/>
                      <w:lang w:eastAsia="pl-PL"/>
                    </w:rPr>
                    <mc:AlternateContent>
                      <mc:Choice Requires="wps">
                        <w:drawing>
                          <wp:anchor distT="0" distB="0" distL="114300" distR="114300" simplePos="0" relativeHeight="251724800" behindDoc="0" locked="0" layoutInCell="1" hidden="0" allowOverlap="1" wp14:anchorId="5E0671A4" wp14:editId="38428CDA">
                            <wp:simplePos x="0" y="0"/>
                            <wp:positionH relativeFrom="column">
                              <wp:posOffset>1689100</wp:posOffset>
                            </wp:positionH>
                            <wp:positionV relativeFrom="paragraph">
                              <wp:posOffset>266700</wp:posOffset>
                            </wp:positionV>
                            <wp:extent cx="262586" cy="248036"/>
                            <wp:effectExtent l="0" t="0" r="0" b="0"/>
                            <wp:wrapNone/>
                            <wp:docPr id="506" name="Strzałka: w prawo 506"/>
                            <wp:cNvGraphicFramePr/>
                            <a:graphic xmlns:a="http://schemas.openxmlformats.org/drawingml/2006/main">
                              <a:graphicData uri="http://schemas.microsoft.com/office/word/2010/wordprocessingShape">
                                <wps:wsp>
                                  <wps:cNvSpPr/>
                                  <wps:spPr>
                                    <a:xfrm>
                                      <a:off x="5227407" y="3668682"/>
                                      <a:ext cx="237186" cy="222636"/>
                                    </a:xfrm>
                                    <a:prstGeom prst="rightArrow">
                                      <a:avLst>
                                        <a:gd name="adj1" fmla="val 50000"/>
                                        <a:gd name="adj2" fmla="val 50000"/>
                                      </a:avLst>
                                    </a:prstGeom>
                                    <a:solidFill>
                                      <a:srgbClr val="366092"/>
                                    </a:solidFill>
                                    <a:ln w="25400" cap="flat" cmpd="sng">
                                      <a:solidFill>
                                        <a:srgbClr val="17365D"/>
                                      </a:solidFill>
                                      <a:prstDash val="solid"/>
                                      <a:round/>
                                      <a:headEnd type="none" w="sm" len="sm"/>
                                      <a:tailEnd type="none" w="sm" len="sm"/>
                                    </a:ln>
                                  </wps:spPr>
                                  <wps:txbx>
                                    <w:txbxContent>
                                      <w:p w14:paraId="6A1B82BF" w14:textId="77777777" w:rsidR="007463B9" w:rsidRDefault="007463B9">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0671A4" id="Strzałka: w prawo 506" o:spid="_x0000_s1065" type="#_x0000_t13" style="position:absolute;margin-left:133pt;margin-top:21pt;width:20.7pt;height:19.5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" adj="11463" fillcolor="#366092" strokecolor="#17365d" strokeweight="2pt">
                            <v:stroke startarrowwidth="narrow" startarrowlength="short" endarrowwidth="narrow" endarrowlength="short" joinstyle="round"/>
                            <v:textbox inset="2.53958mm,2.53958mm,2.53958mm,2.53958mm">
                              <w:txbxContent>
                                <w:p w14:paraId="6A1B82BF" w14:textId="77777777" w:rsidR="007463B9" w:rsidRDefault="007463B9">
                                  <w:pPr>
                                    <w:textDirection w:val="btLr"/>
                                  </w:pPr>
                                </w:p>
                              </w:txbxContent>
                            </v:textbox>
                          </v:shape>
                        </w:pict>
                      </mc:Fallback>
                    </mc:AlternateContent>
                  </w:r>
                </w:p>
              </w:tc>
              <w:tc>
                <w:tcPr>
                  <w:tcW w:w="2308" w:type="dxa"/>
                  <w:vAlign w:val="center"/>
                </w:tcPr>
                <w:p w14:paraId="2B2ED0E8" w14:textId="77777777" w:rsidR="00600DEE" w:rsidRDefault="00641FB5">
                  <w:pPr>
                    <w:ind w:right="170"/>
                    <w:rPr>
                      <w:rFonts w:ascii="Calibri" w:eastAsia="Calibri" w:hAnsi="Calibri" w:cs="Calibri"/>
                      <w:sz w:val="14"/>
                      <w:szCs w:val="14"/>
                    </w:rPr>
                  </w:pPr>
                  <w:r>
                    <w:rPr>
                      <w:rFonts w:ascii="Calibri" w:eastAsia="Calibri" w:hAnsi="Calibri" w:cs="Calibri"/>
                      <w:sz w:val="14"/>
                      <w:szCs w:val="14"/>
                    </w:rPr>
                    <w:t>- Sensitivity analysis</w:t>
                  </w:r>
                </w:p>
                <w:p w14:paraId="3E111266" w14:textId="77777777" w:rsidR="00600DEE" w:rsidRDefault="00641FB5">
                  <w:pPr>
                    <w:ind w:right="170"/>
                    <w:rPr>
                      <w:rFonts w:ascii="Calibri" w:eastAsia="Calibri" w:hAnsi="Calibri" w:cs="Calibri"/>
                      <w:sz w:val="14"/>
                      <w:szCs w:val="14"/>
                    </w:rPr>
                  </w:pPr>
                  <w:r>
                    <w:rPr>
                      <w:rFonts w:ascii="Calibri" w:eastAsia="Calibri" w:hAnsi="Calibri" w:cs="Calibri"/>
                      <w:sz w:val="14"/>
                      <w:szCs w:val="14"/>
                    </w:rPr>
                    <w:t>- Risk analysis</w:t>
                  </w:r>
                </w:p>
              </w:tc>
              <w:tc>
                <w:tcPr>
                  <w:tcW w:w="566" w:type="dxa"/>
                </w:tcPr>
                <w:p w14:paraId="2FFB9CC9" w14:textId="77777777" w:rsidR="00600DEE" w:rsidRDefault="00600DEE">
                  <w:pPr>
                    <w:rPr>
                      <w:rFonts w:ascii="Calibri" w:eastAsia="Calibri" w:hAnsi="Calibri" w:cs="Calibri"/>
                    </w:rPr>
                  </w:pPr>
                </w:p>
              </w:tc>
              <w:tc>
                <w:tcPr>
                  <w:tcW w:w="1698" w:type="dxa"/>
                  <w:shd w:val="clear" w:color="auto" w:fill="A6A6A6"/>
                  <w:vAlign w:val="center"/>
                </w:tcPr>
                <w:p w14:paraId="62BA9AAB" w14:textId="77777777" w:rsidR="00600DEE" w:rsidRPr="0045151D" w:rsidRDefault="00641FB5">
                  <w:pPr>
                    <w:ind w:right="170"/>
                    <w:rPr>
                      <w:rFonts w:ascii="Calibri" w:eastAsia="Calibri" w:hAnsi="Calibri" w:cs="Calibri"/>
                      <w:sz w:val="13"/>
                      <w:szCs w:val="13"/>
                      <w:lang w:val="en-GB"/>
                    </w:rPr>
                  </w:pPr>
                  <w:r w:rsidRPr="0045151D">
                    <w:rPr>
                      <w:rFonts w:ascii="Calibri" w:eastAsia="Calibri" w:hAnsi="Calibri" w:cs="Calibri"/>
                      <w:sz w:val="13"/>
                      <w:szCs w:val="13"/>
                      <w:lang w:val="en-GB"/>
                    </w:rPr>
                    <w:t>- Evaluation of sensitivity of project results to changes in key variables and identification of critical variables incuding switching values</w:t>
                  </w:r>
                </w:p>
                <w:p w14:paraId="2BCC6F2F" w14:textId="77777777" w:rsidR="00600DEE" w:rsidRPr="0045151D" w:rsidRDefault="00641FB5">
                  <w:pPr>
                    <w:ind w:right="170"/>
                    <w:rPr>
                      <w:rFonts w:ascii="Calibri" w:eastAsia="Calibri" w:hAnsi="Calibri" w:cs="Calibri"/>
                      <w:sz w:val="16"/>
                      <w:szCs w:val="16"/>
                      <w:lang w:val="en-GB"/>
                    </w:rPr>
                  </w:pPr>
                  <w:r w:rsidRPr="0045151D">
                    <w:rPr>
                      <w:rFonts w:ascii="Calibri" w:eastAsia="Calibri" w:hAnsi="Calibri" w:cs="Calibri"/>
                      <w:sz w:val="13"/>
                      <w:szCs w:val="13"/>
                      <w:lang w:val="en-GB"/>
                    </w:rPr>
                    <w:t>- Discussion of areas of  risks associated with the project</w:t>
                  </w:r>
                </w:p>
              </w:tc>
              <w:tc>
                <w:tcPr>
                  <w:tcW w:w="250" w:type="dxa"/>
                </w:tcPr>
                <w:p w14:paraId="5CD2287A" w14:textId="77777777" w:rsidR="00600DEE" w:rsidRPr="0045151D" w:rsidRDefault="00600DEE">
                  <w:pPr>
                    <w:rPr>
                      <w:rFonts w:ascii="Calibri" w:eastAsia="Calibri" w:hAnsi="Calibri" w:cs="Calibri"/>
                      <w:lang w:val="en-GB"/>
                    </w:rPr>
                  </w:pPr>
                </w:p>
              </w:tc>
            </w:tr>
            <w:tr w:rsidR="00600DEE" w:rsidRPr="008C4407" w14:paraId="78728DCF" w14:textId="77777777" w:rsidTr="00E12F72">
              <w:trPr>
                <w:trHeight w:val="243"/>
              </w:trPr>
              <w:tc>
                <w:tcPr>
                  <w:tcW w:w="251" w:type="dxa"/>
                </w:tcPr>
                <w:p w14:paraId="7717001F" w14:textId="77777777" w:rsidR="00600DEE" w:rsidRPr="0045151D" w:rsidRDefault="00600DEE">
                  <w:pPr>
                    <w:rPr>
                      <w:rFonts w:ascii="Calibri" w:eastAsia="Calibri" w:hAnsi="Calibri" w:cs="Calibri"/>
                      <w:lang w:val="en-GB"/>
                    </w:rPr>
                  </w:pPr>
                </w:p>
              </w:tc>
              <w:tc>
                <w:tcPr>
                  <w:tcW w:w="1425" w:type="dxa"/>
                </w:tcPr>
                <w:p w14:paraId="486C9967" w14:textId="77777777" w:rsidR="00600DEE" w:rsidRPr="0045151D" w:rsidRDefault="00600DEE">
                  <w:pPr>
                    <w:rPr>
                      <w:rFonts w:ascii="Calibri" w:eastAsia="Calibri" w:hAnsi="Calibri" w:cs="Calibri"/>
                      <w:lang w:val="en-GB"/>
                    </w:rPr>
                  </w:pPr>
                </w:p>
              </w:tc>
              <w:tc>
                <w:tcPr>
                  <w:tcW w:w="555" w:type="dxa"/>
                </w:tcPr>
                <w:p w14:paraId="0945CCE1" w14:textId="77777777" w:rsidR="00600DEE" w:rsidRPr="0045151D" w:rsidRDefault="00600DEE">
                  <w:pPr>
                    <w:rPr>
                      <w:rFonts w:ascii="Calibri" w:eastAsia="Calibri" w:hAnsi="Calibri" w:cs="Calibri"/>
                      <w:lang w:val="en-GB"/>
                    </w:rPr>
                  </w:pPr>
                </w:p>
              </w:tc>
              <w:tc>
                <w:tcPr>
                  <w:tcW w:w="2308" w:type="dxa"/>
                </w:tcPr>
                <w:p w14:paraId="55D179A7" w14:textId="77777777" w:rsidR="00600DEE" w:rsidRPr="0045151D" w:rsidRDefault="00600DEE">
                  <w:pPr>
                    <w:rPr>
                      <w:rFonts w:ascii="Calibri" w:eastAsia="Calibri" w:hAnsi="Calibri" w:cs="Calibri"/>
                      <w:lang w:val="en-GB"/>
                    </w:rPr>
                  </w:pPr>
                </w:p>
              </w:tc>
              <w:tc>
                <w:tcPr>
                  <w:tcW w:w="566" w:type="dxa"/>
                </w:tcPr>
                <w:p w14:paraId="6034D20F" w14:textId="77777777" w:rsidR="00600DEE" w:rsidRPr="0045151D" w:rsidRDefault="00600DEE">
                  <w:pPr>
                    <w:rPr>
                      <w:rFonts w:ascii="Calibri" w:eastAsia="Calibri" w:hAnsi="Calibri" w:cs="Calibri"/>
                      <w:lang w:val="en-GB"/>
                    </w:rPr>
                  </w:pPr>
                </w:p>
              </w:tc>
              <w:tc>
                <w:tcPr>
                  <w:tcW w:w="1698" w:type="dxa"/>
                </w:tcPr>
                <w:p w14:paraId="656B73D8" w14:textId="77777777" w:rsidR="00600DEE" w:rsidRPr="0045151D" w:rsidRDefault="00600DEE">
                  <w:pPr>
                    <w:rPr>
                      <w:rFonts w:ascii="Calibri" w:eastAsia="Calibri" w:hAnsi="Calibri" w:cs="Calibri"/>
                      <w:lang w:val="en-GB"/>
                    </w:rPr>
                  </w:pPr>
                </w:p>
              </w:tc>
              <w:tc>
                <w:tcPr>
                  <w:tcW w:w="250" w:type="dxa"/>
                </w:tcPr>
                <w:p w14:paraId="664822F9" w14:textId="77777777" w:rsidR="00600DEE" w:rsidRPr="0045151D" w:rsidRDefault="00600DEE">
                  <w:pPr>
                    <w:rPr>
                      <w:rFonts w:ascii="Calibri" w:eastAsia="Calibri" w:hAnsi="Calibri" w:cs="Calibri"/>
                      <w:lang w:val="en-GB"/>
                    </w:rPr>
                  </w:pPr>
                </w:p>
              </w:tc>
            </w:tr>
            <w:tr w:rsidR="00600DEE" w:rsidRPr="008C4407" w14:paraId="1146D8B4" w14:textId="77777777" w:rsidTr="00E12F72">
              <w:trPr>
                <w:trHeight w:hRule="exact" w:val="340"/>
              </w:trPr>
              <w:tc>
                <w:tcPr>
                  <w:tcW w:w="251" w:type="dxa"/>
                  <w:tcBorders>
                    <w:top w:val="nil"/>
                    <w:left w:val="nil"/>
                    <w:bottom w:val="nil"/>
                    <w:right w:val="nil"/>
                  </w:tcBorders>
                  <w:shd w:val="clear" w:color="auto" w:fill="999999"/>
                </w:tcPr>
                <w:p w14:paraId="5DB738DB" w14:textId="77777777" w:rsidR="00600DEE" w:rsidRPr="0045151D" w:rsidRDefault="00600DEE">
                  <w:pPr>
                    <w:rPr>
                      <w:rFonts w:ascii="Calibri" w:eastAsia="Calibri" w:hAnsi="Calibri" w:cs="Calibri"/>
                      <w:lang w:val="en-GB"/>
                    </w:rPr>
                  </w:pPr>
                </w:p>
              </w:tc>
              <w:tc>
                <w:tcPr>
                  <w:tcW w:w="1425" w:type="dxa"/>
                  <w:tcBorders>
                    <w:top w:val="nil"/>
                    <w:left w:val="nil"/>
                    <w:bottom w:val="nil"/>
                    <w:right w:val="nil"/>
                  </w:tcBorders>
                  <w:shd w:val="clear" w:color="auto" w:fill="999999"/>
                </w:tcPr>
                <w:p w14:paraId="590D10BC" w14:textId="77777777" w:rsidR="00600DEE" w:rsidRPr="0045151D" w:rsidRDefault="00600DEE">
                  <w:pPr>
                    <w:rPr>
                      <w:rFonts w:ascii="Calibri" w:eastAsia="Calibri" w:hAnsi="Calibri" w:cs="Calibri"/>
                      <w:lang w:val="en-GB"/>
                    </w:rPr>
                  </w:pPr>
                </w:p>
              </w:tc>
              <w:tc>
                <w:tcPr>
                  <w:tcW w:w="555" w:type="dxa"/>
                  <w:tcBorders>
                    <w:top w:val="nil"/>
                    <w:left w:val="nil"/>
                    <w:bottom w:val="nil"/>
                    <w:right w:val="nil"/>
                  </w:tcBorders>
                  <w:shd w:val="clear" w:color="auto" w:fill="999999"/>
                </w:tcPr>
                <w:p w14:paraId="6547DAB4" w14:textId="77777777" w:rsidR="00600DEE" w:rsidRPr="0045151D" w:rsidRDefault="00600DEE">
                  <w:pPr>
                    <w:rPr>
                      <w:rFonts w:ascii="Calibri" w:eastAsia="Calibri" w:hAnsi="Calibri" w:cs="Calibri"/>
                      <w:lang w:val="en-GB"/>
                    </w:rPr>
                  </w:pPr>
                </w:p>
              </w:tc>
              <w:tc>
                <w:tcPr>
                  <w:tcW w:w="2308" w:type="dxa"/>
                  <w:tcBorders>
                    <w:top w:val="nil"/>
                    <w:left w:val="nil"/>
                    <w:bottom w:val="nil"/>
                    <w:right w:val="nil"/>
                  </w:tcBorders>
                  <w:shd w:val="clear" w:color="auto" w:fill="999999"/>
                </w:tcPr>
                <w:p w14:paraId="109E2680" w14:textId="77777777" w:rsidR="00600DEE" w:rsidRPr="0045151D" w:rsidRDefault="00600DEE">
                  <w:pPr>
                    <w:rPr>
                      <w:rFonts w:ascii="Calibri" w:eastAsia="Calibri" w:hAnsi="Calibri" w:cs="Calibri"/>
                      <w:lang w:val="en-GB"/>
                    </w:rPr>
                  </w:pPr>
                </w:p>
              </w:tc>
              <w:tc>
                <w:tcPr>
                  <w:tcW w:w="566" w:type="dxa"/>
                  <w:tcBorders>
                    <w:top w:val="nil"/>
                    <w:left w:val="nil"/>
                    <w:bottom w:val="nil"/>
                    <w:right w:val="nil"/>
                  </w:tcBorders>
                  <w:shd w:val="clear" w:color="auto" w:fill="999999"/>
                </w:tcPr>
                <w:p w14:paraId="1E37C0B0" w14:textId="77777777" w:rsidR="00600DEE" w:rsidRPr="0045151D" w:rsidRDefault="00600DEE">
                  <w:pPr>
                    <w:rPr>
                      <w:rFonts w:ascii="Calibri" w:eastAsia="Calibri" w:hAnsi="Calibri" w:cs="Calibri"/>
                      <w:lang w:val="en-GB"/>
                    </w:rPr>
                  </w:pPr>
                </w:p>
              </w:tc>
              <w:tc>
                <w:tcPr>
                  <w:tcW w:w="1698" w:type="dxa"/>
                  <w:tcBorders>
                    <w:top w:val="nil"/>
                    <w:left w:val="nil"/>
                    <w:bottom w:val="nil"/>
                    <w:right w:val="nil"/>
                  </w:tcBorders>
                  <w:shd w:val="clear" w:color="auto" w:fill="999999"/>
                </w:tcPr>
                <w:p w14:paraId="5BE7DEA7" w14:textId="77777777" w:rsidR="00600DEE" w:rsidRPr="0045151D" w:rsidRDefault="00600DEE">
                  <w:pPr>
                    <w:rPr>
                      <w:rFonts w:ascii="Calibri" w:eastAsia="Calibri" w:hAnsi="Calibri" w:cs="Calibri"/>
                      <w:lang w:val="en-GB"/>
                    </w:rPr>
                  </w:pPr>
                </w:p>
              </w:tc>
              <w:tc>
                <w:tcPr>
                  <w:tcW w:w="250" w:type="dxa"/>
                  <w:tcBorders>
                    <w:top w:val="nil"/>
                    <w:left w:val="nil"/>
                    <w:bottom w:val="nil"/>
                    <w:right w:val="nil"/>
                  </w:tcBorders>
                  <w:shd w:val="clear" w:color="auto" w:fill="999999"/>
                </w:tcPr>
                <w:p w14:paraId="695587C7" w14:textId="77777777" w:rsidR="00600DEE" w:rsidRPr="0045151D" w:rsidRDefault="00600DEE">
                  <w:pPr>
                    <w:rPr>
                      <w:rFonts w:ascii="Calibri" w:eastAsia="Calibri" w:hAnsi="Calibri" w:cs="Calibri"/>
                      <w:lang w:val="en-GB"/>
                    </w:rPr>
                  </w:pPr>
                </w:p>
              </w:tc>
            </w:tr>
          </w:tbl>
          <w:p w14:paraId="65F42B15" w14:textId="77777777" w:rsidR="00600DEE" w:rsidRPr="0045151D" w:rsidRDefault="00641FB5">
            <w:pPr>
              <w:spacing w:before="120" w:after="120" w:line="276" w:lineRule="auto"/>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proprietary work.</w:t>
            </w:r>
          </w:p>
          <w:p w14:paraId="6325BF96" w14:textId="77777777" w:rsidR="00600DEE" w:rsidRPr="0045151D" w:rsidRDefault="00641FB5">
            <w:pPr>
              <w:pBdr>
                <w:top w:val="nil"/>
                <w:left w:val="nil"/>
                <w:bottom w:val="nil"/>
                <w:right w:val="nil"/>
                <w:between w:val="nil"/>
              </w:pBdr>
              <w:rPr>
                <w:rFonts w:ascii="Calibri" w:eastAsia="Calibri" w:hAnsi="Calibri" w:cs="Calibri"/>
                <w:color w:val="000000"/>
                <w:sz w:val="20"/>
                <w:szCs w:val="20"/>
                <w:lang w:val="en-GB"/>
              </w:rPr>
            </w:pPr>
            <w:r w:rsidRPr="0045151D">
              <w:rPr>
                <w:rFonts w:ascii="Calibri" w:eastAsia="Calibri" w:hAnsi="Calibri" w:cs="Calibri"/>
                <w:i/>
                <w:color w:val="000000"/>
                <w:sz w:val="20"/>
                <w:szCs w:val="20"/>
                <w:lang w:val="en-GB"/>
              </w:rPr>
              <w:t>NB:</w:t>
            </w:r>
            <w:r w:rsidRPr="0045151D">
              <w:rPr>
                <w:rFonts w:ascii="Calibri" w:eastAsia="Calibri" w:hAnsi="Calibri" w:cs="Calibri"/>
                <w:color w:val="000000"/>
                <w:sz w:val="20"/>
                <w:szCs w:val="20"/>
                <w:lang w:val="en-GB"/>
              </w:rPr>
              <w:t xml:space="preserve"> The provisions of the ‘’Public Transport Blue Book’’ (in particular in respect to the traffic forecasting and modelling methods) may apply to road projects in cities, in the case that the road project is expected to change the distribution of traffic to the network and have an impact on modal split in the public transport.</w:t>
            </w:r>
          </w:p>
        </w:tc>
      </w:tr>
    </w:tbl>
    <w:p w14:paraId="6D7764C3" w14:textId="6534D8EF" w:rsidR="00600DEE" w:rsidRPr="00343533" w:rsidRDefault="00641FB5" w:rsidP="00343533">
      <w:pPr>
        <w:pStyle w:val="Nagwek3"/>
        <w:rPr>
          <w:rFonts w:eastAsia="Calibri"/>
          <w:i/>
          <w:lang w:val="en-GB"/>
        </w:rPr>
      </w:pPr>
      <w:bookmarkStart w:id="14" w:name="_Toc95377962"/>
      <w:r w:rsidRPr="00343533">
        <w:rPr>
          <w:rFonts w:eastAsia="Calibri"/>
          <w:lang w:val="en-GB"/>
        </w:rPr>
        <w:lastRenderedPageBreak/>
        <w:t>Zawartość i zakres analizy kosztów i korzyści oraz jej struktura</w:t>
      </w:r>
      <w:r w:rsidRPr="00343533">
        <w:rPr>
          <w:rFonts w:eastAsia="Calibri"/>
          <w:lang w:val="en-GB"/>
        </w:rPr>
        <w:tab/>
      </w:r>
      <w:r w:rsidR="00343533">
        <w:rPr>
          <w:rFonts w:eastAsia="Calibri"/>
          <w:lang w:val="en-GB"/>
        </w:rPr>
        <w:tab/>
      </w:r>
      <w:r w:rsidR="003E7F50">
        <w:rPr>
          <w:rFonts w:eastAsia="Calibri"/>
          <w:lang w:val="en-GB"/>
        </w:rPr>
        <w:tab/>
      </w:r>
      <w:r w:rsidRPr="00343533">
        <w:rPr>
          <w:rFonts w:eastAsia="Calibri"/>
          <w:i/>
          <w:lang w:val="en-GB"/>
        </w:rPr>
        <w:t>Content and scope of the Cost-Benefit Analysis and its structure</w:t>
      </w:r>
      <w:bookmarkEnd w:id="14"/>
    </w:p>
    <w:tbl>
      <w:tblPr>
        <w:tblStyle w:val="a5"/>
        <w:tblW w:w="14865" w:type="dxa"/>
        <w:tblLayout w:type="fixed"/>
        <w:tblLook w:val="0400" w:firstRow="0" w:lastRow="0" w:firstColumn="0" w:lastColumn="0" w:noHBand="0" w:noVBand="1"/>
      </w:tblPr>
      <w:tblGrid>
        <w:gridCol w:w="7740"/>
        <w:gridCol w:w="7125"/>
      </w:tblGrid>
      <w:tr w:rsidR="00600DEE" w:rsidRPr="008C4407" w14:paraId="64B62836" w14:textId="77777777" w:rsidTr="00D01E87">
        <w:trPr>
          <w:trHeight w:val="340"/>
        </w:trPr>
        <w:tc>
          <w:tcPr>
            <w:tcW w:w="7740" w:type="dxa"/>
            <w:tcBorders>
              <w:right w:val="single" w:sz="4" w:space="0" w:color="000000"/>
            </w:tcBorders>
            <w:tcMar>
              <w:left w:w="284" w:type="dxa"/>
              <w:right w:w="284" w:type="dxa"/>
            </w:tcMar>
          </w:tcPr>
          <w:p w14:paraId="18618D92" w14:textId="77777777" w:rsidR="00600DEE" w:rsidRDefault="00641FB5">
            <w:pPr>
              <w:spacing w:after="120"/>
              <w:ind w:right="28"/>
              <w:jc w:val="both"/>
              <w:rPr>
                <w:rFonts w:ascii="Calibri" w:eastAsia="Calibri" w:hAnsi="Calibri" w:cs="Calibri"/>
                <w:sz w:val="20"/>
                <w:szCs w:val="20"/>
              </w:rPr>
            </w:pPr>
            <w:r>
              <w:rPr>
                <w:rFonts w:ascii="Calibri" w:eastAsia="Calibri" w:hAnsi="Calibri" w:cs="Calibri"/>
                <w:sz w:val="20"/>
                <w:szCs w:val="20"/>
              </w:rPr>
              <w:t>Wynikiem pracy nad analizą kosztów i korzyści (AKK) powinien być dokument odnoszący się do wszystkich kwestii omawianych w niniejszym podręczniku. Poniżej przedstawiono zalecaną zawartość typowej AKK.</w:t>
            </w:r>
          </w:p>
          <w:p w14:paraId="7180CFE9" w14:textId="77777777" w:rsidR="00600DEE" w:rsidRDefault="00600DEE">
            <w:pPr>
              <w:spacing w:after="120"/>
              <w:ind w:right="28"/>
              <w:jc w:val="both"/>
              <w:rPr>
                <w:rFonts w:ascii="Calibri" w:eastAsia="Calibri" w:hAnsi="Calibri" w:cs="Calibri"/>
                <w:sz w:val="20"/>
                <w:szCs w:val="20"/>
              </w:rPr>
            </w:pPr>
          </w:p>
          <w:p w14:paraId="6A962F91" w14:textId="632397B0" w:rsidR="00D01E87" w:rsidRDefault="00641FB5" w:rsidP="00D2339A">
            <w:pPr>
              <w:keepNext/>
              <w:pBdr>
                <w:top w:val="nil"/>
                <w:left w:val="nil"/>
                <w:bottom w:val="nil"/>
                <w:right w:val="nil"/>
                <w:between w:val="nil"/>
              </w:pBdr>
              <w:tabs>
                <w:tab w:val="left" w:pos="720"/>
                <w:tab w:val="left" w:pos="0"/>
              </w:tabs>
              <w:spacing w:before="120" w:after="120"/>
              <w:ind w:right="26"/>
              <w:rPr>
                <w:rFonts w:ascii="Calibri" w:eastAsia="Calibri" w:hAnsi="Calibri" w:cs="Calibri"/>
                <w:b/>
                <w:color w:val="4F81BD"/>
                <w:sz w:val="20"/>
                <w:szCs w:val="20"/>
              </w:rPr>
            </w:pPr>
            <w:r>
              <w:rPr>
                <w:rFonts w:ascii="Calibri" w:eastAsia="Calibri" w:hAnsi="Calibri" w:cs="Calibri"/>
                <w:b/>
                <w:color w:val="4F81BD"/>
                <w:sz w:val="20"/>
                <w:szCs w:val="20"/>
              </w:rPr>
              <w:lastRenderedPageBreak/>
              <w:t>Tabela 1. Analiza kosztów i korzyści – spis treści</w:t>
            </w:r>
          </w:p>
          <w:tbl>
            <w:tblPr>
              <w:tblStyle w:val="a6"/>
              <w:tblW w:w="7083" w:type="dxa"/>
              <w:tblLayout w:type="fixed"/>
              <w:tblLook w:val="0000" w:firstRow="0" w:lastRow="0" w:firstColumn="0" w:lastColumn="0" w:noHBand="0" w:noVBand="0"/>
            </w:tblPr>
            <w:tblGrid>
              <w:gridCol w:w="988"/>
              <w:gridCol w:w="6095"/>
            </w:tblGrid>
            <w:tr w:rsidR="00600DEE" w14:paraId="484FBFF4" w14:textId="77777777">
              <w:trPr>
                <w:trHeight w:val="113"/>
              </w:trPr>
              <w:tc>
                <w:tcPr>
                  <w:tcW w:w="988" w:type="dxa"/>
                  <w:tcBorders>
                    <w:top w:val="single" w:sz="4" w:space="0" w:color="FFFFFF"/>
                    <w:left w:val="single" w:sz="4" w:space="0" w:color="FFFFFF"/>
                    <w:bottom w:val="single" w:sz="4" w:space="0" w:color="FFFFFF"/>
                  </w:tcBorders>
                  <w:shd w:val="clear" w:color="auto" w:fill="A6A6A6"/>
                  <w:vAlign w:val="center"/>
                </w:tcPr>
                <w:p w14:paraId="3DE68F83" w14:textId="77777777" w:rsidR="00600DEE" w:rsidRDefault="00641FB5">
                  <w:pPr>
                    <w:pBdr>
                      <w:top w:val="nil"/>
                      <w:left w:val="nil"/>
                      <w:bottom w:val="nil"/>
                      <w:right w:val="nil"/>
                      <w:between w:val="nil"/>
                    </w:pBdr>
                    <w:spacing w:before="60" w:after="60" w:line="264" w:lineRule="auto"/>
                    <w:jc w:val="center"/>
                    <w:rPr>
                      <w:rFonts w:ascii="Calibri" w:eastAsia="Calibri" w:hAnsi="Calibri" w:cs="Calibri"/>
                      <w:b/>
                      <w:color w:val="FFFFFF"/>
                      <w:sz w:val="18"/>
                      <w:szCs w:val="18"/>
                    </w:rPr>
                  </w:pPr>
                  <w:r>
                    <w:rPr>
                      <w:rFonts w:ascii="Calibri" w:eastAsia="Calibri" w:hAnsi="Calibri" w:cs="Calibri"/>
                      <w:b/>
                      <w:color w:val="FFFFFF"/>
                      <w:sz w:val="18"/>
                      <w:szCs w:val="18"/>
                    </w:rPr>
                    <w:t>Rozdział</w:t>
                  </w:r>
                </w:p>
              </w:tc>
              <w:tc>
                <w:tcPr>
                  <w:tcW w:w="6095"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11C5E05" w14:textId="77777777" w:rsidR="00600DEE" w:rsidRDefault="00641FB5">
                  <w:pPr>
                    <w:pBdr>
                      <w:top w:val="nil"/>
                      <w:left w:val="nil"/>
                      <w:bottom w:val="nil"/>
                      <w:right w:val="nil"/>
                      <w:between w:val="nil"/>
                    </w:pBdr>
                    <w:spacing w:before="60" w:after="60" w:line="264" w:lineRule="auto"/>
                    <w:rPr>
                      <w:rFonts w:ascii="Calibri" w:eastAsia="Calibri" w:hAnsi="Calibri" w:cs="Calibri"/>
                      <w:b/>
                      <w:color w:val="FFFFFF"/>
                      <w:sz w:val="18"/>
                      <w:szCs w:val="18"/>
                    </w:rPr>
                  </w:pPr>
                  <w:r>
                    <w:rPr>
                      <w:rFonts w:ascii="Calibri" w:eastAsia="Calibri" w:hAnsi="Calibri" w:cs="Calibri"/>
                      <w:b/>
                      <w:color w:val="FFFFFF"/>
                      <w:sz w:val="18"/>
                      <w:szCs w:val="18"/>
                    </w:rPr>
                    <w:t>Treść*</w:t>
                  </w:r>
                </w:p>
              </w:tc>
            </w:tr>
            <w:tr w:rsidR="00600DEE" w14:paraId="72207AB1" w14:textId="77777777">
              <w:trPr>
                <w:trHeight w:val="431"/>
              </w:trPr>
              <w:tc>
                <w:tcPr>
                  <w:tcW w:w="988" w:type="dxa"/>
                  <w:tcBorders>
                    <w:left w:val="single" w:sz="4" w:space="0" w:color="FFFFFF"/>
                    <w:bottom w:val="single" w:sz="4" w:space="0" w:color="FFFFFF"/>
                  </w:tcBorders>
                  <w:shd w:val="clear" w:color="auto" w:fill="DBE5F1"/>
                </w:tcPr>
                <w:p w14:paraId="3683E130" w14:textId="77777777" w:rsidR="00600DEE" w:rsidRDefault="00641FB5">
                  <w:pPr>
                    <w:pBdr>
                      <w:top w:val="nil"/>
                      <w:left w:val="nil"/>
                      <w:bottom w:val="nil"/>
                      <w:right w:val="nil"/>
                      <w:between w:val="nil"/>
                    </w:pBdr>
                    <w:spacing w:before="120" w:after="120"/>
                    <w:jc w:val="center"/>
                    <w:rPr>
                      <w:rFonts w:ascii="Calibri" w:eastAsia="Calibri" w:hAnsi="Calibri" w:cs="Calibri"/>
                      <w:b/>
                      <w:color w:val="4F81BD"/>
                      <w:sz w:val="18"/>
                      <w:szCs w:val="18"/>
                    </w:rPr>
                  </w:pPr>
                  <w:r>
                    <w:rPr>
                      <w:rFonts w:ascii="Calibri" w:eastAsia="Calibri" w:hAnsi="Calibri" w:cs="Calibri"/>
                      <w:b/>
                      <w:color w:val="4F81BD"/>
                      <w:sz w:val="18"/>
                      <w:szCs w:val="18"/>
                    </w:rPr>
                    <w:t>Synteza</w:t>
                  </w:r>
                </w:p>
              </w:tc>
              <w:tc>
                <w:tcPr>
                  <w:tcW w:w="6095" w:type="dxa"/>
                  <w:tcBorders>
                    <w:left w:val="single" w:sz="4" w:space="0" w:color="FFFFFF"/>
                    <w:bottom w:val="single" w:sz="4" w:space="0" w:color="FFFFFF"/>
                    <w:right w:val="single" w:sz="4" w:space="0" w:color="FFFFFF"/>
                  </w:tcBorders>
                  <w:shd w:val="clear" w:color="auto" w:fill="DBE5F1"/>
                </w:tcPr>
                <w:p w14:paraId="7C62B757" w14:textId="77777777" w:rsidR="00600DEE" w:rsidRDefault="00641FB5">
                  <w:pPr>
                    <w:pBdr>
                      <w:top w:val="nil"/>
                      <w:left w:val="nil"/>
                      <w:bottom w:val="nil"/>
                      <w:right w:val="nil"/>
                      <w:between w:val="nil"/>
                    </w:pBdr>
                    <w:spacing w:before="120" w:after="120"/>
                    <w:rPr>
                      <w:rFonts w:ascii="Calibri" w:eastAsia="Calibri" w:hAnsi="Calibri" w:cs="Calibri"/>
                      <w:color w:val="4F81BD"/>
                      <w:sz w:val="18"/>
                      <w:szCs w:val="18"/>
                    </w:rPr>
                  </w:pPr>
                  <w:r>
                    <w:rPr>
                      <w:rFonts w:ascii="Calibri" w:eastAsia="Calibri" w:hAnsi="Calibri" w:cs="Calibri"/>
                      <w:color w:val="4F81BD"/>
                      <w:sz w:val="18"/>
                      <w:szCs w:val="18"/>
                    </w:rPr>
                    <w:t>Podsumowanie wyników CBA</w:t>
                  </w:r>
                </w:p>
              </w:tc>
            </w:tr>
            <w:tr w:rsidR="00600DEE" w14:paraId="10F2744F" w14:textId="77777777" w:rsidTr="0073146B">
              <w:trPr>
                <w:trHeight w:hRule="exact" w:val="2268"/>
              </w:trPr>
              <w:tc>
                <w:tcPr>
                  <w:tcW w:w="988" w:type="dxa"/>
                  <w:tcBorders>
                    <w:left w:val="single" w:sz="4" w:space="0" w:color="FFFFFF"/>
                    <w:bottom w:val="single" w:sz="4" w:space="0" w:color="FFFFFF"/>
                  </w:tcBorders>
                  <w:shd w:val="clear" w:color="auto" w:fill="DBE5F1"/>
                </w:tcPr>
                <w:p w14:paraId="630FBC54" w14:textId="77777777" w:rsidR="00600DEE" w:rsidRDefault="00641FB5">
                  <w:pPr>
                    <w:pBdr>
                      <w:top w:val="nil"/>
                      <w:left w:val="nil"/>
                      <w:bottom w:val="nil"/>
                      <w:right w:val="nil"/>
                      <w:between w:val="nil"/>
                    </w:pBdr>
                    <w:spacing w:before="120" w:after="120"/>
                    <w:jc w:val="center"/>
                    <w:rPr>
                      <w:rFonts w:ascii="Calibri" w:eastAsia="Calibri" w:hAnsi="Calibri" w:cs="Calibri"/>
                      <w:b/>
                      <w:color w:val="4F81BD"/>
                      <w:sz w:val="16"/>
                      <w:szCs w:val="16"/>
                    </w:rPr>
                  </w:pPr>
                  <w:r>
                    <w:rPr>
                      <w:rFonts w:ascii="Calibri" w:eastAsia="Calibri" w:hAnsi="Calibri" w:cs="Calibri"/>
                      <w:b/>
                      <w:color w:val="4F81BD"/>
                      <w:sz w:val="16"/>
                      <w:szCs w:val="16"/>
                    </w:rPr>
                    <w:t>I</w:t>
                  </w:r>
                </w:p>
              </w:tc>
              <w:tc>
                <w:tcPr>
                  <w:tcW w:w="6095" w:type="dxa"/>
                  <w:tcBorders>
                    <w:left w:val="single" w:sz="4" w:space="0" w:color="FFFFFF"/>
                    <w:bottom w:val="single" w:sz="4" w:space="0" w:color="FFFFFF"/>
                    <w:right w:val="single" w:sz="4" w:space="0" w:color="FFFFFF"/>
                  </w:tcBorders>
                  <w:shd w:val="clear" w:color="auto" w:fill="DBE5F1"/>
                </w:tcPr>
                <w:p w14:paraId="6DB8CF3C" w14:textId="77777777" w:rsidR="00600DEE" w:rsidRDefault="00641FB5">
                  <w:pPr>
                    <w:pBdr>
                      <w:top w:val="nil"/>
                      <w:left w:val="nil"/>
                      <w:bottom w:val="nil"/>
                      <w:right w:val="nil"/>
                      <w:between w:val="nil"/>
                    </w:pBdr>
                    <w:spacing w:before="120" w:after="120"/>
                    <w:ind w:left="470" w:hanging="470"/>
                    <w:rPr>
                      <w:rFonts w:ascii="Calibri" w:eastAsia="Calibri" w:hAnsi="Calibri" w:cs="Calibri"/>
                      <w:color w:val="4F81BD"/>
                      <w:sz w:val="18"/>
                      <w:szCs w:val="18"/>
                    </w:rPr>
                  </w:pPr>
                  <w:r>
                    <w:rPr>
                      <w:rFonts w:ascii="Calibri" w:eastAsia="Calibri" w:hAnsi="Calibri" w:cs="Calibri"/>
                      <w:color w:val="4F81BD"/>
                      <w:sz w:val="18"/>
                      <w:szCs w:val="18"/>
                    </w:rPr>
                    <w:t xml:space="preserve">Identyfikacja projektu i przygotowanie danych wejściowych </w:t>
                  </w:r>
                </w:p>
                <w:p w14:paraId="65F32023"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Stan istniejący</w:t>
                  </w:r>
                </w:p>
                <w:p w14:paraId="3B24DBEC"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Określenie celów projektu w kontekście właściwych planów/strategii transportowych</w:t>
                  </w:r>
                </w:p>
                <w:p w14:paraId="1015B438"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Identyfikacja/Wybór możliwych do realizacji wariantów projektu</w:t>
                  </w:r>
                </w:p>
                <w:p w14:paraId="2BAF86C3"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Identyfikacja projektu</w:t>
                  </w:r>
                </w:p>
                <w:p w14:paraId="07D1A615"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Przygotowanie danych wejściowych do analizy ekonomicznej i finansowej (prognoza ruchu, koszty inwestycyjne, koszty eksploatacji i utrzymania, przychody, itp)</w:t>
                  </w:r>
                </w:p>
                <w:p w14:paraId="10DD32CC" w14:textId="77777777" w:rsidR="00600DEE" w:rsidRDefault="00600DEE">
                  <w:pPr>
                    <w:pBdr>
                      <w:top w:val="nil"/>
                      <w:left w:val="nil"/>
                      <w:bottom w:val="nil"/>
                      <w:right w:val="nil"/>
                      <w:between w:val="nil"/>
                    </w:pBdr>
                    <w:tabs>
                      <w:tab w:val="left" w:pos="435"/>
                    </w:tabs>
                    <w:ind w:left="470" w:hanging="470"/>
                    <w:rPr>
                      <w:rFonts w:ascii="Calibri" w:eastAsia="Calibri" w:hAnsi="Calibri" w:cs="Calibri"/>
                      <w:color w:val="4F81BD"/>
                      <w:sz w:val="18"/>
                      <w:szCs w:val="18"/>
                    </w:rPr>
                  </w:pPr>
                </w:p>
              </w:tc>
            </w:tr>
            <w:tr w:rsidR="00600DEE" w14:paraId="6AC8162E" w14:textId="77777777" w:rsidTr="00023AC0">
              <w:trPr>
                <w:trHeight w:hRule="exact" w:val="1985"/>
              </w:trPr>
              <w:tc>
                <w:tcPr>
                  <w:tcW w:w="988" w:type="dxa"/>
                  <w:tcBorders>
                    <w:left w:val="single" w:sz="4" w:space="0" w:color="FFFFFF"/>
                    <w:bottom w:val="single" w:sz="4" w:space="0" w:color="FFFFFF"/>
                  </w:tcBorders>
                  <w:shd w:val="clear" w:color="auto" w:fill="DBE5F1"/>
                </w:tcPr>
                <w:p w14:paraId="4064B704" w14:textId="77777777" w:rsidR="00600DEE" w:rsidRDefault="00641FB5">
                  <w:pPr>
                    <w:pBdr>
                      <w:top w:val="nil"/>
                      <w:left w:val="nil"/>
                      <w:bottom w:val="nil"/>
                      <w:right w:val="nil"/>
                      <w:between w:val="nil"/>
                    </w:pBdr>
                    <w:spacing w:before="120" w:after="120"/>
                    <w:jc w:val="center"/>
                    <w:rPr>
                      <w:rFonts w:ascii="Calibri" w:eastAsia="Calibri" w:hAnsi="Calibri" w:cs="Calibri"/>
                      <w:b/>
                      <w:color w:val="4F81BD"/>
                      <w:sz w:val="16"/>
                      <w:szCs w:val="16"/>
                    </w:rPr>
                  </w:pPr>
                  <w:r>
                    <w:rPr>
                      <w:rFonts w:ascii="Calibri" w:eastAsia="Calibri" w:hAnsi="Calibri" w:cs="Calibri"/>
                      <w:b/>
                      <w:color w:val="4F81BD"/>
                      <w:sz w:val="16"/>
                      <w:szCs w:val="16"/>
                    </w:rPr>
                    <w:t>II</w:t>
                  </w:r>
                </w:p>
              </w:tc>
              <w:tc>
                <w:tcPr>
                  <w:tcW w:w="6095" w:type="dxa"/>
                  <w:tcBorders>
                    <w:left w:val="single" w:sz="4" w:space="0" w:color="FFFFFF"/>
                    <w:bottom w:val="single" w:sz="4" w:space="0" w:color="FFFFFF"/>
                    <w:right w:val="single" w:sz="4" w:space="0" w:color="FFFFFF"/>
                  </w:tcBorders>
                  <w:shd w:val="clear" w:color="auto" w:fill="DBE5F1"/>
                </w:tcPr>
                <w:p w14:paraId="72CDF6C2" w14:textId="77777777" w:rsidR="00600DEE" w:rsidRDefault="00641FB5">
                  <w:pPr>
                    <w:pBdr>
                      <w:top w:val="nil"/>
                      <w:left w:val="nil"/>
                      <w:bottom w:val="nil"/>
                      <w:right w:val="nil"/>
                      <w:between w:val="nil"/>
                    </w:pBdr>
                    <w:spacing w:before="120" w:after="120"/>
                    <w:ind w:left="470" w:hanging="470"/>
                    <w:rPr>
                      <w:rFonts w:ascii="Calibri" w:eastAsia="Calibri" w:hAnsi="Calibri" w:cs="Calibri"/>
                      <w:color w:val="4F81BD"/>
                      <w:sz w:val="18"/>
                      <w:szCs w:val="18"/>
                    </w:rPr>
                  </w:pPr>
                  <w:r>
                    <w:rPr>
                      <w:rFonts w:ascii="Calibri" w:eastAsia="Calibri" w:hAnsi="Calibri" w:cs="Calibri"/>
                      <w:color w:val="4F81BD"/>
                      <w:sz w:val="18"/>
                      <w:szCs w:val="18"/>
                    </w:rPr>
                    <w:t>Analiza ekonomiczna</w:t>
                  </w:r>
                </w:p>
                <w:p w14:paraId="6280564D"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Określenie założeń do analizy ekonomicznej</w:t>
                  </w:r>
                </w:p>
                <w:p w14:paraId="707BC27A"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Przeliczniki z cen rynkowych na rozrachunkowe (ukryte)</w:t>
                  </w:r>
                </w:p>
                <w:p w14:paraId="56E0C1D9"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Obliczanie kosztów i korzyści ekonomicznych</w:t>
                  </w:r>
                </w:p>
                <w:p w14:paraId="077981AB"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Identyfikacja, wyszczególnienie i ocena jakościowa kosztów i korzyści niekwantyfikowalnych (jeżeli dotyczy)</w:t>
                  </w:r>
                </w:p>
                <w:p w14:paraId="5B703CCF" w14:textId="77777777" w:rsidR="00600DEE" w:rsidRDefault="00641FB5">
                  <w:pPr>
                    <w:numPr>
                      <w:ilvl w:val="0"/>
                      <w:numId w:val="1"/>
                    </w:numPr>
                    <w:pBdr>
                      <w:top w:val="nil"/>
                      <w:left w:val="nil"/>
                      <w:bottom w:val="nil"/>
                      <w:right w:val="nil"/>
                      <w:between w:val="nil"/>
                    </w:pBdr>
                    <w:tabs>
                      <w:tab w:val="left" w:pos="435"/>
                    </w:tabs>
                    <w:ind w:left="470" w:hanging="470"/>
                    <w:rPr>
                      <w:rFonts w:ascii="Calibri" w:eastAsia="Calibri" w:hAnsi="Calibri" w:cs="Calibri"/>
                      <w:color w:val="4F81BD"/>
                      <w:sz w:val="18"/>
                      <w:szCs w:val="18"/>
                    </w:rPr>
                  </w:pPr>
                  <w:r>
                    <w:rPr>
                      <w:rFonts w:ascii="Calibri" w:eastAsia="Calibri" w:hAnsi="Calibri" w:cs="Calibri"/>
                      <w:color w:val="4F81BD"/>
                      <w:sz w:val="18"/>
                      <w:szCs w:val="18"/>
                    </w:rPr>
                    <w:t>Obliczenie wskaźników efektywności ekonomicznej</w:t>
                  </w:r>
                </w:p>
                <w:p w14:paraId="7BD9BA2C" w14:textId="77777777" w:rsidR="00600DEE" w:rsidRDefault="00600DEE">
                  <w:pPr>
                    <w:pBdr>
                      <w:top w:val="nil"/>
                      <w:left w:val="nil"/>
                      <w:bottom w:val="nil"/>
                      <w:right w:val="nil"/>
                      <w:between w:val="nil"/>
                    </w:pBdr>
                    <w:tabs>
                      <w:tab w:val="left" w:pos="435"/>
                    </w:tabs>
                    <w:ind w:left="470" w:hanging="470"/>
                    <w:rPr>
                      <w:rFonts w:ascii="Calibri" w:eastAsia="Calibri" w:hAnsi="Calibri" w:cs="Calibri"/>
                      <w:color w:val="4F81BD"/>
                      <w:sz w:val="18"/>
                      <w:szCs w:val="18"/>
                    </w:rPr>
                  </w:pPr>
                </w:p>
              </w:tc>
            </w:tr>
            <w:tr w:rsidR="00600DEE" w14:paraId="6206C845" w14:textId="77777777">
              <w:trPr>
                <w:trHeight w:val="273"/>
              </w:trPr>
              <w:tc>
                <w:tcPr>
                  <w:tcW w:w="988" w:type="dxa"/>
                  <w:tcBorders>
                    <w:top w:val="single" w:sz="4" w:space="0" w:color="FFFFFF"/>
                    <w:left w:val="single" w:sz="4" w:space="0" w:color="FFFFFF"/>
                    <w:bottom w:val="single" w:sz="4" w:space="0" w:color="FFFFFF"/>
                  </w:tcBorders>
                  <w:shd w:val="clear" w:color="auto" w:fill="A6A6A6"/>
                  <w:vAlign w:val="center"/>
                </w:tcPr>
                <w:p w14:paraId="1907C7A4" w14:textId="77777777" w:rsidR="00600DEE" w:rsidRDefault="00641FB5">
                  <w:pPr>
                    <w:pBdr>
                      <w:top w:val="nil"/>
                      <w:left w:val="nil"/>
                      <w:bottom w:val="nil"/>
                      <w:right w:val="nil"/>
                      <w:between w:val="nil"/>
                    </w:pBdr>
                    <w:spacing w:before="60" w:after="60" w:line="264" w:lineRule="auto"/>
                    <w:jc w:val="center"/>
                    <w:rPr>
                      <w:rFonts w:ascii="Calibri" w:eastAsia="Calibri" w:hAnsi="Calibri" w:cs="Calibri"/>
                      <w:b/>
                      <w:color w:val="FFFFFF"/>
                      <w:sz w:val="18"/>
                      <w:szCs w:val="18"/>
                    </w:rPr>
                  </w:pPr>
                  <w:r>
                    <w:rPr>
                      <w:rFonts w:ascii="Calibri" w:eastAsia="Calibri" w:hAnsi="Calibri" w:cs="Calibri"/>
                      <w:b/>
                      <w:color w:val="FFFFFF"/>
                      <w:sz w:val="18"/>
                      <w:szCs w:val="18"/>
                    </w:rPr>
                    <w:t>Rozdział</w:t>
                  </w:r>
                </w:p>
              </w:tc>
              <w:tc>
                <w:tcPr>
                  <w:tcW w:w="6095"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A82ABD4" w14:textId="77777777" w:rsidR="00600DEE" w:rsidRDefault="00641FB5">
                  <w:pPr>
                    <w:pBdr>
                      <w:top w:val="nil"/>
                      <w:left w:val="nil"/>
                      <w:bottom w:val="nil"/>
                      <w:right w:val="nil"/>
                      <w:between w:val="nil"/>
                    </w:pBdr>
                    <w:spacing w:before="60" w:after="60" w:line="264" w:lineRule="auto"/>
                    <w:rPr>
                      <w:rFonts w:ascii="Calibri" w:eastAsia="Calibri" w:hAnsi="Calibri" w:cs="Calibri"/>
                      <w:b/>
                      <w:color w:val="FFFFFF"/>
                      <w:sz w:val="18"/>
                      <w:szCs w:val="18"/>
                    </w:rPr>
                  </w:pPr>
                  <w:r>
                    <w:rPr>
                      <w:rFonts w:ascii="Calibri" w:eastAsia="Calibri" w:hAnsi="Calibri" w:cs="Calibri"/>
                      <w:b/>
                      <w:color w:val="FFFFFF"/>
                      <w:sz w:val="18"/>
                      <w:szCs w:val="18"/>
                    </w:rPr>
                    <w:t>Treść*</w:t>
                  </w:r>
                </w:p>
              </w:tc>
            </w:tr>
            <w:tr w:rsidR="00600DEE" w14:paraId="3B1739AF" w14:textId="77777777" w:rsidTr="0073146B">
              <w:trPr>
                <w:trHeight w:hRule="exact" w:val="1418"/>
              </w:trPr>
              <w:tc>
                <w:tcPr>
                  <w:tcW w:w="988" w:type="dxa"/>
                  <w:tcBorders>
                    <w:left w:val="single" w:sz="4" w:space="0" w:color="FFFFFF"/>
                    <w:bottom w:val="single" w:sz="4" w:space="0" w:color="FFFFFF"/>
                  </w:tcBorders>
                  <w:shd w:val="clear" w:color="auto" w:fill="DBE5F1"/>
                </w:tcPr>
                <w:p w14:paraId="393DDA41" w14:textId="77777777" w:rsidR="00600DEE" w:rsidRDefault="00641FB5">
                  <w:pPr>
                    <w:pBdr>
                      <w:top w:val="nil"/>
                      <w:left w:val="nil"/>
                      <w:bottom w:val="nil"/>
                      <w:right w:val="nil"/>
                      <w:between w:val="nil"/>
                    </w:pBdr>
                    <w:spacing w:before="120" w:after="120"/>
                    <w:jc w:val="center"/>
                    <w:rPr>
                      <w:rFonts w:ascii="Calibri" w:eastAsia="Calibri" w:hAnsi="Calibri" w:cs="Calibri"/>
                      <w:b/>
                      <w:color w:val="4F81BD"/>
                      <w:sz w:val="16"/>
                      <w:szCs w:val="16"/>
                    </w:rPr>
                  </w:pPr>
                  <w:r>
                    <w:rPr>
                      <w:rFonts w:ascii="Calibri" w:eastAsia="Calibri" w:hAnsi="Calibri" w:cs="Calibri"/>
                      <w:b/>
                      <w:color w:val="4F81BD"/>
                      <w:sz w:val="16"/>
                      <w:szCs w:val="16"/>
                    </w:rPr>
                    <w:t>III</w:t>
                  </w:r>
                </w:p>
              </w:tc>
              <w:tc>
                <w:tcPr>
                  <w:tcW w:w="6095" w:type="dxa"/>
                  <w:tcBorders>
                    <w:left w:val="single" w:sz="4" w:space="0" w:color="FFFFFF"/>
                    <w:bottom w:val="single" w:sz="4" w:space="0" w:color="FFFFFF"/>
                    <w:right w:val="single" w:sz="4" w:space="0" w:color="FFFFFF"/>
                  </w:tcBorders>
                  <w:shd w:val="clear" w:color="auto" w:fill="DBE5F1"/>
                </w:tcPr>
                <w:p w14:paraId="14EACBA1" w14:textId="77777777" w:rsidR="00600DEE" w:rsidRDefault="00641FB5">
                  <w:pPr>
                    <w:pBdr>
                      <w:top w:val="nil"/>
                      <w:left w:val="nil"/>
                      <w:bottom w:val="nil"/>
                      <w:right w:val="nil"/>
                      <w:between w:val="nil"/>
                    </w:pBdr>
                    <w:spacing w:before="120" w:after="120"/>
                    <w:rPr>
                      <w:rFonts w:ascii="Calibri" w:eastAsia="Calibri" w:hAnsi="Calibri" w:cs="Calibri"/>
                      <w:color w:val="4F81BD"/>
                      <w:sz w:val="18"/>
                      <w:szCs w:val="18"/>
                    </w:rPr>
                  </w:pPr>
                  <w:r>
                    <w:rPr>
                      <w:rFonts w:ascii="Calibri" w:eastAsia="Calibri" w:hAnsi="Calibri" w:cs="Calibri"/>
                      <w:color w:val="4F81BD"/>
                      <w:sz w:val="18"/>
                      <w:szCs w:val="18"/>
                    </w:rPr>
                    <w:t>Analiza finansowa</w:t>
                  </w:r>
                </w:p>
                <w:p w14:paraId="0E929511"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 xml:space="preserve">Określenie założeń do analizy finansowej </w:t>
                  </w:r>
                </w:p>
                <w:p w14:paraId="286D5BC8"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Obliczenie wartości wskaźników efektywności finansowej</w:t>
                  </w:r>
                </w:p>
                <w:p w14:paraId="0666E0C0"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Ustalenie wkładu UE</w:t>
                  </w:r>
                </w:p>
                <w:p w14:paraId="33C8D81A"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 xml:space="preserve">Weryfikacja trwałości finansowej projektu </w:t>
                  </w:r>
                </w:p>
              </w:tc>
            </w:tr>
            <w:tr w:rsidR="00600DEE" w14:paraId="1587C378" w14:textId="77777777" w:rsidTr="0073146B">
              <w:trPr>
                <w:trHeight w:hRule="exact" w:val="1021"/>
              </w:trPr>
              <w:tc>
                <w:tcPr>
                  <w:tcW w:w="988" w:type="dxa"/>
                  <w:tcBorders>
                    <w:left w:val="single" w:sz="4" w:space="0" w:color="FFFFFF"/>
                    <w:bottom w:val="single" w:sz="4" w:space="0" w:color="FFFFFF"/>
                  </w:tcBorders>
                  <w:shd w:val="clear" w:color="auto" w:fill="DBE5F1"/>
                </w:tcPr>
                <w:p w14:paraId="050CB90F" w14:textId="77777777" w:rsidR="00600DEE" w:rsidRDefault="00641FB5">
                  <w:pPr>
                    <w:pBdr>
                      <w:top w:val="nil"/>
                      <w:left w:val="nil"/>
                      <w:bottom w:val="nil"/>
                      <w:right w:val="nil"/>
                      <w:between w:val="nil"/>
                    </w:pBdr>
                    <w:spacing w:before="120" w:after="120"/>
                    <w:jc w:val="center"/>
                    <w:rPr>
                      <w:rFonts w:ascii="Calibri" w:eastAsia="Calibri" w:hAnsi="Calibri" w:cs="Calibri"/>
                      <w:b/>
                      <w:color w:val="4F81BD"/>
                      <w:sz w:val="16"/>
                      <w:szCs w:val="16"/>
                    </w:rPr>
                  </w:pPr>
                  <w:r>
                    <w:rPr>
                      <w:rFonts w:ascii="Calibri" w:eastAsia="Calibri" w:hAnsi="Calibri" w:cs="Calibri"/>
                      <w:b/>
                      <w:color w:val="4F81BD"/>
                      <w:sz w:val="16"/>
                      <w:szCs w:val="16"/>
                    </w:rPr>
                    <w:t>IV</w:t>
                  </w:r>
                </w:p>
              </w:tc>
              <w:tc>
                <w:tcPr>
                  <w:tcW w:w="6095" w:type="dxa"/>
                  <w:tcBorders>
                    <w:left w:val="single" w:sz="4" w:space="0" w:color="FFFFFF"/>
                    <w:bottom w:val="single" w:sz="4" w:space="0" w:color="FFFFFF"/>
                    <w:right w:val="single" w:sz="4" w:space="0" w:color="FFFFFF"/>
                  </w:tcBorders>
                  <w:shd w:val="clear" w:color="auto" w:fill="DBE5F1"/>
                </w:tcPr>
                <w:p w14:paraId="542416B1" w14:textId="77777777" w:rsidR="00600DEE" w:rsidRDefault="00641FB5">
                  <w:pPr>
                    <w:pBdr>
                      <w:top w:val="nil"/>
                      <w:left w:val="nil"/>
                      <w:bottom w:val="nil"/>
                      <w:right w:val="nil"/>
                      <w:between w:val="nil"/>
                    </w:pBdr>
                    <w:tabs>
                      <w:tab w:val="left" w:pos="435"/>
                    </w:tabs>
                    <w:rPr>
                      <w:rFonts w:ascii="Calibri" w:eastAsia="Calibri" w:hAnsi="Calibri" w:cs="Calibri"/>
                      <w:color w:val="4F81BD"/>
                      <w:sz w:val="18"/>
                      <w:szCs w:val="18"/>
                    </w:rPr>
                  </w:pPr>
                  <w:r>
                    <w:rPr>
                      <w:rFonts w:ascii="Calibri" w:eastAsia="Calibri" w:hAnsi="Calibri" w:cs="Calibri"/>
                      <w:color w:val="4F81BD"/>
                      <w:sz w:val="18"/>
                      <w:szCs w:val="18"/>
                    </w:rPr>
                    <w:t xml:space="preserve">Ocena ryzyk projektu </w:t>
                  </w:r>
                </w:p>
                <w:p w14:paraId="07875E85" w14:textId="77777777" w:rsidR="00600DEE" w:rsidRDefault="00600DEE">
                  <w:pPr>
                    <w:pBdr>
                      <w:top w:val="nil"/>
                      <w:left w:val="nil"/>
                      <w:bottom w:val="nil"/>
                      <w:right w:val="nil"/>
                      <w:between w:val="nil"/>
                    </w:pBdr>
                    <w:tabs>
                      <w:tab w:val="left" w:pos="435"/>
                    </w:tabs>
                    <w:rPr>
                      <w:rFonts w:ascii="Calibri" w:eastAsia="Calibri" w:hAnsi="Calibri" w:cs="Calibri"/>
                      <w:color w:val="4F81BD"/>
                      <w:sz w:val="18"/>
                      <w:szCs w:val="18"/>
                    </w:rPr>
                  </w:pPr>
                </w:p>
                <w:p w14:paraId="6F41BC1A"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Analiza wrażliwości</w:t>
                  </w:r>
                </w:p>
                <w:p w14:paraId="47DA1C98"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Analiza ryzyka</w:t>
                  </w:r>
                </w:p>
              </w:tc>
            </w:tr>
          </w:tbl>
          <w:p w14:paraId="14629AAE" w14:textId="77777777" w:rsidR="00600DEE" w:rsidRDefault="00641FB5">
            <w:pPr>
              <w:spacing w:before="120" w:line="276" w:lineRule="auto"/>
              <w:ind w:right="170"/>
              <w:jc w:val="both"/>
              <w:rPr>
                <w:rFonts w:ascii="Calibri" w:eastAsia="Calibri" w:hAnsi="Calibri" w:cs="Calibri"/>
                <w:b/>
                <w:i/>
                <w:sz w:val="16"/>
                <w:szCs w:val="16"/>
              </w:rPr>
            </w:pPr>
            <w:r>
              <w:rPr>
                <w:rFonts w:ascii="Calibri" w:eastAsia="Calibri" w:hAnsi="Calibri" w:cs="Calibri"/>
                <w:b/>
                <w:i/>
                <w:sz w:val="16"/>
                <w:szCs w:val="16"/>
              </w:rPr>
              <w:t>Źródło: opracowanie własne.</w:t>
            </w:r>
          </w:p>
          <w:p w14:paraId="25D4AEA6" w14:textId="77777777" w:rsidR="00600DEE" w:rsidRDefault="00641FB5">
            <w:pPr>
              <w:ind w:right="26"/>
              <w:rPr>
                <w:rFonts w:ascii="Calibri" w:eastAsia="Calibri" w:hAnsi="Calibri" w:cs="Calibri"/>
                <w:sz w:val="16"/>
                <w:szCs w:val="16"/>
              </w:rPr>
            </w:pPr>
            <w:r>
              <w:rPr>
                <w:rFonts w:ascii="Calibri" w:eastAsia="Calibri" w:hAnsi="Calibri" w:cs="Calibri"/>
                <w:sz w:val="16"/>
                <w:szCs w:val="16"/>
              </w:rPr>
              <w:t>* w tabeli przedstawiono spis treści dla najszerszego wymaganego zakresu analizy kosztów i korzyści.</w:t>
            </w:r>
          </w:p>
          <w:p w14:paraId="6B3CDAF0" w14:textId="77777777" w:rsidR="00600DEE" w:rsidRDefault="00600DEE">
            <w:pPr>
              <w:ind w:right="26"/>
              <w:jc w:val="both"/>
              <w:rPr>
                <w:rFonts w:ascii="Calibri" w:eastAsia="Calibri" w:hAnsi="Calibri" w:cs="Calibri"/>
                <w:i/>
                <w:sz w:val="16"/>
                <w:szCs w:val="16"/>
              </w:rPr>
            </w:pPr>
          </w:p>
          <w:p w14:paraId="18A811B7" w14:textId="77777777" w:rsidR="00600DEE" w:rsidRDefault="00641FB5">
            <w:pPr>
              <w:ind w:right="26"/>
              <w:jc w:val="both"/>
              <w:rPr>
                <w:rFonts w:ascii="Calibri" w:eastAsia="Calibri" w:hAnsi="Calibri" w:cs="Calibri"/>
                <w:sz w:val="20"/>
                <w:szCs w:val="20"/>
              </w:rPr>
            </w:pPr>
            <w:r>
              <w:rPr>
                <w:rFonts w:ascii="Calibri" w:eastAsia="Calibri" w:hAnsi="Calibri" w:cs="Calibri"/>
                <w:sz w:val="20"/>
                <w:szCs w:val="20"/>
              </w:rPr>
              <w:lastRenderedPageBreak/>
              <w:t>Dane wejściowe do AKK opisujące projekt powinny zawierać co najmniej następujące elementy:</w:t>
            </w:r>
          </w:p>
          <w:p w14:paraId="02BC5BF2" w14:textId="77777777" w:rsidR="00600DEE" w:rsidRDefault="00600DEE">
            <w:pPr>
              <w:ind w:right="26"/>
              <w:jc w:val="both"/>
              <w:rPr>
                <w:rFonts w:ascii="Calibri" w:eastAsia="Calibri" w:hAnsi="Calibri" w:cs="Calibri"/>
                <w:sz w:val="20"/>
                <w:szCs w:val="20"/>
              </w:rPr>
            </w:pPr>
          </w:p>
          <w:tbl>
            <w:tblPr>
              <w:tblStyle w:val="a7"/>
              <w:tblW w:w="7088" w:type="dxa"/>
              <w:tblLayout w:type="fixed"/>
              <w:tblLook w:val="0400" w:firstRow="0" w:lastRow="0" w:firstColumn="0" w:lastColumn="0" w:noHBand="0" w:noVBand="1"/>
            </w:tblPr>
            <w:tblGrid>
              <w:gridCol w:w="7088"/>
            </w:tblGrid>
            <w:tr w:rsidR="00600DEE" w14:paraId="11EF6602" w14:textId="77777777">
              <w:trPr>
                <w:trHeight w:val="3486"/>
              </w:trPr>
              <w:tc>
                <w:tcPr>
                  <w:tcW w:w="7088" w:type="dxa"/>
                  <w:shd w:val="clear" w:color="auto" w:fill="DBE5F1"/>
                  <w:vAlign w:val="center"/>
                </w:tcPr>
                <w:p w14:paraId="0F200AD0" w14:textId="77777777" w:rsidR="00600DEE" w:rsidRDefault="00641FB5">
                  <w:pPr>
                    <w:spacing w:line="276" w:lineRule="auto"/>
                    <w:ind w:right="170"/>
                    <w:jc w:val="center"/>
                    <w:rPr>
                      <w:rFonts w:ascii="Calibri" w:eastAsia="Calibri" w:hAnsi="Calibri" w:cs="Calibri"/>
                      <w:b/>
                      <w:color w:val="4F81BD"/>
                      <w:sz w:val="20"/>
                      <w:szCs w:val="20"/>
                    </w:rPr>
                  </w:pPr>
                  <w:r>
                    <w:rPr>
                      <w:rFonts w:ascii="Calibri" w:eastAsia="Calibri" w:hAnsi="Calibri" w:cs="Calibri"/>
                      <w:b/>
                      <w:color w:val="4F81BD"/>
                      <w:sz w:val="20"/>
                      <w:szCs w:val="20"/>
                    </w:rPr>
                    <w:t>OPIS PROJEKTU</w:t>
                  </w:r>
                </w:p>
                <w:p w14:paraId="5B4B945F" w14:textId="77777777" w:rsidR="00600DEE" w:rsidRDefault="00641FB5">
                  <w:pPr>
                    <w:numPr>
                      <w:ilvl w:val="0"/>
                      <w:numId w:val="3"/>
                    </w:numPr>
                    <w:spacing w:line="276" w:lineRule="auto"/>
                    <w:ind w:left="885" w:right="170" w:hanging="885"/>
                    <w:jc w:val="both"/>
                    <w:rPr>
                      <w:rFonts w:ascii="Calibri" w:eastAsia="Calibri" w:hAnsi="Calibri" w:cs="Calibri"/>
                      <w:color w:val="4F81BD"/>
                      <w:sz w:val="20"/>
                      <w:szCs w:val="20"/>
                    </w:rPr>
                  </w:pPr>
                  <w:r>
                    <w:rPr>
                      <w:rFonts w:ascii="Calibri" w:eastAsia="Calibri" w:hAnsi="Calibri" w:cs="Calibri"/>
                      <w:color w:val="4F81BD"/>
                      <w:sz w:val="20"/>
                      <w:szCs w:val="20"/>
                    </w:rPr>
                    <w:t xml:space="preserve">Opis technicznych aspektów projektu: </w:t>
                  </w:r>
                </w:p>
                <w:p w14:paraId="7D87E3F0" w14:textId="77777777" w:rsidR="00600DEE" w:rsidRDefault="00641FB5">
                  <w:pPr>
                    <w:numPr>
                      <w:ilvl w:val="1"/>
                      <w:numId w:val="6"/>
                    </w:numPr>
                    <w:spacing w:line="276" w:lineRule="auto"/>
                    <w:ind w:left="885" w:right="170" w:hanging="426"/>
                    <w:jc w:val="both"/>
                    <w:rPr>
                      <w:rFonts w:ascii="Calibri" w:eastAsia="Calibri" w:hAnsi="Calibri" w:cs="Calibri"/>
                      <w:color w:val="4F81BD"/>
                      <w:sz w:val="20"/>
                      <w:szCs w:val="20"/>
                    </w:rPr>
                  </w:pPr>
                  <w:r>
                    <w:rPr>
                      <w:rFonts w:ascii="Calibri" w:eastAsia="Calibri" w:hAnsi="Calibri" w:cs="Calibri"/>
                      <w:color w:val="4F81BD"/>
                      <w:sz w:val="20"/>
                      <w:szCs w:val="20"/>
                    </w:rPr>
                    <w:t xml:space="preserve">- standardy projektowania (np. prędkość projektowa), </w:t>
                  </w:r>
                </w:p>
                <w:p w14:paraId="61406FD0" w14:textId="77777777" w:rsidR="00600DEE" w:rsidRDefault="00641FB5">
                  <w:pPr>
                    <w:numPr>
                      <w:ilvl w:val="1"/>
                      <w:numId w:val="6"/>
                    </w:numPr>
                    <w:spacing w:line="276" w:lineRule="auto"/>
                    <w:ind w:left="885" w:right="170" w:hanging="426"/>
                    <w:jc w:val="both"/>
                    <w:rPr>
                      <w:rFonts w:ascii="Calibri" w:eastAsia="Calibri" w:hAnsi="Calibri" w:cs="Calibri"/>
                      <w:color w:val="4F81BD"/>
                      <w:sz w:val="20"/>
                      <w:szCs w:val="20"/>
                    </w:rPr>
                  </w:pPr>
                  <w:r>
                    <w:rPr>
                      <w:rFonts w:ascii="Calibri" w:eastAsia="Calibri" w:hAnsi="Calibri" w:cs="Calibri"/>
                      <w:color w:val="4F81BD"/>
                      <w:sz w:val="20"/>
                      <w:szCs w:val="20"/>
                    </w:rPr>
                    <w:t>- rodzaje i główne zakresy robot: długość i przekroje drogi, długość tuneli, długości i szerokości mostów, liczba węzłów, roboty poza głównymi jezdniami (długość ekranów akustycznych, liczba przejść dla zwierząt, itp.), itp.</w:t>
                  </w:r>
                </w:p>
                <w:p w14:paraId="000E61B2" w14:textId="77777777" w:rsidR="00600DEE" w:rsidRDefault="00641FB5">
                  <w:pPr>
                    <w:numPr>
                      <w:ilvl w:val="1"/>
                      <w:numId w:val="6"/>
                    </w:numPr>
                    <w:spacing w:line="276" w:lineRule="auto"/>
                    <w:ind w:left="885" w:right="170" w:hanging="426"/>
                    <w:jc w:val="both"/>
                    <w:rPr>
                      <w:rFonts w:ascii="Calibri" w:eastAsia="Calibri" w:hAnsi="Calibri" w:cs="Calibri"/>
                      <w:color w:val="4F81BD"/>
                      <w:sz w:val="20"/>
                      <w:szCs w:val="20"/>
                    </w:rPr>
                  </w:pPr>
                  <w:r>
                    <w:rPr>
                      <w:rFonts w:ascii="Calibri" w:eastAsia="Calibri" w:hAnsi="Calibri" w:cs="Calibri"/>
                      <w:color w:val="4F81BD"/>
                      <w:sz w:val="20"/>
                      <w:szCs w:val="20"/>
                    </w:rPr>
                    <w:t>- opis funkcjonalny (rola i zadania w sieci dróg kraju / regionu / miasta), klasa i kategoria drogi, itp.</w:t>
                  </w:r>
                </w:p>
                <w:p w14:paraId="42C6A90E" w14:textId="77777777" w:rsidR="00600DEE" w:rsidRDefault="00641FB5">
                  <w:pPr>
                    <w:numPr>
                      <w:ilvl w:val="0"/>
                      <w:numId w:val="3"/>
                    </w:numPr>
                    <w:spacing w:line="276" w:lineRule="auto"/>
                    <w:ind w:left="885" w:right="170" w:hanging="885"/>
                    <w:jc w:val="both"/>
                    <w:rPr>
                      <w:rFonts w:ascii="Calibri" w:eastAsia="Calibri" w:hAnsi="Calibri" w:cs="Calibri"/>
                      <w:color w:val="4F81BD"/>
                      <w:sz w:val="20"/>
                      <w:szCs w:val="20"/>
                    </w:rPr>
                  </w:pPr>
                  <w:r>
                    <w:rPr>
                      <w:rFonts w:ascii="Calibri" w:eastAsia="Calibri" w:hAnsi="Calibri" w:cs="Calibri"/>
                      <w:color w:val="4F81BD"/>
                      <w:sz w:val="20"/>
                      <w:szCs w:val="20"/>
                    </w:rPr>
                    <w:t xml:space="preserve">Mapa lokalizacji wskazująca główne elementy projektu.  </w:t>
                  </w:r>
                </w:p>
                <w:p w14:paraId="5A504B30" w14:textId="77777777" w:rsidR="00600DEE" w:rsidRPr="00F6627D" w:rsidRDefault="00641FB5">
                  <w:pPr>
                    <w:numPr>
                      <w:ilvl w:val="0"/>
                      <w:numId w:val="3"/>
                    </w:numPr>
                    <w:spacing w:line="276" w:lineRule="auto"/>
                    <w:ind w:left="885" w:right="170" w:hanging="885"/>
                    <w:jc w:val="both"/>
                    <w:rPr>
                      <w:rFonts w:ascii="Calibri" w:eastAsia="Calibri" w:hAnsi="Calibri" w:cs="Calibri"/>
                      <w:color w:val="4F81BD"/>
                      <w:sz w:val="20"/>
                      <w:szCs w:val="20"/>
                    </w:rPr>
                  </w:pPr>
                  <w:r>
                    <w:rPr>
                      <w:rFonts w:ascii="Calibri" w:eastAsia="Calibri" w:hAnsi="Calibri" w:cs="Calibri"/>
                      <w:color w:val="4F81BD"/>
                      <w:sz w:val="20"/>
                      <w:szCs w:val="20"/>
                    </w:rPr>
                    <w:t>Stan zaawansowania całej inwestycji (w przypadku, gdy projekt jest etapem lub częścią większej całości).</w:t>
                  </w:r>
                </w:p>
                <w:p w14:paraId="55615464" w14:textId="1690C744" w:rsidR="00600DEE" w:rsidRDefault="00641FB5">
                  <w:pPr>
                    <w:numPr>
                      <w:ilvl w:val="0"/>
                      <w:numId w:val="3"/>
                    </w:numPr>
                    <w:spacing w:line="276" w:lineRule="auto"/>
                    <w:ind w:left="885" w:right="170" w:hanging="885"/>
                    <w:jc w:val="both"/>
                    <w:rPr>
                      <w:rFonts w:ascii="Calibri" w:eastAsia="Calibri" w:hAnsi="Calibri" w:cs="Calibri"/>
                      <w:color w:val="323299"/>
                      <w:sz w:val="20"/>
                      <w:szCs w:val="20"/>
                    </w:rPr>
                  </w:pPr>
                  <w:bookmarkStart w:id="15" w:name="_heading=h.2s8eyo1" w:colFirst="0" w:colLast="0"/>
                  <w:bookmarkEnd w:id="15"/>
                  <w:r w:rsidRPr="00F6627D">
                    <w:rPr>
                      <w:rFonts w:ascii="Calibri" w:eastAsia="Calibri" w:hAnsi="Calibri" w:cs="Calibri"/>
                      <w:color w:val="4F81BD"/>
                      <w:sz w:val="20"/>
                      <w:szCs w:val="20"/>
                    </w:rPr>
                    <w:t>Kontekst projektu we właściwych strategiach/planach – określenie celów projektu</w:t>
                  </w:r>
                  <w:r w:rsidR="004D5549" w:rsidRPr="00F6627D">
                    <w:rPr>
                      <w:rFonts w:ascii="Calibri" w:eastAsia="Calibri" w:hAnsi="Calibri" w:cs="Calibri"/>
                      <w:color w:val="4F81BD"/>
                      <w:sz w:val="20"/>
                      <w:szCs w:val="20"/>
                    </w:rPr>
                    <w:t>.</w:t>
                  </w:r>
                </w:p>
              </w:tc>
            </w:tr>
          </w:tbl>
          <w:p w14:paraId="282920DC" w14:textId="77777777" w:rsidR="00600DEE" w:rsidRDefault="00641FB5">
            <w:pPr>
              <w:spacing w:before="100"/>
              <w:ind w:right="28"/>
              <w:jc w:val="both"/>
              <w:rPr>
                <w:rFonts w:ascii="Calibri" w:eastAsia="Calibri" w:hAnsi="Calibri" w:cs="Calibri"/>
                <w:sz w:val="20"/>
                <w:szCs w:val="20"/>
              </w:rPr>
            </w:pPr>
            <w:r>
              <w:rPr>
                <w:rFonts w:ascii="Calibri" w:eastAsia="Calibri" w:hAnsi="Calibri" w:cs="Calibri"/>
                <w:sz w:val="20"/>
                <w:szCs w:val="20"/>
              </w:rPr>
              <w:t xml:space="preserve">Kolejne rozdziały podręcznika zawierają szczegółowy opis działań, niezbędnych na każdym etapie AKK. </w:t>
            </w:r>
          </w:p>
          <w:p w14:paraId="4CDE725C" w14:textId="77777777" w:rsidR="00600DEE" w:rsidRDefault="00600DEE">
            <w:pPr>
              <w:ind w:right="26"/>
              <w:jc w:val="both"/>
              <w:rPr>
                <w:rFonts w:ascii="Calibri" w:eastAsia="Calibri" w:hAnsi="Calibri" w:cs="Calibri"/>
                <w:sz w:val="20"/>
                <w:szCs w:val="20"/>
              </w:rPr>
            </w:pPr>
          </w:p>
          <w:p w14:paraId="0CD6167B" w14:textId="77777777" w:rsidR="00600DEE" w:rsidRDefault="00641FB5">
            <w:pPr>
              <w:ind w:right="26"/>
              <w:jc w:val="both"/>
              <w:rPr>
                <w:rFonts w:ascii="Calibri" w:eastAsia="Calibri" w:hAnsi="Calibri" w:cs="Calibri"/>
                <w:sz w:val="20"/>
                <w:szCs w:val="20"/>
              </w:rPr>
            </w:pPr>
            <w:r>
              <w:rPr>
                <w:rFonts w:ascii="Calibri" w:eastAsia="Calibri" w:hAnsi="Calibri" w:cs="Calibri"/>
                <w:sz w:val="20"/>
                <w:szCs w:val="20"/>
              </w:rPr>
              <w:t>Ponadto załącznik A do niniejszego podręcznika zawiera rekomendowane jednostkowe koszty ekonomiczne i finansowe.</w:t>
            </w:r>
          </w:p>
        </w:tc>
        <w:tc>
          <w:tcPr>
            <w:tcW w:w="7125" w:type="dxa"/>
            <w:tcBorders>
              <w:left w:val="single" w:sz="4" w:space="0" w:color="000000"/>
            </w:tcBorders>
            <w:tcMar>
              <w:left w:w="284" w:type="dxa"/>
              <w:right w:w="284" w:type="dxa"/>
            </w:tcMar>
          </w:tcPr>
          <w:p w14:paraId="0C29251C" w14:textId="77777777" w:rsidR="00600DEE" w:rsidRPr="0045151D" w:rsidRDefault="00641FB5">
            <w:pPr>
              <w:tabs>
                <w:tab w:val="left" w:pos="7081"/>
              </w:tabs>
              <w:spacing w:after="120"/>
              <w:ind w:right="176"/>
              <w:jc w:val="both"/>
              <w:rPr>
                <w:rFonts w:ascii="Calibri" w:eastAsia="Calibri" w:hAnsi="Calibri" w:cs="Calibri"/>
                <w:sz w:val="20"/>
                <w:szCs w:val="20"/>
                <w:lang w:val="en-GB"/>
              </w:rPr>
            </w:pPr>
            <w:r w:rsidRPr="0045151D">
              <w:rPr>
                <w:rFonts w:ascii="Calibri" w:eastAsia="Calibri" w:hAnsi="Calibri" w:cs="Calibri"/>
                <w:sz w:val="20"/>
                <w:szCs w:val="20"/>
                <w:lang w:val="en-GB"/>
              </w:rPr>
              <w:lastRenderedPageBreak/>
              <w:t>Works on the CBA should result in a document addressing all the issues discussed in this Manual. A recommended content of a typical CBA is presented below.</w:t>
            </w:r>
          </w:p>
          <w:p w14:paraId="21814E08" w14:textId="77777777" w:rsidR="00600DEE" w:rsidRPr="0045151D" w:rsidRDefault="00600DEE">
            <w:pPr>
              <w:tabs>
                <w:tab w:val="left" w:pos="7081"/>
              </w:tabs>
              <w:spacing w:after="120"/>
              <w:ind w:right="176"/>
              <w:jc w:val="both"/>
              <w:rPr>
                <w:rFonts w:ascii="Calibri" w:eastAsia="Calibri" w:hAnsi="Calibri" w:cs="Calibri"/>
                <w:sz w:val="20"/>
                <w:szCs w:val="20"/>
                <w:lang w:val="en-GB"/>
              </w:rPr>
            </w:pPr>
          </w:p>
          <w:p w14:paraId="3F98C753" w14:textId="677F214A" w:rsidR="00D01E87" w:rsidRPr="0045151D" w:rsidRDefault="00641FB5">
            <w:pPr>
              <w:keepNext/>
              <w:pBdr>
                <w:top w:val="nil"/>
                <w:left w:val="nil"/>
                <w:bottom w:val="nil"/>
                <w:right w:val="nil"/>
                <w:between w:val="nil"/>
              </w:pBdr>
              <w:tabs>
                <w:tab w:val="left" w:pos="720"/>
                <w:tab w:val="left" w:pos="0"/>
              </w:tabs>
              <w:spacing w:after="120"/>
              <w:ind w:right="26"/>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lastRenderedPageBreak/>
              <w:t>Table 1. Cost-benefit analysis – Table of contents</w:t>
            </w:r>
          </w:p>
          <w:tbl>
            <w:tblPr>
              <w:tblStyle w:val="a8"/>
              <w:tblW w:w="7171" w:type="dxa"/>
              <w:tblLayout w:type="fixed"/>
              <w:tblLook w:val="0000" w:firstRow="0" w:lastRow="0" w:firstColumn="0" w:lastColumn="0" w:noHBand="0" w:noVBand="0"/>
            </w:tblPr>
            <w:tblGrid>
              <w:gridCol w:w="1084"/>
              <w:gridCol w:w="6087"/>
            </w:tblGrid>
            <w:tr w:rsidR="00600DEE" w14:paraId="44CCD3CF" w14:textId="77777777">
              <w:trPr>
                <w:trHeight w:val="109"/>
              </w:trPr>
              <w:tc>
                <w:tcPr>
                  <w:tcW w:w="1084" w:type="dxa"/>
                  <w:tcBorders>
                    <w:top w:val="single" w:sz="4" w:space="0" w:color="FFFFFF"/>
                    <w:left w:val="single" w:sz="4" w:space="0" w:color="FFFFFF"/>
                    <w:bottom w:val="single" w:sz="4" w:space="0" w:color="FFFFFF"/>
                  </w:tcBorders>
                  <w:shd w:val="clear" w:color="auto" w:fill="A6A6A6"/>
                  <w:vAlign w:val="center"/>
                </w:tcPr>
                <w:p w14:paraId="3F2EBA19" w14:textId="77777777" w:rsidR="00600DEE" w:rsidRDefault="00641FB5">
                  <w:pPr>
                    <w:pBdr>
                      <w:top w:val="nil"/>
                      <w:left w:val="nil"/>
                      <w:bottom w:val="nil"/>
                      <w:right w:val="nil"/>
                      <w:between w:val="nil"/>
                    </w:pBdr>
                    <w:spacing w:before="60" w:after="60" w:line="264" w:lineRule="auto"/>
                    <w:jc w:val="center"/>
                    <w:rPr>
                      <w:rFonts w:ascii="Calibri" w:eastAsia="Calibri" w:hAnsi="Calibri" w:cs="Calibri"/>
                      <w:b/>
                      <w:color w:val="000000"/>
                      <w:sz w:val="18"/>
                      <w:szCs w:val="18"/>
                    </w:rPr>
                  </w:pPr>
                  <w:r>
                    <w:rPr>
                      <w:rFonts w:ascii="Calibri" w:eastAsia="Calibri" w:hAnsi="Calibri" w:cs="Calibri"/>
                      <w:b/>
                      <w:color w:val="FFFFFF"/>
                      <w:sz w:val="18"/>
                      <w:szCs w:val="18"/>
                    </w:rPr>
                    <w:t>Section</w:t>
                  </w:r>
                </w:p>
              </w:tc>
              <w:tc>
                <w:tcPr>
                  <w:tcW w:w="6088"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7EA616FD" w14:textId="77777777" w:rsidR="00600DEE" w:rsidRDefault="00641FB5">
                  <w:pPr>
                    <w:rPr>
                      <w:rFonts w:ascii="Calibri" w:eastAsia="Calibri" w:hAnsi="Calibri" w:cs="Calibri"/>
                      <w:sz w:val="18"/>
                      <w:szCs w:val="18"/>
                    </w:rPr>
                  </w:pPr>
                  <w:r>
                    <w:rPr>
                      <w:rFonts w:ascii="Calibri" w:eastAsia="Calibri" w:hAnsi="Calibri" w:cs="Calibri"/>
                      <w:b/>
                      <w:color w:val="FFFFFF"/>
                      <w:sz w:val="18"/>
                      <w:szCs w:val="18"/>
                    </w:rPr>
                    <w:t>Contents*</w:t>
                  </w:r>
                </w:p>
              </w:tc>
            </w:tr>
            <w:tr w:rsidR="00600DEE" w14:paraId="71A28537" w14:textId="77777777">
              <w:trPr>
                <w:trHeight w:val="109"/>
              </w:trPr>
              <w:tc>
                <w:tcPr>
                  <w:tcW w:w="1084" w:type="dxa"/>
                  <w:tcBorders>
                    <w:left w:val="single" w:sz="4" w:space="0" w:color="FFFFFF"/>
                    <w:bottom w:val="single" w:sz="4" w:space="0" w:color="FFFFFF"/>
                  </w:tcBorders>
                  <w:shd w:val="clear" w:color="auto" w:fill="DBE5F1"/>
                </w:tcPr>
                <w:p w14:paraId="00E67542" w14:textId="77777777" w:rsidR="00600DEE" w:rsidRDefault="00641FB5">
                  <w:pPr>
                    <w:pBdr>
                      <w:top w:val="nil"/>
                      <w:left w:val="nil"/>
                      <w:bottom w:val="nil"/>
                      <w:right w:val="nil"/>
                      <w:between w:val="nil"/>
                    </w:pBdr>
                    <w:spacing w:before="120" w:after="120"/>
                    <w:ind w:right="26"/>
                    <w:jc w:val="center"/>
                    <w:rPr>
                      <w:rFonts w:ascii="Calibri" w:eastAsia="Calibri" w:hAnsi="Calibri" w:cs="Calibri"/>
                      <w:b/>
                      <w:color w:val="4F81BD"/>
                      <w:sz w:val="18"/>
                      <w:szCs w:val="18"/>
                    </w:rPr>
                  </w:pPr>
                  <w:r>
                    <w:rPr>
                      <w:rFonts w:ascii="Calibri" w:eastAsia="Calibri" w:hAnsi="Calibri" w:cs="Calibri"/>
                      <w:b/>
                      <w:color w:val="4F81BD"/>
                      <w:sz w:val="18"/>
                      <w:szCs w:val="18"/>
                    </w:rPr>
                    <w:t>Synthesis</w:t>
                  </w:r>
                </w:p>
              </w:tc>
              <w:tc>
                <w:tcPr>
                  <w:tcW w:w="6088" w:type="dxa"/>
                  <w:tcBorders>
                    <w:left w:val="single" w:sz="4" w:space="0" w:color="FFFFFF"/>
                    <w:bottom w:val="single" w:sz="4" w:space="0" w:color="FFFFFF"/>
                    <w:right w:val="single" w:sz="4" w:space="0" w:color="FFFFFF"/>
                  </w:tcBorders>
                  <w:shd w:val="clear" w:color="auto" w:fill="DBE5F1"/>
                </w:tcPr>
                <w:p w14:paraId="242D1C47" w14:textId="77777777" w:rsidR="00600DEE" w:rsidRDefault="00641FB5">
                  <w:pPr>
                    <w:pBdr>
                      <w:top w:val="nil"/>
                      <w:left w:val="nil"/>
                      <w:bottom w:val="nil"/>
                      <w:right w:val="nil"/>
                      <w:between w:val="nil"/>
                    </w:pBdr>
                    <w:spacing w:before="120" w:after="120"/>
                    <w:ind w:right="26"/>
                    <w:rPr>
                      <w:rFonts w:ascii="Calibri" w:eastAsia="Calibri" w:hAnsi="Calibri" w:cs="Calibri"/>
                      <w:color w:val="4F81BD"/>
                      <w:sz w:val="18"/>
                      <w:szCs w:val="18"/>
                    </w:rPr>
                  </w:pPr>
                  <w:r>
                    <w:rPr>
                      <w:rFonts w:ascii="Calibri" w:eastAsia="Calibri" w:hAnsi="Calibri" w:cs="Calibri"/>
                      <w:color w:val="4F81BD"/>
                      <w:sz w:val="18"/>
                      <w:szCs w:val="18"/>
                    </w:rPr>
                    <w:t>Summary of CBA results</w:t>
                  </w:r>
                </w:p>
              </w:tc>
            </w:tr>
            <w:tr w:rsidR="00600DEE" w:rsidRPr="008C4407" w14:paraId="49C7ED4E" w14:textId="77777777" w:rsidTr="0073146B">
              <w:trPr>
                <w:trHeight w:hRule="exact" w:val="2268"/>
              </w:trPr>
              <w:tc>
                <w:tcPr>
                  <w:tcW w:w="1084" w:type="dxa"/>
                  <w:tcBorders>
                    <w:left w:val="single" w:sz="4" w:space="0" w:color="FFFFFF"/>
                    <w:bottom w:val="single" w:sz="4" w:space="0" w:color="FFFFFF"/>
                  </w:tcBorders>
                  <w:shd w:val="clear" w:color="auto" w:fill="DBE5F1"/>
                </w:tcPr>
                <w:p w14:paraId="02DD87E2" w14:textId="77777777" w:rsidR="00600DEE" w:rsidRDefault="00641FB5">
                  <w:pPr>
                    <w:pBdr>
                      <w:top w:val="nil"/>
                      <w:left w:val="nil"/>
                      <w:bottom w:val="nil"/>
                      <w:right w:val="nil"/>
                      <w:between w:val="nil"/>
                    </w:pBdr>
                    <w:spacing w:before="120" w:after="120"/>
                    <w:jc w:val="center"/>
                    <w:rPr>
                      <w:rFonts w:ascii="Calibri" w:eastAsia="Calibri" w:hAnsi="Calibri" w:cs="Calibri"/>
                      <w:b/>
                      <w:color w:val="4F81BD"/>
                      <w:sz w:val="16"/>
                      <w:szCs w:val="16"/>
                    </w:rPr>
                  </w:pPr>
                  <w:r>
                    <w:rPr>
                      <w:rFonts w:ascii="Calibri" w:eastAsia="Calibri" w:hAnsi="Calibri" w:cs="Calibri"/>
                      <w:b/>
                      <w:color w:val="4F81BD"/>
                      <w:sz w:val="16"/>
                      <w:szCs w:val="16"/>
                    </w:rPr>
                    <w:t>I</w:t>
                  </w:r>
                </w:p>
              </w:tc>
              <w:tc>
                <w:tcPr>
                  <w:tcW w:w="6088" w:type="dxa"/>
                  <w:tcBorders>
                    <w:left w:val="single" w:sz="4" w:space="0" w:color="FFFFFF"/>
                    <w:bottom w:val="single" w:sz="4" w:space="0" w:color="FFFFFF"/>
                    <w:right w:val="single" w:sz="4" w:space="0" w:color="FFFFFF"/>
                  </w:tcBorders>
                  <w:shd w:val="clear" w:color="auto" w:fill="DBE5F1"/>
                </w:tcPr>
                <w:p w14:paraId="07B28C66" w14:textId="77777777" w:rsidR="00600DEE" w:rsidRPr="0045151D" w:rsidRDefault="00641FB5">
                  <w:pPr>
                    <w:pBdr>
                      <w:top w:val="nil"/>
                      <w:left w:val="nil"/>
                      <w:bottom w:val="nil"/>
                      <w:right w:val="nil"/>
                      <w:between w:val="nil"/>
                    </w:pBdr>
                    <w:spacing w:before="120" w:after="120"/>
                    <w:ind w:left="447" w:right="26" w:hanging="447"/>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Project identification and preparation of input data </w:t>
                  </w:r>
                </w:p>
                <w:p w14:paraId="67C0C75F" w14:textId="77777777" w:rsidR="00600DEE" w:rsidRDefault="00641FB5">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rPr>
                  </w:pPr>
                  <w:r>
                    <w:rPr>
                      <w:rFonts w:ascii="Calibri" w:eastAsia="Calibri" w:hAnsi="Calibri" w:cs="Calibri"/>
                      <w:color w:val="4F81BD"/>
                      <w:sz w:val="18"/>
                      <w:szCs w:val="18"/>
                    </w:rPr>
                    <w:t xml:space="preserve">Existing conditions </w:t>
                  </w:r>
                </w:p>
                <w:p w14:paraId="69AD7FAF" w14:textId="77777777" w:rsidR="00600DEE" w:rsidRPr="0045151D" w:rsidRDefault="00641FB5">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Definition of project objectives – in the context of relevant Transport Plans/Strategies</w:t>
                  </w:r>
                </w:p>
                <w:p w14:paraId="40085AFB" w14:textId="77777777" w:rsidR="00600DEE" w:rsidRPr="0045151D" w:rsidRDefault="00641FB5">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Identification/Selection of feasible project option/s</w:t>
                  </w:r>
                </w:p>
                <w:p w14:paraId="1B971312" w14:textId="77777777" w:rsidR="00600DEE" w:rsidRDefault="00641FB5">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rPr>
                  </w:pPr>
                  <w:r>
                    <w:rPr>
                      <w:rFonts w:ascii="Calibri" w:eastAsia="Calibri" w:hAnsi="Calibri" w:cs="Calibri"/>
                      <w:color w:val="4F81BD"/>
                      <w:sz w:val="18"/>
                      <w:szCs w:val="18"/>
                    </w:rPr>
                    <w:t>Project identification</w:t>
                  </w:r>
                </w:p>
                <w:p w14:paraId="0DC362BF" w14:textId="77777777" w:rsidR="00600DEE" w:rsidRPr="0045151D" w:rsidRDefault="00641FB5">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Preparation of input data for economic and financial analyses (traffic forecasts, investment costs, O&amp;M costs, revenues, etc.)</w:t>
                  </w:r>
                </w:p>
                <w:p w14:paraId="1BAFFE9F" w14:textId="77777777" w:rsidR="00600DEE" w:rsidRPr="0045151D" w:rsidRDefault="00600DEE">
                  <w:pPr>
                    <w:pBdr>
                      <w:top w:val="nil"/>
                      <w:left w:val="nil"/>
                      <w:bottom w:val="nil"/>
                      <w:right w:val="nil"/>
                      <w:between w:val="nil"/>
                    </w:pBdr>
                    <w:tabs>
                      <w:tab w:val="left" w:pos="435"/>
                    </w:tabs>
                    <w:ind w:left="447" w:hanging="447"/>
                    <w:rPr>
                      <w:rFonts w:ascii="Calibri" w:eastAsia="Calibri" w:hAnsi="Calibri" w:cs="Calibri"/>
                      <w:color w:val="4F81BD"/>
                      <w:sz w:val="18"/>
                      <w:szCs w:val="18"/>
                      <w:lang w:val="en-GB"/>
                    </w:rPr>
                  </w:pPr>
                </w:p>
              </w:tc>
            </w:tr>
            <w:tr w:rsidR="00600DEE" w:rsidRPr="008C4407" w14:paraId="4BC47EB0" w14:textId="77777777" w:rsidTr="0073146B">
              <w:trPr>
                <w:trHeight w:hRule="exact" w:val="1985"/>
              </w:trPr>
              <w:tc>
                <w:tcPr>
                  <w:tcW w:w="1084" w:type="dxa"/>
                  <w:tcBorders>
                    <w:left w:val="single" w:sz="4" w:space="0" w:color="FFFFFF"/>
                    <w:bottom w:val="single" w:sz="4" w:space="0" w:color="FFFFFF"/>
                  </w:tcBorders>
                  <w:shd w:val="clear" w:color="auto" w:fill="DBE5F1"/>
                </w:tcPr>
                <w:p w14:paraId="15E7B77C" w14:textId="77777777" w:rsidR="00600DEE" w:rsidRDefault="00641FB5">
                  <w:pPr>
                    <w:pBdr>
                      <w:top w:val="nil"/>
                      <w:left w:val="nil"/>
                      <w:bottom w:val="nil"/>
                      <w:right w:val="nil"/>
                      <w:between w:val="nil"/>
                    </w:pBdr>
                    <w:spacing w:before="120" w:after="120"/>
                    <w:jc w:val="center"/>
                    <w:rPr>
                      <w:rFonts w:ascii="Calibri" w:eastAsia="Calibri" w:hAnsi="Calibri" w:cs="Calibri"/>
                      <w:b/>
                      <w:color w:val="4F81BD"/>
                      <w:sz w:val="16"/>
                      <w:szCs w:val="16"/>
                    </w:rPr>
                  </w:pPr>
                  <w:r>
                    <w:rPr>
                      <w:rFonts w:ascii="Calibri" w:eastAsia="Calibri" w:hAnsi="Calibri" w:cs="Calibri"/>
                      <w:b/>
                      <w:color w:val="4F81BD"/>
                      <w:sz w:val="16"/>
                      <w:szCs w:val="16"/>
                    </w:rPr>
                    <w:t>II</w:t>
                  </w:r>
                </w:p>
              </w:tc>
              <w:tc>
                <w:tcPr>
                  <w:tcW w:w="6088" w:type="dxa"/>
                  <w:tcBorders>
                    <w:left w:val="single" w:sz="4" w:space="0" w:color="FFFFFF"/>
                    <w:bottom w:val="single" w:sz="4" w:space="0" w:color="FFFFFF"/>
                    <w:right w:val="single" w:sz="4" w:space="0" w:color="FFFFFF"/>
                  </w:tcBorders>
                  <w:shd w:val="clear" w:color="auto" w:fill="DBE5F1"/>
                </w:tcPr>
                <w:p w14:paraId="7576C3F8" w14:textId="77777777" w:rsidR="00600DEE" w:rsidRDefault="00641FB5">
                  <w:pPr>
                    <w:pBdr>
                      <w:top w:val="nil"/>
                      <w:left w:val="nil"/>
                      <w:bottom w:val="nil"/>
                      <w:right w:val="nil"/>
                      <w:between w:val="nil"/>
                    </w:pBdr>
                    <w:spacing w:before="120" w:after="120"/>
                    <w:ind w:left="447" w:right="26" w:hanging="447"/>
                    <w:rPr>
                      <w:rFonts w:ascii="Calibri" w:eastAsia="Calibri" w:hAnsi="Calibri" w:cs="Calibri"/>
                      <w:color w:val="4F81BD"/>
                      <w:sz w:val="18"/>
                      <w:szCs w:val="18"/>
                    </w:rPr>
                  </w:pPr>
                  <w:r>
                    <w:rPr>
                      <w:rFonts w:ascii="Calibri" w:eastAsia="Calibri" w:hAnsi="Calibri" w:cs="Calibri"/>
                      <w:color w:val="4F81BD"/>
                      <w:sz w:val="18"/>
                      <w:szCs w:val="18"/>
                    </w:rPr>
                    <w:t>Economic Analysis</w:t>
                  </w:r>
                </w:p>
                <w:p w14:paraId="6848FC93" w14:textId="77777777" w:rsidR="00600DEE" w:rsidRPr="0045151D" w:rsidRDefault="00641FB5">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Definition of assumptions for the economic analysis</w:t>
                  </w:r>
                </w:p>
                <w:p w14:paraId="530E7A6E" w14:textId="77777777" w:rsidR="00600DEE" w:rsidRPr="0045151D" w:rsidRDefault="00641FB5">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Conversion from market to accounting (shadow) prices</w:t>
                  </w:r>
                </w:p>
                <w:p w14:paraId="6D7B9E6E" w14:textId="77777777" w:rsidR="00600DEE" w:rsidRPr="0045151D" w:rsidRDefault="00641FB5">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Calculation of economic costs and benefits</w:t>
                  </w:r>
                </w:p>
                <w:p w14:paraId="3A79E550" w14:textId="77777777" w:rsidR="00600DEE" w:rsidRPr="0045151D" w:rsidRDefault="00641FB5">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Identification, description and qualitative analysis of non-quantifiable costs and benefits (if relevant) </w:t>
                  </w:r>
                </w:p>
                <w:p w14:paraId="0CA908D5" w14:textId="55881908" w:rsidR="00600DEE" w:rsidRPr="0045151D" w:rsidRDefault="00641FB5" w:rsidP="00023AC0">
                  <w:pPr>
                    <w:numPr>
                      <w:ilvl w:val="0"/>
                      <w:numId w:val="1"/>
                    </w:numPr>
                    <w:pBdr>
                      <w:top w:val="nil"/>
                      <w:left w:val="nil"/>
                      <w:bottom w:val="nil"/>
                      <w:right w:val="nil"/>
                      <w:between w:val="nil"/>
                    </w:pBdr>
                    <w:tabs>
                      <w:tab w:val="left" w:pos="435"/>
                    </w:tabs>
                    <w:ind w:left="447" w:hanging="447"/>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Calculation of the economic performance indicators</w:t>
                  </w:r>
                </w:p>
              </w:tc>
            </w:tr>
            <w:tr w:rsidR="00600DEE" w14:paraId="5D61CFC6" w14:textId="77777777">
              <w:trPr>
                <w:trHeight w:val="109"/>
              </w:trPr>
              <w:tc>
                <w:tcPr>
                  <w:tcW w:w="1084" w:type="dxa"/>
                  <w:tcBorders>
                    <w:top w:val="single" w:sz="4" w:space="0" w:color="FFFFFF"/>
                    <w:left w:val="single" w:sz="4" w:space="0" w:color="FFFFFF"/>
                    <w:bottom w:val="single" w:sz="4" w:space="0" w:color="FFFFFF"/>
                  </w:tcBorders>
                  <w:shd w:val="clear" w:color="auto" w:fill="A6A6A6"/>
                  <w:vAlign w:val="center"/>
                </w:tcPr>
                <w:p w14:paraId="4C3CFF54" w14:textId="77777777" w:rsidR="00600DEE" w:rsidRDefault="00641FB5">
                  <w:pPr>
                    <w:pBdr>
                      <w:top w:val="nil"/>
                      <w:left w:val="nil"/>
                      <w:bottom w:val="nil"/>
                      <w:right w:val="nil"/>
                      <w:between w:val="nil"/>
                    </w:pBdr>
                    <w:spacing w:before="60" w:after="60" w:line="264" w:lineRule="auto"/>
                    <w:jc w:val="center"/>
                    <w:rPr>
                      <w:rFonts w:ascii="Calibri" w:eastAsia="Calibri" w:hAnsi="Calibri" w:cs="Calibri"/>
                      <w:b/>
                      <w:color w:val="000000"/>
                      <w:sz w:val="18"/>
                      <w:szCs w:val="18"/>
                    </w:rPr>
                  </w:pPr>
                  <w:r>
                    <w:rPr>
                      <w:rFonts w:ascii="Calibri" w:eastAsia="Calibri" w:hAnsi="Calibri" w:cs="Calibri"/>
                      <w:b/>
                      <w:color w:val="FFFFFF"/>
                      <w:sz w:val="18"/>
                      <w:szCs w:val="18"/>
                    </w:rPr>
                    <w:t>Section</w:t>
                  </w:r>
                </w:p>
              </w:tc>
              <w:tc>
                <w:tcPr>
                  <w:tcW w:w="6088"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B1C07BD" w14:textId="77777777" w:rsidR="00600DEE" w:rsidRDefault="00641FB5">
                  <w:pPr>
                    <w:rPr>
                      <w:rFonts w:ascii="Calibri" w:eastAsia="Calibri" w:hAnsi="Calibri" w:cs="Calibri"/>
                      <w:sz w:val="18"/>
                      <w:szCs w:val="18"/>
                    </w:rPr>
                  </w:pPr>
                  <w:r>
                    <w:rPr>
                      <w:rFonts w:ascii="Calibri" w:eastAsia="Calibri" w:hAnsi="Calibri" w:cs="Calibri"/>
                      <w:b/>
                      <w:color w:val="FFFFFF"/>
                      <w:sz w:val="18"/>
                      <w:szCs w:val="18"/>
                    </w:rPr>
                    <w:t>Contents*</w:t>
                  </w:r>
                </w:p>
              </w:tc>
            </w:tr>
            <w:tr w:rsidR="00600DEE" w:rsidRPr="008C4407" w14:paraId="58B20008" w14:textId="77777777" w:rsidTr="0073146B">
              <w:trPr>
                <w:trHeight w:hRule="exact" w:val="1418"/>
              </w:trPr>
              <w:tc>
                <w:tcPr>
                  <w:tcW w:w="1084" w:type="dxa"/>
                  <w:tcBorders>
                    <w:left w:val="single" w:sz="4" w:space="0" w:color="FFFFFF"/>
                    <w:bottom w:val="single" w:sz="4" w:space="0" w:color="FFFFFF"/>
                  </w:tcBorders>
                  <w:shd w:val="clear" w:color="auto" w:fill="DBE5F1"/>
                </w:tcPr>
                <w:p w14:paraId="0C6CD146" w14:textId="77777777" w:rsidR="00600DEE" w:rsidRDefault="00641FB5">
                  <w:pPr>
                    <w:pBdr>
                      <w:top w:val="nil"/>
                      <w:left w:val="nil"/>
                      <w:bottom w:val="nil"/>
                      <w:right w:val="nil"/>
                      <w:between w:val="nil"/>
                    </w:pBdr>
                    <w:spacing w:before="120" w:after="120"/>
                    <w:jc w:val="center"/>
                    <w:rPr>
                      <w:rFonts w:ascii="Calibri" w:eastAsia="Calibri" w:hAnsi="Calibri" w:cs="Calibri"/>
                      <w:b/>
                      <w:color w:val="4F81BD"/>
                      <w:sz w:val="16"/>
                      <w:szCs w:val="16"/>
                    </w:rPr>
                  </w:pPr>
                  <w:r>
                    <w:rPr>
                      <w:rFonts w:ascii="Calibri" w:eastAsia="Calibri" w:hAnsi="Calibri" w:cs="Calibri"/>
                      <w:b/>
                      <w:color w:val="4F81BD"/>
                      <w:sz w:val="16"/>
                      <w:szCs w:val="16"/>
                    </w:rPr>
                    <w:t>III</w:t>
                  </w:r>
                </w:p>
              </w:tc>
              <w:tc>
                <w:tcPr>
                  <w:tcW w:w="6088" w:type="dxa"/>
                  <w:tcBorders>
                    <w:left w:val="single" w:sz="4" w:space="0" w:color="FFFFFF"/>
                    <w:bottom w:val="single" w:sz="4" w:space="0" w:color="FFFFFF"/>
                    <w:right w:val="single" w:sz="4" w:space="0" w:color="FFFFFF"/>
                  </w:tcBorders>
                  <w:shd w:val="clear" w:color="auto" w:fill="DBE5F1"/>
                </w:tcPr>
                <w:p w14:paraId="45A524F3" w14:textId="77777777" w:rsidR="00600DEE" w:rsidRDefault="00641FB5">
                  <w:pPr>
                    <w:pBdr>
                      <w:top w:val="nil"/>
                      <w:left w:val="nil"/>
                      <w:bottom w:val="nil"/>
                      <w:right w:val="nil"/>
                      <w:between w:val="nil"/>
                    </w:pBdr>
                    <w:spacing w:before="120" w:after="120"/>
                    <w:ind w:right="26"/>
                    <w:rPr>
                      <w:rFonts w:ascii="Calibri" w:eastAsia="Calibri" w:hAnsi="Calibri" w:cs="Calibri"/>
                      <w:color w:val="4F81BD"/>
                      <w:sz w:val="18"/>
                      <w:szCs w:val="18"/>
                    </w:rPr>
                  </w:pPr>
                  <w:r>
                    <w:rPr>
                      <w:rFonts w:ascii="Calibri" w:eastAsia="Calibri" w:hAnsi="Calibri" w:cs="Calibri"/>
                      <w:color w:val="4F81BD"/>
                      <w:sz w:val="18"/>
                      <w:szCs w:val="18"/>
                    </w:rPr>
                    <w:t>Financial Analysis</w:t>
                  </w:r>
                </w:p>
                <w:p w14:paraId="6B8752CB" w14:textId="77777777" w:rsidR="00600DEE" w:rsidRPr="0045151D"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Definition of assumptions for the financial analysis </w:t>
                  </w:r>
                </w:p>
                <w:p w14:paraId="418031C1"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Evaluation of financial performance indicators</w:t>
                  </w:r>
                </w:p>
                <w:p w14:paraId="6E018444"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Calculation of  funds contribution</w:t>
                  </w:r>
                </w:p>
                <w:p w14:paraId="4B3C05A9" w14:textId="77777777" w:rsidR="00600DEE" w:rsidRPr="0045151D" w:rsidRDefault="00641FB5">
                  <w:pPr>
                    <w:numPr>
                      <w:ilvl w:val="0"/>
                      <w:numId w:val="1"/>
                    </w:numPr>
                    <w:pBdr>
                      <w:top w:val="nil"/>
                      <w:left w:val="nil"/>
                      <w:bottom w:val="nil"/>
                      <w:right w:val="nil"/>
                      <w:between w:val="nil"/>
                    </w:pBdr>
                    <w:tabs>
                      <w:tab w:val="left" w:pos="435"/>
                    </w:tabs>
                    <w:spacing w:after="120"/>
                    <w:ind w:left="0" w:firstLine="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Verification of the project’s financial sustainability </w:t>
                  </w:r>
                </w:p>
              </w:tc>
            </w:tr>
            <w:tr w:rsidR="00600DEE" w14:paraId="0336A84F" w14:textId="77777777" w:rsidTr="0073146B">
              <w:trPr>
                <w:trHeight w:hRule="exact" w:val="1021"/>
              </w:trPr>
              <w:tc>
                <w:tcPr>
                  <w:tcW w:w="1084" w:type="dxa"/>
                  <w:tcBorders>
                    <w:left w:val="single" w:sz="4" w:space="0" w:color="FFFFFF"/>
                    <w:bottom w:val="single" w:sz="4" w:space="0" w:color="FFFFFF"/>
                  </w:tcBorders>
                  <w:shd w:val="clear" w:color="auto" w:fill="DBE5F1"/>
                </w:tcPr>
                <w:p w14:paraId="3FB8125E" w14:textId="77777777" w:rsidR="00600DEE" w:rsidRDefault="00641FB5">
                  <w:pPr>
                    <w:pBdr>
                      <w:top w:val="nil"/>
                      <w:left w:val="nil"/>
                      <w:bottom w:val="nil"/>
                      <w:right w:val="nil"/>
                      <w:between w:val="nil"/>
                    </w:pBdr>
                    <w:spacing w:before="120" w:after="120"/>
                    <w:jc w:val="center"/>
                    <w:rPr>
                      <w:rFonts w:ascii="Calibri" w:eastAsia="Calibri" w:hAnsi="Calibri" w:cs="Calibri"/>
                      <w:b/>
                      <w:color w:val="4F81BD"/>
                      <w:sz w:val="16"/>
                      <w:szCs w:val="16"/>
                    </w:rPr>
                  </w:pPr>
                  <w:r>
                    <w:rPr>
                      <w:rFonts w:ascii="Calibri" w:eastAsia="Calibri" w:hAnsi="Calibri" w:cs="Calibri"/>
                      <w:b/>
                      <w:color w:val="4F81BD"/>
                      <w:sz w:val="16"/>
                      <w:szCs w:val="16"/>
                    </w:rPr>
                    <w:t>IV</w:t>
                  </w:r>
                </w:p>
              </w:tc>
              <w:tc>
                <w:tcPr>
                  <w:tcW w:w="6088" w:type="dxa"/>
                  <w:tcBorders>
                    <w:left w:val="single" w:sz="4" w:space="0" w:color="FFFFFF"/>
                    <w:bottom w:val="single" w:sz="4" w:space="0" w:color="FFFFFF"/>
                    <w:right w:val="single" w:sz="4" w:space="0" w:color="FFFFFF"/>
                  </w:tcBorders>
                  <w:shd w:val="clear" w:color="auto" w:fill="DBE5F1"/>
                </w:tcPr>
                <w:p w14:paraId="13A5635D" w14:textId="77777777" w:rsidR="00600DEE" w:rsidRDefault="00641FB5">
                  <w:pPr>
                    <w:pBdr>
                      <w:top w:val="nil"/>
                      <w:left w:val="nil"/>
                      <w:bottom w:val="nil"/>
                      <w:right w:val="nil"/>
                      <w:between w:val="nil"/>
                    </w:pBdr>
                    <w:spacing w:before="120" w:after="120"/>
                    <w:ind w:right="26"/>
                    <w:rPr>
                      <w:rFonts w:ascii="Calibri" w:eastAsia="Calibri" w:hAnsi="Calibri" w:cs="Calibri"/>
                      <w:color w:val="4F81BD"/>
                      <w:sz w:val="18"/>
                      <w:szCs w:val="18"/>
                    </w:rPr>
                  </w:pPr>
                  <w:r>
                    <w:rPr>
                      <w:rFonts w:ascii="Calibri" w:eastAsia="Calibri" w:hAnsi="Calibri" w:cs="Calibri"/>
                      <w:color w:val="4F81BD"/>
                      <w:sz w:val="18"/>
                      <w:szCs w:val="18"/>
                    </w:rPr>
                    <w:t>Project risk assessment</w:t>
                  </w:r>
                </w:p>
                <w:p w14:paraId="4AE197A3"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Sensitivity analysis</w:t>
                  </w:r>
                </w:p>
                <w:p w14:paraId="4B83328A" w14:textId="77777777" w:rsidR="00600DEE" w:rsidRDefault="00641FB5">
                  <w:pPr>
                    <w:numPr>
                      <w:ilvl w:val="0"/>
                      <w:numId w:val="1"/>
                    </w:numPr>
                    <w:pBdr>
                      <w:top w:val="nil"/>
                      <w:left w:val="nil"/>
                      <w:bottom w:val="nil"/>
                      <w:right w:val="nil"/>
                      <w:between w:val="nil"/>
                    </w:pBdr>
                    <w:tabs>
                      <w:tab w:val="left" w:pos="435"/>
                    </w:tabs>
                    <w:ind w:left="0" w:firstLine="0"/>
                    <w:rPr>
                      <w:rFonts w:ascii="Calibri" w:eastAsia="Calibri" w:hAnsi="Calibri" w:cs="Calibri"/>
                      <w:color w:val="4F81BD"/>
                      <w:sz w:val="18"/>
                      <w:szCs w:val="18"/>
                    </w:rPr>
                  </w:pPr>
                  <w:r>
                    <w:rPr>
                      <w:rFonts w:ascii="Calibri" w:eastAsia="Calibri" w:hAnsi="Calibri" w:cs="Calibri"/>
                      <w:color w:val="4F81BD"/>
                      <w:sz w:val="18"/>
                      <w:szCs w:val="18"/>
                    </w:rPr>
                    <w:t>Risk Analysis</w:t>
                  </w:r>
                </w:p>
              </w:tc>
            </w:tr>
          </w:tbl>
          <w:p w14:paraId="62E39FCF" w14:textId="77777777" w:rsidR="00600DEE" w:rsidRDefault="00641FB5">
            <w:pPr>
              <w:spacing w:before="120"/>
              <w:jc w:val="both"/>
              <w:rPr>
                <w:rFonts w:ascii="Calibri" w:eastAsia="Calibri" w:hAnsi="Calibri" w:cs="Calibri"/>
                <w:b/>
                <w:color w:val="323299"/>
              </w:rPr>
            </w:pPr>
            <w:r>
              <w:rPr>
                <w:rFonts w:ascii="Calibri" w:eastAsia="Calibri" w:hAnsi="Calibri" w:cs="Calibri"/>
                <w:b/>
                <w:i/>
                <w:sz w:val="16"/>
                <w:szCs w:val="16"/>
              </w:rPr>
              <w:t>Source: proprietary work.</w:t>
            </w:r>
          </w:p>
          <w:p w14:paraId="5176C27C" w14:textId="77777777" w:rsidR="00600DEE" w:rsidRPr="0045151D" w:rsidRDefault="00641FB5">
            <w:pPr>
              <w:rPr>
                <w:rFonts w:ascii="Calibri" w:eastAsia="Calibri" w:hAnsi="Calibri" w:cs="Calibri"/>
                <w:sz w:val="16"/>
                <w:szCs w:val="16"/>
                <w:lang w:val="en-GB"/>
              </w:rPr>
            </w:pPr>
            <w:r w:rsidRPr="0045151D">
              <w:rPr>
                <w:rFonts w:ascii="Calibri" w:eastAsia="Calibri" w:hAnsi="Calibri" w:cs="Calibri"/>
                <w:sz w:val="16"/>
                <w:szCs w:val="16"/>
                <w:lang w:val="en-GB"/>
              </w:rPr>
              <w:t>* The table of contents of the cost-benefit analysis presented in the table corresponds to the broadest required scope of the project cost and benefit analysis.</w:t>
            </w:r>
          </w:p>
          <w:p w14:paraId="540FEA4F" w14:textId="77777777" w:rsidR="00600DEE" w:rsidRPr="0045151D" w:rsidRDefault="00600DEE">
            <w:pPr>
              <w:rPr>
                <w:rFonts w:ascii="Calibri" w:eastAsia="Calibri" w:hAnsi="Calibri" w:cs="Calibri"/>
                <w:sz w:val="16"/>
                <w:szCs w:val="16"/>
                <w:lang w:val="en-GB"/>
              </w:rPr>
            </w:pPr>
          </w:p>
          <w:p w14:paraId="019CBBAF" w14:textId="58B1053C" w:rsidR="00600DEE" w:rsidRPr="0045151D" w:rsidRDefault="00641FB5">
            <w:pPr>
              <w:ind w:right="26"/>
              <w:jc w:val="both"/>
              <w:rPr>
                <w:rFonts w:ascii="Calibri" w:eastAsia="Calibri" w:hAnsi="Calibri" w:cs="Calibri"/>
                <w:sz w:val="20"/>
                <w:szCs w:val="20"/>
                <w:lang w:val="en-GB"/>
              </w:rPr>
            </w:pPr>
            <w:r w:rsidRPr="0045151D">
              <w:rPr>
                <w:rFonts w:ascii="Calibri" w:eastAsia="Calibri" w:hAnsi="Calibri" w:cs="Calibri"/>
                <w:sz w:val="20"/>
                <w:szCs w:val="20"/>
                <w:lang w:val="en-GB"/>
              </w:rPr>
              <w:lastRenderedPageBreak/>
              <w:t>The project description input data for the CBA should include, at least, the elements described below.</w:t>
            </w:r>
          </w:p>
          <w:p w14:paraId="1A22C590" w14:textId="77777777" w:rsidR="00D01E87" w:rsidRPr="0045151D" w:rsidRDefault="00D01E87">
            <w:pPr>
              <w:ind w:right="26"/>
              <w:jc w:val="both"/>
              <w:rPr>
                <w:rFonts w:ascii="Calibri" w:eastAsia="Calibri" w:hAnsi="Calibri" w:cs="Calibri"/>
                <w:sz w:val="20"/>
                <w:szCs w:val="20"/>
                <w:lang w:val="en-GB"/>
              </w:rPr>
            </w:pPr>
          </w:p>
          <w:tbl>
            <w:tblPr>
              <w:tblStyle w:val="a9"/>
              <w:tblW w:w="7257" w:type="dxa"/>
              <w:tblLayout w:type="fixed"/>
              <w:tblLook w:val="0400" w:firstRow="0" w:lastRow="0" w:firstColumn="0" w:lastColumn="0" w:noHBand="0" w:noVBand="1"/>
            </w:tblPr>
            <w:tblGrid>
              <w:gridCol w:w="7257"/>
            </w:tblGrid>
            <w:tr w:rsidR="00600DEE" w:rsidRPr="008C4407" w14:paraId="6B613BFF" w14:textId="77777777">
              <w:trPr>
                <w:trHeight w:val="3010"/>
              </w:trPr>
              <w:tc>
                <w:tcPr>
                  <w:tcW w:w="7257" w:type="dxa"/>
                  <w:shd w:val="clear" w:color="auto" w:fill="DBE5F1"/>
                  <w:vAlign w:val="center"/>
                </w:tcPr>
                <w:p w14:paraId="74D8DA06" w14:textId="77777777" w:rsidR="00600DEE" w:rsidRDefault="00641FB5" w:rsidP="00E008AE">
                  <w:pPr>
                    <w:shd w:val="clear" w:color="auto" w:fill="DBE5F1"/>
                    <w:spacing w:line="276" w:lineRule="auto"/>
                    <w:ind w:right="405"/>
                    <w:jc w:val="center"/>
                    <w:rPr>
                      <w:rFonts w:ascii="Calibri" w:eastAsia="Calibri" w:hAnsi="Calibri" w:cs="Calibri"/>
                      <w:b/>
                      <w:color w:val="4F81BD"/>
                      <w:sz w:val="20"/>
                      <w:szCs w:val="20"/>
                    </w:rPr>
                  </w:pPr>
                  <w:r>
                    <w:rPr>
                      <w:rFonts w:ascii="Calibri" w:eastAsia="Calibri" w:hAnsi="Calibri" w:cs="Calibri"/>
                      <w:b/>
                      <w:color w:val="4F81BD"/>
                      <w:sz w:val="20"/>
                      <w:szCs w:val="20"/>
                    </w:rPr>
                    <w:t>PROJECT DESCRIPTION</w:t>
                  </w:r>
                </w:p>
                <w:p w14:paraId="3E3113E3" w14:textId="77777777" w:rsidR="00600DEE" w:rsidRPr="0045151D" w:rsidRDefault="00641FB5" w:rsidP="00E008AE">
                  <w:pPr>
                    <w:numPr>
                      <w:ilvl w:val="0"/>
                      <w:numId w:val="3"/>
                    </w:numPr>
                    <w:shd w:val="clear" w:color="auto" w:fill="DBE5F1"/>
                    <w:spacing w:line="276" w:lineRule="auto"/>
                    <w:ind w:left="878" w:right="405" w:hanging="878"/>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 xml:space="preserve">Description of project technical aspects: </w:t>
                  </w:r>
                </w:p>
                <w:p w14:paraId="7BD4CCA5" w14:textId="77777777" w:rsidR="00600DEE" w:rsidRPr="0045151D" w:rsidRDefault="00641FB5" w:rsidP="00E008AE">
                  <w:pPr>
                    <w:numPr>
                      <w:ilvl w:val="1"/>
                      <w:numId w:val="6"/>
                    </w:numPr>
                    <w:shd w:val="clear" w:color="auto" w:fill="DBE5F1"/>
                    <w:spacing w:line="276" w:lineRule="auto"/>
                    <w:ind w:left="878" w:right="405" w:hanging="425"/>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 xml:space="preserve">- design standards used (e.g. design speed), </w:t>
                  </w:r>
                </w:p>
                <w:p w14:paraId="2DBBC656" w14:textId="77777777" w:rsidR="00600DEE" w:rsidRPr="0045151D" w:rsidRDefault="00641FB5" w:rsidP="00E008AE">
                  <w:pPr>
                    <w:numPr>
                      <w:ilvl w:val="1"/>
                      <w:numId w:val="6"/>
                    </w:numPr>
                    <w:shd w:val="clear" w:color="auto" w:fill="DBE5F1"/>
                    <w:spacing w:line="276" w:lineRule="auto"/>
                    <w:ind w:left="878" w:right="405" w:hanging="425"/>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 xml:space="preserve">- type of works and basic quantification: length and cross-section of road, length of tunnels, length and width of bridges, number of interchanges, works outside main alignment (length of noise walls, number of animal passes, etc.), etc. </w:t>
                  </w:r>
                </w:p>
                <w:p w14:paraId="17B49667" w14:textId="77777777" w:rsidR="00600DEE" w:rsidRPr="0045151D" w:rsidRDefault="00641FB5" w:rsidP="00E008AE">
                  <w:pPr>
                    <w:numPr>
                      <w:ilvl w:val="1"/>
                      <w:numId w:val="6"/>
                    </w:numPr>
                    <w:shd w:val="clear" w:color="auto" w:fill="DBE5F1"/>
                    <w:spacing w:line="276" w:lineRule="auto"/>
                    <w:ind w:left="878" w:right="405" w:hanging="425"/>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 functional description (role and tasks within the national / regional / urban road network), road class and category.</w:t>
                  </w:r>
                </w:p>
                <w:p w14:paraId="05FABA00" w14:textId="77777777" w:rsidR="00600DEE" w:rsidRPr="0045151D" w:rsidRDefault="00641FB5" w:rsidP="00E008AE">
                  <w:pPr>
                    <w:numPr>
                      <w:ilvl w:val="0"/>
                      <w:numId w:val="3"/>
                    </w:numPr>
                    <w:shd w:val="clear" w:color="auto" w:fill="DBE5F1"/>
                    <w:spacing w:line="276" w:lineRule="auto"/>
                    <w:ind w:left="878" w:right="405" w:hanging="878"/>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 xml:space="preserve">Project location map indicating main project components. </w:t>
                  </w:r>
                </w:p>
                <w:p w14:paraId="7EBE3789" w14:textId="77777777" w:rsidR="00600DEE" w:rsidRPr="0045151D" w:rsidRDefault="00641FB5" w:rsidP="00E008AE">
                  <w:pPr>
                    <w:numPr>
                      <w:ilvl w:val="0"/>
                      <w:numId w:val="3"/>
                    </w:numPr>
                    <w:shd w:val="clear" w:color="auto" w:fill="DBE5F1"/>
                    <w:spacing w:line="276" w:lineRule="auto"/>
                    <w:ind w:left="878" w:right="405" w:hanging="878"/>
                    <w:jc w:val="both"/>
                    <w:rPr>
                      <w:rFonts w:ascii="Calibri" w:eastAsia="Calibri" w:hAnsi="Calibri" w:cs="Calibri"/>
                      <w:color w:val="323299"/>
                      <w:sz w:val="20"/>
                      <w:szCs w:val="20"/>
                      <w:lang w:val="en-GB"/>
                    </w:rPr>
                  </w:pPr>
                  <w:r w:rsidRPr="0045151D">
                    <w:rPr>
                      <w:rFonts w:ascii="Calibri" w:eastAsia="Calibri" w:hAnsi="Calibri" w:cs="Calibri"/>
                      <w:color w:val="4F81BD"/>
                      <w:sz w:val="20"/>
                      <w:szCs w:val="20"/>
                      <w:lang w:val="en-GB"/>
                    </w:rPr>
                    <w:t>Status of the overall investment (in case of the project being a phase or a stage of a larger overall investment).</w:t>
                  </w:r>
                </w:p>
                <w:p w14:paraId="6265830C" w14:textId="77777777" w:rsidR="00600DEE" w:rsidRPr="0045151D" w:rsidRDefault="00641FB5" w:rsidP="00E008AE">
                  <w:pPr>
                    <w:numPr>
                      <w:ilvl w:val="0"/>
                      <w:numId w:val="3"/>
                    </w:numPr>
                    <w:shd w:val="clear" w:color="auto" w:fill="DBE5F1"/>
                    <w:spacing w:line="276" w:lineRule="auto"/>
                    <w:ind w:left="878" w:right="405" w:hanging="878"/>
                    <w:jc w:val="both"/>
                    <w:rPr>
                      <w:rFonts w:ascii="Calibri" w:eastAsia="Calibri" w:hAnsi="Calibri" w:cs="Calibri"/>
                      <w:color w:val="323299"/>
                      <w:sz w:val="20"/>
                      <w:szCs w:val="20"/>
                      <w:lang w:val="en-GB"/>
                    </w:rPr>
                  </w:pPr>
                  <w:r w:rsidRPr="0045151D">
                    <w:rPr>
                      <w:rFonts w:ascii="Calibri" w:eastAsia="Calibri" w:hAnsi="Calibri" w:cs="Calibri"/>
                      <w:color w:val="4F81BD"/>
                      <w:sz w:val="20"/>
                      <w:szCs w:val="20"/>
                      <w:lang w:val="en-GB"/>
                    </w:rPr>
                    <w:t>Context of the project in relevant Strategies/Plans – defining Project objectives</w:t>
                  </w:r>
                </w:p>
              </w:tc>
            </w:tr>
          </w:tbl>
          <w:p w14:paraId="0C47A146" w14:textId="77777777" w:rsidR="00600DEE" w:rsidRPr="0045151D" w:rsidRDefault="00641FB5">
            <w:pPr>
              <w:spacing w:before="100"/>
              <w:ind w:right="28"/>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The following chapters of the Manual provide a detailed presentation of the actions to be taken within each phase of the CBA. </w:t>
            </w:r>
          </w:p>
          <w:p w14:paraId="3302A2D1" w14:textId="77777777" w:rsidR="00600DEE" w:rsidRPr="0045151D" w:rsidRDefault="00600DEE">
            <w:pPr>
              <w:ind w:right="26"/>
              <w:jc w:val="both"/>
              <w:rPr>
                <w:rFonts w:ascii="Calibri" w:eastAsia="Calibri" w:hAnsi="Calibri" w:cs="Calibri"/>
                <w:sz w:val="20"/>
                <w:szCs w:val="20"/>
                <w:lang w:val="en-GB"/>
              </w:rPr>
            </w:pPr>
          </w:p>
          <w:p w14:paraId="072D0219" w14:textId="77777777" w:rsidR="00600DEE" w:rsidRPr="0045151D" w:rsidRDefault="00641FB5">
            <w:pPr>
              <w:ind w:right="26"/>
              <w:jc w:val="both"/>
              <w:rPr>
                <w:rFonts w:ascii="Calibri" w:eastAsia="Calibri" w:hAnsi="Calibri" w:cs="Calibri"/>
                <w:sz w:val="20"/>
                <w:szCs w:val="20"/>
                <w:lang w:val="en-GB"/>
              </w:rPr>
            </w:pPr>
            <w:r w:rsidRPr="0045151D">
              <w:rPr>
                <w:rFonts w:ascii="Calibri" w:eastAsia="Calibri" w:hAnsi="Calibri" w:cs="Calibri"/>
                <w:sz w:val="20"/>
                <w:szCs w:val="20"/>
                <w:lang w:val="en-GB"/>
              </w:rPr>
              <w:t>Finally, Appendix A of the present Manual includes recommended economic and financial unit costs.</w:t>
            </w:r>
          </w:p>
        </w:tc>
      </w:tr>
    </w:tbl>
    <w:p w14:paraId="3B31831F" w14:textId="302B57E2" w:rsidR="00600DEE" w:rsidRDefault="00641FB5" w:rsidP="00D5736B">
      <w:pPr>
        <w:pStyle w:val="Nagwek1"/>
        <w:numPr>
          <w:ilvl w:val="0"/>
          <w:numId w:val="17"/>
        </w:numPr>
        <w:ind w:left="0" w:firstLine="0"/>
        <w:rPr>
          <w:rFonts w:ascii="Calibri" w:eastAsia="Calibri" w:hAnsi="Calibri" w:cs="Calibri"/>
          <w:color w:val="0070C0"/>
        </w:rPr>
      </w:pPr>
      <w:bookmarkStart w:id="16" w:name="_Toc95377963"/>
      <w:r>
        <w:rPr>
          <w:rFonts w:ascii="Calibri" w:eastAsia="Calibri" w:hAnsi="Calibri" w:cs="Calibri"/>
          <w:color w:val="0070C0"/>
        </w:rPr>
        <w:lastRenderedPageBreak/>
        <w:t xml:space="preserve">Faza I: Identyfikacja wariantów i przygotowanie danych wejściowych </w:t>
      </w:r>
      <w:r>
        <w:rPr>
          <w:rFonts w:ascii="Calibri" w:eastAsia="Calibri" w:hAnsi="Calibri" w:cs="Calibri"/>
          <w:color w:val="0070C0"/>
        </w:rPr>
        <w:br/>
      </w:r>
      <w:r>
        <w:rPr>
          <w:rFonts w:ascii="Calibri" w:eastAsia="Calibri" w:hAnsi="Calibri" w:cs="Calibri"/>
          <w:i/>
          <w:color w:val="0070C0"/>
        </w:rPr>
        <w:t xml:space="preserve">       Phase I: Identification of project options and preparation of input</w:t>
      </w:r>
      <w:r w:rsidR="0073146B">
        <w:rPr>
          <w:rFonts w:ascii="Calibri" w:eastAsia="Calibri" w:hAnsi="Calibri" w:cs="Calibri"/>
          <w:i/>
          <w:color w:val="0070C0"/>
        </w:rPr>
        <w:t xml:space="preserve">       da</w:t>
      </w:r>
      <w:r>
        <w:rPr>
          <w:rFonts w:ascii="Calibri" w:eastAsia="Calibri" w:hAnsi="Calibri" w:cs="Calibri"/>
          <w:i/>
          <w:color w:val="0070C0"/>
        </w:rPr>
        <w:t>ta</w:t>
      </w:r>
      <w:bookmarkEnd w:id="16"/>
      <w:r>
        <w:rPr>
          <w:rFonts w:ascii="Calibri" w:eastAsia="Calibri" w:hAnsi="Calibri" w:cs="Calibri"/>
          <w:i/>
          <w:color w:val="0070C0"/>
        </w:rPr>
        <w:t xml:space="preserve"> </w:t>
      </w:r>
    </w:p>
    <w:p w14:paraId="75801E7D" w14:textId="493EE722" w:rsidR="00600DEE" w:rsidRPr="0045151D" w:rsidRDefault="00641FB5" w:rsidP="00D5736B">
      <w:pPr>
        <w:pStyle w:val="Nagwek2"/>
        <w:numPr>
          <w:ilvl w:val="1"/>
          <w:numId w:val="17"/>
        </w:numPr>
        <w:ind w:left="0" w:firstLine="0"/>
        <w:rPr>
          <w:rFonts w:ascii="Calibri" w:eastAsia="Calibri" w:hAnsi="Calibri" w:cs="Calibri"/>
          <w:i/>
          <w:color w:val="4F81BD"/>
          <w:lang w:val="pl-PL"/>
        </w:rPr>
      </w:pPr>
      <w:bookmarkStart w:id="17" w:name="_Toc95377964"/>
      <w:r w:rsidRPr="0045151D">
        <w:rPr>
          <w:rFonts w:ascii="Calibri" w:eastAsia="Calibri" w:hAnsi="Calibri" w:cs="Calibri"/>
          <w:color w:val="4F81BD"/>
          <w:lang w:val="pl-PL"/>
        </w:rPr>
        <w:t>Podsumowanie wcześniejszych prac studialnych</w:t>
      </w:r>
      <w:r w:rsidRPr="0045151D">
        <w:rPr>
          <w:rFonts w:ascii="Calibri" w:eastAsia="Calibri" w:hAnsi="Calibri" w:cs="Calibri"/>
          <w:color w:val="4F81BD"/>
          <w:lang w:val="pl-PL"/>
        </w:rPr>
        <w:tab/>
        <w:t xml:space="preserve">        </w:t>
      </w:r>
      <w:r w:rsidRPr="0045151D">
        <w:rPr>
          <w:rFonts w:ascii="Calibri" w:eastAsia="Calibri" w:hAnsi="Calibri" w:cs="Calibri"/>
          <w:i/>
          <w:color w:val="4F81BD"/>
          <w:lang w:val="pl-PL"/>
        </w:rPr>
        <w:t>1.1   Summary of previous project studies</w:t>
      </w:r>
      <w:bookmarkEnd w:id="17"/>
    </w:p>
    <w:tbl>
      <w:tblPr>
        <w:tblStyle w:val="aa"/>
        <w:tblW w:w="14565" w:type="dxa"/>
        <w:tblLayout w:type="fixed"/>
        <w:tblLook w:val="0400" w:firstRow="0" w:lastRow="0" w:firstColumn="0" w:lastColumn="0" w:noHBand="0" w:noVBand="1"/>
      </w:tblPr>
      <w:tblGrid>
        <w:gridCol w:w="7356"/>
        <w:gridCol w:w="7209"/>
      </w:tblGrid>
      <w:tr w:rsidR="00600DEE" w:rsidRPr="008C4407" w14:paraId="2FC7C5C9" w14:textId="77777777">
        <w:tc>
          <w:tcPr>
            <w:tcW w:w="7356" w:type="dxa"/>
            <w:tcBorders>
              <w:right w:val="single" w:sz="4" w:space="0" w:color="000000"/>
            </w:tcBorders>
            <w:tcMar>
              <w:left w:w="284" w:type="dxa"/>
              <w:right w:w="284" w:type="dxa"/>
            </w:tcMar>
          </w:tcPr>
          <w:p w14:paraId="4F1EA6A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Przed rozpoczęciem analizy ekonomicznej i finansowej należy zebrać wszystkie dane wyjściowe, uzyskane w ramach wcześniejszych prac studialnych i technicznych lub wstępnych studiów wykonalności, a także przygotować szczegółowe dane wejściowe dla każdego wariantu uwzględniając wnioski płynące ze strategii transportowej lub planu transportowego z uwzględnieniem podejścia międzygałęziowego.</w:t>
            </w:r>
          </w:p>
          <w:p w14:paraId="65EB6D31"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Jeżeli wcześniej opracowane dokumenty są bezpośrednio dostępne w formie jednego lub większej liczby wstępnych studiów wykonalności (studium wykonalności, studium Techniczno-Ekonomiczno-Środowiskowego (STEŚ), Koncepcji Programowej (KP) lub innego dokumentu o podobnym charakterze), które mogą być źródłem informacji, należy je uwzględnić. Jednakże, jeżeli proces analizy prowadzący do obecnego projektu lub wykazu najlepszych wariantów był długi, realizowany z przerwami lub słabo udokumentowany, to przed przystąpieniem do AKK może zaistnieć potrzeba wykonania obszerniejszych prac przygotowawczych. Szczególnie w przypadku studium wspierającego wniosek o dofinansowanie UE, należy przedłożyć możliwie najpełniejsze podsumowanie historii identyfikacji, wyboru optymalnego wariantu realizacji projektu wraz z uzasadnieniem podjętych decyzji. w przeciwnym razie istnieje ryzyko konieczności powtórzenia poprzednich etapów analizy.</w:t>
            </w:r>
          </w:p>
          <w:p w14:paraId="13C8D09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Jeśli w przeszłości przedmiotem analizy były pewne zidentyfikowane warianty inwestycyjne i niektóre z nich odrzucono, należy streścić rezultaty wcześniejszych analiz technicznych i lokalizacyjnych oraz wszelkich innych analiz leżących u podłoża wyboru danych opcji projektowych (np. strategiczna analiza wariantów, patrz rozdział 1.4 – Identyfikacja efektywnych wariantów inwestycyjnych projektu). Należy też przedstawić wymogi prawne i środowiskowe zidentyfikowane w trakcie </w:t>
            </w:r>
            <w:r>
              <w:rPr>
                <w:rFonts w:ascii="Calibri" w:eastAsia="Calibri" w:hAnsi="Calibri" w:cs="Calibri"/>
                <w:color w:val="000000"/>
                <w:sz w:val="20"/>
                <w:szCs w:val="20"/>
              </w:rPr>
              <w:lastRenderedPageBreak/>
              <w:t>poprzednich etapów opracowania projektu oraz wszelkie kluczowe decyzje zalecające dalszą pracę nad niektórymi wariantami lub odrzucenie pozostałych. Jeśli decyzje te mogą być przedstawione w logiczny sposób i potwierdzą, że dokonano najlepszego wyboru potencjalnych wariantów inwestycyjnych przy uwzględnieniu ograniczeń wynikających z wcześniejszych decyzji, to dalsza analiza wariantów wykluczonych może nie być konieczna.</w:t>
            </w:r>
          </w:p>
          <w:p w14:paraId="19F5DD0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W rozdziale 1.4 zawarte są zalecenia dotyczące wykonywania analizy wariantów </w:t>
            </w:r>
            <w:r>
              <w:rPr>
                <w:rFonts w:ascii="Calibri" w:eastAsia="Calibri" w:hAnsi="Calibri" w:cs="Calibri"/>
                <w:color w:val="000000"/>
                <w:sz w:val="20"/>
                <w:szCs w:val="20"/>
              </w:rPr>
              <w:br/>
              <w:t>(np. przebieg procesów, metodyka) które należy uwzględnić w opisie wcześniejszych (historycznych) procesów wyboru wariantu.</w:t>
            </w:r>
          </w:p>
        </w:tc>
        <w:tc>
          <w:tcPr>
            <w:tcW w:w="7209" w:type="dxa"/>
            <w:tcBorders>
              <w:left w:val="single" w:sz="4" w:space="0" w:color="000000"/>
            </w:tcBorders>
            <w:tcMar>
              <w:left w:w="284" w:type="dxa"/>
              <w:right w:w="284" w:type="dxa"/>
            </w:tcMar>
          </w:tcPr>
          <w:p w14:paraId="082D690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Before starting the CBA, it is necessary to gather all the outputs from previous project-related studies including preliminary feasibility and technical reports, and to prepare the detailed inputs for each project investment option proposed. It is necessary to refer to the conclusions of a respective transport strategy or plan based on a multi-modal transport perspective.</w:t>
            </w:r>
          </w:p>
          <w:p w14:paraId="512210D2"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If this previous work is readily available in one or more pre-feasibility reports (feasibility study, Technical-Economic–Environmental Study (STEŚ), Programme Concept (KP) or other documents of a similar nature) from which the information can be extracted, then this should obviously be considered. However, if the process to achieve the current project or proposed shortlist of options has been long, intermittent or poorly documented, then some significant preparatory work may be needed before the CBA can begin. In particular, for an EU grant application, the best possible summary of the past history of project identification and optimal option selection must be described, and the rationale behind the choices explained. Otherwise, the risk of having to repeat previous stages of the analysis will arise.</w:t>
            </w:r>
          </w:p>
          <w:p w14:paraId="22EC30B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If some, but not all of the identified investment options were analysed in the past, and certain options were discarded on that basis, then the results of such previous technical and location studies and any other analysis underlying the choice of the retained project options should be summarised (i.e. strategic option analysis, see chapter 1.4 - Identification of effective project Investment Options). Additionally, legal and environmental requirements identified during the previous stages of project development, any key decisions recommending further work on some options or the rejection of others should also be presented. If these choices can be presented in a logical way and demonstrate that the best selection of potential </w:t>
            </w:r>
            <w:r w:rsidRPr="0045151D">
              <w:rPr>
                <w:rFonts w:ascii="Calibri" w:eastAsia="Calibri" w:hAnsi="Calibri" w:cs="Calibri"/>
                <w:color w:val="000000"/>
                <w:sz w:val="20"/>
                <w:szCs w:val="20"/>
                <w:lang w:val="en-GB"/>
              </w:rPr>
              <w:lastRenderedPageBreak/>
              <w:t>alternative investment options was made considering the constraints resulting from earlier decisions, then further analyses of the options excluded on the basis of those decisions may not be necessary.</w:t>
            </w:r>
          </w:p>
          <w:p w14:paraId="5A16A47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Chapter 1.4 below provides recommendations on option analysis (i.e. process and methodology) to be considered when describing the historical option selection processes.</w:t>
            </w:r>
          </w:p>
          <w:p w14:paraId="31AF5E77" w14:textId="77777777" w:rsidR="00600DEE" w:rsidRPr="0045151D" w:rsidRDefault="00600DEE">
            <w:pPr>
              <w:spacing w:after="120" w:line="280" w:lineRule="auto"/>
              <w:ind w:right="170"/>
              <w:rPr>
                <w:rFonts w:ascii="Calibri" w:eastAsia="Calibri" w:hAnsi="Calibri" w:cs="Calibri"/>
                <w:b/>
                <w:color w:val="323299"/>
                <w:lang w:val="en-GB"/>
              </w:rPr>
            </w:pPr>
          </w:p>
        </w:tc>
      </w:tr>
    </w:tbl>
    <w:p w14:paraId="1DFB7F99" w14:textId="4F7F8738" w:rsidR="00600DEE" w:rsidRDefault="00641FB5" w:rsidP="00D5736B">
      <w:pPr>
        <w:pStyle w:val="Nagwek2"/>
        <w:numPr>
          <w:ilvl w:val="1"/>
          <w:numId w:val="17"/>
        </w:numPr>
        <w:ind w:left="0" w:firstLine="0"/>
        <w:rPr>
          <w:rFonts w:ascii="Calibri" w:eastAsia="Calibri" w:hAnsi="Calibri" w:cs="Calibri"/>
          <w:i/>
          <w:color w:val="4F81BD"/>
        </w:rPr>
      </w:pPr>
      <w:bookmarkStart w:id="18" w:name="_Toc95377965"/>
      <w:r>
        <w:rPr>
          <w:rFonts w:ascii="Calibri" w:eastAsia="Calibri" w:hAnsi="Calibri" w:cs="Calibri"/>
          <w:color w:val="4F81BD"/>
        </w:rPr>
        <w:lastRenderedPageBreak/>
        <w:t>Stan istniejący</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1.2   Existing conditions</w:t>
      </w:r>
      <w:bookmarkEnd w:id="18"/>
    </w:p>
    <w:tbl>
      <w:tblPr>
        <w:tblStyle w:val="ab"/>
        <w:tblW w:w="14571" w:type="dxa"/>
        <w:tblLayout w:type="fixed"/>
        <w:tblLook w:val="0400" w:firstRow="0" w:lastRow="0" w:firstColumn="0" w:lastColumn="0" w:noHBand="0" w:noVBand="1"/>
      </w:tblPr>
      <w:tblGrid>
        <w:gridCol w:w="7367"/>
        <w:gridCol w:w="7204"/>
      </w:tblGrid>
      <w:tr w:rsidR="00600DEE" w:rsidRPr="007463B9" w14:paraId="46499286" w14:textId="77777777">
        <w:tc>
          <w:tcPr>
            <w:tcW w:w="7367" w:type="dxa"/>
            <w:tcBorders>
              <w:right w:val="single" w:sz="4" w:space="0" w:color="000000"/>
            </w:tcBorders>
            <w:tcMar>
              <w:left w:w="284" w:type="dxa"/>
              <w:right w:w="284" w:type="dxa"/>
            </w:tcMar>
          </w:tcPr>
          <w:p w14:paraId="545AC04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Identyfikacja inwestycji powinna być poprzedzona przedstawieniem stanu istniejącego infrastruktury transportowej, w szczególności, co najmniej, infrastruktury drogowej. </w:t>
            </w:r>
          </w:p>
          <w:p w14:paraId="38908B9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Analiza istniejącej infrastruktury powinna obejmować między innymi: </w:t>
            </w:r>
          </w:p>
          <w:p w14:paraId="1C47E11F"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parametry funkcjonalne i ruchowe,</w:t>
            </w:r>
          </w:p>
          <w:p w14:paraId="0C941DC2"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charakterystyka społeczno - funkcjonalna otoczenia (z uwzględnieniem charakterystyki sieci multimodalnej, jeżeli dotyczy), </w:t>
            </w:r>
          </w:p>
          <w:p w14:paraId="2946577F"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parametry techniczne i technologiczne (np. przekrój poprzeczny, klasa nośności, itd.),</w:t>
            </w:r>
          </w:p>
          <w:p w14:paraId="0A976993"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stan techniczny. </w:t>
            </w:r>
          </w:p>
          <w:p w14:paraId="6DB9D5FC" w14:textId="77777777" w:rsidR="00600DEE" w:rsidRDefault="00641FB5">
            <w:pPr>
              <w:pBdr>
                <w:top w:val="nil"/>
                <w:left w:val="nil"/>
                <w:bottom w:val="nil"/>
                <w:right w:val="nil"/>
                <w:between w:val="nil"/>
              </w:pBdr>
              <w:spacing w:before="120"/>
              <w:jc w:val="both"/>
              <w:rPr>
                <w:rFonts w:ascii="Calibri" w:eastAsia="Calibri" w:hAnsi="Calibri" w:cs="Calibri"/>
                <w:b/>
                <w:color w:val="323299"/>
                <w:sz w:val="20"/>
                <w:szCs w:val="20"/>
              </w:rPr>
            </w:pPr>
            <w:r>
              <w:rPr>
                <w:rFonts w:ascii="Calibri" w:eastAsia="Calibri" w:hAnsi="Calibri" w:cs="Calibri"/>
                <w:color w:val="000000"/>
                <w:sz w:val="20"/>
                <w:szCs w:val="20"/>
              </w:rPr>
              <w:t xml:space="preserve">Analiza stanu istniejącego powinna przedstawić aktualne problemy związane </w:t>
            </w:r>
            <w:r>
              <w:rPr>
                <w:rFonts w:ascii="Calibri" w:eastAsia="Calibri" w:hAnsi="Calibri" w:cs="Calibri"/>
                <w:color w:val="000000"/>
                <w:sz w:val="20"/>
                <w:szCs w:val="20"/>
              </w:rPr>
              <w:br/>
              <w:t>z użytkowaniem danego odcinka układu drogowego lub systemu transportowego. Musi również uwzględniać kontekst ogólnej analizy strategii/planu.</w:t>
            </w:r>
          </w:p>
        </w:tc>
        <w:tc>
          <w:tcPr>
            <w:tcW w:w="7204" w:type="dxa"/>
            <w:tcBorders>
              <w:left w:val="single" w:sz="4" w:space="0" w:color="000000"/>
            </w:tcBorders>
            <w:tcMar>
              <w:left w:w="284" w:type="dxa"/>
              <w:right w:w="284" w:type="dxa"/>
            </w:tcMar>
          </w:tcPr>
          <w:p w14:paraId="0D531D7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identification of the investment should be preceded by the presentation of the existing condition of the transport infrastructure, in particular and at least, the road infrastructure.</w:t>
            </w:r>
          </w:p>
          <w:p w14:paraId="489ED81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analysis of the existing infrastructure ought to include, inter-alia:</w:t>
            </w:r>
          </w:p>
          <w:p w14:paraId="10D5C7F9" w14:textId="77777777" w:rsidR="00600DEE"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rPr>
            </w:pPr>
            <w:r>
              <w:rPr>
                <w:rFonts w:ascii="Calibri" w:eastAsia="Calibri" w:hAnsi="Calibri" w:cs="Calibri"/>
                <w:color w:val="000000"/>
                <w:sz w:val="20"/>
                <w:szCs w:val="20"/>
              </w:rPr>
              <w:t>functional and traffic parameters,</w:t>
            </w:r>
          </w:p>
          <w:p w14:paraId="74656376"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socio-functional characteristics of the environment (including multi-modal transport view, if applicable),</w:t>
            </w:r>
          </w:p>
          <w:p w14:paraId="70A5950F"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technical and technological parameters (e.g. cross-section, axle load, etc.) ,</w:t>
            </w:r>
          </w:p>
          <w:p w14:paraId="1B544F92" w14:textId="77777777" w:rsidR="00600DEE"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rPr>
            </w:pPr>
            <w:r>
              <w:rPr>
                <w:rFonts w:ascii="Calibri" w:eastAsia="Calibri" w:hAnsi="Calibri" w:cs="Calibri"/>
                <w:color w:val="000000"/>
                <w:sz w:val="20"/>
                <w:szCs w:val="20"/>
              </w:rPr>
              <w:t>technical condition.</w:t>
            </w:r>
          </w:p>
          <w:p w14:paraId="0C7D55E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analysis of the existing conditions should present the current problems associated with the operation of the relevant section of the road or road transport system. It should also be presented in the context of the overall Strategy/Plan analysis.</w:t>
            </w:r>
          </w:p>
          <w:p w14:paraId="3F554BCB" w14:textId="77777777" w:rsidR="00600DEE" w:rsidRPr="0045151D" w:rsidRDefault="00600DEE">
            <w:pPr>
              <w:spacing w:line="276" w:lineRule="auto"/>
              <w:ind w:right="170"/>
              <w:rPr>
                <w:rFonts w:ascii="Calibri" w:eastAsia="Calibri" w:hAnsi="Calibri" w:cs="Calibri"/>
                <w:b/>
                <w:color w:val="323299"/>
                <w:lang w:val="en-GB"/>
              </w:rPr>
            </w:pPr>
          </w:p>
        </w:tc>
      </w:tr>
    </w:tbl>
    <w:p w14:paraId="0F86E81D" w14:textId="71F7B594" w:rsidR="00600DEE" w:rsidRDefault="00641FB5" w:rsidP="00D5736B">
      <w:pPr>
        <w:pStyle w:val="Nagwek2"/>
        <w:numPr>
          <w:ilvl w:val="1"/>
          <w:numId w:val="17"/>
        </w:numPr>
        <w:ind w:left="0" w:firstLine="0"/>
        <w:rPr>
          <w:rFonts w:ascii="Calibri" w:eastAsia="Calibri" w:hAnsi="Calibri" w:cs="Calibri"/>
          <w:i/>
          <w:color w:val="4F81BD"/>
        </w:rPr>
      </w:pPr>
      <w:bookmarkStart w:id="19" w:name="_Toc95377966"/>
      <w:r>
        <w:rPr>
          <w:rFonts w:ascii="Calibri" w:eastAsia="Calibri" w:hAnsi="Calibri" w:cs="Calibri"/>
          <w:color w:val="4F81BD"/>
        </w:rPr>
        <w:lastRenderedPageBreak/>
        <w:t>Cele projektu</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1.3   Project objectives</w:t>
      </w:r>
      <w:bookmarkEnd w:id="19"/>
    </w:p>
    <w:tbl>
      <w:tblPr>
        <w:tblStyle w:val="ac"/>
        <w:tblW w:w="14565" w:type="dxa"/>
        <w:tblLayout w:type="fixed"/>
        <w:tblLook w:val="0400" w:firstRow="0" w:lastRow="0" w:firstColumn="0" w:lastColumn="0" w:noHBand="0" w:noVBand="1"/>
      </w:tblPr>
      <w:tblGrid>
        <w:gridCol w:w="7371"/>
        <w:gridCol w:w="7194"/>
      </w:tblGrid>
      <w:tr w:rsidR="00600DEE" w:rsidRPr="007463B9" w14:paraId="5FD03083" w14:textId="77777777">
        <w:tc>
          <w:tcPr>
            <w:tcW w:w="7371" w:type="dxa"/>
            <w:tcBorders>
              <w:right w:val="single" w:sz="4" w:space="0" w:color="000000"/>
            </w:tcBorders>
            <w:tcMar>
              <w:left w:w="284" w:type="dxa"/>
              <w:right w:w="284" w:type="dxa"/>
            </w:tcMar>
          </w:tcPr>
          <w:p w14:paraId="45835450" w14:textId="6D9E4015"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Podstawową przesłanką do realizacji projektu transportowego jest konieczność rozwiązania istniejących lub przewidywanych problemów transportowych (lub zaspokojenie </w:t>
            </w:r>
            <w:r w:rsidR="004D5549">
              <w:rPr>
                <w:rFonts w:ascii="Calibri" w:eastAsia="Calibri" w:hAnsi="Calibri" w:cs="Calibri"/>
                <w:color w:val="000000"/>
                <w:sz w:val="20"/>
                <w:szCs w:val="20"/>
              </w:rPr>
              <w:t>istniejących lub przewidywanych</w:t>
            </w:r>
            <w:r>
              <w:rPr>
                <w:rFonts w:ascii="Calibri" w:eastAsia="Calibri" w:hAnsi="Calibri" w:cs="Calibri"/>
                <w:color w:val="000000"/>
                <w:sz w:val="20"/>
                <w:szCs w:val="20"/>
              </w:rPr>
              <w:t xml:space="preserve"> potrzeb transportowych), a także kształtowania popytu na transport w kierunku zrównoważonego rozwoju. Najważniejsze problemy identyfikowane są na poziomie właściwej strategii transportowej lub planu transportowego. Określając cele pojedynczego projektu, należy przedstawić ich spójność z celami zawartymi w strategii transportowej, aktualnej na dzień sporządzania analiz oraz z celami zawartymi w Programie Operacyjnym. Posiadanie takiej strategii (na poziomie krajowym i/lub regionalnym, właściwej dla danego projektu) stanowi jeden z warunków ex-ante ubiegania się o dofinansowanie projektu z funduszy UE 2021-2027.</w:t>
            </w:r>
          </w:p>
          <w:p w14:paraId="5A46483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toku wcześniejszych prac analitycznych, szczegółowe cele i proponowane środki prowadzące do osiągnięcia celów projektu mogły zostać zmienione z różnych powodów. Dlatego na początku analizy powinny one zostać ponownie ocenione pod kątem skuteczności w zakresie realizacji aktualnych strategii.</w:t>
            </w:r>
          </w:p>
          <w:p w14:paraId="554E61CA" w14:textId="13F93E04"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20" w:name="_heading=h.35nkun2" w:colFirst="0" w:colLast="0"/>
            <w:bookmarkEnd w:id="20"/>
            <w:r>
              <w:rPr>
                <w:rFonts w:ascii="Calibri" w:eastAsia="Calibri" w:hAnsi="Calibri" w:cs="Calibri"/>
                <w:color w:val="000000"/>
                <w:sz w:val="20"/>
                <w:szCs w:val="20"/>
              </w:rPr>
              <w:t xml:space="preserve">Środkiem do osiągnięcia celów projektu drogowego będzie zazwyczaj poprawa stanu istniejącej drogi, likwidacja zatorów komunikacyjnych, ominięcie terenu zabudowanego, zmniejszenie liczby wypadków, poprawa efektywności wykorzystania infrastruktury itp. </w:t>
            </w:r>
            <w:r>
              <w:rPr>
                <w:rFonts w:ascii="Calibri" w:eastAsia="Calibri" w:hAnsi="Calibri" w:cs="Calibri"/>
                <w:b/>
                <w:color w:val="000000"/>
                <w:sz w:val="20"/>
                <w:szCs w:val="20"/>
              </w:rPr>
              <w:t>Celem nie powinno być wybudowanie drogi o z góry założonych parametrach łączącej punkty A i B, ponieważ tak wąska definicja celu ogranicza możliwe do realizacji warianty i niweczy korzyści wynikające z AKK.</w:t>
            </w:r>
            <w:r>
              <w:rPr>
                <w:rFonts w:ascii="Calibri" w:eastAsia="Calibri" w:hAnsi="Calibri" w:cs="Calibri"/>
                <w:color w:val="000000"/>
                <w:sz w:val="20"/>
                <w:szCs w:val="20"/>
              </w:rPr>
              <w:t xml:space="preserve"> W szczególności projekty drogowe, które należy postrzegać w aspekcie wielogał</w:t>
            </w:r>
            <w:r w:rsidR="004D5549">
              <w:rPr>
                <w:rFonts w:ascii="Calibri" w:eastAsia="Calibri" w:hAnsi="Calibri" w:cs="Calibri"/>
                <w:color w:val="000000"/>
                <w:sz w:val="20"/>
                <w:szCs w:val="20"/>
              </w:rPr>
              <w:t>ę</w:t>
            </w:r>
            <w:r>
              <w:rPr>
                <w:rFonts w:ascii="Calibri" w:eastAsia="Calibri" w:hAnsi="Calibri" w:cs="Calibri"/>
                <w:color w:val="000000"/>
                <w:sz w:val="20"/>
                <w:szCs w:val="20"/>
              </w:rPr>
              <w:t>ziowym jako element odpowiedniej strategii/planu zrównoważonego rozwoju transportu, mogą przyczyniać się do rozwiazywania poniższych problemów:</w:t>
            </w:r>
          </w:p>
          <w:p w14:paraId="3B0A7878"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ograniczenie zatłoczenia poprzez eliminację „wąskich gardeł”,</w:t>
            </w:r>
          </w:p>
          <w:p w14:paraId="1BBC77A0"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zwiększenie przepustowości i/lub poprawa walorów użytkowych poprzez redukcję czasu podróży oraz kosztów eksploatacji pojazdów prowadzące do obniżenia kosztów transportu drogowego,</w:t>
            </w:r>
          </w:p>
          <w:p w14:paraId="2845FB69"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poprawa bezpieczeństwa (redukcja wypadków) poprzez działania z zakresu BRD (Bezpieczeństwa Ruchu Drogowego),</w:t>
            </w:r>
          </w:p>
          <w:p w14:paraId="1FCAAD29"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poprawa dostępności dla osób z obszarów lub regionów peryferyjnych,</w:t>
            </w:r>
          </w:p>
          <w:p w14:paraId="3D61B258"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lastRenderedPageBreak/>
              <w:t>zwiększenie atrakcyjności inwestycyjnej regionu,</w:t>
            </w:r>
          </w:p>
          <w:p w14:paraId="6803B980"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umożliwienie aktywizacji gospodarczej,</w:t>
            </w:r>
          </w:p>
          <w:p w14:paraId="71F0540A"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bookmarkStart w:id="21" w:name="_heading=h.1ksv4uv" w:colFirst="0" w:colLast="0"/>
            <w:bookmarkEnd w:id="21"/>
            <w:r>
              <w:rPr>
                <w:rFonts w:ascii="Calibri" w:eastAsia="Calibri" w:hAnsi="Calibri" w:cs="Calibri"/>
                <w:color w:val="000000"/>
                <w:sz w:val="20"/>
                <w:szCs w:val="20"/>
              </w:rPr>
              <w:t>poprawa odporności istniejącej infrastruktury na zmiany klimatu,</w:t>
            </w:r>
          </w:p>
          <w:p w14:paraId="2BD4FD18" w14:textId="78D0A283"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b/>
                <w:color w:val="000000"/>
                <w:sz w:val="20"/>
                <w:szCs w:val="20"/>
              </w:rPr>
            </w:pPr>
            <w:r>
              <w:rPr>
                <w:rFonts w:ascii="Calibri" w:eastAsia="Calibri" w:hAnsi="Calibri" w:cs="Calibri"/>
                <w:color w:val="000000"/>
                <w:sz w:val="20"/>
                <w:szCs w:val="20"/>
              </w:rPr>
              <w:t>poprawa warunków środowiskowych (np. zmniejszenie hałasu, zanieczyszczenia powietrza) mieszkańców miejscowości znajdujących się w sąsiedztwie korytarza istniejącej drogi i promowanie zrównoważoneg</w:t>
            </w:r>
            <w:r w:rsidR="004D5549">
              <w:rPr>
                <w:rFonts w:ascii="Calibri" w:eastAsia="Calibri" w:hAnsi="Calibri" w:cs="Calibri"/>
                <w:color w:val="000000"/>
                <w:sz w:val="20"/>
                <w:szCs w:val="20"/>
              </w:rPr>
              <w:t>o systemu transportowego,</w:t>
            </w:r>
          </w:p>
          <w:p w14:paraId="24FE4621"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poprawa systemu zarządzania drogami, </w:t>
            </w:r>
          </w:p>
          <w:p w14:paraId="49D5339C" w14:textId="77777777"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spełnianie potrzeb użytkowników w zakresie mobilności i transportu,</w:t>
            </w:r>
          </w:p>
          <w:p w14:paraId="1329B66D" w14:textId="58B03474" w:rsidR="00600DEE" w:rsidRDefault="00641FB5" w:rsidP="00D5736B">
            <w:pPr>
              <w:numPr>
                <w:ilvl w:val="0"/>
                <w:numId w:val="19"/>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poprawa do</w:t>
            </w:r>
            <w:r w:rsidR="004D5549">
              <w:rPr>
                <w:rFonts w:ascii="Calibri" w:eastAsia="Calibri" w:hAnsi="Calibri" w:cs="Calibri"/>
                <w:color w:val="000000"/>
                <w:sz w:val="20"/>
                <w:szCs w:val="20"/>
              </w:rPr>
              <w:t>stępności dla osób z ograniczoną</w:t>
            </w:r>
            <w:r>
              <w:rPr>
                <w:rFonts w:ascii="Calibri" w:eastAsia="Calibri" w:hAnsi="Calibri" w:cs="Calibri"/>
                <w:color w:val="000000"/>
                <w:sz w:val="20"/>
                <w:szCs w:val="20"/>
              </w:rPr>
              <w:t xml:space="preserve"> mobilnością.</w:t>
            </w:r>
          </w:p>
          <w:p w14:paraId="42482367" w14:textId="51EA24E5" w:rsidR="00600DEE" w:rsidRDefault="00641FB5" w:rsidP="004D5549">
            <w:pPr>
              <w:pBdr>
                <w:top w:val="nil"/>
                <w:left w:val="nil"/>
                <w:bottom w:val="nil"/>
                <w:right w:val="nil"/>
                <w:between w:val="nil"/>
              </w:pBdr>
              <w:spacing w:before="120"/>
              <w:jc w:val="both"/>
              <w:rPr>
                <w:rFonts w:ascii="Calibri" w:eastAsia="Calibri" w:hAnsi="Calibri" w:cs="Calibri"/>
                <w:color w:val="000000"/>
                <w:sz w:val="20"/>
                <w:szCs w:val="20"/>
              </w:rPr>
            </w:pPr>
            <w:bookmarkStart w:id="22" w:name="_heading=h.44sinio" w:colFirst="0" w:colLast="0"/>
            <w:bookmarkEnd w:id="22"/>
            <w:r>
              <w:rPr>
                <w:rFonts w:ascii="Calibri" w:eastAsia="Calibri" w:hAnsi="Calibri" w:cs="Calibri"/>
                <w:color w:val="000000"/>
                <w:sz w:val="20"/>
                <w:szCs w:val="20"/>
              </w:rPr>
              <w:t>Cele projektu powinny zostać określone ilościowo i o ile to możliwe, ujęte we wskaźniki (wynikające z przeprowadzonej analizy) logicznie powiązane z rozwiązywaniem problemów i korzyściami opisanymi powyżej (zdefiniowane z uwzględnieniem celów strategii/planu i ujednolicone z nimi). Na przykład, wskaźniki związane ze spodziewanymi natężeniami ruchu, oszczę</w:t>
            </w:r>
            <w:r w:rsidR="004D5549">
              <w:rPr>
                <w:rFonts w:ascii="Calibri" w:eastAsia="Calibri" w:hAnsi="Calibri" w:cs="Calibri"/>
                <w:color w:val="000000"/>
                <w:sz w:val="20"/>
                <w:szCs w:val="20"/>
              </w:rPr>
              <w:t>dnościami czasu podróży, średnimi prędkościami</w:t>
            </w:r>
            <w:r>
              <w:rPr>
                <w:rFonts w:ascii="Calibri" w:eastAsia="Calibri" w:hAnsi="Calibri" w:cs="Calibri"/>
                <w:color w:val="000000"/>
                <w:sz w:val="20"/>
                <w:szCs w:val="20"/>
              </w:rPr>
              <w:t xml:space="preserve"> podróży, poprawą bezpieczeństwa ruchu, emisją gazów cieplarnianych lub zanieczyszczeń powietrza, zwiększoną odpornością na zmiany klimatu itd.</w:t>
            </w:r>
          </w:p>
        </w:tc>
        <w:tc>
          <w:tcPr>
            <w:tcW w:w="7194" w:type="dxa"/>
            <w:tcBorders>
              <w:left w:val="single" w:sz="4" w:space="0" w:color="000000"/>
            </w:tcBorders>
            <w:tcMar>
              <w:left w:w="284" w:type="dxa"/>
              <w:right w:w="284" w:type="dxa"/>
            </w:tcMar>
          </w:tcPr>
          <w:p w14:paraId="6482FBE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The primary reason for implementing a transport project is addressing an existing or expected transport problem (or meeting  an existing or expected transport needs) as well as influencing transport demand towards sustainable development. Main problems are usually identified at the level of the relevant transport strategy. Therefore, when presenting the goals for a single project, one should demonstrate their consistency with aims of the transport strategy valid as of the date of the analysis and alignment with the Operational Programme priorities. Existence of such strategy (at national and/or regional level, the relevant one/s for the project) constitutes one of the ex-ante conditionalities for applying for co-financing of the project from EU funds 2021-2027.</w:t>
            </w:r>
          </w:p>
          <w:p w14:paraId="1006FD2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 the course of any earlier analyses of the project, detailed objectives and measures leading to achievement of the project objectives could have changed due to various circumstances. Therefore, at the beginning of the analysis, any previously assumed project objectives and measures should be reassessed in terms of current strategies’ implementation. </w:t>
            </w:r>
          </w:p>
          <w:p w14:paraId="772A7D0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means to achieve a road project’s objectives will usually involve: improvement of the condition of an existing road, elimination of traffic congestion, bypassing a built-up area, reduction of the number of road accidents, improvement of road mobility efficiency, etc. </w:t>
            </w:r>
            <w:r w:rsidRPr="0045151D">
              <w:rPr>
                <w:rFonts w:ascii="Calibri" w:eastAsia="Calibri" w:hAnsi="Calibri" w:cs="Calibri"/>
                <w:b/>
                <w:color w:val="000000"/>
                <w:sz w:val="20"/>
                <w:szCs w:val="20"/>
                <w:lang w:val="en-GB"/>
              </w:rPr>
              <w:t>The objective should not be defined as the construction of a road of pre-determined parameters between points A and B, since such narrowly defined objective limits the options available and negates the benefits of the CBA</w:t>
            </w:r>
            <w:r w:rsidRPr="0045151D">
              <w:rPr>
                <w:rFonts w:ascii="Calibri" w:eastAsia="Calibri" w:hAnsi="Calibri" w:cs="Calibri"/>
                <w:color w:val="000000"/>
                <w:sz w:val="20"/>
                <w:szCs w:val="20"/>
                <w:lang w:val="en-GB"/>
              </w:rPr>
              <w:t>. In particular, road projects may typically contribute to resolution of the following problems that need to be considered within a multi-modal view as part of the relevant Strategy/Plan for sustainable transport development:</w:t>
            </w:r>
          </w:p>
          <w:p w14:paraId="340BA121"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reduction of congestion by resolving capacity constraints,</w:t>
            </w:r>
          </w:p>
          <w:p w14:paraId="3D314754"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improvement of the capacity and/or performance by reducing travel time and vehicle operating costs leading to a lowering of road transport costs,</w:t>
            </w:r>
          </w:p>
          <w:p w14:paraId="268A4147"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improvement of road safety conditions (reducing accidents) by adopting road traffic safety measures,</w:t>
            </w:r>
          </w:p>
          <w:p w14:paraId="20F6F984"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improvements in accessibility for people in peripheral areas or regions,</w:t>
            </w:r>
          </w:p>
          <w:p w14:paraId="3DCF03B0"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increase of region investment attractiveness,</w:t>
            </w:r>
          </w:p>
          <w:p w14:paraId="49CD3C65"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contribution to the region’s economic reactivation,</w:t>
            </w:r>
          </w:p>
          <w:p w14:paraId="6192D724"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increase in climate change resilience of existing infrastructure,</w:t>
            </w:r>
          </w:p>
          <w:p w14:paraId="595461DC" w14:textId="17C615AB"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improvement of the environmental conditions (i.e. reducing noise, air pollution levels) for inhabitants of areas adjacent </w:t>
            </w:r>
            <w:r w:rsidR="004D5549">
              <w:rPr>
                <w:rFonts w:ascii="Calibri" w:eastAsia="Calibri" w:hAnsi="Calibri" w:cs="Calibri"/>
                <w:color w:val="000000"/>
                <w:sz w:val="20"/>
                <w:szCs w:val="20"/>
                <w:lang w:val="en-GB"/>
              </w:rPr>
              <w:t xml:space="preserve">to </w:t>
            </w:r>
            <w:r w:rsidRPr="0045151D">
              <w:rPr>
                <w:rFonts w:ascii="Calibri" w:eastAsia="Calibri" w:hAnsi="Calibri" w:cs="Calibri"/>
                <w:color w:val="000000"/>
                <w:sz w:val="20"/>
                <w:szCs w:val="20"/>
                <w:lang w:val="en-GB"/>
              </w:rPr>
              <w:t>the existing road corridor, and promoting a sustainable transport system.</w:t>
            </w:r>
          </w:p>
          <w:p w14:paraId="153B1056"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improvement of road management system,</w:t>
            </w:r>
          </w:p>
          <w:p w14:paraId="15EE7DCC"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fulfillment of users needs in terms of mobility and transport,</w:t>
            </w:r>
          </w:p>
          <w:p w14:paraId="795CCAAE" w14:textId="77777777" w:rsidR="00600DEE" w:rsidRPr="0045151D" w:rsidRDefault="00641FB5" w:rsidP="00D5736B">
            <w:pPr>
              <w:numPr>
                <w:ilvl w:val="0"/>
                <w:numId w:val="1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improvement of accessibility for users with limited mobility.</w:t>
            </w:r>
          </w:p>
          <w:p w14:paraId="77D871AA"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458D7BB9"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323299"/>
                <w:sz w:val="20"/>
                <w:szCs w:val="20"/>
                <w:lang w:val="en-GB"/>
              </w:rPr>
            </w:pPr>
            <w:r w:rsidRPr="0045151D">
              <w:rPr>
                <w:rFonts w:ascii="Calibri" w:eastAsia="Calibri" w:hAnsi="Calibri" w:cs="Calibri"/>
                <w:color w:val="000000"/>
                <w:sz w:val="20"/>
                <w:szCs w:val="20"/>
                <w:lang w:val="en-GB"/>
              </w:rPr>
              <w:t>Project objectives should be quantified and targeted with the use of indicators (related to the present analysis) when possible, and logically linked with the solutions of problems and benefits described above (defined and aligned with Strategy/Plan objectives). For example, indicators including expected traffic volumes, travel time savings, average travel speeds, traffic safety improvements, GHG or air pollutants emissions, increased climate resilience, etc.</w:t>
            </w:r>
          </w:p>
        </w:tc>
      </w:tr>
    </w:tbl>
    <w:p w14:paraId="14B0899B" w14:textId="1CDD5972" w:rsidR="0073146B" w:rsidRDefault="00641FB5" w:rsidP="00D5736B">
      <w:pPr>
        <w:pStyle w:val="Nagwek2"/>
        <w:numPr>
          <w:ilvl w:val="1"/>
          <w:numId w:val="17"/>
        </w:numPr>
        <w:ind w:left="0" w:right="28" w:firstLine="0"/>
        <w:rPr>
          <w:rFonts w:ascii="Calibri" w:eastAsia="Calibri" w:hAnsi="Calibri" w:cs="Calibri"/>
          <w:i/>
          <w:color w:val="4F81BD"/>
        </w:rPr>
      </w:pPr>
      <w:bookmarkStart w:id="23" w:name="_Toc91596229"/>
      <w:bookmarkStart w:id="24" w:name="_Toc95377967"/>
      <w:r>
        <w:rPr>
          <w:rFonts w:ascii="Calibri" w:eastAsia="Calibri" w:hAnsi="Calibri" w:cs="Calibri"/>
          <w:color w:val="4F81BD"/>
        </w:rPr>
        <w:lastRenderedPageBreak/>
        <w:t>Identyfikacja efektywnych wariantów inwestycyjnych projektu</w:t>
      </w:r>
      <w:bookmarkEnd w:id="23"/>
      <w:bookmarkEnd w:id="24"/>
      <w:r>
        <w:rPr>
          <w:rFonts w:ascii="Calibri" w:eastAsia="Calibri" w:hAnsi="Calibri" w:cs="Calibri"/>
          <w:color w:val="4F81BD"/>
        </w:rPr>
        <w:t xml:space="preserve">           </w:t>
      </w:r>
    </w:p>
    <w:p w14:paraId="50E1F64B" w14:textId="610FA60E" w:rsidR="00600DEE" w:rsidRPr="0073146B" w:rsidRDefault="00641FB5" w:rsidP="0073146B">
      <w:pPr>
        <w:pStyle w:val="Nagwek2"/>
        <w:numPr>
          <w:ilvl w:val="0"/>
          <w:numId w:val="0"/>
        </w:numPr>
        <w:ind w:right="28" w:firstLine="720"/>
        <w:rPr>
          <w:rFonts w:ascii="Calibri" w:eastAsia="Calibri" w:hAnsi="Calibri" w:cs="Calibri"/>
          <w:i/>
          <w:color w:val="4F81BD"/>
        </w:rPr>
      </w:pPr>
      <w:bookmarkStart w:id="25" w:name="_Toc95377968"/>
      <w:r w:rsidRPr="0073146B">
        <w:rPr>
          <w:rFonts w:ascii="Calibri" w:eastAsia="Calibri" w:hAnsi="Calibri" w:cs="Calibri"/>
          <w:i/>
          <w:color w:val="4F81BD"/>
        </w:rPr>
        <w:t>Identification of effective project Investment Options</w:t>
      </w:r>
      <w:bookmarkEnd w:id="25"/>
    </w:p>
    <w:tbl>
      <w:tblPr>
        <w:tblStyle w:val="ad"/>
        <w:tblW w:w="14571" w:type="dxa"/>
        <w:tblLayout w:type="fixed"/>
        <w:tblLook w:val="0400" w:firstRow="0" w:lastRow="0" w:firstColumn="0" w:lastColumn="0" w:noHBand="0" w:noVBand="1"/>
      </w:tblPr>
      <w:tblGrid>
        <w:gridCol w:w="7367"/>
        <w:gridCol w:w="7204"/>
      </w:tblGrid>
      <w:tr w:rsidR="00600DEE" w:rsidRPr="007463B9" w14:paraId="0B3DE926" w14:textId="77777777" w:rsidTr="00DC3FFD">
        <w:tc>
          <w:tcPr>
            <w:tcW w:w="7367" w:type="dxa"/>
            <w:tcBorders>
              <w:right w:val="single" w:sz="4" w:space="0" w:color="000000"/>
            </w:tcBorders>
            <w:tcMar>
              <w:left w:w="284" w:type="dxa"/>
              <w:right w:w="284" w:type="dxa"/>
            </w:tcMar>
          </w:tcPr>
          <w:p w14:paraId="07B279E2" w14:textId="0ECFFE45"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Cele wynikające z planów /strategii transportowych, oparte na ko</w:t>
            </w:r>
            <w:r w:rsidR="00F6627D">
              <w:rPr>
                <w:rFonts w:ascii="Calibri" w:eastAsia="Calibri" w:hAnsi="Calibri" w:cs="Calibri"/>
                <w:color w:val="000000"/>
                <w:sz w:val="20"/>
                <w:szCs w:val="20"/>
              </w:rPr>
              <w:t xml:space="preserve">mpleksowej analizie wszystkich </w:t>
            </w:r>
            <w:r>
              <w:rPr>
                <w:rFonts w:ascii="Calibri" w:eastAsia="Calibri" w:hAnsi="Calibri" w:cs="Calibri"/>
                <w:color w:val="000000"/>
                <w:sz w:val="20"/>
                <w:szCs w:val="20"/>
              </w:rPr>
              <w:t>aspektów dotyczących mobilności, można osiągnąć na kilka sposobów. Oznacza to, że istnieje kilka możliwych rozwiązań obejmujących szereg wariantów inwestycyjnych. Każdy potencjalny wariant, który realizuje cele planowanego projektu, należy zidentyfikować na wstępnym etapie opracowania projektu –</w:t>
            </w:r>
            <w:r w:rsidR="00F6627D">
              <w:rPr>
                <w:rFonts w:ascii="Calibri" w:eastAsia="Calibri" w:hAnsi="Calibri" w:cs="Calibri"/>
                <w:color w:val="000000"/>
                <w:sz w:val="20"/>
                <w:szCs w:val="20"/>
              </w:rPr>
              <w:t xml:space="preserve"> </w:t>
            </w:r>
            <w:r>
              <w:rPr>
                <w:rFonts w:ascii="Calibri" w:eastAsia="Calibri" w:hAnsi="Calibri" w:cs="Calibri"/>
                <w:color w:val="000000"/>
                <w:sz w:val="20"/>
                <w:szCs w:val="20"/>
              </w:rPr>
              <w:t xml:space="preserve">Faza I. </w:t>
            </w:r>
          </w:p>
          <w:p w14:paraId="64FA9663" w14:textId="66F04B73"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trakcie pierwszego etapu analizy wariantów (dla projektów nie będących przebudowami/</w:t>
            </w:r>
            <w:r w:rsidR="00F6627D">
              <w:rPr>
                <w:rFonts w:ascii="Calibri" w:eastAsia="Calibri" w:hAnsi="Calibri" w:cs="Calibri"/>
                <w:color w:val="000000"/>
                <w:sz w:val="20"/>
                <w:szCs w:val="20"/>
              </w:rPr>
              <w:t xml:space="preserve"> </w:t>
            </w:r>
            <w:r>
              <w:rPr>
                <w:rFonts w:ascii="Calibri" w:eastAsia="Calibri" w:hAnsi="Calibri" w:cs="Calibri"/>
                <w:color w:val="000000"/>
                <w:sz w:val="20"/>
                <w:szCs w:val="20"/>
              </w:rPr>
              <w:t xml:space="preserve">modernizacjami istniejących dróg), zazwyczaj dokonuje się </w:t>
            </w:r>
            <w:r>
              <w:rPr>
                <w:rFonts w:ascii="Calibri" w:eastAsia="Calibri" w:hAnsi="Calibri" w:cs="Calibri"/>
                <w:b/>
                <w:color w:val="000000"/>
                <w:sz w:val="20"/>
                <w:szCs w:val="20"/>
              </w:rPr>
              <w:t xml:space="preserve">analizy </w:t>
            </w:r>
            <w:r>
              <w:rPr>
                <w:rFonts w:ascii="Calibri" w:eastAsia="Calibri" w:hAnsi="Calibri" w:cs="Calibri"/>
                <w:b/>
                <w:color w:val="000000"/>
                <w:sz w:val="20"/>
                <w:szCs w:val="20"/>
              </w:rPr>
              <w:lastRenderedPageBreak/>
              <w:t>wariantów strategicznych</w:t>
            </w:r>
            <w:r>
              <w:rPr>
                <w:rFonts w:ascii="Calibri" w:eastAsia="Calibri" w:hAnsi="Calibri" w:cs="Calibri"/>
                <w:color w:val="000000"/>
                <w:sz w:val="20"/>
                <w:szCs w:val="20"/>
              </w:rPr>
              <w:t xml:space="preserve">, polegającej na porównaniu wszystkich właściwych kryteriów (tzn. technicznych, prawnych, środowiskowych, ekonomicznych – w oparciu o wstępne obliczenia – lub politycznych uwarunkowań) oraz wyborze najbardziej obiecujących rozwiązań w kontekście celów planów/strategii transportowych. </w:t>
            </w:r>
          </w:p>
          <w:p w14:paraId="7C683225" w14:textId="091695B1"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Na pierwszym etapie analizy, rozmaite techniki lub narzędzia mogą być stosowane w celu wyboru wariantu(ów) do przeprowadzenia późniejszej analizy kosztów i korzyści. Narzędzia te powinny umożliwiać przeprowadzenie w przejrzysty sposób solidnej, kompleksowej, spójnej, i jednoznacznej analizy. Na przykład, do opracowania listy preferowanych wariantów inwestycyjnych pod kątem osiągnięcia założonych celów, może posłużyć analiza wielokryterialna (Multi-Criteria Analysis – MCA). Analiza MCA jest przeprowadzana z zastosowaniem jednoznacznie określonych racjonalnych kryteriów, co pozwala oceniającym ustalić, w jakim stopniu poszczególne cele inwestycji zostaną osiągnięte dzięki zastosowaniu dostępnych rozwiązań. Jej celem może być uszeregowanie (ranking) wariantów wg preferencji lub wyłonienie krótkiej listy wariantów do dalszych bardziej szczegółowych analiz. Inne sposoby oceny wariantów, jak np. analiza SWOT (Strenghts-Weaknesses-Opportunities-Threats) pozwalając</w:t>
            </w:r>
            <w:r w:rsidR="00BD6864">
              <w:rPr>
                <w:rFonts w:ascii="Calibri" w:eastAsia="Calibri" w:hAnsi="Calibri" w:cs="Calibri"/>
                <w:color w:val="000000"/>
                <w:sz w:val="20"/>
                <w:szCs w:val="20"/>
              </w:rPr>
              <w:t>a określić potencjalne korzyści</w:t>
            </w:r>
            <w:r w:rsidR="00F6627D">
              <w:rPr>
                <w:rFonts w:ascii="Calibri" w:eastAsia="Calibri" w:hAnsi="Calibri" w:cs="Calibri"/>
                <w:color w:val="000000"/>
                <w:sz w:val="20"/>
                <w:szCs w:val="20"/>
              </w:rPr>
              <w:t xml:space="preserve"> i</w:t>
            </w:r>
            <w:r>
              <w:rPr>
                <w:rFonts w:ascii="Calibri" w:eastAsia="Calibri" w:hAnsi="Calibri" w:cs="Calibri"/>
                <w:color w:val="000000"/>
                <w:sz w:val="20"/>
                <w:szCs w:val="20"/>
              </w:rPr>
              <w:t xml:space="preserve"> zagrożenia związane z projektem w odniesieniu do aspektów instytucjonalnych, prawnych, technicznych, ekonomicznych, zagospodarowania przestrzennego, ekologicznych i społecznych, także mogą być w niektórych przypadkach pomocne. Jeśli to tylko możliwe, analizę tę należy prowadzić w ujęciu wielogałęziowym.</w:t>
            </w:r>
          </w:p>
          <w:p w14:paraId="4458C20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26" w:name="_heading=h.z337ya" w:colFirst="0" w:colLast="0"/>
            <w:bookmarkEnd w:id="26"/>
            <w:r>
              <w:rPr>
                <w:rFonts w:ascii="Calibri" w:eastAsia="Calibri" w:hAnsi="Calibri" w:cs="Calibri"/>
                <w:color w:val="000000"/>
                <w:sz w:val="20"/>
                <w:szCs w:val="20"/>
              </w:rPr>
              <w:t xml:space="preserve">Dalsze </w:t>
            </w:r>
            <w:r>
              <w:rPr>
                <w:rFonts w:ascii="Calibri" w:eastAsia="Calibri" w:hAnsi="Calibri" w:cs="Calibri"/>
                <w:b/>
                <w:color w:val="000000"/>
                <w:sz w:val="20"/>
                <w:szCs w:val="20"/>
              </w:rPr>
              <w:t xml:space="preserve">porównania wybranych rozwiązań technicznych przeprowadza </w:t>
            </w:r>
            <w:r>
              <w:rPr>
                <w:rFonts w:ascii="Calibri" w:eastAsia="Calibri" w:hAnsi="Calibri" w:cs="Calibri"/>
                <w:color w:val="000000"/>
                <w:sz w:val="20"/>
                <w:szCs w:val="20"/>
              </w:rPr>
              <w:t>się z uwzględnieniem ograniczonej liczby kryteriów/celów (najczęściej związanych uwarunkowaniami środowiskowymi, emisjami, aspektami techniczno-wydajnościowymi, bezpieczeństwem oraz poddaje się je ocenie ekonomicznej i finansowej). Stosowanie wstępnej („zgrubnej”) AKK (t.j. wyliczenie na wczesnym etapie projektowania, na podstawie prognozowanego popytu, przybliżonych wartości kluczowych parametrów finansowych i ekonomicznych) rekomenduje się do zestawiania ekonomicznych kosztów i korzyści każdego z zaproponowanych rozwiązań, co umożliwia porównanie wybranych wariantów inwestycji na podstawie ich ekonomicznych korzyści netto i ekonomicznej wewnętrznej stopy zwrotu.</w:t>
            </w:r>
          </w:p>
          <w:p w14:paraId="1C179747" w14:textId="77777777" w:rsidR="00600DEE" w:rsidRDefault="00600DEE">
            <w:pPr>
              <w:rPr>
                <w:color w:val="000000"/>
                <w:sz w:val="20"/>
                <w:szCs w:val="20"/>
              </w:rPr>
            </w:pPr>
          </w:p>
          <w:p w14:paraId="50133C62" w14:textId="77777777" w:rsidR="00600DEE" w:rsidRDefault="00641FB5" w:rsidP="00BD6864">
            <w:pPr>
              <w:jc w:val="both"/>
              <w:rPr>
                <w:rFonts w:ascii="Calibri" w:eastAsia="Calibri" w:hAnsi="Calibri" w:cs="Calibri"/>
                <w:color w:val="000000"/>
                <w:sz w:val="20"/>
                <w:szCs w:val="20"/>
              </w:rPr>
            </w:pPr>
            <w:r>
              <w:rPr>
                <w:rFonts w:ascii="Calibri" w:eastAsia="Calibri" w:hAnsi="Calibri" w:cs="Calibri"/>
                <w:color w:val="000000"/>
                <w:sz w:val="20"/>
                <w:szCs w:val="20"/>
              </w:rPr>
              <w:t xml:space="preserve">Odmienne podejście można przyjąć do tzw. projektów ukierunkowanych na uzyskanie zgodności (np. z różnymi politykami), gdzie głównym celem jest dostosowanie do istniejących wymogów prawnych i gdzie rozwiązania wariantowe </w:t>
            </w:r>
            <w:r>
              <w:rPr>
                <w:rFonts w:ascii="Calibri" w:eastAsia="Calibri" w:hAnsi="Calibri" w:cs="Calibri"/>
                <w:color w:val="000000"/>
                <w:sz w:val="20"/>
                <w:szCs w:val="20"/>
              </w:rPr>
              <w:lastRenderedPageBreak/>
              <w:t>są ograniczone (zakres jest niejako przesądzony). W takim przypadku Beneficjent mógłby przeprowadzić analizę efektywności kosztowej (CEA) i dokonać wyboru w oparciu o kryteria Jakość/Cena. JASPERS zaleca, aby takie podejście było stosowane tylko w wyjątkowych przypadkach, a jego zastosowanie zostało z wyprzedzeniem gruntownie uzasadnione w Studium Wykonalności.</w:t>
            </w:r>
          </w:p>
          <w:p w14:paraId="0D006148" w14:textId="77777777" w:rsidR="00600DEE" w:rsidRDefault="00641FB5" w:rsidP="00BD6864">
            <w:pPr>
              <w:jc w:val="both"/>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62A0CD4A" w14:textId="77777777" w:rsidR="00600DEE" w:rsidRDefault="00641FB5" w:rsidP="00BD6864">
            <w:pPr>
              <w:jc w:val="both"/>
              <w:rPr>
                <w:rFonts w:ascii="Calibri" w:eastAsia="Calibri" w:hAnsi="Calibri" w:cs="Calibri"/>
                <w:color w:val="000000"/>
                <w:sz w:val="20"/>
                <w:szCs w:val="20"/>
              </w:rPr>
            </w:pPr>
            <w:r>
              <w:rPr>
                <w:rFonts w:ascii="Calibri" w:eastAsia="Calibri" w:hAnsi="Calibri" w:cs="Calibri"/>
                <w:color w:val="000000"/>
                <w:sz w:val="20"/>
                <w:szCs w:val="20"/>
              </w:rPr>
              <w:t>Analiza efektywności kosztowej (CEA) służy do porównywania efektywności kosztowej wariantów poprzez porównanie stosunku mierzalnego rezultatu realizacji określonego celu (wskaźnik rezultatu) do kosztów cyklu życia projektu, pomiędzy dwoma lub więcej wariantami projektu.</w:t>
            </w:r>
          </w:p>
          <w:p w14:paraId="1B2BAED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27" w:name="_heading=h.3j2qqm3" w:colFirst="0" w:colLast="0"/>
            <w:bookmarkEnd w:id="27"/>
            <w:r>
              <w:rPr>
                <w:rFonts w:ascii="Calibri" w:eastAsia="Calibri" w:hAnsi="Calibri" w:cs="Calibri"/>
                <w:color w:val="000000"/>
                <w:sz w:val="20"/>
                <w:szCs w:val="20"/>
              </w:rPr>
              <w:t>W perspektywie finansowej 2021-2027, dla projektów drogowych trzeba będzie przedstawić solidne uzasadnienie ekonomiczne, dlatego też prawidłowe dostosowanie przepustowości przedsięwzięcia do spodziewanego popytu jest sprawą kluczową. Przewymiarowanie odcinków dróg, na których występują małe potoki ruchu, spowoduje że cenne zasoby inwestycyjne nie zostaną skierowane na realizację innych odcinków sieci i pociągnie za sobą nieuzasadnione koszty eksploatacyjne i utrzymaniowe. W poniższej tabeli przedstawiono optymalny dobór przekrojów jezdni do oczekiwanych potoków ruchu.</w:t>
            </w:r>
          </w:p>
          <w:p w14:paraId="75DF734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noProof/>
                <w:color w:val="000000"/>
                <w:sz w:val="20"/>
                <w:szCs w:val="20"/>
                <w:lang w:eastAsia="pl-PL"/>
              </w:rPr>
              <w:drawing>
                <wp:inline distT="0" distB="0" distL="0" distR="0" wp14:anchorId="6C224CBA" wp14:editId="7AE66AFC">
                  <wp:extent cx="4308095" cy="1800002"/>
                  <wp:effectExtent l="0" t="0" r="0" b="0"/>
                  <wp:docPr id="541"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101"/>
                          <a:srcRect/>
                          <a:stretch>
                            <a:fillRect/>
                          </a:stretch>
                        </pic:blipFill>
                        <pic:spPr>
                          <a:xfrm>
                            <a:off x="0" y="0"/>
                            <a:ext cx="4308095" cy="1800002"/>
                          </a:xfrm>
                          <a:prstGeom prst="rect">
                            <a:avLst/>
                          </a:prstGeom>
                          <a:ln/>
                        </pic:spPr>
                      </pic:pic>
                    </a:graphicData>
                  </a:graphic>
                </wp:inline>
              </w:drawing>
            </w:r>
          </w:p>
          <w:p w14:paraId="185555D7" w14:textId="77777777" w:rsidR="00600DEE" w:rsidRDefault="00641FB5">
            <w:pPr>
              <w:rPr>
                <w:rFonts w:ascii="Calibri" w:eastAsia="Calibri" w:hAnsi="Calibri" w:cs="Calibri"/>
                <w:sz w:val="12"/>
                <w:szCs w:val="12"/>
              </w:rPr>
            </w:pPr>
            <w:r>
              <w:rPr>
                <w:rFonts w:ascii="Calibri" w:eastAsia="Calibri" w:hAnsi="Calibri" w:cs="Calibri"/>
                <w:sz w:val="12"/>
                <w:szCs w:val="12"/>
              </w:rPr>
              <w:t>Żródło: WR-D-23 Wytyczne poszerzania jezdni dróg zamiejskich i ulic o dodatkowe pasy ruchu,  Ministerstwo Infrastruktury i Budownictwa, 2017, Instrukcja projektowania dodatkowych pasów ruchu na dwupasowych drogach dwukierunkowych, GDDKiA, 2005</w:t>
            </w:r>
          </w:p>
          <w:p w14:paraId="1CCAC8B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Tam, gdzie możliwe jest zastosowanie dwóch różnych przekrojów, w dokonaniu optymalnego wyboru pomoże przeprowadzenie przyrostowej analizy kosztów i korzyści.</w:t>
            </w:r>
          </w:p>
          <w:p w14:paraId="2A81C887" w14:textId="382A6C4E"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lastRenderedPageBreak/>
              <w:t>Jeżeli wspomniane wcześniejsze (historyczne) analizy i porównania waria</w:t>
            </w:r>
            <w:r w:rsidR="00BD6864">
              <w:rPr>
                <w:rFonts w:ascii="Calibri" w:eastAsia="Calibri" w:hAnsi="Calibri" w:cs="Calibri"/>
                <w:color w:val="000000"/>
                <w:sz w:val="20"/>
                <w:szCs w:val="20"/>
              </w:rPr>
              <w:t>n</w:t>
            </w:r>
            <w:r>
              <w:rPr>
                <w:rFonts w:ascii="Calibri" w:eastAsia="Calibri" w:hAnsi="Calibri" w:cs="Calibri"/>
                <w:color w:val="000000"/>
                <w:sz w:val="20"/>
                <w:szCs w:val="20"/>
              </w:rPr>
              <w:t xml:space="preserve">tów zostały opisane we wcześniej wykonywanych opracowaniach związanych z przedsięwzięciem to należy je tylko podsumować (jak opisano w rozdziale 1.1). </w:t>
            </w:r>
          </w:p>
          <w:p w14:paraId="4FF6AC8C" w14:textId="5909A1D4"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Wybrane warianty należy opisać z </w:t>
            </w:r>
            <w:r w:rsidR="00F6627D">
              <w:rPr>
                <w:rFonts w:ascii="Calibri" w:eastAsia="Calibri" w:hAnsi="Calibri" w:cs="Calibri"/>
                <w:color w:val="000000"/>
                <w:sz w:val="20"/>
                <w:szCs w:val="20"/>
              </w:rPr>
              <w:t xml:space="preserve">podaniem kluczowych parametrów </w:t>
            </w:r>
            <w:r>
              <w:rPr>
                <w:rFonts w:ascii="Calibri" w:eastAsia="Calibri" w:hAnsi="Calibri" w:cs="Calibri"/>
                <w:color w:val="000000"/>
                <w:sz w:val="20"/>
                <w:szCs w:val="20"/>
              </w:rPr>
              <w:t>takich jak długość, prędkość projektowa, szerokość jezdni, przekrój poprzeczny, itp.</w:t>
            </w:r>
          </w:p>
          <w:p w14:paraId="454657F7" w14:textId="06E5FC4E"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28" w:name="_heading=h.1y810tw" w:colFirst="0" w:colLast="0"/>
            <w:bookmarkEnd w:id="28"/>
            <w:r>
              <w:rPr>
                <w:rFonts w:ascii="Calibri" w:eastAsia="Calibri" w:hAnsi="Calibri" w:cs="Calibri"/>
                <w:color w:val="000000"/>
                <w:sz w:val="20"/>
                <w:szCs w:val="20"/>
              </w:rPr>
              <w:t>Wybrane warianty powinny zatem wywodzić się z kontekstu strategicznego (tzn. krajowej strategii transportowej), Regionalnych Planów Transportowych, lokalnych planów transportowych, np. SUMPów, itd.). Te dokumenty z kolei powinny uwzględniać kontekst strategicznej oceny oddziaływania na środowisko (SOOŚ). Należy odnieść się do wszelkich istniejących wcześniej decyzji i analiz. W przypadku projektów finansowanych przez UE można przedstawić powiązanie z osiami priorytetowymi i obszarami interwencji programów operacyjnych.</w:t>
            </w:r>
          </w:p>
          <w:p w14:paraId="36A98828" w14:textId="0C75E21C"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Niezbędne jest również zapewnienie spójności pomiędzy analizą wariantów przeprowadzoną w ramach AKK, a analizą wykonaną na potrzeby Oceny </w:t>
            </w:r>
            <w:r w:rsidRPr="006E3D76">
              <w:rPr>
                <w:rFonts w:ascii="Calibri" w:eastAsia="Calibri" w:hAnsi="Calibri" w:cs="Calibri"/>
                <w:color w:val="000000"/>
                <w:sz w:val="20"/>
                <w:szCs w:val="20"/>
              </w:rPr>
              <w:t xml:space="preserve">Oddziaływania na Środowisko (OOŚ). </w:t>
            </w:r>
            <w:r w:rsidR="006E3D76" w:rsidRPr="006E3D76">
              <w:rPr>
                <w:rFonts w:asciiTheme="minorHAnsi" w:hAnsiTheme="minorHAnsi"/>
                <w:spacing w:val="-3"/>
                <w:sz w:val="20"/>
                <w:szCs w:val="20"/>
              </w:rPr>
              <w:t>Analizy takie można przeprowadzić w różnych momentach</w:t>
            </w:r>
            <w:r w:rsidRPr="006E3D76">
              <w:rPr>
                <w:rFonts w:ascii="Calibri" w:eastAsia="Calibri" w:hAnsi="Calibri" w:cs="Calibri"/>
                <w:color w:val="000000"/>
                <w:sz w:val="20"/>
                <w:szCs w:val="20"/>
              </w:rPr>
              <w:t xml:space="preserve"> cyklu przygotowywania projektu. Konieczne jest zapewnienie, że </w:t>
            </w:r>
            <w:r w:rsidR="006E3D76" w:rsidRPr="006E3D76">
              <w:rPr>
                <w:rFonts w:asciiTheme="minorHAnsi" w:hAnsiTheme="minorHAnsi"/>
                <w:spacing w:val="-3"/>
                <w:sz w:val="20"/>
                <w:szCs w:val="20"/>
              </w:rPr>
              <w:t>warianty wybrane do dalszych analiz będą rozpatrzone w ramach OOŚ lub przynajmniej że wszystkie warianty, które znalazły się na krótkiej liście,</w:t>
            </w:r>
            <w:r w:rsidR="006E3D76" w:rsidRPr="00DE2027">
              <w:rPr>
                <w:rFonts w:asciiTheme="minorHAnsi" w:hAnsiTheme="minorHAnsi"/>
                <w:spacing w:val="-3"/>
              </w:rPr>
              <w:t xml:space="preserve"> </w:t>
            </w:r>
            <w:r>
              <w:rPr>
                <w:rFonts w:ascii="Calibri" w:eastAsia="Calibri" w:hAnsi="Calibri" w:cs="Calibri"/>
                <w:color w:val="000000"/>
                <w:sz w:val="20"/>
                <w:szCs w:val="20"/>
              </w:rPr>
              <w:t xml:space="preserve">są zgodne </w:t>
            </w:r>
            <w:r w:rsidR="006E3D76">
              <w:rPr>
                <w:rFonts w:ascii="Calibri" w:eastAsia="Calibri" w:hAnsi="Calibri" w:cs="Calibri"/>
                <w:color w:val="000000"/>
                <w:sz w:val="20"/>
                <w:szCs w:val="20"/>
              </w:rPr>
              <w:t xml:space="preserve">z wymogami </w:t>
            </w:r>
            <w:r>
              <w:rPr>
                <w:rFonts w:ascii="Calibri" w:eastAsia="Calibri" w:hAnsi="Calibri" w:cs="Calibri"/>
                <w:color w:val="000000"/>
                <w:sz w:val="20"/>
                <w:szCs w:val="20"/>
              </w:rPr>
              <w:t xml:space="preserve">przepisów dotyczących ochrony środowiska, tak aby można było </w:t>
            </w:r>
            <w:r w:rsidR="006E3D76">
              <w:rPr>
                <w:rFonts w:ascii="Calibri" w:eastAsia="Calibri" w:hAnsi="Calibri" w:cs="Calibri"/>
                <w:color w:val="000000"/>
                <w:sz w:val="20"/>
                <w:szCs w:val="20"/>
              </w:rPr>
              <w:t xml:space="preserve">sensownie </w:t>
            </w:r>
            <w:r>
              <w:rPr>
                <w:rFonts w:ascii="Calibri" w:eastAsia="Calibri" w:hAnsi="Calibri" w:cs="Calibri"/>
                <w:color w:val="000000"/>
                <w:sz w:val="20"/>
                <w:szCs w:val="20"/>
              </w:rPr>
              <w:t>porównywać aspekty środowiskowe, ekonomiczne i finansowe. OOŚ zazwyczaj przewiduje środki łagodzące i kompensacyjne, generujące dodatkowe koszty, które będą różne dla poszczególnych wariantów. Te dodatkowe nakłady kapitałowe i operacyjne należy włączyć do analizy dla odpowiednich wariantów.</w:t>
            </w:r>
          </w:p>
          <w:p w14:paraId="0677115F" w14:textId="77777777" w:rsidR="006E3D76" w:rsidRDefault="006E3D76" w:rsidP="006E3D76">
            <w:pPr>
              <w:pStyle w:val="anxnormalZnak"/>
              <w:ind w:left="0"/>
              <w:rPr>
                <w:rFonts w:asciiTheme="minorHAnsi" w:hAnsiTheme="minorHAnsi"/>
                <w:spacing w:val="-3"/>
              </w:rPr>
            </w:pPr>
            <w:r>
              <w:rPr>
                <w:rFonts w:asciiTheme="minorHAnsi" w:hAnsiTheme="minorHAnsi"/>
                <w:spacing w:val="-3"/>
              </w:rPr>
              <w:t>Podsumowując, w </w:t>
            </w:r>
            <w:r w:rsidRPr="003E14FF">
              <w:rPr>
                <w:rFonts w:asciiTheme="minorHAnsi" w:hAnsiTheme="minorHAnsi"/>
                <w:spacing w:val="-3"/>
              </w:rPr>
              <w:t>Studium Wykonalności analizy ekonomiczne i</w:t>
            </w:r>
            <w:r>
              <w:rPr>
                <w:rFonts w:asciiTheme="minorHAnsi" w:hAnsiTheme="minorHAnsi"/>
                <w:spacing w:val="-3"/>
              </w:rPr>
              <w:t> </w:t>
            </w:r>
            <w:r w:rsidRPr="003E14FF">
              <w:rPr>
                <w:rFonts w:asciiTheme="minorHAnsi" w:hAnsiTheme="minorHAnsi"/>
                <w:spacing w:val="-3"/>
              </w:rPr>
              <w:t xml:space="preserve">finansowe </w:t>
            </w:r>
            <w:r w:rsidRPr="003E14FF">
              <w:rPr>
                <w:rFonts w:asciiTheme="minorHAnsi" w:hAnsiTheme="minorHAnsi"/>
                <w:spacing w:val="-3"/>
                <w:u w:val="single"/>
              </w:rPr>
              <w:t>mogą</w:t>
            </w:r>
            <w:r w:rsidRPr="003E14FF">
              <w:rPr>
                <w:rFonts w:asciiTheme="minorHAnsi" w:hAnsiTheme="minorHAnsi"/>
                <w:spacing w:val="-3"/>
              </w:rPr>
              <w:t xml:space="preserve"> odnosić się tylko do jednego rozwiązania wybranego na pod</w:t>
            </w:r>
            <w:r>
              <w:rPr>
                <w:rFonts w:asciiTheme="minorHAnsi" w:hAnsiTheme="minorHAnsi"/>
                <w:spacing w:val="-3"/>
              </w:rPr>
              <w:t>stawie wcześniejszych analiz. W </w:t>
            </w:r>
            <w:r w:rsidRPr="003E14FF">
              <w:rPr>
                <w:rFonts w:asciiTheme="minorHAnsi" w:hAnsiTheme="minorHAnsi"/>
                <w:spacing w:val="-3"/>
              </w:rPr>
              <w:t xml:space="preserve">tym przypadku jednak proces wyboru wariantów </w:t>
            </w:r>
            <w:r w:rsidRPr="003E14FF">
              <w:rPr>
                <w:rFonts w:asciiTheme="minorHAnsi" w:hAnsiTheme="minorHAnsi"/>
                <w:spacing w:val="-3"/>
                <w:u w:val="single"/>
              </w:rPr>
              <w:t>musi</w:t>
            </w:r>
            <w:r w:rsidRPr="003E14FF">
              <w:rPr>
                <w:rFonts w:asciiTheme="minorHAnsi" w:hAnsiTheme="minorHAnsi"/>
                <w:spacing w:val="-3"/>
              </w:rPr>
              <w:t xml:space="preserve"> być opisany w</w:t>
            </w:r>
            <w:r>
              <w:rPr>
                <w:rFonts w:asciiTheme="minorHAnsi" w:hAnsiTheme="minorHAnsi"/>
                <w:spacing w:val="-3"/>
              </w:rPr>
              <w:t> </w:t>
            </w:r>
            <w:r w:rsidRPr="003E14FF">
              <w:rPr>
                <w:rFonts w:asciiTheme="minorHAnsi" w:hAnsiTheme="minorHAnsi"/>
                <w:spacing w:val="-3"/>
              </w:rPr>
              <w:t>podsumowaniu analizy wykonalności. Brak porównania wystarczającej liczby wariantów oraz brak pełnego uzasadnienia wyboru wariantu proponowanego do finansowania może zmniejszyć szansę na zatwierdzenie projektu.</w:t>
            </w:r>
            <w:r>
              <w:rPr>
                <w:rFonts w:asciiTheme="minorHAnsi" w:hAnsiTheme="minorHAnsi"/>
                <w:spacing w:val="-3"/>
              </w:rPr>
              <w:t xml:space="preserve"> </w:t>
            </w:r>
          </w:p>
          <w:p w14:paraId="20D92FD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Warianty inwestycyjne w większości przedsięwzięć drogowych mieszczą się w jednej z trzech kategorii przedstawionych w poniższej tabeli:</w:t>
            </w:r>
          </w:p>
          <w:p w14:paraId="470C0AC4" w14:textId="77777777" w:rsidR="00600DEE" w:rsidRDefault="00641FB5">
            <w:pPr>
              <w:keepNext/>
              <w:pBdr>
                <w:top w:val="nil"/>
                <w:left w:val="nil"/>
                <w:bottom w:val="nil"/>
                <w:right w:val="nil"/>
                <w:between w:val="nil"/>
              </w:pBdr>
              <w:tabs>
                <w:tab w:val="left" w:pos="720"/>
                <w:tab w:val="left" w:pos="0"/>
              </w:tabs>
              <w:spacing w:before="220" w:after="120"/>
              <w:ind w:right="26"/>
              <w:rPr>
                <w:rFonts w:ascii="Calibri" w:eastAsia="Calibri" w:hAnsi="Calibri" w:cs="Calibri"/>
                <w:color w:val="4F81BD"/>
                <w:sz w:val="20"/>
                <w:szCs w:val="20"/>
              </w:rPr>
            </w:pPr>
            <w:r>
              <w:rPr>
                <w:rFonts w:ascii="Calibri" w:eastAsia="Calibri" w:hAnsi="Calibri" w:cs="Calibri"/>
                <w:b/>
                <w:color w:val="4F81BD"/>
                <w:sz w:val="20"/>
                <w:szCs w:val="20"/>
              </w:rPr>
              <w:lastRenderedPageBreak/>
              <w:t>Tabela 2. Przykładowe kategorie inwestycji drogowych</w:t>
            </w:r>
          </w:p>
          <w:tbl>
            <w:tblPr>
              <w:tblStyle w:val="ae"/>
              <w:tblW w:w="7032" w:type="dxa"/>
              <w:tblLayout w:type="fixed"/>
              <w:tblLook w:val="0400" w:firstRow="0" w:lastRow="0" w:firstColumn="0" w:lastColumn="0" w:noHBand="0" w:noVBand="1"/>
            </w:tblPr>
            <w:tblGrid>
              <w:gridCol w:w="7032"/>
            </w:tblGrid>
            <w:tr w:rsidR="00600DEE" w14:paraId="310C8EA2" w14:textId="77777777" w:rsidTr="00EB64DC">
              <w:trPr>
                <w:trHeight w:hRule="exact" w:val="2268"/>
              </w:trPr>
              <w:tc>
                <w:tcPr>
                  <w:tcW w:w="7032" w:type="dxa"/>
                  <w:shd w:val="clear" w:color="auto" w:fill="DBE5F1"/>
                  <w:vAlign w:val="center"/>
                </w:tcPr>
                <w:p w14:paraId="3405D0A1" w14:textId="77777777" w:rsidR="00600DEE" w:rsidRDefault="00641FB5">
                  <w:pPr>
                    <w:numPr>
                      <w:ilvl w:val="0"/>
                      <w:numId w:val="3"/>
                    </w:numPr>
                    <w:spacing w:line="276" w:lineRule="auto"/>
                    <w:ind w:left="616" w:right="170" w:hanging="583"/>
                    <w:jc w:val="both"/>
                    <w:rPr>
                      <w:rFonts w:ascii="Calibri" w:eastAsia="Calibri" w:hAnsi="Calibri" w:cs="Calibri"/>
                      <w:color w:val="4F81BD"/>
                      <w:sz w:val="20"/>
                      <w:szCs w:val="20"/>
                    </w:rPr>
                  </w:pPr>
                  <w:r>
                    <w:rPr>
                      <w:rFonts w:ascii="Calibri" w:eastAsia="Calibri" w:hAnsi="Calibri" w:cs="Calibri"/>
                      <w:color w:val="4F81BD"/>
                      <w:sz w:val="20"/>
                      <w:szCs w:val="20"/>
                    </w:rPr>
                    <w:t>Punktowa lub liniowa inwestycja drogowa mająca na celu poprawę jakości infrastruktury, odporności na zmiany klimatu lub bezpieczeństwa bez zwiększania przepustowości.</w:t>
                  </w:r>
                </w:p>
                <w:p w14:paraId="5E2178A5" w14:textId="5606A079" w:rsidR="00600DEE" w:rsidRDefault="00641FB5">
                  <w:pPr>
                    <w:numPr>
                      <w:ilvl w:val="0"/>
                      <w:numId w:val="3"/>
                    </w:numPr>
                    <w:spacing w:line="276" w:lineRule="auto"/>
                    <w:ind w:left="616" w:right="170" w:hanging="583"/>
                    <w:jc w:val="both"/>
                    <w:rPr>
                      <w:rFonts w:ascii="Calibri" w:eastAsia="Calibri" w:hAnsi="Calibri" w:cs="Calibri"/>
                      <w:color w:val="4F81BD"/>
                      <w:sz w:val="20"/>
                      <w:szCs w:val="20"/>
                    </w:rPr>
                  </w:pPr>
                  <w:r>
                    <w:rPr>
                      <w:rFonts w:ascii="Calibri" w:eastAsia="Calibri" w:hAnsi="Calibri" w:cs="Calibri"/>
                      <w:color w:val="4F81BD"/>
                      <w:sz w:val="20"/>
                      <w:szCs w:val="20"/>
                    </w:rPr>
                    <w:t>Rozbudowa istniejącej drogi w cel</w:t>
                  </w:r>
                  <w:r w:rsidR="00505091">
                    <w:rPr>
                      <w:rFonts w:ascii="Calibri" w:eastAsia="Calibri" w:hAnsi="Calibri" w:cs="Calibri"/>
                      <w:color w:val="4F81BD"/>
                      <w:sz w:val="20"/>
                      <w:szCs w:val="20"/>
                    </w:rPr>
                    <w:t>u zwiększenia</w:t>
                  </w:r>
                  <w:r>
                    <w:rPr>
                      <w:rFonts w:ascii="Calibri" w:eastAsia="Calibri" w:hAnsi="Calibri" w:cs="Calibri"/>
                      <w:color w:val="4F81BD"/>
                      <w:sz w:val="20"/>
                      <w:szCs w:val="20"/>
                    </w:rPr>
                    <w:t xml:space="preserve"> przepustowości/ podniesienia standardu, np. poszerzenie (rozbudowa drogi jednojezdniowej lub dobudowa pasów ruchu).</w:t>
                  </w:r>
                </w:p>
                <w:p w14:paraId="451E28B5" w14:textId="77777777" w:rsidR="00600DEE" w:rsidRDefault="00641FB5">
                  <w:pPr>
                    <w:numPr>
                      <w:ilvl w:val="0"/>
                      <w:numId w:val="3"/>
                    </w:numPr>
                    <w:spacing w:line="276" w:lineRule="auto"/>
                    <w:ind w:left="616" w:right="170" w:hanging="583"/>
                    <w:jc w:val="both"/>
                    <w:rPr>
                      <w:rFonts w:ascii="Calibri" w:eastAsia="Calibri" w:hAnsi="Calibri" w:cs="Calibri"/>
                      <w:color w:val="4F81BD"/>
                      <w:sz w:val="20"/>
                      <w:szCs w:val="20"/>
                    </w:rPr>
                  </w:pPr>
                  <w:r>
                    <w:rPr>
                      <w:rFonts w:ascii="Calibri" w:eastAsia="Calibri" w:hAnsi="Calibri" w:cs="Calibri"/>
                      <w:color w:val="4F81BD"/>
                      <w:sz w:val="20"/>
                      <w:szCs w:val="20"/>
                    </w:rPr>
                    <w:t>Budowa nowej drogi o nowym przebiegu (w tym obwodnice miejscowości).</w:t>
                  </w:r>
                </w:p>
              </w:tc>
            </w:tr>
          </w:tbl>
          <w:p w14:paraId="49C89F63" w14:textId="77777777" w:rsidR="00600DEE" w:rsidRDefault="00641FB5">
            <w:pPr>
              <w:pBdr>
                <w:top w:val="nil"/>
                <w:left w:val="nil"/>
                <w:bottom w:val="nil"/>
                <w:right w:val="nil"/>
                <w:between w:val="nil"/>
              </w:pBdr>
              <w:spacing w:before="120"/>
              <w:jc w:val="both"/>
              <w:rPr>
                <w:rFonts w:ascii="Calibri" w:eastAsia="Calibri" w:hAnsi="Calibri" w:cs="Calibri"/>
                <w:b/>
                <w:i/>
                <w:color w:val="000000"/>
                <w:sz w:val="16"/>
                <w:szCs w:val="16"/>
              </w:rPr>
            </w:pPr>
            <w:r>
              <w:rPr>
                <w:rFonts w:ascii="Calibri" w:eastAsia="Calibri" w:hAnsi="Calibri" w:cs="Calibri"/>
                <w:b/>
                <w:i/>
                <w:color w:val="000000"/>
                <w:sz w:val="16"/>
                <w:szCs w:val="16"/>
              </w:rPr>
              <w:t>Źródło: opracowanie własne.</w:t>
            </w:r>
          </w:p>
          <w:p w14:paraId="30977E32" w14:textId="697CA34E"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przypadku mniej złożonych projektów, liczba wariantów wykonalnych pod względem technicznym, prawnym, ekologicznym i politycznym, może być niewielka, jednakże w przypadku większości projektów, nie występuje tylko jeden wariant inwestycyjny. Na przykład, podniesienie standardu istniejącej drogi jest zazwyczaj wykonalne na kilka sposobów. Można również zbadać rożne sposoby podziału tego samego projektu na etapy (etapowanie).</w:t>
            </w:r>
          </w:p>
          <w:p w14:paraId="3ED106DA" w14:textId="40A1D501" w:rsidR="00600DEE" w:rsidRDefault="006E3D76">
            <w:pPr>
              <w:pBdr>
                <w:top w:val="nil"/>
                <w:left w:val="nil"/>
                <w:bottom w:val="nil"/>
                <w:right w:val="nil"/>
                <w:between w:val="nil"/>
              </w:pBdr>
              <w:spacing w:before="120"/>
              <w:jc w:val="both"/>
              <w:rPr>
                <w:rFonts w:ascii="Calibri" w:eastAsia="Calibri" w:hAnsi="Calibri" w:cs="Calibri"/>
                <w:color w:val="000000"/>
                <w:sz w:val="20"/>
                <w:szCs w:val="20"/>
              </w:rPr>
            </w:pPr>
            <w:bookmarkStart w:id="29" w:name="_heading=h.4i7ojhp" w:colFirst="0" w:colLast="0"/>
            <w:bookmarkEnd w:id="29"/>
            <w:r>
              <w:rPr>
                <w:rFonts w:ascii="Calibri" w:eastAsia="Calibri" w:hAnsi="Calibri" w:cs="Calibri"/>
                <w:color w:val="000000"/>
                <w:sz w:val="20"/>
                <w:szCs w:val="20"/>
              </w:rPr>
              <w:t>W tym kontekś</w:t>
            </w:r>
            <w:r w:rsidR="00641FB5">
              <w:rPr>
                <w:rFonts w:ascii="Calibri" w:eastAsia="Calibri" w:hAnsi="Calibri" w:cs="Calibri"/>
                <w:color w:val="000000"/>
                <w:sz w:val="20"/>
                <w:szCs w:val="20"/>
              </w:rPr>
              <w:t xml:space="preserve">cie zwraca się uwagę na przeprowadzenie </w:t>
            </w:r>
            <w:r w:rsidR="00641FB5">
              <w:rPr>
                <w:rFonts w:ascii="Calibri" w:eastAsia="Calibri" w:hAnsi="Calibri" w:cs="Calibri"/>
                <w:b/>
                <w:color w:val="000000"/>
                <w:sz w:val="20"/>
                <w:szCs w:val="20"/>
              </w:rPr>
              <w:t>analizy wariantów z uwzględnieniem oddziaływania ekonomicznego w okresie budowy.</w:t>
            </w:r>
            <w:r w:rsidR="00641FB5">
              <w:rPr>
                <w:rFonts w:ascii="Calibri" w:eastAsia="Calibri" w:hAnsi="Calibri" w:cs="Calibri"/>
                <w:color w:val="000000"/>
                <w:sz w:val="20"/>
                <w:szCs w:val="20"/>
              </w:rPr>
              <w:t xml:space="preserve"> Szacowanie oddziaływań ekonomicznych opisane w poniższych rozdziałach odnosi się głównie do różnicowych oddziaływań w okresie eksploatacji. Nie mniej jednak, uważa się, że w przypadku niektórych przedsięwzięć warto rozpatrywać oddziaływania ekonomiczne na użytkowników i mieszkańców w fazie budowy. Typowe przykłady takich sytuacji to na przykład: (i) naprawy dróg; (ii) rozbudowa dróg, tzn. zwiększenie bieżącej przepustowości drogi, w szczególności w przypadku dróg o bardzo wysokim obciążeniu ruchem, gdzie tymczasowa organizacja ruchu na czas robót, miałaby duże oddziaływanie na użytkowników i okolicznych mieszkańców.</w:t>
            </w:r>
          </w:p>
          <w:p w14:paraId="7400A5FE" w14:textId="77777777" w:rsidR="00600DEE" w:rsidRDefault="00641FB5">
            <w:pPr>
              <w:pBdr>
                <w:top w:val="nil"/>
                <w:left w:val="nil"/>
                <w:bottom w:val="nil"/>
                <w:right w:val="nil"/>
                <w:between w:val="nil"/>
              </w:pBdr>
              <w:spacing w:before="120" w:after="240"/>
              <w:jc w:val="both"/>
              <w:rPr>
                <w:rFonts w:ascii="Calibri" w:eastAsia="Calibri" w:hAnsi="Calibri" w:cs="Calibri"/>
                <w:color w:val="000000"/>
                <w:sz w:val="20"/>
                <w:szCs w:val="20"/>
              </w:rPr>
            </w:pPr>
            <w:bookmarkStart w:id="30" w:name="_heading=h.2xcytpi" w:colFirst="0" w:colLast="0"/>
            <w:bookmarkEnd w:id="30"/>
            <w:r>
              <w:rPr>
                <w:rFonts w:ascii="Calibri" w:eastAsia="Calibri" w:hAnsi="Calibri" w:cs="Calibri"/>
                <w:color w:val="000000"/>
                <w:sz w:val="20"/>
                <w:szCs w:val="20"/>
              </w:rPr>
              <w:t>W przypadku wniosków o dofinansowanie UE, należy wyjaśnić przebieg procesu i metodykę wyboru wariantu.  Jeśli wybór wynika z różnych analiz i badań, należy przedstawić je w formie skrótowej dającej czytelny obraz procesu analizy wariantów z uwzględnieniem powyższych uwag.</w:t>
            </w:r>
          </w:p>
          <w:tbl>
            <w:tblPr>
              <w:tblStyle w:val="af"/>
              <w:tblW w:w="6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68"/>
            </w:tblGrid>
            <w:tr w:rsidR="00600DEE" w14:paraId="3B69CAF7" w14:textId="77777777" w:rsidTr="0073146B">
              <w:trPr>
                <w:trHeight w:hRule="exact" w:val="1134"/>
              </w:trPr>
              <w:tc>
                <w:tcPr>
                  <w:tcW w:w="6968" w:type="dxa"/>
                  <w:shd w:val="clear" w:color="auto" w:fill="auto"/>
                  <w:vAlign w:val="center"/>
                </w:tcPr>
                <w:p w14:paraId="57ED0871" w14:textId="77777777" w:rsidR="00600DEE" w:rsidRDefault="00641FB5">
                  <w:pPr>
                    <w:spacing w:before="60" w:after="60" w:line="276" w:lineRule="auto"/>
                    <w:ind w:right="170"/>
                    <w:jc w:val="both"/>
                    <w:rPr>
                      <w:rFonts w:ascii="Calibri" w:eastAsia="Calibri" w:hAnsi="Calibri" w:cs="Calibri"/>
                      <w:sz w:val="18"/>
                      <w:szCs w:val="18"/>
                    </w:rPr>
                  </w:pPr>
                  <w:r>
                    <w:rPr>
                      <w:rFonts w:ascii="Calibri" w:eastAsia="Calibri" w:hAnsi="Calibri" w:cs="Calibri"/>
                      <w:sz w:val="18"/>
                      <w:szCs w:val="18"/>
                    </w:rPr>
                    <w:lastRenderedPageBreak/>
                    <w:t>Chociaż liczba wariantów inwestycyjnych badanych w AKK zależy od promotora projektu, musi on wykazać, że wszystkie racjonalne warianty alternatywne zostały należycie rozpatrzone, i uzasadnić powody, dla których wybrano wariant(y) ostateczny(e).</w:t>
                  </w:r>
                </w:p>
              </w:tc>
            </w:tr>
          </w:tbl>
          <w:p w14:paraId="649C3F7E" w14:textId="77777777" w:rsidR="00600DEE" w:rsidRDefault="00641FB5">
            <w:pPr>
              <w:keepNext/>
              <w:pBdr>
                <w:top w:val="nil"/>
                <w:left w:val="nil"/>
                <w:bottom w:val="nil"/>
                <w:right w:val="nil"/>
                <w:between w:val="nil"/>
              </w:pBdr>
              <w:tabs>
                <w:tab w:val="left" w:pos="720"/>
                <w:tab w:val="left" w:pos="0"/>
              </w:tabs>
              <w:spacing w:before="220" w:after="120"/>
              <w:ind w:right="26"/>
              <w:rPr>
                <w:rFonts w:ascii="Calibri" w:eastAsia="Calibri" w:hAnsi="Calibri" w:cs="Calibri"/>
                <w:b/>
                <w:color w:val="4F81BD"/>
                <w:sz w:val="20"/>
                <w:szCs w:val="20"/>
              </w:rPr>
            </w:pPr>
            <w:r>
              <w:rPr>
                <w:rFonts w:ascii="Calibri" w:eastAsia="Calibri" w:hAnsi="Calibri" w:cs="Calibri"/>
                <w:b/>
                <w:color w:val="4F81BD"/>
                <w:sz w:val="20"/>
                <w:szCs w:val="20"/>
              </w:rPr>
              <w:t>Tabela 3. Wstępne wyniki analizy wariantów</w:t>
            </w:r>
          </w:p>
          <w:tbl>
            <w:tblPr>
              <w:tblStyle w:val="af0"/>
              <w:tblW w:w="6946" w:type="dxa"/>
              <w:tblBorders>
                <w:insideH w:val="single" w:sz="4" w:space="0" w:color="000000"/>
                <w:insideV w:val="single" w:sz="4" w:space="0" w:color="000000"/>
              </w:tblBorders>
              <w:tblLayout w:type="fixed"/>
              <w:tblLook w:val="0400" w:firstRow="0" w:lastRow="0" w:firstColumn="0" w:lastColumn="0" w:noHBand="0" w:noVBand="1"/>
            </w:tblPr>
            <w:tblGrid>
              <w:gridCol w:w="6946"/>
            </w:tblGrid>
            <w:tr w:rsidR="00600DEE" w14:paraId="61752822" w14:textId="77777777" w:rsidTr="00EB64DC">
              <w:trPr>
                <w:trHeight w:hRule="exact" w:val="4536"/>
              </w:trPr>
              <w:tc>
                <w:tcPr>
                  <w:tcW w:w="6946" w:type="dxa"/>
                  <w:shd w:val="clear" w:color="auto" w:fill="DBE5F1"/>
                  <w:vAlign w:val="center"/>
                </w:tcPr>
                <w:p w14:paraId="593CB5D7" w14:textId="77777777" w:rsidR="00600DEE" w:rsidRDefault="00641FB5" w:rsidP="00D5736B">
                  <w:pPr>
                    <w:numPr>
                      <w:ilvl w:val="0"/>
                      <w:numId w:val="64"/>
                    </w:numPr>
                    <w:pBdr>
                      <w:top w:val="nil"/>
                      <w:left w:val="nil"/>
                      <w:bottom w:val="nil"/>
                      <w:right w:val="nil"/>
                      <w:between w:val="nil"/>
                    </w:pBdr>
                    <w:spacing w:line="276" w:lineRule="auto"/>
                    <w:ind w:left="885" w:right="170" w:hanging="885"/>
                    <w:jc w:val="both"/>
                    <w:rPr>
                      <w:rFonts w:ascii="Calibri" w:eastAsia="Calibri" w:hAnsi="Calibri" w:cs="Calibri"/>
                      <w:color w:val="4F81BD"/>
                      <w:sz w:val="17"/>
                      <w:szCs w:val="17"/>
                    </w:rPr>
                  </w:pPr>
                  <w:bookmarkStart w:id="31" w:name="_heading=h.1ci93xb" w:colFirst="0" w:colLast="0"/>
                  <w:bookmarkEnd w:id="31"/>
                  <w:r>
                    <w:rPr>
                      <w:rFonts w:ascii="Calibri" w:eastAsia="Calibri" w:hAnsi="Calibri" w:cs="Calibri"/>
                      <w:color w:val="4F81BD"/>
                      <w:sz w:val="17"/>
                      <w:szCs w:val="17"/>
                    </w:rPr>
                    <w:t>Cele projektu (co należy osiągnąć, a nie jak tego dokonać, np. poprawa bezpieczeństwa ruchu drogowego i odporności klimatycznej infrastruktury drogowej).</w:t>
                  </w:r>
                </w:p>
                <w:p w14:paraId="0918D69F" w14:textId="77777777" w:rsidR="00600DEE" w:rsidRDefault="00641FB5">
                  <w:pPr>
                    <w:numPr>
                      <w:ilvl w:val="0"/>
                      <w:numId w:val="3"/>
                    </w:numPr>
                    <w:spacing w:line="276" w:lineRule="auto"/>
                    <w:ind w:left="885" w:right="170" w:hanging="885"/>
                    <w:jc w:val="both"/>
                    <w:rPr>
                      <w:rFonts w:ascii="Calibri" w:eastAsia="Calibri" w:hAnsi="Calibri" w:cs="Calibri"/>
                      <w:color w:val="4F81BD"/>
                      <w:sz w:val="17"/>
                      <w:szCs w:val="17"/>
                    </w:rPr>
                  </w:pPr>
                  <w:r>
                    <w:rPr>
                      <w:rFonts w:ascii="Calibri" w:eastAsia="Calibri" w:hAnsi="Calibri" w:cs="Calibri"/>
                      <w:color w:val="4F81BD"/>
                      <w:sz w:val="17"/>
                      <w:szCs w:val="17"/>
                    </w:rPr>
                    <w:t>Odniesienia do kluczowych dokumentów planistycznych, strategii i decyzji, które są wiążące dla Beneficjenta projektu. Kontekst strategiczny w ujęciu wielogałęziowym.</w:t>
                  </w:r>
                </w:p>
                <w:p w14:paraId="18EE3940" w14:textId="77777777" w:rsidR="00600DEE" w:rsidRDefault="00641FB5">
                  <w:pPr>
                    <w:numPr>
                      <w:ilvl w:val="0"/>
                      <w:numId w:val="3"/>
                    </w:numPr>
                    <w:spacing w:line="276" w:lineRule="auto"/>
                    <w:ind w:left="885" w:right="170" w:hanging="885"/>
                    <w:jc w:val="both"/>
                    <w:rPr>
                      <w:rFonts w:ascii="Calibri" w:eastAsia="Calibri" w:hAnsi="Calibri" w:cs="Calibri"/>
                      <w:color w:val="4F81BD"/>
                      <w:sz w:val="17"/>
                      <w:szCs w:val="17"/>
                    </w:rPr>
                  </w:pPr>
                  <w:r>
                    <w:rPr>
                      <w:rFonts w:ascii="Calibri" w:eastAsia="Calibri" w:hAnsi="Calibri" w:cs="Calibri"/>
                      <w:color w:val="4F81BD"/>
                      <w:sz w:val="17"/>
                      <w:szCs w:val="17"/>
                    </w:rPr>
                    <w:t>Identyfikacja wariantów (remont lub przebudowa, nowy przebieg, ingerencje w innych gałęziach transportu itp.).</w:t>
                  </w:r>
                </w:p>
                <w:p w14:paraId="06171B87" w14:textId="77777777" w:rsidR="00600DEE" w:rsidRDefault="00641FB5">
                  <w:pPr>
                    <w:numPr>
                      <w:ilvl w:val="0"/>
                      <w:numId w:val="3"/>
                    </w:numPr>
                    <w:spacing w:line="276" w:lineRule="auto"/>
                    <w:ind w:left="885" w:right="170" w:hanging="885"/>
                    <w:jc w:val="both"/>
                    <w:rPr>
                      <w:rFonts w:ascii="Calibri" w:eastAsia="Calibri" w:hAnsi="Calibri" w:cs="Calibri"/>
                      <w:color w:val="4F81BD"/>
                      <w:sz w:val="17"/>
                      <w:szCs w:val="17"/>
                    </w:rPr>
                  </w:pPr>
                  <w:r>
                    <w:rPr>
                      <w:rFonts w:ascii="Calibri" w:eastAsia="Calibri" w:hAnsi="Calibri" w:cs="Calibri"/>
                      <w:color w:val="4F81BD"/>
                      <w:sz w:val="17"/>
                      <w:szCs w:val="17"/>
                    </w:rPr>
                    <w:t>Opis projektu dla każdego wybranego wariantu zawierający poniższe elementy:</w:t>
                  </w:r>
                </w:p>
                <w:p w14:paraId="3F87C443" w14:textId="77777777" w:rsidR="00600DEE" w:rsidRDefault="00641FB5">
                  <w:pPr>
                    <w:numPr>
                      <w:ilvl w:val="0"/>
                      <w:numId w:val="12"/>
                    </w:numPr>
                    <w:spacing w:line="276" w:lineRule="auto"/>
                    <w:ind w:left="885" w:right="284" w:hanging="426"/>
                    <w:jc w:val="both"/>
                    <w:rPr>
                      <w:rFonts w:ascii="Calibri" w:eastAsia="Calibri" w:hAnsi="Calibri" w:cs="Calibri"/>
                      <w:color w:val="4F81BD"/>
                      <w:sz w:val="17"/>
                      <w:szCs w:val="17"/>
                    </w:rPr>
                  </w:pPr>
                  <w:r>
                    <w:rPr>
                      <w:rFonts w:ascii="Calibri" w:eastAsia="Calibri" w:hAnsi="Calibri" w:cs="Calibri"/>
                      <w:color w:val="4F81BD"/>
                      <w:sz w:val="17"/>
                      <w:szCs w:val="17"/>
                    </w:rPr>
                    <w:t>koszty inwestycyjne,</w:t>
                  </w:r>
                </w:p>
                <w:p w14:paraId="56811D59" w14:textId="77777777" w:rsidR="00600DEE" w:rsidRDefault="00641FB5">
                  <w:pPr>
                    <w:numPr>
                      <w:ilvl w:val="0"/>
                      <w:numId w:val="12"/>
                    </w:numPr>
                    <w:spacing w:line="276" w:lineRule="auto"/>
                    <w:ind w:left="885" w:right="284" w:hanging="426"/>
                    <w:jc w:val="both"/>
                    <w:rPr>
                      <w:rFonts w:ascii="Calibri" w:eastAsia="Calibri" w:hAnsi="Calibri" w:cs="Calibri"/>
                      <w:color w:val="4F81BD"/>
                      <w:sz w:val="17"/>
                      <w:szCs w:val="17"/>
                    </w:rPr>
                  </w:pPr>
                  <w:r>
                    <w:rPr>
                      <w:rFonts w:ascii="Calibri" w:eastAsia="Calibri" w:hAnsi="Calibri" w:cs="Calibri"/>
                      <w:color w:val="4F81BD"/>
                      <w:sz w:val="17"/>
                      <w:szCs w:val="17"/>
                    </w:rPr>
                    <w:t xml:space="preserve">podstawowe parametry i aspekty funkcjonalne: klasa i kategoria, prędkość projektowa, długość, ilość jezdni i pasów, ilość i długość obiektów, itp., </w:t>
                  </w:r>
                </w:p>
                <w:p w14:paraId="324FC576" w14:textId="77777777" w:rsidR="00600DEE" w:rsidRDefault="00641FB5">
                  <w:pPr>
                    <w:numPr>
                      <w:ilvl w:val="0"/>
                      <w:numId w:val="12"/>
                    </w:numPr>
                    <w:spacing w:line="276" w:lineRule="auto"/>
                    <w:ind w:left="885" w:right="284" w:hanging="426"/>
                    <w:jc w:val="both"/>
                    <w:rPr>
                      <w:rFonts w:ascii="Calibri" w:eastAsia="Calibri" w:hAnsi="Calibri" w:cs="Calibri"/>
                      <w:color w:val="4F81BD"/>
                      <w:sz w:val="17"/>
                      <w:szCs w:val="17"/>
                    </w:rPr>
                  </w:pPr>
                  <w:r>
                    <w:rPr>
                      <w:rFonts w:ascii="Calibri" w:eastAsia="Calibri" w:hAnsi="Calibri" w:cs="Calibri"/>
                      <w:color w:val="4F81BD"/>
                      <w:sz w:val="17"/>
                      <w:szCs w:val="17"/>
                    </w:rPr>
                    <w:t>kryteria wyboru preferowanego wariantu,</w:t>
                  </w:r>
                </w:p>
                <w:p w14:paraId="39570973" w14:textId="77777777" w:rsidR="00600DEE" w:rsidRDefault="00641FB5">
                  <w:pPr>
                    <w:numPr>
                      <w:ilvl w:val="0"/>
                      <w:numId w:val="12"/>
                    </w:numPr>
                    <w:spacing w:line="276" w:lineRule="auto"/>
                    <w:ind w:left="885" w:right="284" w:hanging="426"/>
                    <w:jc w:val="both"/>
                    <w:rPr>
                      <w:rFonts w:ascii="Calibri" w:eastAsia="Calibri" w:hAnsi="Calibri" w:cs="Calibri"/>
                      <w:color w:val="4F81BD"/>
                      <w:sz w:val="17"/>
                      <w:szCs w:val="17"/>
                    </w:rPr>
                  </w:pPr>
                  <w:r>
                    <w:rPr>
                      <w:rFonts w:ascii="Calibri" w:eastAsia="Calibri" w:hAnsi="Calibri" w:cs="Calibri"/>
                      <w:color w:val="4F81BD"/>
                      <w:sz w:val="17"/>
                      <w:szCs w:val="17"/>
                    </w:rPr>
                    <w:t>zalety/wady danego wariantu,</w:t>
                  </w:r>
                </w:p>
                <w:p w14:paraId="5B12427D" w14:textId="77777777" w:rsidR="00600DEE" w:rsidRDefault="00641FB5">
                  <w:pPr>
                    <w:numPr>
                      <w:ilvl w:val="0"/>
                      <w:numId w:val="12"/>
                    </w:numPr>
                    <w:spacing w:line="276" w:lineRule="auto"/>
                    <w:ind w:left="885" w:right="284" w:hanging="426"/>
                    <w:jc w:val="both"/>
                    <w:rPr>
                      <w:rFonts w:ascii="Calibri" w:eastAsia="Calibri" w:hAnsi="Calibri" w:cs="Calibri"/>
                      <w:color w:val="4F81BD"/>
                      <w:sz w:val="17"/>
                      <w:szCs w:val="17"/>
                    </w:rPr>
                  </w:pPr>
                  <w:r>
                    <w:rPr>
                      <w:rFonts w:ascii="Calibri" w:eastAsia="Calibri" w:hAnsi="Calibri" w:cs="Calibri"/>
                      <w:color w:val="4F81BD"/>
                      <w:sz w:val="17"/>
                      <w:szCs w:val="17"/>
                    </w:rPr>
                    <w:t xml:space="preserve">mapa lokalizacji. </w:t>
                  </w:r>
                </w:p>
                <w:p w14:paraId="668D9AB6" w14:textId="77777777" w:rsidR="00600DEE" w:rsidRDefault="00641FB5">
                  <w:pPr>
                    <w:numPr>
                      <w:ilvl w:val="0"/>
                      <w:numId w:val="3"/>
                    </w:numPr>
                    <w:spacing w:line="276" w:lineRule="auto"/>
                    <w:ind w:left="885" w:right="170" w:hanging="885"/>
                    <w:jc w:val="both"/>
                    <w:rPr>
                      <w:rFonts w:ascii="Calibri" w:eastAsia="Calibri" w:hAnsi="Calibri" w:cs="Calibri"/>
                      <w:color w:val="4F81BD"/>
                      <w:sz w:val="17"/>
                      <w:szCs w:val="17"/>
                    </w:rPr>
                  </w:pPr>
                  <w:r>
                    <w:rPr>
                      <w:rFonts w:ascii="Calibri" w:eastAsia="Calibri" w:hAnsi="Calibri" w:cs="Calibri"/>
                      <w:color w:val="4F81BD"/>
                      <w:sz w:val="17"/>
                      <w:szCs w:val="17"/>
                    </w:rPr>
                    <w:t xml:space="preserve">Prezentacja kontekstu społeczno-ekonomicznego. </w:t>
                  </w:r>
                </w:p>
              </w:tc>
            </w:tr>
          </w:tbl>
          <w:p w14:paraId="66918F65"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p w14:paraId="7936F6D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32" w:name="_heading=h.3whwml4" w:colFirst="0" w:colLast="0"/>
            <w:bookmarkEnd w:id="32"/>
            <w:r>
              <w:rPr>
                <w:rFonts w:ascii="Calibri" w:eastAsia="Calibri" w:hAnsi="Calibri" w:cs="Calibri"/>
                <w:color w:val="000000"/>
                <w:sz w:val="20"/>
                <w:szCs w:val="20"/>
              </w:rPr>
              <w:t xml:space="preserve">Wskaźniki efektywności społeczno-ekonomicznej AKK, takie jak ENPV, ERR </w:t>
            </w:r>
            <w:r>
              <w:rPr>
                <w:rFonts w:ascii="Calibri" w:eastAsia="Calibri" w:hAnsi="Calibri" w:cs="Calibri"/>
                <w:color w:val="000000"/>
                <w:sz w:val="20"/>
                <w:szCs w:val="20"/>
              </w:rPr>
              <w:br/>
              <w:t>(i ewentualnie dodatkowo BCR), stanowią jeden z ekonomicznych elementów warunkujących wybór ostatecznego wariantu (gdy AKK jest jedną z metod w analizie wariantów). Teoretycznie, jeżeli w rezultacie początkowych prac analitycznych dokonano wstępnego wyboru wariantów odpowiadających założonym celom (tzn. w zakresie środowiska, osiągnięcia wartości docelowych związanych z klimatem, trwałości finansowej…), należy wybrać wariant charakteryzujący się najlepszymi wskaźnikami, wyrażonymi w postaci poziomu ERR i/lub BCR (ENPV może być takie samo dla wariantów o różnych ERR lub odwrotnie).</w:t>
            </w:r>
          </w:p>
          <w:p w14:paraId="7270D74D" w14:textId="77777777" w:rsidR="00DC3FFD" w:rsidRDefault="00DC3FFD">
            <w:pPr>
              <w:pBdr>
                <w:top w:val="nil"/>
                <w:left w:val="nil"/>
                <w:bottom w:val="nil"/>
                <w:right w:val="nil"/>
                <w:between w:val="nil"/>
              </w:pBdr>
              <w:spacing w:before="120"/>
              <w:jc w:val="both"/>
              <w:rPr>
                <w:rFonts w:ascii="Calibri" w:eastAsia="Calibri" w:hAnsi="Calibri" w:cs="Calibri"/>
                <w:color w:val="000000"/>
                <w:sz w:val="20"/>
                <w:szCs w:val="20"/>
              </w:rPr>
            </w:pPr>
          </w:p>
          <w:p w14:paraId="7991990C" w14:textId="77777777" w:rsidR="00DC3FFD" w:rsidRDefault="00DC3FFD">
            <w:pPr>
              <w:pBdr>
                <w:top w:val="nil"/>
                <w:left w:val="nil"/>
                <w:bottom w:val="nil"/>
                <w:right w:val="nil"/>
                <w:between w:val="nil"/>
              </w:pBdr>
              <w:spacing w:before="120"/>
              <w:jc w:val="both"/>
              <w:rPr>
                <w:rFonts w:ascii="Calibri" w:eastAsia="Calibri" w:hAnsi="Calibri" w:cs="Calibri"/>
                <w:color w:val="000000"/>
                <w:sz w:val="20"/>
                <w:szCs w:val="20"/>
              </w:rPr>
            </w:pPr>
          </w:p>
          <w:p w14:paraId="4CA9B967" w14:textId="2444AC45"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Jednakże, jeżeli wyniki uzyskane dla dwóch lub więcej wariantów o znacząco różnym koszcie są możliwe do przyjęcia (lub porównywalne) to przy wyborze ostatecznego wariantu inwestycyjnego należy postępować w następujący sposób:</w:t>
            </w:r>
          </w:p>
          <w:p w14:paraId="263A8FF1" w14:textId="77777777" w:rsidR="00600DEE" w:rsidRDefault="00641FB5" w:rsidP="00D5736B">
            <w:pPr>
              <w:numPr>
                <w:ilvl w:val="0"/>
                <w:numId w:val="1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jeżeli głównym czynnikiem byłby niższy koszt, należałoby wybrać wariant tańszy uwalniając środki finansowe dla innych projektów, biorąc jednocześnie pod uwagę wszystkie istotne aspekty strategii inwestycyjnej,</w:t>
            </w:r>
          </w:p>
          <w:p w14:paraId="2FB0DD21" w14:textId="77777777" w:rsidR="00600DEE" w:rsidRDefault="00641FB5" w:rsidP="00D5736B">
            <w:pPr>
              <w:numPr>
                <w:ilvl w:val="0"/>
                <w:numId w:val="1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jeżeli droższy projekt będzie lepiej realizował główny cel strategiczny oraz inne aspekty strategii inwestycyjnej (np. wymagania środowiskowe), a środki będą dostępne, to dopuszczalny jest wybór takiego wariantu.</w:t>
            </w:r>
          </w:p>
          <w:p w14:paraId="2F2006E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trakcie ubiegania się o dotację UE, we wniosku należy wyjaśnić logikę podejmowania ostatecznej decyzji. Oczywiście w przypadku wyboru wariantu o znacznie słabszych wynikach ekonomicznych i rezygnacji z wariantu o dużo lepszych parametrach, konieczne będzie dokładne uzasadnienie takiej decyzji.</w:t>
            </w:r>
          </w:p>
          <w:p w14:paraId="7AB532BD" w14:textId="77777777" w:rsidR="00600DEE" w:rsidRDefault="00641FB5">
            <w:pPr>
              <w:pBdr>
                <w:top w:val="nil"/>
                <w:left w:val="nil"/>
                <w:bottom w:val="nil"/>
                <w:right w:val="nil"/>
                <w:between w:val="nil"/>
              </w:pBdr>
              <w:spacing w:before="120"/>
              <w:jc w:val="both"/>
              <w:rPr>
                <w:rFonts w:ascii="Calibri" w:eastAsia="Calibri" w:hAnsi="Calibri" w:cs="Calibri"/>
                <w:b/>
                <w:color w:val="323299"/>
                <w:sz w:val="20"/>
                <w:szCs w:val="20"/>
              </w:rPr>
            </w:pPr>
            <w:r>
              <w:rPr>
                <w:rFonts w:ascii="Calibri" w:eastAsia="Calibri" w:hAnsi="Calibri" w:cs="Calibri"/>
                <w:color w:val="000000"/>
                <w:sz w:val="20"/>
                <w:szCs w:val="20"/>
              </w:rPr>
              <w:t>Po wyborze optymalnego rozwiązania w oparciu o powyższe podejście, dla wybranego wariantu należy przeprowadzić pełną AKK (tj. na postawie niniejszego podręcznika, jeżeli nie była przeprowadzana na etapie wyboru wariantu), aby potwierdzić adekwatność i ekonomiczne uzasadnienie proponowanego rozwiązania dla spełnienia wcześniej ustalonych celów projektu.</w:t>
            </w:r>
          </w:p>
        </w:tc>
        <w:tc>
          <w:tcPr>
            <w:tcW w:w="7204" w:type="dxa"/>
            <w:tcBorders>
              <w:left w:val="single" w:sz="4" w:space="0" w:color="000000"/>
            </w:tcBorders>
            <w:shd w:val="clear" w:color="auto" w:fill="auto"/>
            <w:tcMar>
              <w:left w:w="284" w:type="dxa"/>
              <w:right w:w="284" w:type="dxa"/>
            </w:tcMar>
            <w:vAlign w:val="center"/>
          </w:tcPr>
          <w:p w14:paraId="14687BA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Objectives resulting from Transport Plans/Strategies based on comprehensive analysis of all related mobility aspects might be achieved in a number of ways. It means that there are a number of possible solutions including a number of investment options. Each potential option meeting the planned project objectives should be identified at the initial stage of a project development – Phase I.</w:t>
            </w:r>
          </w:p>
          <w:p w14:paraId="075CFE1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first stage (for projects that are not reconstruction/modernization of existing roads), a </w:t>
            </w:r>
            <w:r w:rsidRPr="0045151D">
              <w:rPr>
                <w:rFonts w:ascii="Calibri" w:eastAsia="Calibri" w:hAnsi="Calibri" w:cs="Calibri"/>
                <w:b/>
                <w:color w:val="000000"/>
                <w:sz w:val="20"/>
                <w:szCs w:val="20"/>
                <w:lang w:val="en-GB"/>
              </w:rPr>
              <w:t>strategic option analysis</w:t>
            </w:r>
            <w:r w:rsidRPr="0045151D">
              <w:rPr>
                <w:rFonts w:ascii="Calibri" w:eastAsia="Calibri" w:hAnsi="Calibri" w:cs="Calibri"/>
                <w:color w:val="000000"/>
                <w:sz w:val="20"/>
                <w:szCs w:val="20"/>
                <w:lang w:val="en-GB"/>
              </w:rPr>
              <w:t xml:space="preserve"> is typically carried out, generally comparing all relevant criteria (i.e. technical, legal, environmental, economic - </w:t>
            </w:r>
            <w:r w:rsidRPr="0045151D">
              <w:rPr>
                <w:rFonts w:ascii="Calibri" w:eastAsia="Calibri" w:hAnsi="Calibri" w:cs="Calibri"/>
                <w:color w:val="000000"/>
                <w:sz w:val="20"/>
                <w:szCs w:val="20"/>
                <w:lang w:val="en-GB"/>
              </w:rPr>
              <w:lastRenderedPageBreak/>
              <w:t xml:space="preserve">based on rough calculations - or political considerations) and selecting the most promising candidates  vis-à-vis Transport Plans/Strategies objectives. </w:t>
            </w:r>
          </w:p>
          <w:p w14:paraId="158D0104" w14:textId="69757895" w:rsidR="00600DEE" w:rsidRPr="0045151D" w:rsidRDefault="00641FB5" w:rsidP="00DC3FFD">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these first selection processes, different option appraisal techniques or tools can be used to select the option/s for a later CBA analysis. They should provide a transparent, sound, comprehensive, coherent, open and explicit analysis. For example, the Multi-Criteria Analysis (MCA) is an appraisal technique used to establish preferences amongst different options for delivering a given set of objectives. It does this with reference to an explicit set of rational criteria, which helps appraisers to assess the extent to which the individual investment objectives are met by th</w:t>
            </w:r>
            <w:r w:rsidR="00214038">
              <w:rPr>
                <w:rFonts w:ascii="Calibri" w:eastAsia="Calibri" w:hAnsi="Calibri" w:cs="Calibri"/>
                <w:color w:val="000000"/>
                <w:sz w:val="20"/>
                <w:szCs w:val="20"/>
                <w:lang w:val="en-GB"/>
              </w:rPr>
              <w:t>e different available solutions</w:t>
            </w:r>
            <w:r w:rsidRPr="0045151D">
              <w:rPr>
                <w:rFonts w:ascii="Calibri" w:eastAsia="Calibri" w:hAnsi="Calibri" w:cs="Calibri"/>
                <w:color w:val="000000"/>
                <w:sz w:val="20"/>
                <w:szCs w:val="20"/>
                <w:lang w:val="en-GB"/>
              </w:rPr>
              <w:t>. The purpose may be to rank options in preference order, or to shortlist a number of options for a more detailed appraisal. Other techniques, such as Strengths-Weaknesses-Opportunities-Threats (SWOT) analysis to evaluate the project’s potential benefits and risks deriving from the institutional, legal, technical, economic, environmental, spatial and social contexts may also be helpful in some cases. This analysis should be carried out within a multi-modal perspective as far as possible.</w:t>
            </w:r>
            <w:r w:rsidRPr="0045151D">
              <w:rPr>
                <w:rFonts w:ascii="Calibri" w:eastAsia="Calibri" w:hAnsi="Calibri" w:cs="Calibri"/>
                <w:color w:val="4BACC6"/>
                <w:sz w:val="20"/>
                <w:szCs w:val="20"/>
                <w:lang w:val="en-GB"/>
              </w:rPr>
              <w:t xml:space="preserve"> </w:t>
            </w:r>
          </w:p>
          <w:p w14:paraId="5B33BDE7" w14:textId="77777777" w:rsidR="00214038" w:rsidRDefault="00214038">
            <w:pPr>
              <w:pBdr>
                <w:top w:val="nil"/>
                <w:left w:val="nil"/>
                <w:bottom w:val="nil"/>
                <w:right w:val="nil"/>
                <w:between w:val="nil"/>
              </w:pBdr>
              <w:spacing w:before="120"/>
              <w:jc w:val="both"/>
              <w:rPr>
                <w:rFonts w:ascii="Calibri" w:eastAsia="Calibri" w:hAnsi="Calibri" w:cs="Calibri"/>
                <w:color w:val="000000"/>
                <w:sz w:val="20"/>
                <w:szCs w:val="20"/>
                <w:lang w:val="en-GB"/>
              </w:rPr>
            </w:pPr>
          </w:p>
          <w:p w14:paraId="53DE250E" w14:textId="77777777" w:rsidR="00214038" w:rsidRDefault="00214038">
            <w:pPr>
              <w:pBdr>
                <w:top w:val="nil"/>
                <w:left w:val="nil"/>
                <w:bottom w:val="nil"/>
                <w:right w:val="nil"/>
                <w:between w:val="nil"/>
              </w:pBdr>
              <w:spacing w:before="120"/>
              <w:jc w:val="both"/>
              <w:rPr>
                <w:rFonts w:ascii="Calibri" w:eastAsia="Calibri" w:hAnsi="Calibri" w:cs="Calibri"/>
                <w:color w:val="000000"/>
                <w:sz w:val="20"/>
                <w:szCs w:val="20"/>
                <w:lang w:val="en-GB"/>
              </w:rPr>
            </w:pPr>
          </w:p>
          <w:p w14:paraId="52BB13DF" w14:textId="77777777" w:rsidR="00214038" w:rsidRDefault="00214038">
            <w:pPr>
              <w:pBdr>
                <w:top w:val="nil"/>
                <w:left w:val="nil"/>
                <w:bottom w:val="nil"/>
                <w:right w:val="nil"/>
                <w:between w:val="nil"/>
              </w:pBdr>
              <w:spacing w:before="120"/>
              <w:jc w:val="both"/>
              <w:rPr>
                <w:rFonts w:ascii="Calibri" w:eastAsia="Calibri" w:hAnsi="Calibri" w:cs="Calibri"/>
                <w:color w:val="000000"/>
                <w:sz w:val="20"/>
                <w:szCs w:val="20"/>
                <w:lang w:val="en-GB"/>
              </w:rPr>
            </w:pPr>
          </w:p>
          <w:p w14:paraId="682A57BE" w14:textId="77777777" w:rsidR="00214038" w:rsidRDefault="00214038">
            <w:pPr>
              <w:pBdr>
                <w:top w:val="nil"/>
                <w:left w:val="nil"/>
                <w:bottom w:val="nil"/>
                <w:right w:val="nil"/>
                <w:between w:val="nil"/>
              </w:pBdr>
              <w:spacing w:before="120"/>
              <w:jc w:val="both"/>
              <w:rPr>
                <w:rFonts w:ascii="Calibri" w:eastAsia="Calibri" w:hAnsi="Calibri" w:cs="Calibri"/>
                <w:color w:val="000000"/>
                <w:sz w:val="20"/>
                <w:szCs w:val="20"/>
                <w:lang w:val="en-GB"/>
              </w:rPr>
            </w:pPr>
          </w:p>
          <w:p w14:paraId="045E1DAD" w14:textId="77777777" w:rsidR="00214038" w:rsidRDefault="00214038">
            <w:pPr>
              <w:pBdr>
                <w:top w:val="nil"/>
                <w:left w:val="nil"/>
                <w:bottom w:val="nil"/>
                <w:right w:val="nil"/>
                <w:between w:val="nil"/>
              </w:pBdr>
              <w:spacing w:before="120"/>
              <w:jc w:val="both"/>
              <w:rPr>
                <w:rFonts w:ascii="Calibri" w:eastAsia="Calibri" w:hAnsi="Calibri" w:cs="Calibri"/>
                <w:color w:val="000000"/>
                <w:sz w:val="20"/>
                <w:szCs w:val="20"/>
                <w:lang w:val="en-GB"/>
              </w:rPr>
            </w:pPr>
          </w:p>
          <w:p w14:paraId="5D6CBA90" w14:textId="0499339F"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A further </w:t>
            </w:r>
            <w:r w:rsidRPr="0045151D">
              <w:rPr>
                <w:rFonts w:ascii="Calibri" w:eastAsia="Calibri" w:hAnsi="Calibri" w:cs="Calibri"/>
                <w:b/>
                <w:color w:val="000000"/>
                <w:sz w:val="20"/>
                <w:szCs w:val="20"/>
                <w:lang w:val="en-GB"/>
              </w:rPr>
              <w:t>comparison of the selected technical solutions is performed</w:t>
            </w:r>
            <w:r w:rsidRPr="0045151D">
              <w:rPr>
                <w:rFonts w:ascii="Calibri" w:eastAsia="Calibri" w:hAnsi="Calibri" w:cs="Calibri"/>
                <w:color w:val="000000"/>
                <w:sz w:val="20"/>
                <w:szCs w:val="20"/>
                <w:lang w:val="en-GB"/>
              </w:rPr>
              <w:t xml:space="preserve"> in the context of a more restricted list of criteria/objectives (generally related to environmental considerations, emissions, technical and efficiency aspects and safety;</w:t>
            </w:r>
            <w:r w:rsidR="00214038">
              <w:rPr>
                <w:rFonts w:ascii="Calibri" w:eastAsia="Calibri" w:hAnsi="Calibri" w:cs="Calibri"/>
                <w:color w:val="000000"/>
                <w:sz w:val="20"/>
                <w:szCs w:val="20"/>
                <w:lang w:val="en-GB"/>
              </w:rPr>
              <w:t xml:space="preserve"> </w:t>
            </w:r>
            <w:r w:rsidRPr="0045151D">
              <w:rPr>
                <w:rFonts w:ascii="Calibri" w:eastAsia="Calibri" w:hAnsi="Calibri" w:cs="Calibri"/>
                <w:color w:val="000000"/>
                <w:sz w:val="20"/>
                <w:szCs w:val="20"/>
                <w:lang w:val="en-GB"/>
              </w:rPr>
              <w:t>an economic and financial appraisal is also carried out). The preliminary (‘rough’) CBA (i.e. one focused on first qualified estimates of demand and rough estimates of key financial and economic parameters at an early project design stage) is recommended to compare the economic costs and benefits of each shortlisted solution in order to enable various investment options to be compared on the basis of their net economic benefits and economic internal rate of return.</w:t>
            </w:r>
          </w:p>
          <w:p w14:paraId="2F3E046C"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793C8277" w14:textId="77777777" w:rsidR="00600DEE" w:rsidRPr="0045151D" w:rsidRDefault="00641FB5">
            <w:pPr>
              <w:spacing w:before="120"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A specific approach might be adopted to so-called compliance-driven (policy-driven) projects where the scope is determined mostly to adapt to the existing legal requirements and where the option solutions are limited (scope is pre-</w:t>
            </w:r>
            <w:r w:rsidRPr="0045151D">
              <w:rPr>
                <w:rFonts w:ascii="Calibri" w:eastAsia="Calibri" w:hAnsi="Calibri" w:cs="Calibri"/>
                <w:sz w:val="20"/>
                <w:szCs w:val="20"/>
                <w:lang w:val="en-GB"/>
              </w:rPr>
              <w:lastRenderedPageBreak/>
              <w:t xml:space="preserve">determined). In such a case, the Beneficiary could perform Cost Effectiveness Analysis (CEA) and carry out the selection based on Quality/Price criteria. JASPERS recommends that this approach is used only in specific cases and the application of it is prudently justified upfront in the FS. </w:t>
            </w:r>
          </w:p>
          <w:p w14:paraId="21660A44" w14:textId="77777777" w:rsidR="00600DEE" w:rsidRPr="0045151D" w:rsidRDefault="00641FB5">
            <w:pPr>
              <w:spacing w:before="120"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Cost Efficiency Analysis (CEA) is used to compare option cost performance by comparing the ratio of the quantified level of accomplishment of a particular singular objective (output) to the life-cycle costs between two or more project options.</w:t>
            </w:r>
          </w:p>
          <w:p w14:paraId="1E2F1F78" w14:textId="77777777" w:rsidR="00214038" w:rsidRDefault="00214038" w:rsidP="00F6627D">
            <w:pPr>
              <w:spacing w:before="120" w:after="120"/>
              <w:ind w:right="170"/>
              <w:jc w:val="both"/>
              <w:rPr>
                <w:rFonts w:asciiTheme="minorHAnsi" w:hAnsiTheme="minorHAnsi" w:cstheme="minorHAnsi"/>
                <w:sz w:val="20"/>
                <w:szCs w:val="20"/>
                <w:lang w:val="en-GB"/>
              </w:rPr>
            </w:pPr>
          </w:p>
          <w:p w14:paraId="3C76D068" w14:textId="7E7D0B80" w:rsidR="00F6627D" w:rsidRDefault="00F6627D" w:rsidP="00F6627D">
            <w:pPr>
              <w:spacing w:before="120" w:after="120"/>
              <w:ind w:right="170"/>
              <w:jc w:val="both"/>
              <w:rPr>
                <w:rFonts w:asciiTheme="minorHAnsi" w:hAnsiTheme="minorHAnsi" w:cstheme="minorHAnsi"/>
                <w:sz w:val="20"/>
                <w:szCs w:val="20"/>
                <w:lang w:val="en-GB"/>
              </w:rPr>
            </w:pPr>
            <w:r w:rsidRPr="008900A7">
              <w:rPr>
                <w:rFonts w:asciiTheme="minorHAnsi" w:hAnsiTheme="minorHAnsi" w:cstheme="minorHAnsi"/>
                <w:sz w:val="20"/>
                <w:szCs w:val="20"/>
                <w:lang w:val="en-GB"/>
              </w:rPr>
              <w:t>In the 2021-2027 financial perspective, road projects will have to demonstrate a strong economic justification, therefore adequate design of project capacity versus expected demand is crucial. Excessive capacity on road sections with low traffic levels takes valuable investment resources away from other sections on the network and leads to unjustified operation and maintenance expenditures. The table below indicates optimal provision of road cross-sections for expected traffic flows.</w:t>
            </w:r>
          </w:p>
          <w:p w14:paraId="725168F5" w14:textId="77777777" w:rsidR="00600DEE" w:rsidRDefault="00641FB5">
            <w:pPr>
              <w:spacing w:line="276" w:lineRule="auto"/>
              <w:jc w:val="both"/>
              <w:rPr>
                <w:rFonts w:ascii="Calibri" w:eastAsia="Calibri" w:hAnsi="Calibri" w:cs="Calibri"/>
                <w:sz w:val="20"/>
                <w:szCs w:val="20"/>
              </w:rPr>
            </w:pPr>
            <w:r>
              <w:rPr>
                <w:rFonts w:ascii="Calibri" w:eastAsia="Calibri" w:hAnsi="Calibri" w:cs="Calibri"/>
                <w:noProof/>
                <w:sz w:val="20"/>
                <w:szCs w:val="20"/>
                <w:lang w:eastAsia="pl-PL"/>
              </w:rPr>
              <w:drawing>
                <wp:inline distT="0" distB="0" distL="0" distR="0" wp14:anchorId="74A349A4" wp14:editId="4A4BF6B3">
                  <wp:extent cx="4231323" cy="1790700"/>
                  <wp:effectExtent l="0" t="0" r="0" b="0"/>
                  <wp:docPr id="540"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102"/>
                          <a:srcRect/>
                          <a:stretch>
                            <a:fillRect/>
                          </a:stretch>
                        </pic:blipFill>
                        <pic:spPr>
                          <a:xfrm>
                            <a:off x="0" y="0"/>
                            <a:ext cx="4237622" cy="1793366"/>
                          </a:xfrm>
                          <a:prstGeom prst="rect">
                            <a:avLst/>
                          </a:prstGeom>
                          <a:ln/>
                        </pic:spPr>
                      </pic:pic>
                    </a:graphicData>
                  </a:graphic>
                </wp:inline>
              </w:drawing>
            </w:r>
          </w:p>
          <w:p w14:paraId="3834753E" w14:textId="77777777" w:rsidR="00600DEE" w:rsidRPr="0045151D" w:rsidRDefault="00641FB5">
            <w:pPr>
              <w:rPr>
                <w:rFonts w:ascii="Calibri" w:eastAsia="Calibri" w:hAnsi="Calibri" w:cs="Calibri"/>
                <w:sz w:val="12"/>
                <w:szCs w:val="12"/>
                <w:lang w:val="en-GB"/>
              </w:rPr>
            </w:pPr>
            <w:r w:rsidRPr="0045151D">
              <w:rPr>
                <w:rFonts w:ascii="Calibri" w:eastAsia="Calibri" w:hAnsi="Calibri" w:cs="Calibri"/>
                <w:sz w:val="12"/>
                <w:szCs w:val="12"/>
                <w:lang w:val="en-GB"/>
              </w:rPr>
              <w:t>Source: WR-D-23 Guidelines for widening of interurban roads and streets with additional traffic lanes, Ministry of Infrastructure and Construction, 2017, Design manual for additional traffic lanes on two carriageway roads, GDDKiA, 2005</w:t>
            </w:r>
          </w:p>
          <w:p w14:paraId="4F82974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 cases where two types might be considered, an incremental analysis comparing costs and benefits could help to determine the optimal selection. </w:t>
            </w:r>
          </w:p>
          <w:p w14:paraId="77DD8605" w14:textId="77777777" w:rsidR="00214038" w:rsidRDefault="00214038">
            <w:pPr>
              <w:pBdr>
                <w:top w:val="nil"/>
                <w:left w:val="nil"/>
                <w:bottom w:val="nil"/>
                <w:right w:val="nil"/>
                <w:between w:val="nil"/>
              </w:pBdr>
              <w:spacing w:before="120"/>
              <w:jc w:val="both"/>
              <w:rPr>
                <w:rFonts w:ascii="Calibri" w:eastAsia="Calibri" w:hAnsi="Calibri" w:cs="Calibri"/>
                <w:color w:val="000000"/>
                <w:sz w:val="20"/>
                <w:szCs w:val="20"/>
                <w:lang w:val="en-GB"/>
              </w:rPr>
            </w:pPr>
          </w:p>
          <w:p w14:paraId="63550B8C" w14:textId="77777777" w:rsidR="00214038" w:rsidRDefault="00214038">
            <w:pPr>
              <w:pBdr>
                <w:top w:val="nil"/>
                <w:left w:val="nil"/>
                <w:bottom w:val="nil"/>
                <w:right w:val="nil"/>
                <w:between w:val="nil"/>
              </w:pBdr>
              <w:spacing w:before="120"/>
              <w:jc w:val="both"/>
              <w:rPr>
                <w:rFonts w:ascii="Calibri" w:eastAsia="Calibri" w:hAnsi="Calibri" w:cs="Calibri"/>
                <w:color w:val="000000"/>
                <w:sz w:val="20"/>
                <w:szCs w:val="20"/>
                <w:lang w:val="en-GB"/>
              </w:rPr>
            </w:pPr>
          </w:p>
          <w:p w14:paraId="3D43A149" w14:textId="77777777" w:rsidR="00214038" w:rsidRDefault="00214038">
            <w:pPr>
              <w:pBdr>
                <w:top w:val="nil"/>
                <w:left w:val="nil"/>
                <w:bottom w:val="nil"/>
                <w:right w:val="nil"/>
                <w:between w:val="nil"/>
              </w:pBdr>
              <w:spacing w:before="120"/>
              <w:jc w:val="both"/>
              <w:rPr>
                <w:rFonts w:ascii="Calibri" w:eastAsia="Calibri" w:hAnsi="Calibri" w:cs="Calibri"/>
                <w:color w:val="000000"/>
                <w:sz w:val="20"/>
                <w:szCs w:val="20"/>
                <w:lang w:val="en-GB"/>
              </w:rPr>
            </w:pPr>
          </w:p>
          <w:p w14:paraId="5FF24AC5" w14:textId="2C0E579B"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If these (past) analyses and option comparisons were an object of previous project related reports , then only a comprehensive summary should be presented (as described in chapter 1.1).</w:t>
            </w:r>
          </w:p>
          <w:p w14:paraId="6D2B4872"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selected options should be described in terms of their key parameters, such as length, design speed, carriageway width, cross-section, etc.</w:t>
            </w:r>
          </w:p>
          <w:p w14:paraId="3087384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selected options should therefore be derived from the strategic context (i.e. National Transport Strategy, Regional Transport Plans, local transport plans such as SUMPs, etc.). Those in turn should include the respective Strategic Environmental Assessments (SEA) context. Any pre-existing analyses and decisions must be considered. For the EU-funded projects, the related priority axes and intervention areas of the Operational Programs may be highlighted. </w:t>
            </w:r>
          </w:p>
          <w:p w14:paraId="4E879140" w14:textId="6DF9409E"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It is also necessary to ensure consistency between the options’ analysis performed for the purpose of the CBA and the analysis performed for the purpose of the EIA. These </w:t>
            </w:r>
            <w:r w:rsidR="00BD6864" w:rsidRPr="00BD6864">
              <w:rPr>
                <w:rFonts w:asciiTheme="minorHAnsi" w:hAnsiTheme="minorHAnsi"/>
                <w:sz w:val="20"/>
                <w:szCs w:val="20"/>
                <w:lang w:val="en-GB"/>
              </w:rPr>
              <w:t>analyses can be carried out</w:t>
            </w:r>
            <w:r w:rsidR="00BD6864" w:rsidRPr="00731E4E">
              <w:rPr>
                <w:rFonts w:asciiTheme="minorHAnsi" w:hAnsiTheme="minorHAnsi"/>
                <w:spacing w:val="-3"/>
                <w:lang w:val="en-GB"/>
              </w:rPr>
              <w:t xml:space="preserve"> </w:t>
            </w:r>
            <w:r w:rsidRPr="0045151D">
              <w:rPr>
                <w:rFonts w:ascii="Calibri" w:eastAsia="Calibri" w:hAnsi="Calibri" w:cs="Calibri"/>
                <w:color w:val="000000"/>
                <w:sz w:val="20"/>
                <w:szCs w:val="20"/>
                <w:lang w:val="en-GB"/>
              </w:rPr>
              <w:t xml:space="preserve">at different moments in the project preparation cycle. However, it must be ensured that </w:t>
            </w:r>
            <w:r w:rsidR="00BD6864">
              <w:rPr>
                <w:rFonts w:ascii="Calibri" w:eastAsia="Calibri" w:hAnsi="Calibri" w:cs="Calibri"/>
                <w:color w:val="000000"/>
                <w:sz w:val="20"/>
                <w:szCs w:val="20"/>
                <w:lang w:val="en-GB"/>
              </w:rPr>
              <w:t xml:space="preserve">the </w:t>
            </w:r>
            <w:r w:rsidRPr="0045151D">
              <w:rPr>
                <w:rFonts w:ascii="Calibri" w:eastAsia="Calibri" w:hAnsi="Calibri" w:cs="Calibri"/>
                <w:color w:val="000000"/>
                <w:sz w:val="20"/>
                <w:szCs w:val="20"/>
                <w:lang w:val="en-GB"/>
              </w:rPr>
              <w:t xml:space="preserve">shortlisted project options </w:t>
            </w:r>
            <w:r w:rsidR="00BD6864" w:rsidRPr="00BD6864">
              <w:rPr>
                <w:rFonts w:asciiTheme="minorHAnsi" w:hAnsiTheme="minorHAnsi"/>
                <w:spacing w:val="-3"/>
                <w:sz w:val="20"/>
                <w:szCs w:val="20"/>
                <w:lang w:val="en-GB"/>
              </w:rPr>
              <w:t xml:space="preserve">were considered in an EIA, or at the very least that all shortlisted project options </w:t>
            </w:r>
            <w:r w:rsidRPr="0045151D">
              <w:rPr>
                <w:rFonts w:ascii="Calibri" w:eastAsia="Calibri" w:hAnsi="Calibri" w:cs="Calibri"/>
                <w:color w:val="000000"/>
                <w:sz w:val="20"/>
                <w:szCs w:val="20"/>
                <w:lang w:val="en-GB"/>
              </w:rPr>
              <w:t>would be compliant with regards to environmental legislation, so that the environmental, financial and economic aspects could be compared. The EIA normally requires mitigation and compensatory measures to be implemented that generate additional costs. Those measures and costs will be different for different options. These additional capital and operational costs must be incorporated into the analysis for the corresponding options.</w:t>
            </w:r>
          </w:p>
          <w:p w14:paraId="7674ADD1" w14:textId="4E0C3E22" w:rsidR="006E3D76" w:rsidRPr="006E3D76" w:rsidRDefault="006E3D76" w:rsidP="00DC3FFD">
            <w:pPr>
              <w:pBdr>
                <w:top w:val="nil"/>
                <w:left w:val="nil"/>
                <w:bottom w:val="nil"/>
                <w:right w:val="nil"/>
                <w:between w:val="nil"/>
              </w:pBdr>
              <w:tabs>
                <w:tab w:val="left" w:pos="0"/>
              </w:tabs>
              <w:spacing w:before="120"/>
              <w:jc w:val="both"/>
              <w:rPr>
                <w:rFonts w:asciiTheme="minorHAnsi" w:hAnsiTheme="minorHAnsi"/>
                <w:spacing w:val="-3"/>
                <w:sz w:val="20"/>
                <w:szCs w:val="20"/>
                <w:lang w:val="en-GB"/>
              </w:rPr>
            </w:pPr>
            <w:r>
              <w:rPr>
                <w:rFonts w:asciiTheme="minorHAnsi" w:hAnsiTheme="minorHAnsi"/>
                <w:spacing w:val="-3"/>
                <w:sz w:val="20"/>
                <w:szCs w:val="20"/>
                <w:lang w:val="en-GB"/>
              </w:rPr>
              <w:t>I</w:t>
            </w:r>
            <w:r w:rsidRPr="006E3D76">
              <w:rPr>
                <w:rFonts w:asciiTheme="minorHAnsi" w:hAnsiTheme="minorHAnsi"/>
                <w:spacing w:val="-3"/>
                <w:sz w:val="20"/>
                <w:szCs w:val="20"/>
                <w:lang w:val="en-GB"/>
              </w:rPr>
              <w:t xml:space="preserve">n summary, in a Feasibility Study, the economic and financial analyses </w:t>
            </w:r>
            <w:r w:rsidRPr="006E3D76">
              <w:rPr>
                <w:rFonts w:asciiTheme="minorHAnsi" w:hAnsiTheme="minorHAnsi"/>
                <w:spacing w:val="-3"/>
                <w:sz w:val="20"/>
                <w:szCs w:val="20"/>
                <w:u w:val="single"/>
                <w:lang w:val="en-GB"/>
              </w:rPr>
              <w:t>might</w:t>
            </w:r>
            <w:r w:rsidRPr="006E3D76">
              <w:rPr>
                <w:rFonts w:asciiTheme="minorHAnsi" w:hAnsiTheme="minorHAnsi"/>
                <w:spacing w:val="-3"/>
                <w:sz w:val="20"/>
                <w:szCs w:val="20"/>
                <w:lang w:val="en-GB"/>
              </w:rPr>
              <w:t xml:space="preserve"> refer to the selected solution only, as a result of previous studies. In this case, however, the options selection process </w:t>
            </w:r>
            <w:r w:rsidRPr="006E3D76">
              <w:rPr>
                <w:rFonts w:asciiTheme="minorHAnsi" w:hAnsiTheme="minorHAnsi"/>
                <w:spacing w:val="-3"/>
                <w:sz w:val="20"/>
                <w:szCs w:val="20"/>
                <w:u w:val="single"/>
                <w:lang w:val="en-GB"/>
              </w:rPr>
              <w:t>must</w:t>
            </w:r>
            <w:r w:rsidRPr="006E3D76">
              <w:rPr>
                <w:rFonts w:asciiTheme="minorHAnsi" w:hAnsiTheme="minorHAnsi"/>
                <w:spacing w:val="-3"/>
                <w:sz w:val="20"/>
                <w:szCs w:val="20"/>
                <w:lang w:val="en-GB"/>
              </w:rPr>
              <w:t xml:space="preserve"> be described in the summary of the feasibility analysis. Failure to compare a sufficient number of options and lack of complete justification for selection of the option suggested for financing may decrease the chance of approval of the project.</w:t>
            </w:r>
          </w:p>
          <w:p w14:paraId="45CF45A5" w14:textId="431E24C0" w:rsidR="00DC3FFD" w:rsidRPr="0045151D" w:rsidRDefault="00641FB5" w:rsidP="00DC3FFD">
            <w:pPr>
              <w:pBdr>
                <w:top w:val="nil"/>
                <w:left w:val="nil"/>
                <w:bottom w:val="nil"/>
                <w:right w:val="nil"/>
                <w:between w:val="nil"/>
              </w:pBdr>
              <w:tabs>
                <w:tab w:val="left" w:pos="0"/>
              </w:tabs>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investment options in the majority of road projects may fit into one of the three categories presented in the Table below</w:t>
            </w:r>
            <w:r w:rsidR="00DC3FFD" w:rsidRPr="0045151D">
              <w:rPr>
                <w:rFonts w:ascii="Calibri" w:eastAsia="Calibri" w:hAnsi="Calibri" w:cs="Calibri"/>
                <w:color w:val="000000"/>
                <w:sz w:val="20"/>
                <w:szCs w:val="20"/>
                <w:lang w:val="en-GB"/>
              </w:rPr>
              <w:t>:</w:t>
            </w:r>
          </w:p>
          <w:p w14:paraId="758F4D30" w14:textId="15911789" w:rsidR="00DC3FFD" w:rsidRPr="0045151D" w:rsidRDefault="00DC3FFD" w:rsidP="00DC3FFD">
            <w:pPr>
              <w:pBdr>
                <w:top w:val="nil"/>
                <w:left w:val="nil"/>
                <w:bottom w:val="nil"/>
                <w:right w:val="nil"/>
                <w:between w:val="nil"/>
              </w:pBdr>
              <w:tabs>
                <w:tab w:val="left" w:pos="0"/>
              </w:tabs>
              <w:spacing w:before="120"/>
              <w:jc w:val="both"/>
              <w:rPr>
                <w:rFonts w:ascii="Calibri" w:eastAsia="Calibri" w:hAnsi="Calibri" w:cs="Calibri"/>
                <w:color w:val="000000"/>
                <w:sz w:val="20"/>
                <w:szCs w:val="20"/>
                <w:lang w:val="en-GB"/>
              </w:rPr>
            </w:pPr>
          </w:p>
          <w:p w14:paraId="7A40A83A" w14:textId="1D82A186" w:rsidR="00DC3FFD" w:rsidRPr="0045151D" w:rsidRDefault="00DC3FFD" w:rsidP="00DC3FFD">
            <w:pPr>
              <w:pBdr>
                <w:top w:val="nil"/>
                <w:left w:val="nil"/>
                <w:bottom w:val="nil"/>
                <w:right w:val="nil"/>
                <w:between w:val="nil"/>
              </w:pBdr>
              <w:tabs>
                <w:tab w:val="left" w:pos="0"/>
              </w:tabs>
              <w:spacing w:before="120"/>
              <w:jc w:val="both"/>
              <w:rPr>
                <w:rFonts w:ascii="Calibri" w:eastAsia="Calibri" w:hAnsi="Calibri" w:cs="Calibri"/>
                <w:color w:val="000000"/>
                <w:sz w:val="20"/>
                <w:szCs w:val="20"/>
                <w:lang w:val="en-GB"/>
              </w:rPr>
            </w:pPr>
          </w:p>
          <w:p w14:paraId="377B4D40" w14:textId="104F533D" w:rsidR="00DC3FFD" w:rsidRPr="0045151D" w:rsidRDefault="00DC3FFD" w:rsidP="00DC3FFD">
            <w:pPr>
              <w:pBdr>
                <w:top w:val="nil"/>
                <w:left w:val="nil"/>
                <w:bottom w:val="nil"/>
                <w:right w:val="nil"/>
                <w:between w:val="nil"/>
              </w:pBdr>
              <w:tabs>
                <w:tab w:val="left" w:pos="0"/>
              </w:tabs>
              <w:spacing w:before="120"/>
              <w:jc w:val="both"/>
              <w:rPr>
                <w:rFonts w:ascii="Calibri" w:eastAsia="Calibri" w:hAnsi="Calibri" w:cs="Calibri"/>
                <w:color w:val="000000"/>
                <w:sz w:val="20"/>
                <w:szCs w:val="20"/>
                <w:lang w:val="en-GB"/>
              </w:rPr>
            </w:pPr>
          </w:p>
          <w:p w14:paraId="16D25658" w14:textId="77777777" w:rsidR="00DC3FFD" w:rsidRPr="0045151D" w:rsidRDefault="00DC3FFD" w:rsidP="00DC3FFD">
            <w:pPr>
              <w:pBdr>
                <w:top w:val="nil"/>
                <w:left w:val="nil"/>
                <w:bottom w:val="nil"/>
                <w:right w:val="nil"/>
                <w:between w:val="nil"/>
              </w:pBdr>
              <w:tabs>
                <w:tab w:val="left" w:pos="0"/>
              </w:tabs>
              <w:jc w:val="both"/>
              <w:rPr>
                <w:rFonts w:ascii="Calibri" w:eastAsia="Calibri" w:hAnsi="Calibri" w:cs="Calibri"/>
                <w:b/>
                <w:color w:val="4F81BD"/>
                <w:sz w:val="20"/>
                <w:szCs w:val="20"/>
                <w:lang w:val="en-GB"/>
              </w:rPr>
            </w:pPr>
          </w:p>
          <w:p w14:paraId="3804A14A" w14:textId="07B34CAC" w:rsidR="00600DEE" w:rsidRPr="0045151D" w:rsidRDefault="00641FB5">
            <w:pPr>
              <w:keepNext/>
              <w:pBdr>
                <w:top w:val="nil"/>
                <w:left w:val="nil"/>
                <w:bottom w:val="nil"/>
                <w:right w:val="nil"/>
                <w:between w:val="nil"/>
              </w:pBdr>
              <w:tabs>
                <w:tab w:val="left" w:pos="720"/>
                <w:tab w:val="left" w:pos="0"/>
              </w:tabs>
              <w:spacing w:before="220" w:after="120"/>
              <w:ind w:right="26"/>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lastRenderedPageBreak/>
              <w:t>Table 2. Examples of road project investment categories</w:t>
            </w:r>
          </w:p>
          <w:tbl>
            <w:tblPr>
              <w:tblStyle w:val="af1"/>
              <w:tblW w:w="7032" w:type="dxa"/>
              <w:tblLayout w:type="fixed"/>
              <w:tblLook w:val="0400" w:firstRow="0" w:lastRow="0" w:firstColumn="0" w:lastColumn="0" w:noHBand="0" w:noVBand="1"/>
            </w:tblPr>
            <w:tblGrid>
              <w:gridCol w:w="7032"/>
            </w:tblGrid>
            <w:tr w:rsidR="00600DEE" w:rsidRPr="007463B9" w14:paraId="5CB307D3" w14:textId="77777777" w:rsidTr="00EB64DC">
              <w:trPr>
                <w:trHeight w:hRule="exact" w:val="2268"/>
              </w:trPr>
              <w:tc>
                <w:tcPr>
                  <w:tcW w:w="7032" w:type="dxa"/>
                  <w:shd w:val="clear" w:color="auto" w:fill="DBE5F1"/>
                  <w:vAlign w:val="center"/>
                </w:tcPr>
                <w:p w14:paraId="24AC737E" w14:textId="77777777" w:rsidR="00600DEE" w:rsidRPr="0045151D" w:rsidRDefault="00641FB5">
                  <w:pPr>
                    <w:numPr>
                      <w:ilvl w:val="0"/>
                      <w:numId w:val="3"/>
                    </w:numPr>
                    <w:spacing w:line="276" w:lineRule="auto"/>
                    <w:ind w:left="616" w:right="170" w:hanging="583"/>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Single-location or linear road investments intended to improve the quality of infrastructure, climate change resilience or safety without upgrading the capacity.</w:t>
                  </w:r>
                </w:p>
                <w:p w14:paraId="06D779ED" w14:textId="77777777" w:rsidR="00600DEE" w:rsidRPr="0045151D" w:rsidRDefault="00641FB5">
                  <w:pPr>
                    <w:numPr>
                      <w:ilvl w:val="0"/>
                      <w:numId w:val="3"/>
                    </w:numPr>
                    <w:spacing w:line="276" w:lineRule="auto"/>
                    <w:ind w:left="616" w:right="170" w:hanging="583"/>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Upgrading of an existing road to provide higher capacity/higher standard, e.g. widening (expansion of a single-lane road or addition of traffic lanes).</w:t>
                  </w:r>
                </w:p>
                <w:p w14:paraId="136D21B6" w14:textId="77777777" w:rsidR="00600DEE" w:rsidRPr="0045151D" w:rsidRDefault="00641FB5">
                  <w:pPr>
                    <w:numPr>
                      <w:ilvl w:val="0"/>
                      <w:numId w:val="3"/>
                    </w:numPr>
                    <w:spacing w:line="276" w:lineRule="auto"/>
                    <w:ind w:left="616" w:right="170" w:hanging="583"/>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Construction of a new road with new alignment (including bypass of city).</w:t>
                  </w:r>
                </w:p>
              </w:tc>
            </w:tr>
          </w:tbl>
          <w:p w14:paraId="5B40192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45118512"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 case of less complex projects, the number of technically, legally, environmentally and politically feasible options may be small; however, for the majority of projects there is usually more than one feasible investment option. Usually, it is feasible to upgrade an existing road in a number of ways. Project staging alternatives may also be considered. </w:t>
            </w:r>
          </w:p>
          <w:p w14:paraId="4C2ADB3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 this context, adequate attention should be paid to carrying out an </w:t>
            </w:r>
            <w:r w:rsidRPr="0045151D">
              <w:rPr>
                <w:rFonts w:ascii="Calibri" w:eastAsia="Calibri" w:hAnsi="Calibri" w:cs="Calibri"/>
                <w:b/>
                <w:color w:val="000000"/>
                <w:sz w:val="20"/>
                <w:szCs w:val="20"/>
                <w:lang w:val="en-GB"/>
              </w:rPr>
              <w:t>options analysis including economic impacts during construction period</w:t>
            </w:r>
            <w:r w:rsidRPr="0045151D">
              <w:rPr>
                <w:rFonts w:ascii="Calibri" w:eastAsia="Calibri" w:hAnsi="Calibri" w:cs="Calibri"/>
                <w:color w:val="000000"/>
                <w:sz w:val="20"/>
                <w:szCs w:val="20"/>
                <w:lang w:val="en-GB"/>
              </w:rPr>
              <w:t>. Estimation of economic impacts described in chapters below mainly referr to the incremental impacts during the operating period. Nevertheless, it is recognised that for some projects economic impacts on transport users and other citizens during construction are worth considering. Typical relevant cases could be: (i) road rehabilitation works; (ii) road upgrading, i.e. expansion of existing road capacity, in particular for roads with very high traffic levels, where temporary traffic organisation during works would represent major impacts on users and local citizens.</w:t>
            </w:r>
          </w:p>
          <w:p w14:paraId="232847AA"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B51FC34" w14:textId="77777777" w:rsidR="00600DEE" w:rsidRPr="0045151D" w:rsidRDefault="00641FB5">
            <w:pPr>
              <w:pBdr>
                <w:top w:val="nil"/>
                <w:left w:val="nil"/>
                <w:bottom w:val="nil"/>
                <w:right w:val="nil"/>
                <w:between w:val="nil"/>
              </w:pBdr>
              <w:spacing w:before="120" w:after="24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When applying for EU funding, the process and method of option selection should be presented as well. If it results from a number of different analysis and studies, those should be presented in a summarised form that provides a clear overview of the option analysis process as per above considerations.</w:t>
            </w:r>
          </w:p>
          <w:tbl>
            <w:tblPr>
              <w:tblStyle w:val="af2"/>
              <w:tblW w:w="7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7"/>
            </w:tblGrid>
            <w:tr w:rsidR="00600DEE" w:rsidRPr="007463B9" w14:paraId="42CCAC30" w14:textId="77777777" w:rsidTr="0073146B">
              <w:trPr>
                <w:trHeight w:hRule="exact" w:val="1134"/>
              </w:trPr>
              <w:tc>
                <w:tcPr>
                  <w:tcW w:w="7057" w:type="dxa"/>
                  <w:shd w:val="clear" w:color="auto" w:fill="auto"/>
                  <w:vAlign w:val="center"/>
                </w:tcPr>
                <w:p w14:paraId="7345409D" w14:textId="77777777" w:rsidR="00600DEE" w:rsidRPr="0045151D" w:rsidRDefault="00641FB5">
                  <w:pPr>
                    <w:spacing w:before="60" w:after="60" w:line="276" w:lineRule="auto"/>
                    <w:ind w:right="170"/>
                    <w:jc w:val="both"/>
                    <w:rPr>
                      <w:rFonts w:ascii="Calibri" w:eastAsia="Calibri" w:hAnsi="Calibri" w:cs="Calibri"/>
                      <w:sz w:val="18"/>
                      <w:szCs w:val="18"/>
                      <w:lang w:val="en-GB"/>
                    </w:rPr>
                  </w:pPr>
                  <w:r w:rsidRPr="0045151D">
                    <w:rPr>
                      <w:rFonts w:ascii="Calibri" w:eastAsia="Calibri" w:hAnsi="Calibri" w:cs="Calibri"/>
                      <w:sz w:val="18"/>
                      <w:szCs w:val="18"/>
                      <w:lang w:val="en-GB"/>
                    </w:rPr>
                    <w:lastRenderedPageBreak/>
                    <w:t>Whereas the number of investment options examined under the CBA is up to the promoter of the project, who must be able to demonstrate that all reasonable alternative options have been considered adequately and justify the reasons for which the final option/s was/were chosen.</w:t>
                  </w:r>
                </w:p>
              </w:tc>
            </w:tr>
          </w:tbl>
          <w:p w14:paraId="40F68FAB" w14:textId="77777777" w:rsidR="00600DEE" w:rsidRDefault="00641FB5">
            <w:pPr>
              <w:keepNext/>
              <w:pBdr>
                <w:top w:val="nil"/>
                <w:left w:val="nil"/>
                <w:bottom w:val="nil"/>
                <w:right w:val="nil"/>
                <w:between w:val="nil"/>
              </w:pBdr>
              <w:tabs>
                <w:tab w:val="left" w:pos="720"/>
                <w:tab w:val="left" w:pos="0"/>
              </w:tabs>
              <w:spacing w:before="220" w:after="120"/>
              <w:ind w:right="26"/>
              <w:rPr>
                <w:rFonts w:ascii="Calibri" w:eastAsia="Calibri" w:hAnsi="Calibri" w:cs="Calibri"/>
                <w:b/>
                <w:color w:val="4F81BD"/>
                <w:sz w:val="20"/>
                <w:szCs w:val="20"/>
              </w:rPr>
            </w:pPr>
            <w:r>
              <w:rPr>
                <w:rFonts w:ascii="Calibri" w:eastAsia="Calibri" w:hAnsi="Calibri" w:cs="Calibri"/>
                <w:b/>
                <w:color w:val="4F81BD"/>
                <w:sz w:val="20"/>
                <w:szCs w:val="20"/>
              </w:rPr>
              <w:t>Table 3. Preliminary options analysis outputs</w:t>
            </w:r>
          </w:p>
          <w:tbl>
            <w:tblPr>
              <w:tblStyle w:val="af3"/>
              <w:tblW w:w="7087" w:type="dxa"/>
              <w:tblInd w:w="2" w:type="dxa"/>
              <w:tblBorders>
                <w:insideH w:val="single" w:sz="4" w:space="0" w:color="000000"/>
                <w:insideV w:val="single" w:sz="4" w:space="0" w:color="000000"/>
              </w:tblBorders>
              <w:tblLayout w:type="fixed"/>
              <w:tblLook w:val="0400" w:firstRow="0" w:lastRow="0" w:firstColumn="0" w:lastColumn="0" w:noHBand="0" w:noVBand="1"/>
            </w:tblPr>
            <w:tblGrid>
              <w:gridCol w:w="7087"/>
            </w:tblGrid>
            <w:tr w:rsidR="00600DEE" w:rsidRPr="007463B9" w14:paraId="047ACC36" w14:textId="77777777" w:rsidTr="00DC3FFD">
              <w:trPr>
                <w:trHeight w:hRule="exact" w:val="4536"/>
              </w:trPr>
              <w:tc>
                <w:tcPr>
                  <w:tcW w:w="7087" w:type="dxa"/>
                  <w:shd w:val="clear" w:color="auto" w:fill="DBE5F1"/>
                  <w:vAlign w:val="center"/>
                </w:tcPr>
                <w:p w14:paraId="4DF271FB" w14:textId="77777777" w:rsidR="00600DEE" w:rsidRPr="0045151D" w:rsidRDefault="00641FB5">
                  <w:pPr>
                    <w:numPr>
                      <w:ilvl w:val="0"/>
                      <w:numId w:val="3"/>
                    </w:numPr>
                    <w:spacing w:line="276" w:lineRule="auto"/>
                    <w:ind w:left="756" w:right="284" w:hanging="756"/>
                    <w:jc w:val="both"/>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Project objectives (what should be achieved rather than how to do it; e.g. increased road traffic safety and climate resilience of road infrastructure).</w:t>
                  </w:r>
                </w:p>
                <w:p w14:paraId="690B825F" w14:textId="77777777" w:rsidR="00600DEE" w:rsidRDefault="00641FB5">
                  <w:pPr>
                    <w:numPr>
                      <w:ilvl w:val="0"/>
                      <w:numId w:val="3"/>
                    </w:numPr>
                    <w:spacing w:line="276" w:lineRule="auto"/>
                    <w:ind w:left="756" w:right="284" w:hanging="756"/>
                    <w:jc w:val="both"/>
                    <w:rPr>
                      <w:rFonts w:ascii="Calibri" w:eastAsia="Calibri" w:hAnsi="Calibri" w:cs="Calibri"/>
                      <w:color w:val="4F81BD"/>
                      <w:sz w:val="17"/>
                      <w:szCs w:val="17"/>
                    </w:rPr>
                  </w:pPr>
                  <w:r w:rsidRPr="0045151D">
                    <w:rPr>
                      <w:rFonts w:ascii="Calibri" w:eastAsia="Calibri" w:hAnsi="Calibri" w:cs="Calibri"/>
                      <w:color w:val="4F81BD"/>
                      <w:sz w:val="17"/>
                      <w:szCs w:val="17"/>
                      <w:lang w:val="en-GB"/>
                    </w:rPr>
                    <w:t xml:space="preserve">Reference to key planning and strategy documents and decisions which are binding for the project Beneficiary. </w:t>
                  </w:r>
                  <w:r>
                    <w:rPr>
                      <w:rFonts w:ascii="Calibri" w:eastAsia="Calibri" w:hAnsi="Calibri" w:cs="Calibri"/>
                      <w:color w:val="4F81BD"/>
                      <w:sz w:val="17"/>
                      <w:szCs w:val="17"/>
                    </w:rPr>
                    <w:t>Strategic context within multi-modal view.</w:t>
                  </w:r>
                </w:p>
                <w:p w14:paraId="79956EB2" w14:textId="77777777" w:rsidR="00600DEE" w:rsidRPr="0045151D" w:rsidRDefault="00641FB5">
                  <w:pPr>
                    <w:numPr>
                      <w:ilvl w:val="0"/>
                      <w:numId w:val="3"/>
                    </w:numPr>
                    <w:spacing w:line="276" w:lineRule="auto"/>
                    <w:ind w:left="756" w:right="284" w:hanging="756"/>
                    <w:jc w:val="both"/>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Identification of options (road rehabilitation or reconstruction, new road alignment, interventions in other modes, etc.).</w:t>
                  </w:r>
                </w:p>
                <w:p w14:paraId="74C489FD" w14:textId="77777777" w:rsidR="00600DEE" w:rsidRPr="0045151D" w:rsidRDefault="00641FB5">
                  <w:pPr>
                    <w:numPr>
                      <w:ilvl w:val="0"/>
                      <w:numId w:val="3"/>
                    </w:numPr>
                    <w:spacing w:line="276" w:lineRule="auto"/>
                    <w:ind w:left="756" w:right="284" w:hanging="756"/>
                    <w:jc w:val="both"/>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Project description for each short-listed road investment option including at least the following elements:</w:t>
                  </w:r>
                </w:p>
                <w:p w14:paraId="32EE9B55" w14:textId="77777777" w:rsidR="00600DEE" w:rsidRDefault="00641FB5">
                  <w:pPr>
                    <w:numPr>
                      <w:ilvl w:val="0"/>
                      <w:numId w:val="12"/>
                    </w:numPr>
                    <w:spacing w:line="276" w:lineRule="auto"/>
                    <w:ind w:left="756" w:right="284" w:hanging="442"/>
                    <w:jc w:val="both"/>
                    <w:rPr>
                      <w:rFonts w:ascii="Calibri" w:eastAsia="Calibri" w:hAnsi="Calibri" w:cs="Calibri"/>
                      <w:color w:val="4F81BD"/>
                      <w:sz w:val="17"/>
                      <w:szCs w:val="17"/>
                    </w:rPr>
                  </w:pPr>
                  <w:r>
                    <w:rPr>
                      <w:rFonts w:ascii="Calibri" w:eastAsia="Calibri" w:hAnsi="Calibri" w:cs="Calibri"/>
                      <w:color w:val="4F81BD"/>
                      <w:sz w:val="17"/>
                      <w:szCs w:val="17"/>
                    </w:rPr>
                    <w:t>investment costs,</w:t>
                  </w:r>
                </w:p>
                <w:p w14:paraId="06C9DF6E" w14:textId="77777777" w:rsidR="00600DEE" w:rsidRPr="0045151D" w:rsidRDefault="00641FB5">
                  <w:pPr>
                    <w:numPr>
                      <w:ilvl w:val="0"/>
                      <w:numId w:val="12"/>
                    </w:numPr>
                    <w:spacing w:line="276" w:lineRule="auto"/>
                    <w:ind w:left="756" w:right="284" w:hanging="442"/>
                    <w:jc w:val="both"/>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key parameters and functionality aspects: class and category, design speed, length, number of carriageways and lanes, number and length of structures, etc.,</w:t>
                  </w:r>
                </w:p>
                <w:p w14:paraId="098D2062" w14:textId="77777777" w:rsidR="00600DEE" w:rsidRPr="0045151D" w:rsidRDefault="00641FB5">
                  <w:pPr>
                    <w:numPr>
                      <w:ilvl w:val="0"/>
                      <w:numId w:val="12"/>
                    </w:numPr>
                    <w:spacing w:line="276" w:lineRule="auto"/>
                    <w:ind w:left="756" w:right="284" w:hanging="442"/>
                    <w:jc w:val="both"/>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criteria used to select the preferred option,</w:t>
                  </w:r>
                </w:p>
                <w:p w14:paraId="06200388" w14:textId="77777777" w:rsidR="00600DEE" w:rsidRPr="0045151D" w:rsidRDefault="00641FB5">
                  <w:pPr>
                    <w:numPr>
                      <w:ilvl w:val="0"/>
                      <w:numId w:val="12"/>
                    </w:numPr>
                    <w:spacing w:line="276" w:lineRule="auto"/>
                    <w:ind w:left="756" w:right="284" w:hanging="442"/>
                    <w:jc w:val="both"/>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advantages/disadvantages of each option,</w:t>
                  </w:r>
                </w:p>
                <w:p w14:paraId="1534272A" w14:textId="77777777" w:rsidR="00600DEE" w:rsidRPr="0045151D" w:rsidRDefault="00641FB5">
                  <w:pPr>
                    <w:numPr>
                      <w:ilvl w:val="0"/>
                      <w:numId w:val="12"/>
                    </w:numPr>
                    <w:spacing w:line="276" w:lineRule="auto"/>
                    <w:ind w:left="756" w:right="284" w:hanging="442"/>
                    <w:jc w:val="both"/>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 xml:space="preserve">map with location of the options. </w:t>
                  </w:r>
                </w:p>
                <w:p w14:paraId="0CCF36ED" w14:textId="77777777" w:rsidR="00600DEE" w:rsidRPr="0045151D" w:rsidRDefault="00641FB5">
                  <w:pPr>
                    <w:numPr>
                      <w:ilvl w:val="0"/>
                      <w:numId w:val="3"/>
                    </w:numPr>
                    <w:spacing w:line="276" w:lineRule="auto"/>
                    <w:ind w:left="756" w:right="284" w:hanging="756"/>
                    <w:jc w:val="both"/>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Presentation of the socio-economic context.</w:t>
                  </w:r>
                </w:p>
              </w:tc>
            </w:tr>
          </w:tbl>
          <w:p w14:paraId="75F8EA3D" w14:textId="77777777" w:rsidR="00600DEE" w:rsidRPr="0045151D" w:rsidRDefault="00641FB5">
            <w:pPr>
              <w:pBdr>
                <w:top w:val="nil"/>
                <w:left w:val="nil"/>
                <w:bottom w:val="nil"/>
                <w:right w:val="nil"/>
                <w:between w:val="nil"/>
              </w:pBdr>
              <w:spacing w:before="12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Source: proprietary work.</w:t>
            </w:r>
          </w:p>
          <w:p w14:paraId="693F0FF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Indicators of socio-economic efficiency from CBA, such as ENPV and ERR (and possibly also BCR), contribute to the final option selection (when CBA has been used as an option selection method). Theoretically, if the initial analysis phase pre-selects options corresponding to expected objectives (i.e. environmental benefits, alignment with climate targets, financial sustainability…), then the one characterised by the best economic indicator values, expressed by the level of ERR and/or BCR (ENPV can be the same for options with different ERR, or the other way round) should be chosen.</w:t>
            </w:r>
          </w:p>
          <w:p w14:paraId="02E6EC0E" w14:textId="77777777" w:rsidR="00DC3FFD" w:rsidRPr="0045151D" w:rsidRDefault="00DC3FFD">
            <w:pPr>
              <w:pBdr>
                <w:top w:val="nil"/>
                <w:left w:val="nil"/>
                <w:bottom w:val="nil"/>
                <w:right w:val="nil"/>
                <w:between w:val="nil"/>
              </w:pBdr>
              <w:spacing w:before="120"/>
              <w:jc w:val="both"/>
              <w:rPr>
                <w:rFonts w:ascii="Calibri" w:eastAsia="Calibri" w:hAnsi="Calibri" w:cs="Calibri"/>
                <w:color w:val="000000"/>
                <w:sz w:val="20"/>
                <w:szCs w:val="20"/>
                <w:lang w:val="en-GB"/>
              </w:rPr>
            </w:pPr>
          </w:p>
          <w:p w14:paraId="79D1686C" w14:textId="77777777" w:rsidR="00DC3FFD" w:rsidRPr="0045151D" w:rsidRDefault="00DC3FFD">
            <w:pPr>
              <w:pBdr>
                <w:top w:val="nil"/>
                <w:left w:val="nil"/>
                <w:bottom w:val="nil"/>
                <w:right w:val="nil"/>
                <w:between w:val="nil"/>
              </w:pBdr>
              <w:spacing w:before="120"/>
              <w:jc w:val="both"/>
              <w:rPr>
                <w:rFonts w:ascii="Calibri" w:eastAsia="Calibri" w:hAnsi="Calibri" w:cs="Calibri"/>
                <w:color w:val="000000"/>
                <w:sz w:val="20"/>
                <w:szCs w:val="20"/>
                <w:lang w:val="en-GB"/>
              </w:rPr>
            </w:pPr>
          </w:p>
          <w:p w14:paraId="20B65781" w14:textId="77777777" w:rsidR="00DC3FFD" w:rsidRPr="0045151D" w:rsidRDefault="00DC3FFD">
            <w:pPr>
              <w:pBdr>
                <w:top w:val="nil"/>
                <w:left w:val="nil"/>
                <w:bottom w:val="nil"/>
                <w:right w:val="nil"/>
                <w:between w:val="nil"/>
              </w:pBdr>
              <w:spacing w:before="120"/>
              <w:jc w:val="both"/>
              <w:rPr>
                <w:rFonts w:ascii="Calibri" w:eastAsia="Calibri" w:hAnsi="Calibri" w:cs="Calibri"/>
                <w:color w:val="000000"/>
                <w:sz w:val="20"/>
                <w:szCs w:val="20"/>
                <w:lang w:val="en-GB"/>
              </w:rPr>
            </w:pPr>
          </w:p>
          <w:p w14:paraId="33541620" w14:textId="719FF63C"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However, if the economic analysis results in two or more options of significantly different costs and both considered acceptable (or comparable), the final investment option selection shall consider:</w:t>
            </w:r>
          </w:p>
          <w:p w14:paraId="3BE1A796" w14:textId="77777777" w:rsidR="00600DEE" w:rsidRPr="0045151D" w:rsidRDefault="00641FB5">
            <w:pPr>
              <w:numPr>
                <w:ilvl w:val="1"/>
                <w:numId w:val="9"/>
              </w:numPr>
              <w:pBdr>
                <w:top w:val="nil"/>
                <w:left w:val="nil"/>
                <w:bottom w:val="nil"/>
                <w:right w:val="nil"/>
                <w:between w:val="nil"/>
              </w:pBdr>
              <w:spacing w:before="120"/>
              <w:ind w:left="866" w:hanging="866"/>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if price affordability was the main factor, then the lowest price option should be selected, to release resources for other projects while considering all relevant aspects of the investment strategy,</w:t>
            </w:r>
          </w:p>
          <w:p w14:paraId="5AE6F6CA" w14:textId="77777777" w:rsidR="00600DEE" w:rsidRPr="0045151D" w:rsidRDefault="00641FB5">
            <w:pPr>
              <w:numPr>
                <w:ilvl w:val="1"/>
                <w:numId w:val="9"/>
              </w:numPr>
              <w:pBdr>
                <w:top w:val="nil"/>
                <w:left w:val="nil"/>
                <w:bottom w:val="nil"/>
                <w:right w:val="nil"/>
                <w:between w:val="nil"/>
              </w:pBdr>
              <w:spacing w:before="120"/>
              <w:ind w:left="866" w:hanging="866"/>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if a more expensive project option was better aligned with the key strategic objective and with other relevant aspects of the investment strategy (e.g. environment constraints), while the resources were available, it would be acceptable to select such option.</w:t>
            </w:r>
          </w:p>
          <w:p w14:paraId="6996804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logic for the final decision should be presented in the grant application form, if an EU grant is sought. Clearly, if the option with significantly poorer economic results was chosen over the option with much better parameters, the reasons for the selection will have to be provided in detail.</w:t>
            </w:r>
          </w:p>
          <w:p w14:paraId="4DC4A013"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color w:val="000000"/>
                <w:sz w:val="20"/>
                <w:szCs w:val="20"/>
                <w:lang w:val="en-GB"/>
              </w:rPr>
              <w:t>Once the optimal solution is identified based on the above, a full-scale CBA (i.e. based on the present Manual, if it was not performed at option selection stage) needs to be carried out for the selected option to confirm the adequacy and economic convenience of the proposed solution to meet the pre-established project objectives.</w:t>
            </w:r>
          </w:p>
        </w:tc>
      </w:tr>
    </w:tbl>
    <w:p w14:paraId="61260E06" w14:textId="0A9D846A" w:rsidR="00600DEE" w:rsidRDefault="00641FB5" w:rsidP="00D5736B">
      <w:pPr>
        <w:pStyle w:val="Nagwek2"/>
        <w:numPr>
          <w:ilvl w:val="1"/>
          <w:numId w:val="17"/>
        </w:numPr>
        <w:ind w:left="0" w:firstLine="0"/>
        <w:rPr>
          <w:rFonts w:ascii="Calibri" w:eastAsia="Calibri" w:hAnsi="Calibri" w:cs="Calibri"/>
          <w:i/>
          <w:color w:val="4F81BD"/>
        </w:rPr>
      </w:pPr>
      <w:bookmarkStart w:id="33" w:name="_Toc95377969"/>
      <w:r>
        <w:rPr>
          <w:rFonts w:ascii="Calibri" w:eastAsia="Calibri" w:hAnsi="Calibri" w:cs="Calibri"/>
          <w:color w:val="4F81BD"/>
        </w:rPr>
        <w:lastRenderedPageBreak/>
        <w:t>Definicja wariantu bezinwestycyjnego</w:t>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1.5   Definition of the Without-the-Project Option</w:t>
      </w:r>
      <w:bookmarkEnd w:id="33"/>
    </w:p>
    <w:tbl>
      <w:tblPr>
        <w:tblStyle w:val="af4"/>
        <w:tblW w:w="14571" w:type="dxa"/>
        <w:tblLayout w:type="fixed"/>
        <w:tblLook w:val="0400" w:firstRow="0" w:lastRow="0" w:firstColumn="0" w:lastColumn="0" w:noHBand="0" w:noVBand="1"/>
      </w:tblPr>
      <w:tblGrid>
        <w:gridCol w:w="7367"/>
        <w:gridCol w:w="7204"/>
      </w:tblGrid>
      <w:tr w:rsidR="00600DEE" w14:paraId="04157C93" w14:textId="77777777">
        <w:trPr>
          <w:trHeight w:val="3675"/>
        </w:trPr>
        <w:tc>
          <w:tcPr>
            <w:tcW w:w="7367" w:type="dxa"/>
            <w:tcBorders>
              <w:right w:val="single" w:sz="4" w:space="0" w:color="000000"/>
            </w:tcBorders>
            <w:tcMar>
              <w:left w:w="284" w:type="dxa"/>
              <w:right w:w="284" w:type="dxa"/>
            </w:tcMar>
          </w:tcPr>
          <w:p w14:paraId="0BF4F75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Analiza AKK opiera się na metodzie przyrostowej polegającej na porównaniu scenariusza projektu dla wariantu inwestycyjnego (z projektem) z bazowym scenariuszem dla wariantu bezinwestycyjnego (bez projektu) z uwzględnieniem – w uzasadnionych przypadkach – innych gałęzi transportu. </w:t>
            </w:r>
          </w:p>
          <w:p w14:paraId="4FC275F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Wariant bezinwestycyjny (W0)</w:t>
            </w:r>
            <w:r>
              <w:rPr>
                <w:rFonts w:ascii="Calibri" w:eastAsia="Calibri" w:hAnsi="Calibri" w:cs="Calibri"/>
                <w:color w:val="000000"/>
                <w:sz w:val="20"/>
                <w:szCs w:val="20"/>
              </w:rPr>
              <w:t xml:space="preserve"> jest wyjściowym wariantem w AKK i stanowi odniesienie, do którego będą porównywane wszystkie warianty inwestycyjne. Należy go zatem poddać ocenie na takim samym poziomie szczegółowości jak warianty inwestycyjne, aby AKK stanowiła rzeczywiste porównanie.</w:t>
            </w:r>
          </w:p>
          <w:p w14:paraId="7233592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studiach wykonalności i rozmaitych wytycznych na określenie wariantu, do którego porównywane są warianty inwestycyjne, używa się wielu terminów. Używane są określenia: wariant „nic-nie-robić”, wariant „minimum”, wariant „odniesienia” lub wariant „bazowy”. Mogą one prowadzić do nieporozumień i zachęcić wykonawcę analizy do porównywania wariantów inwestycyjnych z wariantem uważanym za minimalny poziom inwestycji, który nie jest odniesieniem, gdyż sam w sobie jest wariantem inwestycyjnym. Autorzy opracowania przyjęli określenie „wariant bezinwestycyjny” (W0), który najtrafniej opisuje przewidywany poziom ponoszonych kosztów i efektywności infrastruktury, jeżeli nie będzie realizowany żaden wariant inwestycyjny.</w:t>
            </w:r>
          </w:p>
          <w:p w14:paraId="36EFBBE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Wariant bezinwestycyjny oznacza ponoszenie niezbędnych kosztów eksploatacji i utrzymania (które mogą ulegać znacznemu wzrostowi ze względu na pogarszający się stan infrastruktury) w celu zapewnienia minimalnego standardu utrzymania i umożliwienia funkcjonowania infrastruktury drogowej bez znaczącego pogorszenia jej stanu technicznego (przez cały okres analizy). Ta definicja winna być interpretowana, jako zapewnianie standardowego poziomu remontów i utrzymania istniejącej infrastruktury i sprzętu. Jest oczywiste, że W0 może zakładać wzrost lub spadek ruchu na skutek innych działań inwestycyjnych prowadzonych na sieci dróg (w obszarze oddziaływania), ale niezwiązanych z rozpatrywanym projektem. Warunki ruchu mogą też ulec poprawie niekoniecznie na skutek inwestycji kapitałowych, a np. na skutek działań w obszarze inżynierii ruchu.</w:t>
            </w:r>
          </w:p>
          <w:p w14:paraId="26096B0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Punktem wyjścia jest stan istniejącej drogi, nie tylko w momencie dokonywania analizy, lecz przez cały okres odniesienia dla porównywania W0 i wariantów inwestycyjnych. Ocena stanu istniejącego zazwyczaj zostaje dokonana w fazie początkowej (patrz rozdział 1.2).</w:t>
            </w:r>
          </w:p>
          <w:p w14:paraId="525CF0D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lastRenderedPageBreak/>
              <w:t>W celu oceny potrzeb związanych z pełnym określeniem W0, należy rozpatrzyć skutki oddziaływania wariantu(ów) projektu. Jeżeli inwestycja będzie oddziaływać na natężenie ruchu na rozleglejszej sieci niż bezpośredni korytarz (stwierdzone w oparciu o model ruchu, adekwatny do rodzaju projektu), to dla właściwego określenia W0 należy wykonać prognozę ruchu na wszystkich odcinkach dróg, na które będzie miała wpływ projektowana inwestycja, do wykorzystania w analizie ekonomicznej (z użyciem prac przewozowych).</w:t>
            </w:r>
          </w:p>
          <w:p w14:paraId="52916D5B"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Należy również w spójny sposób porównać koszty eksploatacji i utrzymania w W0 i wariantach inwestycyjnych projektu – wykorzystując jednakowe stawki jednostkowe dla poszczególnych typów kosztów. Prognozowane koszty mogą być oparte o historyczne koszty jednostkowe, przy założeniu, że gwarantują należyty jakościowy standard utrzymania. W przypadku znaczącego historycznego niedofinansowania, które doprowadziło do poważnej degradacji infrastruktury, należy założyć taki standard utrzymaniowy, który zagwarantuje oczekiwany poziom utrzymania (w oparciu np. o koszty jednostkowe zawarte w załączniku A). </w:t>
            </w:r>
          </w:p>
          <w:p w14:paraId="301D2DC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Ważne jest też zagwarantowanie dużego stopnia realizmu W0 oraz unikanie prezentacji nadmiernego pogorszenia się warunków lub powstawania zatorów na istniejącej drodze, wynikających z nieuwzględnienia pozytywnych skutków niezbędnych remontów lub realizacji innych planowanych inwestycji pozostających poza zakresem wariantów analizowanego projektu (na przykład już zaplanowanej kluczowej obwodnicy lub trasy alternatywnej, zlokalizowanej w pobliżu przedmiotowej trasy).</w:t>
            </w:r>
          </w:p>
          <w:p w14:paraId="6A72E0F8"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542D7F95"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708449C6"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1E0F182F"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441F823D"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07D43CB9"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742A4185"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142093FD"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40DA1060"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08B306F3"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571E441C" w14:textId="77777777" w:rsidR="00600DEE" w:rsidRDefault="00641FB5">
            <w:pPr>
              <w:pBdr>
                <w:top w:val="nil"/>
                <w:left w:val="nil"/>
                <w:bottom w:val="nil"/>
                <w:right w:val="nil"/>
                <w:between w:val="nil"/>
              </w:pBdr>
              <w:spacing w:after="120"/>
              <w:jc w:val="both"/>
              <w:rPr>
                <w:rFonts w:ascii="Calibri" w:eastAsia="Calibri" w:hAnsi="Calibri" w:cs="Calibri"/>
                <w:color w:val="4F81BD"/>
                <w:sz w:val="20"/>
                <w:szCs w:val="20"/>
              </w:rPr>
            </w:pPr>
            <w:r>
              <w:rPr>
                <w:rFonts w:ascii="Calibri" w:eastAsia="Calibri" w:hAnsi="Calibri" w:cs="Calibri"/>
                <w:b/>
                <w:color w:val="4F81BD"/>
                <w:sz w:val="20"/>
                <w:szCs w:val="20"/>
              </w:rPr>
              <w:lastRenderedPageBreak/>
              <w:t>Tabela 4. Definiowanie wariantu bezinwestycyjnego (W0)</w:t>
            </w:r>
          </w:p>
          <w:tbl>
            <w:tblPr>
              <w:tblStyle w:val="af5"/>
              <w:tblW w:w="6946" w:type="dxa"/>
              <w:tblBorders>
                <w:insideH w:val="single" w:sz="4" w:space="0" w:color="000000"/>
                <w:insideV w:val="single" w:sz="4" w:space="0" w:color="000000"/>
              </w:tblBorders>
              <w:tblLayout w:type="fixed"/>
              <w:tblLook w:val="0400" w:firstRow="0" w:lastRow="0" w:firstColumn="0" w:lastColumn="0" w:noHBand="0" w:noVBand="1"/>
            </w:tblPr>
            <w:tblGrid>
              <w:gridCol w:w="6946"/>
            </w:tblGrid>
            <w:tr w:rsidR="00600DEE" w14:paraId="44E2821F" w14:textId="77777777" w:rsidTr="00DC3FFD">
              <w:trPr>
                <w:trHeight w:hRule="exact" w:val="4536"/>
              </w:trPr>
              <w:tc>
                <w:tcPr>
                  <w:tcW w:w="6946" w:type="dxa"/>
                  <w:shd w:val="clear" w:color="auto" w:fill="DBE5F1"/>
                  <w:vAlign w:val="center"/>
                </w:tcPr>
                <w:p w14:paraId="3F27C9FA" w14:textId="77777777" w:rsidR="00600DEE" w:rsidRDefault="00641FB5">
                  <w:pPr>
                    <w:numPr>
                      <w:ilvl w:val="0"/>
                      <w:numId w:val="3"/>
                    </w:numPr>
                    <w:spacing w:line="276" w:lineRule="auto"/>
                    <w:ind w:left="743" w:right="170" w:hanging="743"/>
                    <w:jc w:val="both"/>
                    <w:rPr>
                      <w:rFonts w:ascii="Calibri" w:eastAsia="Calibri" w:hAnsi="Calibri" w:cs="Calibri"/>
                      <w:color w:val="4F81BD"/>
                      <w:sz w:val="20"/>
                      <w:szCs w:val="20"/>
                    </w:rPr>
                  </w:pPr>
                  <w:r>
                    <w:rPr>
                      <w:rFonts w:ascii="Calibri" w:eastAsia="Calibri" w:hAnsi="Calibri" w:cs="Calibri"/>
                      <w:color w:val="4F81BD"/>
                      <w:sz w:val="20"/>
                      <w:szCs w:val="20"/>
                    </w:rPr>
                    <w:t>W0 jest podstawowym (bazowym) i wyjściowym wariantem odniesienia stosowanym w metodzie przyrostowej.</w:t>
                  </w:r>
                </w:p>
                <w:p w14:paraId="747C538F" w14:textId="77777777" w:rsidR="00600DEE" w:rsidRDefault="00641FB5">
                  <w:pPr>
                    <w:numPr>
                      <w:ilvl w:val="0"/>
                      <w:numId w:val="3"/>
                    </w:numPr>
                    <w:spacing w:line="276" w:lineRule="auto"/>
                    <w:ind w:left="743" w:right="170" w:hanging="743"/>
                    <w:jc w:val="both"/>
                    <w:rPr>
                      <w:rFonts w:ascii="Calibri" w:eastAsia="Calibri" w:hAnsi="Calibri" w:cs="Calibri"/>
                      <w:color w:val="4F81BD"/>
                      <w:sz w:val="20"/>
                      <w:szCs w:val="20"/>
                    </w:rPr>
                  </w:pPr>
                  <w:r>
                    <w:rPr>
                      <w:rFonts w:ascii="Calibri" w:eastAsia="Calibri" w:hAnsi="Calibri" w:cs="Calibri"/>
                      <w:color w:val="4F81BD"/>
                      <w:sz w:val="20"/>
                      <w:szCs w:val="20"/>
                    </w:rPr>
                    <w:t>Wymaga precyzyjnej oceny stanu istniejącego i jego zmian w okresie odniesienia (referencyjnym analizy).</w:t>
                  </w:r>
                </w:p>
                <w:p w14:paraId="609E89B0" w14:textId="5535806F" w:rsidR="00600DEE" w:rsidRDefault="00641FB5">
                  <w:pPr>
                    <w:numPr>
                      <w:ilvl w:val="0"/>
                      <w:numId w:val="3"/>
                    </w:numPr>
                    <w:spacing w:line="276" w:lineRule="auto"/>
                    <w:ind w:left="743" w:right="170" w:hanging="743"/>
                    <w:jc w:val="both"/>
                    <w:rPr>
                      <w:rFonts w:ascii="Calibri" w:eastAsia="Calibri" w:hAnsi="Calibri" w:cs="Calibri"/>
                      <w:color w:val="4F81BD"/>
                      <w:sz w:val="20"/>
                      <w:szCs w:val="20"/>
                    </w:rPr>
                  </w:pPr>
                  <w:r>
                    <w:rPr>
                      <w:rFonts w:ascii="Calibri" w:eastAsia="Calibri" w:hAnsi="Calibri" w:cs="Calibri"/>
                      <w:color w:val="4F81BD"/>
                      <w:sz w:val="20"/>
                      <w:szCs w:val="20"/>
                    </w:rPr>
                    <w:t>Musi uwzględniać prognozy zdarzeń na wszystkich istotnych fragmentach sieci, które pozostają w obszarze wpływu wariantów projektu (w tym, tam gdzie to uzasadnione, także możliwe zmiany podziału zadań przewozowych na skutek inwestycji w transport zbiorowy (np. kolejowy).</w:t>
                  </w:r>
                </w:p>
                <w:p w14:paraId="3D14FEC7" w14:textId="77777777" w:rsidR="00600DEE" w:rsidRDefault="00641FB5">
                  <w:pPr>
                    <w:numPr>
                      <w:ilvl w:val="0"/>
                      <w:numId w:val="3"/>
                    </w:numPr>
                    <w:spacing w:line="276" w:lineRule="auto"/>
                    <w:ind w:left="743" w:right="170" w:hanging="743"/>
                    <w:jc w:val="both"/>
                    <w:rPr>
                      <w:rFonts w:ascii="Calibri" w:eastAsia="Calibri" w:hAnsi="Calibri" w:cs="Calibri"/>
                      <w:color w:val="4F81BD"/>
                      <w:sz w:val="20"/>
                      <w:szCs w:val="20"/>
                    </w:rPr>
                  </w:pPr>
                  <w:r>
                    <w:rPr>
                      <w:rFonts w:ascii="Calibri" w:eastAsia="Calibri" w:hAnsi="Calibri" w:cs="Calibri"/>
                      <w:color w:val="4F81BD"/>
                      <w:sz w:val="20"/>
                      <w:szCs w:val="20"/>
                    </w:rPr>
                    <w:t>Spójny szacunek kosztów eksploatacji i utrzymania musi pozwalać na porównanie W0 z wariantami inwestycyjnymi projektu.</w:t>
                  </w:r>
                </w:p>
                <w:p w14:paraId="697EE9F6" w14:textId="77777777" w:rsidR="00600DEE" w:rsidRDefault="00641FB5">
                  <w:pPr>
                    <w:numPr>
                      <w:ilvl w:val="0"/>
                      <w:numId w:val="3"/>
                    </w:numPr>
                    <w:spacing w:line="276" w:lineRule="auto"/>
                    <w:ind w:left="743" w:right="170" w:hanging="743"/>
                    <w:jc w:val="both"/>
                    <w:rPr>
                      <w:rFonts w:ascii="Calibri" w:eastAsia="Calibri" w:hAnsi="Calibri" w:cs="Calibri"/>
                      <w:color w:val="4F81BD"/>
                      <w:sz w:val="20"/>
                      <w:szCs w:val="20"/>
                    </w:rPr>
                  </w:pPr>
                  <w:r>
                    <w:rPr>
                      <w:rFonts w:ascii="Calibri" w:eastAsia="Calibri" w:hAnsi="Calibri" w:cs="Calibri"/>
                      <w:color w:val="4F81BD"/>
                      <w:sz w:val="20"/>
                      <w:szCs w:val="20"/>
                    </w:rPr>
                    <w:t>W0 musi być realistyczny i nie zniekształcać zmian zachodzących w czasie.</w:t>
                  </w:r>
                </w:p>
              </w:tc>
            </w:tr>
          </w:tbl>
          <w:p w14:paraId="40A6AD7D" w14:textId="77777777" w:rsidR="00600DEE" w:rsidRDefault="00641FB5">
            <w:pPr>
              <w:pBdr>
                <w:top w:val="nil"/>
                <w:left w:val="nil"/>
                <w:bottom w:val="nil"/>
                <w:right w:val="nil"/>
                <w:between w:val="nil"/>
              </w:pBdr>
              <w:spacing w:before="120" w:after="24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tc>
        <w:tc>
          <w:tcPr>
            <w:tcW w:w="7204" w:type="dxa"/>
            <w:tcBorders>
              <w:left w:val="single" w:sz="4" w:space="0" w:color="000000"/>
            </w:tcBorders>
            <w:tcMar>
              <w:left w:w="284" w:type="dxa"/>
              <w:right w:w="284" w:type="dxa"/>
            </w:tcMar>
          </w:tcPr>
          <w:p w14:paraId="555A602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 xml:space="preserve">CBA is based on the incremental approach which compares an investment scenario (with-the-project) with a counterfactual baseline scenario (without-the-project) incuding - if relevant - other transport modes. </w:t>
            </w:r>
          </w:p>
          <w:p w14:paraId="0727F73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w:t>
            </w:r>
            <w:r w:rsidRPr="0045151D">
              <w:rPr>
                <w:rFonts w:ascii="Calibri" w:eastAsia="Calibri" w:hAnsi="Calibri" w:cs="Calibri"/>
                <w:b/>
                <w:color w:val="000000"/>
                <w:sz w:val="20"/>
                <w:szCs w:val="20"/>
                <w:lang w:val="en-GB"/>
              </w:rPr>
              <w:t>Without-the-Project Option (W0)</w:t>
            </w:r>
            <w:r w:rsidRPr="0045151D">
              <w:rPr>
                <w:rFonts w:ascii="Calibri" w:eastAsia="Calibri" w:hAnsi="Calibri" w:cs="Calibri"/>
                <w:color w:val="000000"/>
                <w:sz w:val="20"/>
                <w:szCs w:val="20"/>
                <w:lang w:val="en-GB"/>
              </w:rPr>
              <w:t xml:space="preserve"> is the basic option in the CBA as it constitutes the reference which all investment options will be compared to. Therefore, it must be assessed at the same level of detail as the investment options, in order that the CBA provides a genuine comparison.</w:t>
            </w:r>
          </w:p>
          <w:p w14:paraId="234499A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There are many terms used in feasibility studies and guidance documents for the option to which the investment options are compared to. The terms “Do-Nothing Scenario”, “Do-Minimum Option”, “Reference Case” and “Base Case” are all used. They may lead to confusion and may encourage the analyst to compare the investment options to what is considered to be the minimum level of investment, which is not a suitable reference as it is an investment option itself. Therefore, the authors have adopted the term “Without-the-Project Option” (W0) which most accurately describes the predicted level of incurred costs and the level of performance of the infrastructure if no investment option is implemented.</w:t>
            </w:r>
          </w:p>
          <w:p w14:paraId="19C87CB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Without-the-Project Option means the incurring of the necessary maintenance and operation costs (that with time may significantly increase due to deterioration of the infrastructure condition) in order to provide the required minimum maintenance standard and to enable the operation of the road infrastructure without significant deterioration of its technical condition (through the whole reference period). This definition may be interpreted as assurance of existing infrastructure and equipment repair and maintenance at a standard level. Of course, traffic in the Without-the-Project Option may be assumed to grow or decrease, as there might be works in the network (in the affected area) carried out regardless of the project in question. Traffic conditions may also be improved without capital expenditure (e.g. due to traffic management actions).</w:t>
            </w:r>
          </w:p>
          <w:p w14:paraId="3B65E79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starting point is the existing condition of the road, not only at the time of analysis, but also during the whole reference period for the comparison of the W0 and investment options. Assessment of the existing road condition is usually made at this initial phase (see 1.2).</w:t>
            </w:r>
          </w:p>
          <w:p w14:paraId="4F71E3D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To assess the W0 needs, the impact of project option(s) should be adequately considered. If the investment influences traffic volumes in a larger section of the network surrounding the corridor (based on the model forecasts results, model of adequate scale to the project), then to adequately assess W0, traffic volume forecasts on all roads that the investment would influence should be presented and considered in the economic analysis (using transport work).</w:t>
            </w:r>
          </w:p>
          <w:p w14:paraId="5F3EAF75" w14:textId="08D6BECE"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Also, operating and maintenance costs of the W0 and investment options should be consistently compared using the same unit rates for individual types of costs. Cost forecasts may be based on historic unit costs, when patterns of expenditures on operations and maintenance ensured adequate quality standards. In </w:t>
            </w:r>
            <w:r w:rsidR="00214038">
              <w:rPr>
                <w:rFonts w:ascii="Calibri" w:eastAsia="Calibri" w:hAnsi="Calibri" w:cs="Calibri"/>
                <w:color w:val="000000"/>
                <w:sz w:val="20"/>
                <w:szCs w:val="20"/>
                <w:lang w:val="en-GB"/>
              </w:rPr>
              <w:t>case of severe under-funding</w:t>
            </w:r>
            <w:r w:rsidRPr="0045151D">
              <w:rPr>
                <w:rFonts w:ascii="Calibri" w:eastAsia="Calibri" w:hAnsi="Calibri" w:cs="Calibri"/>
                <w:color w:val="000000"/>
                <w:sz w:val="20"/>
                <w:szCs w:val="20"/>
                <w:lang w:val="en-GB"/>
              </w:rPr>
              <w:t xml:space="preserve"> leading to severely degraded infrastructure in the past, cost forecast should be set at a level which represents the expected maintenance standards (e.g. based on the unit costs in Appendix A).</w:t>
            </w:r>
          </w:p>
          <w:p w14:paraId="02DDFB1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It is also important to ensure that the W0 is realistic and to avoid exaggeration in presenting the deterioration of conditions or traffic jams on the existing road, which may be due to not considering favourable results of unavoidable repairs and other planned investments which fall beyond the scope of the analysed project (for example, a previously planned key bypass or alternative route close to the planned alignment).</w:t>
            </w:r>
          </w:p>
          <w:p w14:paraId="18F758AF"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6412008D"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21ABFCF0"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E134340"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2407D3B4"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B5177FB" w14:textId="77777777" w:rsidR="00600DEE" w:rsidRPr="0045151D" w:rsidRDefault="00600DEE">
            <w:pPr>
              <w:pBdr>
                <w:top w:val="nil"/>
                <w:left w:val="nil"/>
                <w:bottom w:val="nil"/>
                <w:right w:val="nil"/>
                <w:between w:val="nil"/>
              </w:pBdr>
              <w:jc w:val="both"/>
              <w:rPr>
                <w:rFonts w:ascii="Calibri" w:eastAsia="Calibri" w:hAnsi="Calibri" w:cs="Calibri"/>
                <w:color w:val="000000"/>
                <w:sz w:val="20"/>
                <w:szCs w:val="20"/>
                <w:lang w:val="en-GB"/>
              </w:rPr>
            </w:pPr>
          </w:p>
          <w:p w14:paraId="5F74BEFC" w14:textId="77777777" w:rsidR="00600DEE" w:rsidRPr="0045151D" w:rsidRDefault="00600DEE">
            <w:pPr>
              <w:pBdr>
                <w:top w:val="nil"/>
                <w:left w:val="nil"/>
                <w:bottom w:val="nil"/>
                <w:right w:val="nil"/>
                <w:between w:val="nil"/>
              </w:pBdr>
              <w:jc w:val="both"/>
              <w:rPr>
                <w:rFonts w:ascii="Calibri" w:eastAsia="Calibri" w:hAnsi="Calibri" w:cs="Calibri"/>
                <w:color w:val="000000"/>
                <w:sz w:val="20"/>
                <w:szCs w:val="20"/>
                <w:lang w:val="en-GB"/>
              </w:rPr>
            </w:pPr>
          </w:p>
          <w:p w14:paraId="640A7D98" w14:textId="617AA1A7" w:rsidR="00600DEE" w:rsidRPr="0045151D" w:rsidRDefault="00641FB5" w:rsidP="00737E3B">
            <w:pPr>
              <w:keepNext/>
              <w:pBdr>
                <w:top w:val="nil"/>
                <w:left w:val="nil"/>
                <w:bottom w:val="nil"/>
                <w:right w:val="nil"/>
                <w:between w:val="nil"/>
              </w:pBdr>
              <w:tabs>
                <w:tab w:val="left" w:pos="720"/>
                <w:tab w:val="left" w:pos="0"/>
              </w:tabs>
              <w:spacing w:after="120"/>
              <w:ind w:right="26"/>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lastRenderedPageBreak/>
              <w:t>Table 4. Defining the Without-the-Project Option (W0)</w:t>
            </w:r>
          </w:p>
          <w:tbl>
            <w:tblPr>
              <w:tblStyle w:val="af6"/>
              <w:tblW w:w="7088" w:type="dxa"/>
              <w:tblInd w:w="16" w:type="dxa"/>
              <w:tblBorders>
                <w:insideH w:val="single" w:sz="4" w:space="0" w:color="000000"/>
                <w:insideV w:val="single" w:sz="4" w:space="0" w:color="000000"/>
              </w:tblBorders>
              <w:tblLayout w:type="fixed"/>
              <w:tblLook w:val="0400" w:firstRow="0" w:lastRow="0" w:firstColumn="0" w:lastColumn="0" w:noHBand="0" w:noVBand="1"/>
            </w:tblPr>
            <w:tblGrid>
              <w:gridCol w:w="7088"/>
            </w:tblGrid>
            <w:tr w:rsidR="00600DEE" w:rsidRPr="007463B9" w14:paraId="36018339" w14:textId="77777777" w:rsidTr="00DC3FFD">
              <w:trPr>
                <w:trHeight w:hRule="exact" w:val="4536"/>
              </w:trPr>
              <w:tc>
                <w:tcPr>
                  <w:tcW w:w="7088" w:type="dxa"/>
                  <w:shd w:val="clear" w:color="auto" w:fill="DBE5F1"/>
                  <w:vAlign w:val="center"/>
                </w:tcPr>
                <w:p w14:paraId="0181153A" w14:textId="77777777" w:rsidR="00600DEE" w:rsidRPr="0045151D" w:rsidRDefault="00641FB5">
                  <w:pPr>
                    <w:numPr>
                      <w:ilvl w:val="0"/>
                      <w:numId w:val="3"/>
                    </w:numPr>
                    <w:spacing w:line="276" w:lineRule="auto"/>
                    <w:ind w:left="749" w:right="284" w:hanging="749"/>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W0 is the baseline (counterfactual) scenario without-the-project used in the incremental approach.</w:t>
                  </w:r>
                </w:p>
                <w:p w14:paraId="5017FFDA" w14:textId="77777777" w:rsidR="00600DEE" w:rsidRPr="0045151D" w:rsidRDefault="00641FB5">
                  <w:pPr>
                    <w:numPr>
                      <w:ilvl w:val="0"/>
                      <w:numId w:val="3"/>
                    </w:numPr>
                    <w:spacing w:line="276" w:lineRule="auto"/>
                    <w:ind w:left="749" w:right="284" w:hanging="749"/>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It requires precise assessment of the existing situation and its development throughout the reference period of the analysis.</w:t>
                  </w:r>
                </w:p>
                <w:p w14:paraId="43BF275C" w14:textId="543FC3E3" w:rsidR="00600DEE" w:rsidRPr="0045151D" w:rsidRDefault="00641FB5">
                  <w:pPr>
                    <w:numPr>
                      <w:ilvl w:val="0"/>
                      <w:numId w:val="3"/>
                    </w:numPr>
                    <w:spacing w:line="276" w:lineRule="auto"/>
                    <w:ind w:left="749" w:right="284" w:hanging="749"/>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 xml:space="preserve">It must predict occurrences in all important parts of the network which will be affected by project options (including, when relevant, possible changes </w:t>
                  </w:r>
                  <w:r w:rsidR="006E3D76">
                    <w:rPr>
                      <w:rFonts w:ascii="Calibri" w:eastAsia="Calibri" w:hAnsi="Calibri" w:cs="Calibri"/>
                      <w:color w:val="4F81BD"/>
                      <w:sz w:val="20"/>
                      <w:szCs w:val="20"/>
                      <w:lang w:val="en-GB"/>
                    </w:rPr>
                    <w:t xml:space="preserve">in modal split </w:t>
                  </w:r>
                  <w:r w:rsidRPr="0045151D">
                    <w:rPr>
                      <w:rFonts w:ascii="Calibri" w:eastAsia="Calibri" w:hAnsi="Calibri" w:cs="Calibri"/>
                      <w:color w:val="4F81BD"/>
                      <w:sz w:val="20"/>
                      <w:szCs w:val="20"/>
                      <w:lang w:val="en-GB"/>
                    </w:rPr>
                    <w:t>due to investment in public transport (e.g. railways)).</w:t>
                  </w:r>
                </w:p>
                <w:p w14:paraId="1755DF92" w14:textId="77777777" w:rsidR="00600DEE" w:rsidRPr="0045151D" w:rsidRDefault="00641FB5">
                  <w:pPr>
                    <w:numPr>
                      <w:ilvl w:val="0"/>
                      <w:numId w:val="3"/>
                    </w:numPr>
                    <w:spacing w:line="276" w:lineRule="auto"/>
                    <w:ind w:left="749" w:right="284" w:hanging="749"/>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Consistent estimation of operation and maintenance costs must allow comparison of W0 with project investment options to be implemented.</w:t>
                  </w:r>
                </w:p>
                <w:p w14:paraId="546EB423" w14:textId="77777777" w:rsidR="00600DEE" w:rsidRPr="0045151D" w:rsidRDefault="00641FB5">
                  <w:pPr>
                    <w:numPr>
                      <w:ilvl w:val="0"/>
                      <w:numId w:val="3"/>
                    </w:numPr>
                    <w:spacing w:line="276" w:lineRule="auto"/>
                    <w:ind w:left="749" w:right="284" w:hanging="749"/>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W0 must be realistic and may not exaggerate changes of the present situation over time.</w:t>
                  </w:r>
                </w:p>
              </w:tc>
            </w:tr>
          </w:tbl>
          <w:p w14:paraId="7313F9B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i/>
                <w:color w:val="000000"/>
                <w:sz w:val="16"/>
                <w:szCs w:val="16"/>
              </w:rPr>
              <w:t>Source: proprietary work.</w:t>
            </w:r>
          </w:p>
          <w:p w14:paraId="6060FEA2" w14:textId="77777777" w:rsidR="00600DEE" w:rsidRDefault="00641FB5">
            <w:pPr>
              <w:tabs>
                <w:tab w:val="left" w:pos="1807"/>
              </w:tabs>
            </w:pPr>
            <w:r>
              <w:tab/>
            </w:r>
          </w:p>
        </w:tc>
      </w:tr>
    </w:tbl>
    <w:p w14:paraId="4758C036" w14:textId="6240A528" w:rsidR="00600DEE" w:rsidRPr="00E301CF" w:rsidRDefault="00641FB5" w:rsidP="00D5736B">
      <w:pPr>
        <w:pStyle w:val="Nagwek2"/>
        <w:numPr>
          <w:ilvl w:val="1"/>
          <w:numId w:val="17"/>
        </w:numPr>
        <w:ind w:left="0" w:firstLine="0"/>
        <w:rPr>
          <w:rFonts w:ascii="Calibri" w:eastAsia="Calibri" w:hAnsi="Calibri" w:cs="Calibri"/>
          <w:i/>
          <w:color w:val="4F81BD"/>
          <w:lang w:val="pl-PL"/>
        </w:rPr>
      </w:pPr>
      <w:r w:rsidRPr="00E301CF">
        <w:rPr>
          <w:rFonts w:ascii="Calibri" w:eastAsia="Calibri" w:hAnsi="Calibri" w:cs="Calibri"/>
          <w:color w:val="4F81BD"/>
          <w:lang w:val="pl-PL"/>
        </w:rPr>
        <w:lastRenderedPageBreak/>
        <w:t xml:space="preserve">   </w:t>
      </w:r>
      <w:bookmarkStart w:id="34" w:name="_Toc95377970"/>
      <w:r w:rsidRPr="00E301CF">
        <w:rPr>
          <w:rFonts w:ascii="Calibri" w:eastAsia="Calibri" w:hAnsi="Calibri" w:cs="Calibri"/>
          <w:color w:val="4F81BD"/>
          <w:lang w:val="pl-PL"/>
        </w:rPr>
        <w:t>Określenie okresu referencyjnego projektu</w:t>
      </w:r>
      <w:r w:rsidRPr="00E301CF">
        <w:rPr>
          <w:rFonts w:ascii="Calibri" w:eastAsia="Calibri" w:hAnsi="Calibri" w:cs="Calibri"/>
          <w:color w:val="4F81BD"/>
          <w:lang w:val="pl-PL"/>
        </w:rPr>
        <w:tab/>
      </w:r>
      <w:r w:rsidRPr="00E301CF">
        <w:rPr>
          <w:rFonts w:ascii="Calibri" w:eastAsia="Calibri" w:hAnsi="Calibri" w:cs="Calibri"/>
          <w:color w:val="4F81BD"/>
          <w:lang w:val="pl-PL"/>
        </w:rPr>
        <w:tab/>
        <w:t xml:space="preserve">        </w:t>
      </w:r>
      <w:r w:rsidRPr="00E301CF">
        <w:rPr>
          <w:rFonts w:ascii="Calibri" w:eastAsia="Calibri" w:hAnsi="Calibri" w:cs="Calibri"/>
          <w:i/>
          <w:color w:val="4F81BD"/>
          <w:lang w:val="pl-PL"/>
        </w:rPr>
        <w:t>1.6   Determination of the project reference period</w:t>
      </w:r>
      <w:bookmarkEnd w:id="34"/>
    </w:p>
    <w:tbl>
      <w:tblPr>
        <w:tblStyle w:val="af7"/>
        <w:tblW w:w="14565" w:type="dxa"/>
        <w:tblLayout w:type="fixed"/>
        <w:tblLook w:val="0400" w:firstRow="0" w:lastRow="0" w:firstColumn="0" w:lastColumn="0" w:noHBand="0" w:noVBand="1"/>
      </w:tblPr>
      <w:tblGrid>
        <w:gridCol w:w="7371"/>
        <w:gridCol w:w="7194"/>
      </w:tblGrid>
      <w:tr w:rsidR="00600DEE" w:rsidRPr="007463B9" w14:paraId="73DF63D2" w14:textId="77777777">
        <w:tc>
          <w:tcPr>
            <w:tcW w:w="7371" w:type="dxa"/>
            <w:tcBorders>
              <w:right w:val="single" w:sz="4" w:space="0" w:color="000000"/>
            </w:tcBorders>
            <w:tcMar>
              <w:left w:w="284" w:type="dxa"/>
              <w:right w:w="284" w:type="dxa"/>
            </w:tcMar>
          </w:tcPr>
          <w:p w14:paraId="0F39076C" w14:textId="77777777" w:rsidR="00214038" w:rsidRDefault="00641FB5" w:rsidP="00214038">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Okres odniesienia projektu powinien obejmować czas trwałości użytkowej projektu i jego potencjalne długoterminowe odziaływania. </w:t>
            </w:r>
          </w:p>
          <w:p w14:paraId="55C10044" w14:textId="19AA9C2D" w:rsidR="00600DEE" w:rsidRDefault="00641FB5" w:rsidP="003E2A27">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Rekomenduje się 25 lat (w tym okres realizacji inwestycji) jako okres odniesienia (również określany horyzontem czasowym) dla projektów drogowych</w:t>
            </w:r>
            <w:r w:rsidR="003E2A27">
              <w:rPr>
                <w:rFonts w:ascii="Calibri" w:eastAsia="Calibri" w:hAnsi="Calibri" w:cs="Calibri"/>
                <w:color w:val="000000"/>
                <w:sz w:val="20"/>
                <w:szCs w:val="20"/>
                <w:vertAlign w:val="superscript"/>
              </w:rPr>
              <w:t>8</w:t>
            </w:r>
            <w:r w:rsidR="006E3D76">
              <w:rPr>
                <w:rFonts w:ascii="Calibri" w:eastAsia="Calibri" w:hAnsi="Calibri" w:cs="Calibri"/>
                <w:color w:val="000000"/>
                <w:sz w:val="20"/>
                <w:szCs w:val="20"/>
              </w:rPr>
              <w:t>.</w:t>
            </w:r>
          </w:p>
          <w:p w14:paraId="683403F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lastRenderedPageBreak/>
              <w:t>Zaleca się, zatem, aby pierwszy rok odniesienia był wyznaczany jako:</w:t>
            </w:r>
          </w:p>
          <w:p w14:paraId="2E88538D" w14:textId="77777777" w:rsidR="00600DEE" w:rsidRDefault="00641FB5" w:rsidP="00D5736B">
            <w:pPr>
              <w:numPr>
                <w:ilvl w:val="1"/>
                <w:numId w:val="46"/>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rok złożenia wniosku o dofinansowanie, jeśli realizacja projektu rozpoczęła się wcześniej lub rozpoczyna się w tym samym roku (zakładając minimum jeden rok okresu realizacji);</w:t>
            </w:r>
          </w:p>
          <w:p w14:paraId="3EFA0CA2" w14:textId="77777777" w:rsidR="00600DEE" w:rsidRDefault="00641FB5" w:rsidP="00D5736B">
            <w:pPr>
              <w:numPr>
                <w:ilvl w:val="1"/>
                <w:numId w:val="46"/>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rok, w którym rozpoczynają się prace budowlane, jeśli złożenie wniosku o dofinansowanie ma miejsce przed rokiem rozpoczęcia inwestycji.</w:t>
            </w:r>
          </w:p>
          <w:p w14:paraId="19C3767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Akceptowalne jest również, aby w nietypowych przypadkach dla celów analizy kosztów i korzyści, pierwszy rok okresu odniesienia był inny niż data złożenia wniosku o dofinansowanie projektu. Taka rozbieżność nie jest kluczowym czynnikiem istotnie wpływającym na ostateczną ocenę efektywności finansowej i ekonomicznej projektu.</w:t>
            </w:r>
          </w:p>
          <w:p w14:paraId="7AA4CEB4" w14:textId="77777777" w:rsidR="00600DEE" w:rsidRDefault="00641FB5">
            <w:pPr>
              <w:pBdr>
                <w:top w:val="nil"/>
                <w:left w:val="nil"/>
                <w:bottom w:val="nil"/>
                <w:right w:val="nil"/>
                <w:between w:val="nil"/>
              </w:pBdr>
              <w:spacing w:before="120" w:after="240"/>
              <w:jc w:val="both"/>
              <w:rPr>
                <w:rFonts w:ascii="Calibri" w:eastAsia="Calibri" w:hAnsi="Calibri" w:cs="Calibri"/>
                <w:color w:val="000000"/>
                <w:sz w:val="20"/>
                <w:szCs w:val="20"/>
              </w:rPr>
            </w:pPr>
            <w:r>
              <w:rPr>
                <w:rFonts w:ascii="Calibri" w:eastAsia="Calibri" w:hAnsi="Calibri" w:cs="Calibri"/>
                <w:color w:val="000000"/>
                <w:sz w:val="20"/>
                <w:szCs w:val="20"/>
              </w:rPr>
              <w:t>Dopuszcza się, aby w uzasadnionych przypadkach, zastosować okresy odniesienia nieznacznie inne od sugerowanego okresu 25 lat. Okres odniesienia oceny dla projektu transportowego powinien odzwierciedlać średni ważony czas życia różnych jego elementów trwałych. Zaleca się jednak, aby</w:t>
            </w:r>
            <w:r>
              <w:rPr>
                <w:rFonts w:ascii="Calibri" w:eastAsia="Calibri" w:hAnsi="Calibri" w:cs="Calibri"/>
                <w:color w:val="000000"/>
                <w:sz w:val="20"/>
                <w:szCs w:val="20"/>
                <w:shd w:val="clear" w:color="auto" w:fill="F5F5F5"/>
              </w:rPr>
              <w:t xml:space="preserve"> </w:t>
            </w:r>
            <w:r>
              <w:rPr>
                <w:rFonts w:ascii="Calibri" w:eastAsia="Calibri" w:hAnsi="Calibri" w:cs="Calibri"/>
                <w:color w:val="000000"/>
                <w:sz w:val="20"/>
                <w:szCs w:val="20"/>
              </w:rPr>
              <w:t>okres odniesienia wynosił nie mniej niż 25 i nie więcej niż 30 lat. Dokładne uzasadnienie dla innego okresu referencyjnego powinno być przedstawione w dokumentacji wniosku.</w:t>
            </w:r>
          </w:p>
        </w:tc>
        <w:tc>
          <w:tcPr>
            <w:tcW w:w="7194" w:type="dxa"/>
            <w:tcBorders>
              <w:left w:val="single" w:sz="4" w:space="0" w:color="000000"/>
            </w:tcBorders>
            <w:tcMar>
              <w:left w:w="284" w:type="dxa"/>
              <w:right w:w="284" w:type="dxa"/>
            </w:tcMar>
          </w:tcPr>
          <w:p w14:paraId="1F9ACBEC" w14:textId="77777777" w:rsidR="00600DEE" w:rsidRPr="0045151D" w:rsidRDefault="00641FB5" w:rsidP="0073146B">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 xml:space="preserve">The project reference period should cover a period appropriate to the project’s economically useful life and its likely long term impacts. </w:t>
            </w:r>
          </w:p>
          <w:p w14:paraId="108DF26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It is recommended to use 25 years (including investment implementation period) as the reference period (also referred to as time horizon) for road projects</w:t>
            </w:r>
            <w:bookmarkStart w:id="35" w:name="_Ref91580844"/>
            <w:r>
              <w:rPr>
                <w:rFonts w:ascii="Calibri" w:eastAsia="Calibri" w:hAnsi="Calibri" w:cs="Calibri"/>
                <w:color w:val="000000"/>
                <w:sz w:val="20"/>
                <w:szCs w:val="20"/>
                <w:vertAlign w:val="superscript"/>
              </w:rPr>
              <w:footnoteReference w:id="8"/>
            </w:r>
            <w:bookmarkEnd w:id="35"/>
            <w:r w:rsidRPr="0045151D">
              <w:rPr>
                <w:rFonts w:ascii="Calibri" w:eastAsia="Calibri" w:hAnsi="Calibri" w:cs="Calibri"/>
                <w:color w:val="000000"/>
                <w:sz w:val="20"/>
                <w:szCs w:val="20"/>
                <w:lang w:val="en-GB"/>
              </w:rPr>
              <w:t>.</w:t>
            </w:r>
          </w:p>
          <w:p w14:paraId="30983E5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It is recommended that the first year of the reference period is as follows:</w:t>
            </w:r>
          </w:p>
          <w:p w14:paraId="5B9B836A" w14:textId="77777777" w:rsidR="00600DEE" w:rsidRPr="0045151D" w:rsidRDefault="00641FB5">
            <w:pPr>
              <w:numPr>
                <w:ilvl w:val="1"/>
                <w:numId w:val="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year of submission of the grant application, in case the project implementation has already started or starts in the same year (including minimum one year of implementation);</w:t>
            </w:r>
          </w:p>
          <w:p w14:paraId="780D591D" w14:textId="77777777" w:rsidR="00600DEE" w:rsidRPr="0045151D" w:rsidRDefault="00641FB5">
            <w:pPr>
              <w:numPr>
                <w:ilvl w:val="1"/>
                <w:numId w:val="9"/>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year in which construction works are commenced, when the grant application is submitted before the first year of implementation. </w:t>
            </w:r>
          </w:p>
          <w:p w14:paraId="3320A50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the purposes of a CBA, in outstanding cases it is also acceptable that the first year of the reference period is different than the year of submission of the project grant application. Such discrepancy does not significantly affect the final assessment of the project’s financial and economic effectiveness/efficiency.</w:t>
            </w:r>
          </w:p>
          <w:p w14:paraId="06688C6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justified cases it might be acceptable to apply reference periods slightly different from the suggested 25 years. The evaluation reference period for a transport project is ideally set to reflect the value-weighted average lifetime of the various elements of the asset. It is however recommended that</w:t>
            </w:r>
            <w:r w:rsidRPr="0045151D">
              <w:rPr>
                <w:rFonts w:ascii="Calibri" w:eastAsia="Calibri" w:hAnsi="Calibri" w:cs="Calibri"/>
                <w:color w:val="222222"/>
                <w:sz w:val="20"/>
                <w:szCs w:val="20"/>
                <w:lang w:val="en-GB"/>
              </w:rPr>
              <w:t xml:space="preserve"> the reference period shall be not less than 25 and not more than 30 years.</w:t>
            </w:r>
            <w:r w:rsidRPr="0045151D">
              <w:rPr>
                <w:rFonts w:ascii="Calibri" w:eastAsia="Calibri" w:hAnsi="Calibri" w:cs="Calibri"/>
                <w:color w:val="000000"/>
                <w:sz w:val="20"/>
                <w:szCs w:val="20"/>
                <w:lang w:val="en-GB"/>
              </w:rPr>
              <w:t xml:space="preserve"> Reasons for the unusual reference period should be presented in the application documentation.</w:t>
            </w:r>
          </w:p>
        </w:tc>
      </w:tr>
    </w:tbl>
    <w:p w14:paraId="1363F86F" w14:textId="75B381AD" w:rsidR="00151B63" w:rsidRDefault="00641FB5" w:rsidP="00D5736B">
      <w:pPr>
        <w:pStyle w:val="Nagwek2"/>
        <w:numPr>
          <w:ilvl w:val="1"/>
          <w:numId w:val="17"/>
        </w:numPr>
        <w:spacing w:before="120" w:after="120"/>
        <w:ind w:left="0" w:firstLine="0"/>
        <w:rPr>
          <w:rFonts w:ascii="Calibri" w:eastAsia="Calibri" w:hAnsi="Calibri" w:cs="Calibri"/>
          <w:i/>
          <w:color w:val="4F81BD"/>
        </w:rPr>
      </w:pPr>
      <w:bookmarkStart w:id="36" w:name="_Toc91596233"/>
      <w:bookmarkStart w:id="37" w:name="_Toc95377971"/>
      <w:r>
        <w:rPr>
          <w:rFonts w:ascii="Calibri" w:eastAsia="Calibri" w:hAnsi="Calibri" w:cs="Calibri"/>
          <w:color w:val="4F81BD"/>
        </w:rPr>
        <w:lastRenderedPageBreak/>
        <w:t>Przygotowanie makroekonomicznych danych wejściowych</w:t>
      </w:r>
      <w:bookmarkEnd w:id="36"/>
      <w:bookmarkEnd w:id="37"/>
      <w:r>
        <w:rPr>
          <w:rFonts w:ascii="Calibri" w:eastAsia="Calibri" w:hAnsi="Calibri" w:cs="Calibri"/>
          <w:i/>
          <w:color w:val="4F81BD"/>
        </w:rPr>
        <w:t xml:space="preserve">     </w:t>
      </w:r>
    </w:p>
    <w:p w14:paraId="5C055AA9" w14:textId="6386819B" w:rsidR="00600DEE" w:rsidRPr="00151B63" w:rsidRDefault="00641FB5" w:rsidP="00151B63">
      <w:pPr>
        <w:pStyle w:val="Nagwek2"/>
        <w:numPr>
          <w:ilvl w:val="0"/>
          <w:numId w:val="0"/>
        </w:numPr>
        <w:spacing w:before="120" w:after="120"/>
        <w:ind w:firstLine="720"/>
        <w:rPr>
          <w:rFonts w:ascii="Calibri" w:eastAsia="Calibri" w:hAnsi="Calibri" w:cs="Calibri"/>
          <w:i/>
          <w:color w:val="4F81BD"/>
        </w:rPr>
      </w:pPr>
      <w:bookmarkStart w:id="38" w:name="_Toc95377972"/>
      <w:r w:rsidRPr="00151B63">
        <w:rPr>
          <w:rFonts w:ascii="Calibri" w:eastAsia="Calibri" w:hAnsi="Calibri" w:cs="Calibri"/>
          <w:i/>
          <w:color w:val="4F81BD"/>
        </w:rPr>
        <w:t>Preparation of macro-economic inputs</w:t>
      </w:r>
      <w:bookmarkEnd w:id="38"/>
      <w:r w:rsidRPr="00151B63">
        <w:rPr>
          <w:rFonts w:ascii="Calibri" w:eastAsia="Calibri" w:hAnsi="Calibri" w:cs="Calibri"/>
          <w:i/>
          <w:color w:val="4F81BD"/>
        </w:rPr>
        <w:t xml:space="preserve"> </w:t>
      </w:r>
    </w:p>
    <w:tbl>
      <w:tblPr>
        <w:tblStyle w:val="af8"/>
        <w:tblW w:w="14571" w:type="dxa"/>
        <w:tblLayout w:type="fixed"/>
        <w:tblLook w:val="0400" w:firstRow="0" w:lastRow="0" w:firstColumn="0" w:lastColumn="0" w:noHBand="0" w:noVBand="1"/>
      </w:tblPr>
      <w:tblGrid>
        <w:gridCol w:w="7367"/>
        <w:gridCol w:w="7204"/>
      </w:tblGrid>
      <w:tr w:rsidR="00600DEE" w14:paraId="3DCEED3D" w14:textId="77777777">
        <w:tc>
          <w:tcPr>
            <w:tcW w:w="7367" w:type="dxa"/>
            <w:tcBorders>
              <w:right w:val="single" w:sz="4" w:space="0" w:color="000000"/>
            </w:tcBorders>
            <w:tcMar>
              <w:left w:w="284" w:type="dxa"/>
              <w:right w:w="284" w:type="dxa"/>
            </w:tcMar>
          </w:tcPr>
          <w:p w14:paraId="5473EA79" w14:textId="77777777" w:rsidR="00600DEE" w:rsidRDefault="00641FB5">
            <w:pPr>
              <w:pBdr>
                <w:top w:val="nil"/>
                <w:left w:val="nil"/>
                <w:bottom w:val="nil"/>
                <w:right w:val="nil"/>
                <w:between w:val="nil"/>
              </w:pBdr>
              <w:spacing w:before="120"/>
              <w:ind w:right="26"/>
              <w:jc w:val="both"/>
              <w:rPr>
                <w:rFonts w:ascii="Calibri" w:eastAsia="Calibri" w:hAnsi="Calibri" w:cs="Calibri"/>
                <w:color w:val="000000"/>
                <w:sz w:val="20"/>
                <w:szCs w:val="20"/>
              </w:rPr>
            </w:pPr>
            <w:r>
              <w:rPr>
                <w:rFonts w:ascii="Calibri" w:eastAsia="Calibri" w:hAnsi="Calibri" w:cs="Calibri"/>
                <w:color w:val="000000"/>
                <w:sz w:val="20"/>
                <w:szCs w:val="20"/>
              </w:rPr>
              <w:t>Prognozy ruchu oraz analizy skutków projektu transportowego muszą uwzględniać lokalne makroekonomiczne uwarunkowania w zakresie trendów makroekonomicznych w danym kraju lub regionie, które zazwyczaj są ogólnodostępne.</w:t>
            </w:r>
          </w:p>
          <w:p w14:paraId="7DF6FF11" w14:textId="77777777" w:rsidR="00600DEE" w:rsidRDefault="00641FB5">
            <w:pPr>
              <w:pBdr>
                <w:top w:val="nil"/>
                <w:left w:val="nil"/>
                <w:bottom w:val="nil"/>
                <w:right w:val="nil"/>
                <w:between w:val="nil"/>
              </w:pBdr>
              <w:spacing w:before="120"/>
              <w:ind w:right="26"/>
              <w:jc w:val="both"/>
              <w:rPr>
                <w:rFonts w:ascii="Calibri" w:eastAsia="Calibri" w:hAnsi="Calibri" w:cs="Calibri"/>
                <w:color w:val="000000"/>
                <w:sz w:val="20"/>
                <w:szCs w:val="20"/>
              </w:rPr>
            </w:pPr>
            <w:r>
              <w:rPr>
                <w:rFonts w:ascii="Calibri" w:eastAsia="Calibri" w:hAnsi="Calibri" w:cs="Calibri"/>
                <w:color w:val="000000"/>
                <w:sz w:val="20"/>
                <w:szCs w:val="20"/>
              </w:rPr>
              <w:t>W przypadku projektów sektora drogowego należy przedstawić następujące założenia niezbędne do prognozy ruchu i analizy skutków (oraz/lub określić w jakim stopniu odnoszą się do założeń dla modelu ruchu udostępnianych przez GDDKiA poniżej opisanych):</w:t>
            </w:r>
          </w:p>
          <w:p w14:paraId="07A42A96" w14:textId="77777777" w:rsidR="00600DEE" w:rsidRDefault="00641FB5" w:rsidP="00D5736B">
            <w:pPr>
              <w:numPr>
                <w:ilvl w:val="1"/>
                <w:numId w:val="46"/>
              </w:numPr>
              <w:pBdr>
                <w:top w:val="nil"/>
                <w:left w:val="nil"/>
                <w:bottom w:val="nil"/>
                <w:right w:val="nil"/>
                <w:between w:val="nil"/>
              </w:pBdr>
              <w:spacing w:before="120"/>
              <w:ind w:left="851" w:right="26" w:hanging="851"/>
              <w:jc w:val="both"/>
              <w:rPr>
                <w:rFonts w:ascii="Calibri" w:eastAsia="Calibri" w:hAnsi="Calibri" w:cs="Calibri"/>
                <w:color w:val="000000"/>
                <w:sz w:val="20"/>
                <w:szCs w:val="20"/>
              </w:rPr>
            </w:pPr>
            <w:r>
              <w:rPr>
                <w:rFonts w:ascii="Calibri" w:eastAsia="Calibri" w:hAnsi="Calibri" w:cs="Calibri"/>
                <w:color w:val="000000"/>
                <w:sz w:val="20"/>
                <w:szCs w:val="20"/>
              </w:rPr>
              <w:t>wzrost PKB (Produkt Krajowy Brutto) i per capita (na głowę mieszkańca) , oraz (jeżeli dotyczy) w poszczególnych regionach (rekomenduje się wykorzystanie danych przygotowanych przez GDDKiA – załącznik A) oraz prognozy demograficzne,</w:t>
            </w:r>
          </w:p>
          <w:p w14:paraId="40027643" w14:textId="77777777" w:rsidR="00600DEE" w:rsidRDefault="00641FB5" w:rsidP="00D5736B">
            <w:pPr>
              <w:numPr>
                <w:ilvl w:val="1"/>
                <w:numId w:val="46"/>
              </w:numPr>
              <w:pBdr>
                <w:top w:val="nil"/>
                <w:left w:val="nil"/>
                <w:bottom w:val="nil"/>
                <w:right w:val="nil"/>
                <w:between w:val="nil"/>
              </w:pBdr>
              <w:spacing w:before="120"/>
              <w:ind w:left="851" w:right="26" w:hanging="851"/>
              <w:jc w:val="both"/>
              <w:rPr>
                <w:rFonts w:ascii="Calibri" w:eastAsia="Calibri" w:hAnsi="Calibri" w:cs="Calibri"/>
                <w:color w:val="000000"/>
                <w:sz w:val="20"/>
                <w:szCs w:val="20"/>
              </w:rPr>
            </w:pPr>
            <w:r>
              <w:rPr>
                <w:rFonts w:ascii="Calibri" w:eastAsia="Calibri" w:hAnsi="Calibri" w:cs="Calibri"/>
                <w:color w:val="000000"/>
                <w:sz w:val="20"/>
                <w:szCs w:val="20"/>
              </w:rPr>
              <w:lastRenderedPageBreak/>
              <w:t>obecne i przyszłe parametry popytu na transport (elastyczność popytu, skutki przyszłego poziomu dochodów i skłonność do ponoszenia opłat za przejazd, różne poziomy opłat i koszty systemu poboru (otwarty/zamknięty),</w:t>
            </w:r>
          </w:p>
          <w:p w14:paraId="397FC3E7" w14:textId="77777777" w:rsidR="00600DEE" w:rsidRDefault="00641FB5" w:rsidP="00D5736B">
            <w:pPr>
              <w:numPr>
                <w:ilvl w:val="1"/>
                <w:numId w:val="46"/>
              </w:numPr>
              <w:pBdr>
                <w:top w:val="nil"/>
                <w:left w:val="nil"/>
                <w:bottom w:val="nil"/>
                <w:right w:val="nil"/>
                <w:between w:val="nil"/>
              </w:pBdr>
              <w:spacing w:before="120"/>
              <w:ind w:left="851" w:right="26"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oczekiwane wskaźniki wzrostu realnych wynagrodzeń i kosztów energii, jeżeli są wykorzystywane na potrzeby prognozy kosztów eksploatacji i utrzymania. </w:t>
            </w:r>
          </w:p>
          <w:p w14:paraId="758B4D68" w14:textId="74CDE8E8" w:rsidR="00600DEE" w:rsidRDefault="00641FB5" w:rsidP="003E2A27">
            <w:pPr>
              <w:pBdr>
                <w:top w:val="nil"/>
                <w:left w:val="nil"/>
                <w:bottom w:val="nil"/>
                <w:right w:val="nil"/>
                <w:between w:val="nil"/>
              </w:pBdr>
              <w:spacing w:before="120"/>
              <w:ind w:right="28"/>
              <w:jc w:val="both"/>
              <w:rPr>
                <w:rFonts w:ascii="Calibri" w:eastAsia="Calibri" w:hAnsi="Calibri" w:cs="Calibri"/>
                <w:color w:val="000000"/>
                <w:sz w:val="20"/>
                <w:szCs w:val="20"/>
              </w:rPr>
            </w:pPr>
            <w:r>
              <w:rPr>
                <w:rFonts w:ascii="Calibri" w:eastAsia="Calibri" w:hAnsi="Calibri" w:cs="Calibri"/>
                <w:color w:val="000000"/>
                <w:sz w:val="20"/>
                <w:szCs w:val="20"/>
              </w:rPr>
              <w:t>Wszystkie wskaźniki wzrostu przedstawione powyżej muszą obejmować cały rozpatrywany okres analizy a także powinny uwzględniać ewentualne przyszłe zmiany warunków rozwoju makroekonomicznego i transportu.</w:t>
            </w:r>
          </w:p>
          <w:p w14:paraId="1A6D0837" w14:textId="77777777" w:rsidR="003E2A27" w:rsidRDefault="003E2A27">
            <w:pPr>
              <w:pBdr>
                <w:top w:val="nil"/>
                <w:left w:val="nil"/>
                <w:bottom w:val="nil"/>
                <w:right w:val="nil"/>
                <w:between w:val="nil"/>
              </w:pBdr>
              <w:spacing w:before="120"/>
              <w:ind w:right="26"/>
              <w:jc w:val="both"/>
              <w:rPr>
                <w:rFonts w:ascii="Calibri" w:eastAsia="Calibri" w:hAnsi="Calibri" w:cs="Calibri"/>
                <w:color w:val="000000"/>
                <w:sz w:val="20"/>
                <w:szCs w:val="20"/>
              </w:rPr>
            </w:pPr>
          </w:p>
          <w:p w14:paraId="7C257C79" w14:textId="77777777" w:rsidR="00600DEE" w:rsidRDefault="00641FB5" w:rsidP="003E2A27">
            <w:pPr>
              <w:pBdr>
                <w:top w:val="nil"/>
                <w:left w:val="nil"/>
                <w:bottom w:val="nil"/>
                <w:right w:val="nil"/>
                <w:between w:val="nil"/>
              </w:pBdr>
              <w:spacing w:before="120"/>
              <w:ind w:right="28"/>
              <w:jc w:val="both"/>
              <w:rPr>
                <w:rFonts w:ascii="Calibri" w:eastAsia="Calibri" w:hAnsi="Calibri" w:cs="Calibri"/>
                <w:color w:val="000000"/>
                <w:sz w:val="20"/>
                <w:szCs w:val="20"/>
              </w:rPr>
            </w:pPr>
            <w:bookmarkStart w:id="39" w:name="_heading=h.1pxezwc" w:colFirst="0" w:colLast="0"/>
            <w:bookmarkEnd w:id="39"/>
            <w:r>
              <w:rPr>
                <w:rFonts w:ascii="Calibri" w:eastAsia="Calibri" w:hAnsi="Calibri" w:cs="Calibri"/>
                <w:color w:val="000000"/>
                <w:sz w:val="20"/>
                <w:szCs w:val="20"/>
              </w:rPr>
              <w:t>Ponadto, niektóre podmioty finansujące przedsięwzięcia mogą oczekiwać rozważenia zachowawczych prognoz ruchu. Na przykład, zgodnie ze swoją polityką kredytową EBI (zgodnie z założeniami ‘’</w:t>
            </w:r>
            <w:hyperlink r:id="rId103">
              <w:r>
                <w:rPr>
                  <w:rFonts w:ascii="Calibri" w:eastAsia="Calibri" w:hAnsi="Calibri" w:cs="Calibri"/>
                  <w:color w:val="0000FF"/>
                  <w:sz w:val="20"/>
                  <w:szCs w:val="20"/>
                  <w:u w:val="single"/>
                </w:rPr>
                <w:t>The EIB Group Climate Bank Roadmap 2021-2025</w:t>
              </w:r>
            </w:hyperlink>
            <w:r>
              <w:rPr>
                <w:rFonts w:ascii="Calibri" w:eastAsia="Calibri" w:hAnsi="Calibri" w:cs="Calibri"/>
                <w:color w:val="0000FF"/>
                <w:sz w:val="20"/>
                <w:szCs w:val="20"/>
                <w:u w:val="single"/>
              </w:rPr>
              <w:t>’’</w:t>
            </w:r>
            <w:r>
              <w:rPr>
                <w:rFonts w:ascii="Calibri" w:eastAsia="Calibri" w:hAnsi="Calibri" w:cs="Calibri"/>
                <w:color w:val="000000"/>
                <w:sz w:val="20"/>
                <w:szCs w:val="20"/>
              </w:rPr>
              <w:t>), będzie nadal wspierać projekty drogowe, o ile wykażą solidne uzasadnienie ekonomiczne, nawet w restrykcyjnych scenariuszach popytowych zakładających przyrost ruchu na poziomie 1,0% rocznie przez pierwsze 10 lat i 0,5% rocznie przez kolejne 20 lat prognozy, co jest poziomem znacznie poniżej innych rozważanych scenariuszy (również tych uwzględniających dekarbonizację floty pojazdów oraz zaktualizowany koszt ukryty emisji gazów cieplarnianych). Dlatego w przypadku każdego nowego wniosku o dotację/pożyczkę który będzie wspófinansowany przez EBI warto przeanalizować taki scenariusz w ramach analizy wrażliwości.</w:t>
            </w:r>
          </w:p>
          <w:p w14:paraId="45252B2A" w14:textId="77777777" w:rsidR="00600DEE" w:rsidRDefault="00600DEE">
            <w:pPr>
              <w:jc w:val="both"/>
              <w:rPr>
                <w:rFonts w:ascii="Calibri" w:eastAsia="Calibri" w:hAnsi="Calibri" w:cs="Calibri"/>
                <w:sz w:val="20"/>
                <w:szCs w:val="20"/>
              </w:rPr>
            </w:pPr>
          </w:p>
          <w:p w14:paraId="3DF5B1D1" w14:textId="6066393F" w:rsidR="00600DEE" w:rsidRDefault="00641FB5">
            <w:pPr>
              <w:jc w:val="both"/>
              <w:rPr>
                <w:rFonts w:ascii="Calibri" w:eastAsia="Calibri" w:hAnsi="Calibri" w:cs="Calibri"/>
                <w:sz w:val="20"/>
                <w:szCs w:val="20"/>
              </w:rPr>
            </w:pPr>
            <w:r>
              <w:rPr>
                <w:rFonts w:ascii="Calibri" w:eastAsia="Calibri" w:hAnsi="Calibri" w:cs="Calibri"/>
                <w:sz w:val="20"/>
                <w:szCs w:val="20"/>
              </w:rPr>
              <w:t>W przypadku projektów dotyczących dróg miejskich, zdecydowanie zaleca się, by założenia dotyczące wzrostu ruchu wynikały z lokalnie stosowanych prognoz makroekonomicznych i/lub prognoz potencjalnej zmiany ruchu przygotowanych dla konkretnego miasta lub aglomeracji i </w:t>
            </w:r>
            <w:r>
              <w:rPr>
                <w:rFonts w:ascii="Calibri" w:eastAsia="Calibri" w:hAnsi="Calibri" w:cs="Calibri"/>
                <w:color w:val="222222"/>
                <w:sz w:val="20"/>
                <w:szCs w:val="20"/>
              </w:rPr>
              <w:t>w oparciu o kompleksowy wielogałęziowy model ruchu. Niebieska Księga dla Transportu Publicznego zawiera stosowne zalecenia i wskazówki odnośnie</w:t>
            </w:r>
            <w:r w:rsidR="001B2F24">
              <w:rPr>
                <w:rFonts w:ascii="Calibri" w:eastAsia="Calibri" w:hAnsi="Calibri" w:cs="Calibri"/>
                <w:color w:val="222222"/>
                <w:sz w:val="20"/>
                <w:szCs w:val="20"/>
              </w:rPr>
              <w:t xml:space="preserve"> modelowania ruchu w miastach. W</w:t>
            </w:r>
            <w:r>
              <w:rPr>
                <w:rFonts w:ascii="Calibri" w:eastAsia="Calibri" w:hAnsi="Calibri" w:cs="Calibri"/>
                <w:color w:val="222222"/>
                <w:sz w:val="20"/>
                <w:szCs w:val="20"/>
              </w:rPr>
              <w:t> związku z tym, wszelkie odniesienia w treści niniejszego podręcznika do projektów dróg realizowanych w miastach, należy rozpatrywać w kontekście takiej metody modelowania ruchu.</w:t>
            </w:r>
          </w:p>
          <w:p w14:paraId="15B36450" w14:textId="77777777" w:rsidR="00600DEE" w:rsidRDefault="00641FB5">
            <w:pPr>
              <w:pBdr>
                <w:top w:val="nil"/>
                <w:left w:val="nil"/>
                <w:bottom w:val="nil"/>
                <w:right w:val="nil"/>
                <w:between w:val="nil"/>
              </w:pBdr>
              <w:spacing w:before="120"/>
              <w:ind w:right="26"/>
              <w:jc w:val="both"/>
              <w:rPr>
                <w:rFonts w:ascii="Calibri" w:eastAsia="Calibri" w:hAnsi="Calibri" w:cs="Calibri"/>
                <w:color w:val="000000"/>
                <w:sz w:val="20"/>
                <w:szCs w:val="20"/>
              </w:rPr>
            </w:pPr>
            <w:r>
              <w:rPr>
                <w:rFonts w:ascii="Calibri" w:eastAsia="Calibri" w:hAnsi="Calibri" w:cs="Calibri"/>
                <w:color w:val="000000"/>
                <w:sz w:val="20"/>
                <w:szCs w:val="20"/>
              </w:rPr>
              <w:t>Należy przedstawić zarówno założenia wyjściowe jak i źródła wykorzystane w przygotowaniu prognoz wzrostu makroekonomicznego i sektora transportu.</w:t>
            </w:r>
          </w:p>
          <w:p w14:paraId="2E323013" w14:textId="225ED1C9" w:rsidR="00600DEE" w:rsidRDefault="00600DEE" w:rsidP="00737E3B">
            <w:pPr>
              <w:pBdr>
                <w:top w:val="nil"/>
                <w:left w:val="nil"/>
                <w:bottom w:val="nil"/>
                <w:right w:val="nil"/>
                <w:between w:val="nil"/>
              </w:pBdr>
              <w:jc w:val="both"/>
              <w:rPr>
                <w:rFonts w:ascii="Calibri" w:eastAsia="Calibri" w:hAnsi="Calibri" w:cs="Calibri"/>
                <w:b/>
                <w:color w:val="4F81BD"/>
                <w:sz w:val="20"/>
                <w:szCs w:val="20"/>
              </w:rPr>
            </w:pPr>
          </w:p>
          <w:p w14:paraId="566B16FA" w14:textId="51AB8453" w:rsidR="00600DEE" w:rsidRDefault="00641FB5" w:rsidP="002C1CA0">
            <w:pPr>
              <w:pBdr>
                <w:top w:val="nil"/>
                <w:left w:val="nil"/>
                <w:bottom w:val="nil"/>
                <w:right w:val="nil"/>
                <w:between w:val="nil"/>
              </w:pBdr>
              <w:spacing w:after="120"/>
              <w:jc w:val="both"/>
              <w:rPr>
                <w:rFonts w:ascii="Calibri" w:eastAsia="Calibri" w:hAnsi="Calibri" w:cs="Calibri"/>
                <w:b/>
                <w:color w:val="4F81BD"/>
                <w:sz w:val="20"/>
                <w:szCs w:val="20"/>
              </w:rPr>
            </w:pPr>
            <w:r>
              <w:rPr>
                <w:rFonts w:ascii="Calibri" w:eastAsia="Calibri" w:hAnsi="Calibri" w:cs="Calibri"/>
                <w:b/>
                <w:color w:val="4F81BD"/>
                <w:sz w:val="20"/>
                <w:szCs w:val="20"/>
              </w:rPr>
              <w:lastRenderedPageBreak/>
              <w:t>Tabela 5. Wymagane makroekonomiczne dane wejściowe</w:t>
            </w:r>
          </w:p>
          <w:tbl>
            <w:tblPr>
              <w:tblStyle w:val="af9"/>
              <w:tblW w:w="6946" w:type="dxa"/>
              <w:tblBorders>
                <w:insideH w:val="single" w:sz="4" w:space="0" w:color="000000"/>
                <w:insideV w:val="single" w:sz="4" w:space="0" w:color="000000"/>
              </w:tblBorders>
              <w:tblLayout w:type="fixed"/>
              <w:tblLook w:val="0400" w:firstRow="0" w:lastRow="0" w:firstColumn="0" w:lastColumn="0" w:noHBand="0" w:noVBand="1"/>
            </w:tblPr>
            <w:tblGrid>
              <w:gridCol w:w="6946"/>
            </w:tblGrid>
            <w:tr w:rsidR="00600DEE" w14:paraId="3E36297A" w14:textId="77777777">
              <w:trPr>
                <w:trHeight w:val="1168"/>
              </w:trPr>
              <w:tc>
                <w:tcPr>
                  <w:tcW w:w="6946" w:type="dxa"/>
                  <w:shd w:val="clear" w:color="auto" w:fill="DBE5F1"/>
                  <w:vAlign w:val="center"/>
                </w:tcPr>
                <w:p w14:paraId="655D58FF" w14:textId="77777777" w:rsidR="00600DEE" w:rsidRDefault="00641FB5">
                  <w:pPr>
                    <w:numPr>
                      <w:ilvl w:val="0"/>
                      <w:numId w:val="3"/>
                    </w:numPr>
                    <w:spacing w:before="40" w:line="276" w:lineRule="auto"/>
                    <w:ind w:left="510" w:right="170" w:hanging="540"/>
                    <w:jc w:val="both"/>
                    <w:rPr>
                      <w:rFonts w:ascii="Calibri" w:eastAsia="Calibri" w:hAnsi="Calibri" w:cs="Calibri"/>
                      <w:color w:val="4F81BD"/>
                      <w:sz w:val="20"/>
                      <w:szCs w:val="20"/>
                    </w:rPr>
                  </w:pPr>
                  <w:r>
                    <w:rPr>
                      <w:rFonts w:ascii="Calibri" w:eastAsia="Calibri" w:hAnsi="Calibri" w:cs="Calibri"/>
                      <w:color w:val="4F81BD"/>
                      <w:sz w:val="20"/>
                      <w:szCs w:val="20"/>
                    </w:rPr>
                    <w:t>Wzrost PKB i PKB per capita.</w:t>
                  </w:r>
                </w:p>
                <w:p w14:paraId="492C2938" w14:textId="77777777" w:rsidR="00600DEE" w:rsidRDefault="00641FB5">
                  <w:pPr>
                    <w:numPr>
                      <w:ilvl w:val="0"/>
                      <w:numId w:val="3"/>
                    </w:numPr>
                    <w:spacing w:line="276" w:lineRule="auto"/>
                    <w:ind w:left="510" w:right="170" w:hanging="510"/>
                    <w:jc w:val="both"/>
                    <w:rPr>
                      <w:rFonts w:ascii="Calibri" w:eastAsia="Calibri" w:hAnsi="Calibri" w:cs="Calibri"/>
                      <w:color w:val="4F81BD"/>
                      <w:sz w:val="20"/>
                      <w:szCs w:val="20"/>
                    </w:rPr>
                  </w:pPr>
                  <w:r>
                    <w:rPr>
                      <w:rFonts w:ascii="Calibri" w:eastAsia="Calibri" w:hAnsi="Calibri" w:cs="Calibri"/>
                      <w:color w:val="4F81BD"/>
                      <w:sz w:val="20"/>
                      <w:szCs w:val="20"/>
                    </w:rPr>
                    <w:t>Obecne i przyszłe parametry popytu na transport (elastyczność popytu, skutki przyszłego poziomu dochodów i skłonność do ponoszenia opłat za przejazd i inne (np. wzrost cen energii) jeżeli są uwzględniane).</w:t>
                  </w:r>
                </w:p>
              </w:tc>
            </w:tr>
          </w:tbl>
          <w:p w14:paraId="3EE208E2"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tc>
        <w:tc>
          <w:tcPr>
            <w:tcW w:w="7204" w:type="dxa"/>
            <w:tcBorders>
              <w:left w:val="single" w:sz="4" w:space="0" w:color="000000"/>
            </w:tcBorders>
            <w:shd w:val="clear" w:color="auto" w:fill="auto"/>
            <w:tcMar>
              <w:left w:w="284" w:type="dxa"/>
              <w:right w:w="284" w:type="dxa"/>
            </w:tcMar>
          </w:tcPr>
          <w:p w14:paraId="007B9E99" w14:textId="77777777" w:rsidR="00600DEE" w:rsidRPr="0045151D" w:rsidRDefault="00641FB5">
            <w:pPr>
              <w:pBdr>
                <w:top w:val="nil"/>
                <w:left w:val="nil"/>
                <w:bottom w:val="nil"/>
                <w:right w:val="nil"/>
                <w:between w:val="nil"/>
              </w:pBdr>
              <w:spacing w:before="120"/>
              <w:ind w:right="26"/>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Traffic forecasting and transport projects impacts analysis need to consider the macro-economic context conditions of a country and/or a region, which can normally be obtained from published data.</w:t>
            </w:r>
          </w:p>
          <w:p w14:paraId="217FF48D" w14:textId="77777777" w:rsidR="00600DEE" w:rsidRPr="0045151D" w:rsidRDefault="00641FB5">
            <w:pPr>
              <w:pBdr>
                <w:top w:val="nil"/>
                <w:left w:val="nil"/>
                <w:bottom w:val="nil"/>
                <w:right w:val="nil"/>
                <w:between w:val="nil"/>
              </w:pBdr>
              <w:spacing w:before="120"/>
              <w:ind w:right="26"/>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road sector projects, the following assumptions required for traffic forecasting and impacts analysis ought to be presented (and/or defined as to the extent they match the assumptions for the traffic model from GDDKiA described below):</w:t>
            </w:r>
          </w:p>
          <w:p w14:paraId="44D59C11" w14:textId="77777777" w:rsidR="00600DEE" w:rsidRPr="0045151D" w:rsidRDefault="00641FB5" w:rsidP="00D5736B">
            <w:pPr>
              <w:numPr>
                <w:ilvl w:val="0"/>
                <w:numId w:val="19"/>
              </w:numPr>
              <w:pBdr>
                <w:top w:val="nil"/>
                <w:left w:val="nil"/>
                <w:bottom w:val="nil"/>
                <w:right w:val="nil"/>
                <w:between w:val="nil"/>
              </w:pBdr>
              <w:spacing w:before="120"/>
              <w:ind w:left="825" w:right="26" w:hanging="82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GDP (Gross Domestic Product) growth in absolute terms and per capita, and, if relevant, in specific regions (it is recommended to refer to the data published by GDDKiA – see Appendix A), and population growth forecasts, </w:t>
            </w:r>
          </w:p>
          <w:p w14:paraId="51D10B28" w14:textId="77777777" w:rsidR="00600DEE" w:rsidRPr="0045151D" w:rsidRDefault="00641FB5" w:rsidP="00D5736B">
            <w:pPr>
              <w:numPr>
                <w:ilvl w:val="0"/>
                <w:numId w:val="19"/>
              </w:numPr>
              <w:pBdr>
                <w:top w:val="nil"/>
                <w:left w:val="nil"/>
                <w:bottom w:val="nil"/>
                <w:right w:val="nil"/>
                <w:between w:val="nil"/>
              </w:pBdr>
              <w:spacing w:before="120"/>
              <w:ind w:left="825" w:right="26" w:hanging="82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current and future parameters affecting transport demand (elasticity of demand, effects of future level of income and willingness to pay tolls, different levels of tolls and toll collection systems (closed/open, etc.),</w:t>
            </w:r>
          </w:p>
          <w:p w14:paraId="5BA5F0EB" w14:textId="77777777" w:rsidR="00600DEE" w:rsidRPr="0045151D" w:rsidRDefault="00641FB5" w:rsidP="00D5736B">
            <w:pPr>
              <w:numPr>
                <w:ilvl w:val="0"/>
                <w:numId w:val="19"/>
              </w:numPr>
              <w:pBdr>
                <w:top w:val="nil"/>
                <w:left w:val="nil"/>
                <w:bottom w:val="nil"/>
                <w:right w:val="nil"/>
                <w:between w:val="nil"/>
              </w:pBdr>
              <w:spacing w:before="120"/>
              <w:ind w:left="825" w:right="26" w:hanging="82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expected indicators of real wage/salary and energy cost growth, if they are used for the purposes of forecasting operating and maintenance costs.</w:t>
            </w:r>
          </w:p>
          <w:p w14:paraId="08185D16" w14:textId="77777777" w:rsidR="00600DEE" w:rsidRPr="0045151D" w:rsidRDefault="00641FB5">
            <w:pPr>
              <w:pBdr>
                <w:top w:val="nil"/>
                <w:left w:val="nil"/>
                <w:bottom w:val="nil"/>
                <w:right w:val="nil"/>
                <w:between w:val="nil"/>
              </w:pBdr>
              <w:spacing w:before="120"/>
              <w:ind w:right="26"/>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All growth factors described above must cover the entire analyzed period. Possible future changes of macroeconomic conditions and transport development should also be taken into consideration. </w:t>
            </w:r>
          </w:p>
          <w:p w14:paraId="2F2BBD97" w14:textId="77777777" w:rsidR="003E2A27" w:rsidRDefault="003E2A27" w:rsidP="003E2A27">
            <w:pPr>
              <w:pStyle w:val="anxnormalZnak"/>
              <w:ind w:left="0" w:right="26"/>
              <w:rPr>
                <w:rFonts w:asciiTheme="minorHAnsi" w:hAnsiTheme="minorHAnsi" w:cstheme="minorHAnsi"/>
                <w:lang w:val="en-GB"/>
              </w:rPr>
            </w:pPr>
          </w:p>
          <w:p w14:paraId="16C563EF" w14:textId="65D81F0A" w:rsidR="003E2A27" w:rsidRPr="008F5884" w:rsidRDefault="003E2A27" w:rsidP="003E2A27">
            <w:pPr>
              <w:pStyle w:val="anxnormalZnak"/>
              <w:ind w:left="0" w:right="28"/>
              <w:rPr>
                <w:rFonts w:asciiTheme="minorHAnsi" w:hAnsiTheme="minorHAnsi" w:cstheme="minorHAnsi"/>
                <w:lang w:val="en-GB"/>
              </w:rPr>
            </w:pPr>
            <w:r w:rsidRPr="008F5884">
              <w:rPr>
                <w:rFonts w:asciiTheme="minorHAnsi" w:hAnsiTheme="minorHAnsi" w:cstheme="minorHAnsi"/>
                <w:lang w:val="en-GB"/>
              </w:rPr>
              <w:t>In addition, some project financiers might</w:t>
            </w:r>
            <w:r>
              <w:rPr>
                <w:rFonts w:asciiTheme="minorHAnsi" w:hAnsiTheme="minorHAnsi" w:cstheme="minorHAnsi"/>
                <w:lang w:val="en-GB"/>
              </w:rPr>
              <w:t xml:space="preserve"> be</w:t>
            </w:r>
            <w:r w:rsidRPr="008F5884">
              <w:rPr>
                <w:rFonts w:asciiTheme="minorHAnsi" w:hAnsiTheme="minorHAnsi" w:cstheme="minorHAnsi"/>
                <w:lang w:val="en-GB"/>
              </w:rPr>
              <w:t xml:space="preserve"> expected to consider conservative </w:t>
            </w:r>
            <w:r w:rsidRPr="005B04FA">
              <w:rPr>
                <w:rFonts w:asciiTheme="minorHAnsi" w:hAnsiTheme="minorHAnsi" w:cstheme="minorHAnsi"/>
                <w:lang w:val="en-GB"/>
              </w:rPr>
              <w:t xml:space="preserve">traffic forecasts. For example, EIB’s lending policy following </w:t>
            </w:r>
            <w:r w:rsidRPr="00AA289E">
              <w:rPr>
                <w:rFonts w:asciiTheme="minorHAnsi" w:hAnsiTheme="minorHAnsi"/>
                <w:spacing w:val="-3"/>
                <w:lang w:val="en-GB"/>
              </w:rPr>
              <w:t>‘’</w:t>
            </w:r>
            <w:hyperlink r:id="rId104" w:history="1">
              <w:r w:rsidRPr="00AA289E">
                <w:rPr>
                  <w:rStyle w:val="Hipercze"/>
                  <w:rFonts w:asciiTheme="minorHAnsi" w:hAnsiTheme="minorHAnsi" w:cstheme="minorHAnsi"/>
                  <w:lang w:val="en-GB"/>
                </w:rPr>
                <w:t>The EIB Group Climate Bank Roadmap 2021-2025</w:t>
              </w:r>
            </w:hyperlink>
            <w:r w:rsidRPr="00AA289E">
              <w:rPr>
                <w:rStyle w:val="Hipercze"/>
                <w:rFonts w:asciiTheme="minorHAnsi" w:hAnsiTheme="minorHAnsi" w:cstheme="minorHAnsi"/>
                <w:lang w:val="en-GB"/>
              </w:rPr>
              <w:t>’’</w:t>
            </w:r>
            <w:r w:rsidRPr="005B04FA">
              <w:rPr>
                <w:rFonts w:asciiTheme="minorHAnsi" w:hAnsiTheme="minorHAnsi" w:cstheme="minorHAnsi"/>
                <w:lang w:val="en-GB"/>
              </w:rPr>
              <w:t xml:space="preserve"> will continue to support new road projects if they demonstrate a strong economic case even under restrictive demand scenarios of traffic growth rates of 1.0</w:t>
            </w:r>
            <w:r w:rsidRPr="00087C50">
              <w:rPr>
                <w:rFonts w:asciiTheme="minorHAnsi" w:hAnsiTheme="minorHAnsi" w:cstheme="minorHAnsi"/>
                <w:lang w:val="en-GB"/>
              </w:rPr>
              <w:t>% per annum during first 10 years and 0.5% per annum during consecutive 20 years of the forecast, well below any other mainstream projections</w:t>
            </w:r>
            <w:r w:rsidRPr="004A2941">
              <w:rPr>
                <w:rFonts w:asciiTheme="minorHAnsi" w:hAnsiTheme="minorHAnsi" w:cstheme="minorHAnsi"/>
                <w:lang w:val="en-GB"/>
              </w:rPr>
              <w:t xml:space="preserve"> (</w:t>
            </w:r>
            <w:r>
              <w:rPr>
                <w:rFonts w:asciiTheme="minorHAnsi" w:hAnsiTheme="minorHAnsi" w:cstheme="minorHAnsi"/>
                <w:lang w:val="en-GB"/>
              </w:rPr>
              <w:t>even those</w:t>
            </w:r>
            <w:r w:rsidRPr="004A2941">
              <w:rPr>
                <w:rFonts w:asciiTheme="minorHAnsi" w:hAnsiTheme="minorHAnsi" w:cstheme="minorHAnsi"/>
                <w:lang w:val="en-GB"/>
              </w:rPr>
              <w:t xml:space="preserve"> </w:t>
            </w:r>
            <w:r>
              <w:rPr>
                <w:rFonts w:asciiTheme="minorHAnsi" w:hAnsiTheme="minorHAnsi" w:cstheme="minorHAnsi"/>
                <w:lang w:val="en-GB"/>
              </w:rPr>
              <w:t xml:space="preserve">including </w:t>
            </w:r>
            <w:r w:rsidRPr="004A2941">
              <w:rPr>
                <w:rFonts w:asciiTheme="minorHAnsi" w:hAnsiTheme="minorHAnsi" w:cstheme="minorHAnsi"/>
                <w:lang w:val="en-GB"/>
              </w:rPr>
              <w:t>decarbonisation of vehicle fleet and revised shadow cost of GHG emissions).</w:t>
            </w:r>
            <w:r w:rsidRPr="008F5884">
              <w:rPr>
                <w:rFonts w:asciiTheme="minorHAnsi" w:hAnsiTheme="minorHAnsi" w:cstheme="minorHAnsi"/>
                <w:lang w:val="en-GB"/>
              </w:rPr>
              <w:t xml:space="preserve"> Therefore, for any of the new grant/loan applications </w:t>
            </w:r>
            <w:r>
              <w:rPr>
                <w:rFonts w:asciiTheme="minorHAnsi" w:hAnsiTheme="minorHAnsi" w:cstheme="minorHAnsi"/>
                <w:lang w:val="en-GB"/>
              </w:rPr>
              <w:t xml:space="preserve">to be co-financed by EIB </w:t>
            </w:r>
            <w:r w:rsidRPr="008F5884">
              <w:rPr>
                <w:rFonts w:asciiTheme="minorHAnsi" w:hAnsiTheme="minorHAnsi" w:cstheme="minorHAnsi"/>
                <w:lang w:val="en-GB"/>
              </w:rPr>
              <w:t xml:space="preserve">such scenario </w:t>
            </w:r>
            <w:r>
              <w:rPr>
                <w:rFonts w:asciiTheme="minorHAnsi" w:hAnsiTheme="minorHAnsi" w:cstheme="minorHAnsi"/>
                <w:lang w:val="en-GB"/>
              </w:rPr>
              <w:t xml:space="preserve">is worth </w:t>
            </w:r>
            <w:r w:rsidRPr="008F5884">
              <w:rPr>
                <w:rFonts w:asciiTheme="minorHAnsi" w:hAnsiTheme="minorHAnsi" w:cstheme="minorHAnsi"/>
                <w:lang w:val="en-GB"/>
              </w:rPr>
              <w:t>analys</w:t>
            </w:r>
            <w:r>
              <w:rPr>
                <w:rFonts w:asciiTheme="minorHAnsi" w:hAnsiTheme="minorHAnsi" w:cstheme="minorHAnsi"/>
                <w:lang w:val="en-GB"/>
              </w:rPr>
              <w:t>ing as part of the sensitivity analysis</w:t>
            </w:r>
            <w:r w:rsidRPr="008F5884">
              <w:rPr>
                <w:rFonts w:asciiTheme="minorHAnsi" w:hAnsiTheme="minorHAnsi" w:cstheme="minorHAnsi"/>
                <w:lang w:val="en-GB"/>
              </w:rPr>
              <w:t xml:space="preserve">. </w:t>
            </w:r>
          </w:p>
          <w:p w14:paraId="2D979779" w14:textId="77777777" w:rsidR="003E2A27" w:rsidRPr="00731E4E" w:rsidRDefault="003E2A27" w:rsidP="003E2A27">
            <w:pPr>
              <w:pStyle w:val="anxnormalZnak"/>
              <w:ind w:left="0" w:right="26"/>
              <w:rPr>
                <w:rFonts w:asciiTheme="minorHAnsi" w:eastAsia="Arial" w:hAnsiTheme="minorHAnsi"/>
                <w:bCs/>
                <w:spacing w:val="1"/>
                <w:position w:val="-1"/>
                <w:lang w:val="en-GB"/>
              </w:rPr>
            </w:pPr>
            <w:r w:rsidRPr="00731E4E">
              <w:rPr>
                <w:rFonts w:asciiTheme="minorHAnsi" w:eastAsia="Arial" w:hAnsiTheme="minorHAnsi"/>
                <w:bCs/>
                <w:spacing w:val="1"/>
                <w:position w:val="-1"/>
                <w:lang w:val="en-GB"/>
              </w:rPr>
              <w:t>For urban roads projects, it is highly recommended to apply assumptions on traffic growth based on locally applicable macroeconomic forecasts and/or forecasts of potential traffic changes prepared for the specific city or agglomeration and based on</w:t>
            </w:r>
            <w:r>
              <w:rPr>
                <w:rFonts w:asciiTheme="minorHAnsi" w:eastAsia="Arial" w:hAnsiTheme="minorHAnsi"/>
                <w:bCs/>
                <w:spacing w:val="1"/>
                <w:position w:val="-1"/>
                <w:lang w:val="en-GB"/>
              </w:rPr>
              <w:t xml:space="preserve"> a </w:t>
            </w:r>
            <w:r w:rsidRPr="00731E4E">
              <w:rPr>
                <w:rFonts w:asciiTheme="minorHAnsi" w:eastAsia="Arial" w:hAnsiTheme="minorHAnsi"/>
                <w:bCs/>
                <w:spacing w:val="1"/>
                <w:position w:val="-1"/>
                <w:lang w:val="en-GB"/>
              </w:rPr>
              <w:t xml:space="preserve">comprehensive multi-modal model. Refer to “Public Transport Blue Book” for modelling recommendations and guidance. All references to urban road projects in the present manual are therefore to be considered based on this </w:t>
            </w:r>
            <w:r>
              <w:rPr>
                <w:rFonts w:asciiTheme="minorHAnsi" w:eastAsia="Arial" w:hAnsiTheme="minorHAnsi"/>
                <w:bCs/>
                <w:spacing w:val="1"/>
                <w:position w:val="-1"/>
                <w:lang w:val="en-GB"/>
              </w:rPr>
              <w:t>trafiic</w:t>
            </w:r>
            <w:r w:rsidRPr="00731E4E">
              <w:rPr>
                <w:rFonts w:asciiTheme="minorHAnsi" w:eastAsia="Arial" w:hAnsiTheme="minorHAnsi"/>
                <w:bCs/>
                <w:spacing w:val="1"/>
                <w:position w:val="-1"/>
                <w:lang w:val="en-GB"/>
              </w:rPr>
              <w:t xml:space="preserve"> modelling approach.  </w:t>
            </w:r>
          </w:p>
          <w:p w14:paraId="2B9ADA05" w14:textId="77777777" w:rsidR="003E2A27" w:rsidRPr="00731E4E" w:rsidRDefault="003E2A27" w:rsidP="003E2A27">
            <w:pPr>
              <w:pStyle w:val="anxnormalZnak"/>
              <w:ind w:left="0" w:right="26"/>
              <w:rPr>
                <w:rFonts w:asciiTheme="minorHAnsi" w:eastAsia="Arial" w:hAnsiTheme="minorHAnsi"/>
                <w:bCs/>
                <w:spacing w:val="1"/>
                <w:position w:val="-1"/>
                <w:lang w:val="en-GB"/>
              </w:rPr>
            </w:pPr>
            <w:r w:rsidRPr="00731E4E">
              <w:rPr>
                <w:rFonts w:asciiTheme="minorHAnsi" w:eastAsia="Arial" w:hAnsiTheme="minorHAnsi"/>
                <w:bCs/>
                <w:spacing w:val="1"/>
                <w:position w:val="-1"/>
                <w:lang w:val="en-GB"/>
              </w:rPr>
              <w:t xml:space="preserve">It is required to present both underlying assumptions and sources used for macroeconomic growth and transport </w:t>
            </w:r>
            <w:r>
              <w:rPr>
                <w:rFonts w:asciiTheme="minorHAnsi" w:eastAsia="Arial" w:hAnsiTheme="minorHAnsi"/>
                <w:bCs/>
                <w:spacing w:val="1"/>
                <w:position w:val="-1"/>
                <w:lang w:val="en-GB"/>
              </w:rPr>
              <w:t>forecasts</w:t>
            </w:r>
            <w:r w:rsidRPr="00731E4E">
              <w:rPr>
                <w:rFonts w:asciiTheme="minorHAnsi" w:eastAsia="Arial" w:hAnsiTheme="minorHAnsi"/>
                <w:bCs/>
                <w:spacing w:val="1"/>
                <w:position w:val="-1"/>
                <w:lang w:val="en-GB"/>
              </w:rPr>
              <w:t>.</w:t>
            </w:r>
          </w:p>
          <w:p w14:paraId="69013531" w14:textId="77777777" w:rsidR="00600DEE" w:rsidRPr="0045151D" w:rsidRDefault="00600DEE">
            <w:pPr>
              <w:pBdr>
                <w:top w:val="nil"/>
                <w:left w:val="nil"/>
                <w:bottom w:val="nil"/>
                <w:right w:val="nil"/>
                <w:between w:val="nil"/>
              </w:pBdr>
              <w:spacing w:before="120"/>
              <w:ind w:right="26"/>
              <w:jc w:val="both"/>
              <w:rPr>
                <w:rFonts w:ascii="Calibri" w:eastAsia="Calibri" w:hAnsi="Calibri" w:cs="Calibri"/>
                <w:sz w:val="20"/>
                <w:szCs w:val="20"/>
                <w:lang w:val="en-GB"/>
              </w:rPr>
            </w:pPr>
          </w:p>
          <w:p w14:paraId="75A2181B" w14:textId="7208B68A" w:rsidR="00600DEE" w:rsidRDefault="00641FB5" w:rsidP="00737E3B">
            <w:pPr>
              <w:keepNext/>
              <w:pBdr>
                <w:top w:val="nil"/>
                <w:left w:val="nil"/>
                <w:bottom w:val="nil"/>
                <w:right w:val="nil"/>
                <w:between w:val="nil"/>
              </w:pBdr>
              <w:tabs>
                <w:tab w:val="left" w:pos="720"/>
                <w:tab w:val="left" w:pos="0"/>
              </w:tabs>
              <w:spacing w:after="120"/>
              <w:ind w:right="26"/>
              <w:rPr>
                <w:rFonts w:ascii="Calibri" w:eastAsia="Calibri" w:hAnsi="Calibri" w:cs="Calibri"/>
                <w:b/>
                <w:color w:val="4F81BD"/>
                <w:sz w:val="20"/>
                <w:szCs w:val="20"/>
              </w:rPr>
            </w:pPr>
            <w:r>
              <w:rPr>
                <w:rFonts w:ascii="Calibri" w:eastAsia="Calibri" w:hAnsi="Calibri" w:cs="Calibri"/>
                <w:b/>
                <w:color w:val="4F81BD"/>
                <w:sz w:val="20"/>
                <w:szCs w:val="20"/>
              </w:rPr>
              <w:lastRenderedPageBreak/>
              <w:t>Table 5. Required Macro-economic Inputs</w:t>
            </w:r>
          </w:p>
          <w:tbl>
            <w:tblPr>
              <w:tblStyle w:val="afa"/>
              <w:tblW w:w="7032" w:type="dxa"/>
              <w:tblBorders>
                <w:insideH w:val="single" w:sz="4" w:space="0" w:color="000000"/>
                <w:insideV w:val="single" w:sz="4" w:space="0" w:color="000000"/>
              </w:tblBorders>
              <w:tblLayout w:type="fixed"/>
              <w:tblLook w:val="0400" w:firstRow="0" w:lastRow="0" w:firstColumn="0" w:lastColumn="0" w:noHBand="0" w:noVBand="1"/>
            </w:tblPr>
            <w:tblGrid>
              <w:gridCol w:w="7032"/>
            </w:tblGrid>
            <w:tr w:rsidR="00600DEE" w:rsidRPr="007463B9" w14:paraId="58ADF223" w14:textId="77777777">
              <w:trPr>
                <w:trHeight w:val="1146"/>
              </w:trPr>
              <w:tc>
                <w:tcPr>
                  <w:tcW w:w="7032" w:type="dxa"/>
                  <w:shd w:val="clear" w:color="auto" w:fill="DBE5F1"/>
                  <w:vAlign w:val="center"/>
                </w:tcPr>
                <w:p w14:paraId="6683BD0A" w14:textId="77777777" w:rsidR="00600DEE" w:rsidRPr="0045151D" w:rsidRDefault="00641FB5">
                  <w:pPr>
                    <w:numPr>
                      <w:ilvl w:val="0"/>
                      <w:numId w:val="3"/>
                    </w:numPr>
                    <w:spacing w:before="40" w:line="276" w:lineRule="auto"/>
                    <w:ind w:left="858" w:right="284" w:hanging="858"/>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GDP growth, absolute and per capita.</w:t>
                  </w:r>
                </w:p>
                <w:p w14:paraId="66F824F0" w14:textId="77777777" w:rsidR="00600DEE" w:rsidRPr="0045151D" w:rsidRDefault="00641FB5">
                  <w:pPr>
                    <w:numPr>
                      <w:ilvl w:val="0"/>
                      <w:numId w:val="3"/>
                    </w:numPr>
                    <w:spacing w:line="276" w:lineRule="auto"/>
                    <w:ind w:left="858" w:right="284" w:hanging="858"/>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Present and future parameters affecting transport demand (elasticity of demand, effects of future level of income and willingness to pay tolls and others (e.g. energy cost growth) if used).</w:t>
                  </w:r>
                </w:p>
              </w:tc>
            </w:tr>
          </w:tbl>
          <w:p w14:paraId="242F189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i/>
                <w:color w:val="000000"/>
                <w:sz w:val="16"/>
                <w:szCs w:val="16"/>
              </w:rPr>
              <w:t>Source: proprietary work.</w:t>
            </w:r>
          </w:p>
        </w:tc>
      </w:tr>
    </w:tbl>
    <w:p w14:paraId="46700039" w14:textId="48838BC9" w:rsidR="00600DEE" w:rsidRDefault="00641FB5" w:rsidP="00D5736B">
      <w:pPr>
        <w:pStyle w:val="Nagwek2"/>
        <w:numPr>
          <w:ilvl w:val="1"/>
          <w:numId w:val="17"/>
        </w:numPr>
        <w:ind w:left="0" w:firstLine="0"/>
        <w:rPr>
          <w:rFonts w:ascii="Calibri" w:eastAsia="Calibri" w:hAnsi="Calibri" w:cs="Calibri"/>
          <w:i/>
          <w:color w:val="4F81BD"/>
        </w:rPr>
      </w:pPr>
      <w:bookmarkStart w:id="40" w:name="_Toc95377973"/>
      <w:r>
        <w:rPr>
          <w:rFonts w:ascii="Calibri" w:eastAsia="Calibri" w:hAnsi="Calibri" w:cs="Calibri"/>
          <w:color w:val="4F81BD"/>
        </w:rPr>
        <w:lastRenderedPageBreak/>
        <w:t>Prognozy ruchu</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sidR="00737E3B">
        <w:rPr>
          <w:rFonts w:ascii="Calibri" w:eastAsia="Calibri" w:hAnsi="Calibri" w:cs="Calibri"/>
          <w:color w:val="4F81BD"/>
        </w:rPr>
        <w:tab/>
      </w:r>
      <w:r w:rsidR="00737E3B">
        <w:rPr>
          <w:rFonts w:ascii="Calibri" w:eastAsia="Calibri" w:hAnsi="Calibri" w:cs="Calibri"/>
          <w:color w:val="4F81BD"/>
        </w:rPr>
        <w:tab/>
      </w:r>
      <w:r>
        <w:rPr>
          <w:rFonts w:ascii="Calibri" w:eastAsia="Calibri" w:hAnsi="Calibri" w:cs="Calibri"/>
          <w:i/>
          <w:color w:val="4F81BD"/>
        </w:rPr>
        <w:t>1.8   Traffic forecasts</w:t>
      </w:r>
      <w:bookmarkEnd w:id="40"/>
    </w:p>
    <w:tbl>
      <w:tblPr>
        <w:tblStyle w:val="afb"/>
        <w:tblW w:w="14571" w:type="dxa"/>
        <w:tblLayout w:type="fixed"/>
        <w:tblLook w:val="0400" w:firstRow="0" w:lastRow="0" w:firstColumn="0" w:lastColumn="0" w:noHBand="0" w:noVBand="1"/>
      </w:tblPr>
      <w:tblGrid>
        <w:gridCol w:w="7367"/>
        <w:gridCol w:w="7204"/>
      </w:tblGrid>
      <w:tr w:rsidR="00600DEE" w:rsidRPr="007463B9" w14:paraId="46C505CB" w14:textId="77777777">
        <w:tc>
          <w:tcPr>
            <w:tcW w:w="7367" w:type="dxa"/>
            <w:tcBorders>
              <w:right w:val="single" w:sz="4" w:space="0" w:color="000000"/>
            </w:tcBorders>
            <w:tcMar>
              <w:left w:w="284" w:type="dxa"/>
              <w:right w:w="284" w:type="dxa"/>
            </w:tcMar>
          </w:tcPr>
          <w:p w14:paraId="51C553FC"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bookmarkStart w:id="41" w:name="_heading=h.2p2csry" w:colFirst="0" w:colLast="0"/>
            <w:bookmarkEnd w:id="41"/>
            <w:r>
              <w:rPr>
                <w:rFonts w:ascii="Calibri" w:eastAsia="Calibri" w:hAnsi="Calibri" w:cs="Calibri"/>
                <w:color w:val="000000"/>
                <w:sz w:val="20"/>
                <w:szCs w:val="20"/>
              </w:rPr>
              <w:t xml:space="preserve">Przygotowanie prawidłowych prognoz natężenia ruchu ma zasadnicze znaczenie dla AKK. Prognozy te muszą uwzględniać zmiany na analizowanym odcinku oraz skutki planowanej inwestycji dla sieci drogowej z uwzględnieniem – w uzasadnionych przypadkach – innych gałęzi transportu. </w:t>
            </w:r>
          </w:p>
          <w:p w14:paraId="1A33DD1D"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Mając na uwadze wymagania analizy ekonomicznej, prognozy ruchu należy opracować w szczególności dla:</w:t>
            </w:r>
          </w:p>
          <w:p w14:paraId="52B670F5" w14:textId="77777777" w:rsidR="00600DEE" w:rsidRDefault="00641FB5" w:rsidP="00D5736B">
            <w:pPr>
              <w:numPr>
                <w:ilvl w:val="1"/>
                <w:numId w:val="4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wariantu bezinwestycyjnego W0,</w:t>
            </w:r>
          </w:p>
          <w:p w14:paraId="3C185586" w14:textId="77777777" w:rsidR="00600DEE" w:rsidRDefault="00641FB5" w:rsidP="00D5736B">
            <w:pPr>
              <w:numPr>
                <w:ilvl w:val="1"/>
                <w:numId w:val="4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każdego z wariantu/ów analizowanych w ramach AKK.</w:t>
            </w:r>
          </w:p>
          <w:p w14:paraId="0C95CC73"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Ponieważ niniejszy podręcznik ma służyć głównie do opracowywania AKK dla tzw. „dużych projektów” drogowych, dla których zaleca się stosowanie indywidualnego podejścia przy prognozowaniu natężeń ruchu, zakłada się, że projekty takie będą miały znaczący wpływ na zmiany potoków ruchu na większym obszarze oddziaływania projektu z uwzględnieniem – w uzasadnionych przypadkach – innych gałęzi transportu. </w:t>
            </w:r>
          </w:p>
          <w:p w14:paraId="69D1184A"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Podstawą do wykonywania analiz oraz prognoz ruchu dla takich projektów jest przygotowanie aktualnego modelu ruchu, który wykonuje się opisanymi poniżej metodami.</w:t>
            </w:r>
          </w:p>
          <w:p w14:paraId="159DB7C9" w14:textId="77777777" w:rsidR="00600DEE" w:rsidRDefault="00641FB5" w:rsidP="00D5736B">
            <w:pPr>
              <w:numPr>
                <w:ilvl w:val="1"/>
                <w:numId w:val="4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b/>
                <w:color w:val="000000"/>
                <w:sz w:val="20"/>
                <w:szCs w:val="20"/>
              </w:rPr>
              <w:t>Modelowanie</w:t>
            </w:r>
            <w:r>
              <w:rPr>
                <w:rFonts w:ascii="Calibri" w:eastAsia="Calibri" w:hAnsi="Calibri" w:cs="Calibri"/>
                <w:color w:val="000000"/>
                <w:sz w:val="20"/>
                <w:szCs w:val="20"/>
              </w:rPr>
              <w:t xml:space="preserve"> – metoda, której podstawą jest numeryczny model sieci transportowej (drogowej, kolejowej, lotniczej. wodnej) oraz macierz źródeł/celów podróży, z uwzględnieniem danych demograficznych, PKB, poziomu motoryzacji i innych. Klasyczny proces modelowania składa się z 4 etapów i jest przeprowadzany przy pomocy specjalistycznego oprogramowania. Model drogowy jest weryfikowany ruchem na danej </w:t>
            </w:r>
            <w:r>
              <w:rPr>
                <w:rFonts w:ascii="Calibri" w:eastAsia="Calibri" w:hAnsi="Calibri" w:cs="Calibri"/>
                <w:color w:val="000000"/>
                <w:sz w:val="20"/>
                <w:szCs w:val="20"/>
              </w:rPr>
              <w:lastRenderedPageBreak/>
              <w:t>istniejącej sieci drogowej wg najnowszych wyników GPR (Generalny Pomiar Ruchu) oraz pomiarami lokalnymi z uwzględnieniem sezonowości zmian, a także ankietami wśród kierowców.</w:t>
            </w:r>
          </w:p>
          <w:p w14:paraId="5EA058E2" w14:textId="77777777" w:rsidR="00600DEE" w:rsidRDefault="00641FB5">
            <w:pPr>
              <w:pBdr>
                <w:top w:val="nil"/>
                <w:left w:val="nil"/>
                <w:bottom w:val="nil"/>
                <w:right w:val="nil"/>
                <w:between w:val="nil"/>
              </w:pBdr>
              <w:spacing w:before="120" w:after="120"/>
              <w:ind w:left="851"/>
              <w:jc w:val="both"/>
              <w:rPr>
                <w:rFonts w:ascii="Calibri" w:eastAsia="Calibri" w:hAnsi="Calibri" w:cs="Calibri"/>
                <w:color w:val="000000"/>
                <w:sz w:val="20"/>
                <w:szCs w:val="20"/>
              </w:rPr>
            </w:pPr>
            <w:r>
              <w:rPr>
                <w:rFonts w:ascii="Calibri" w:eastAsia="Calibri" w:hAnsi="Calibri" w:cs="Calibri"/>
                <w:color w:val="000000"/>
                <w:sz w:val="20"/>
                <w:szCs w:val="20"/>
              </w:rPr>
              <w:t xml:space="preserve">Modele sieci transportowej dla projektów dotyczących dróg krajowych powinny  być oparte na Intermodalnym Krajowym Modelu Ruchu (należącym do GDDKiA, opisany poniżej). W oparciu o ten model można również przygotować projekty dla dróg wojewódzkich. W  zależności od potrzeb modele mogą być doszczegóławiane np. poprzez zwiększenie liczby rejonów generujących ruch, dodanie odcinków sieci lub dodatkowych macierzy. </w:t>
            </w:r>
          </w:p>
          <w:p w14:paraId="487EBF27" w14:textId="2C716616" w:rsidR="00600DEE" w:rsidRDefault="00641FB5" w:rsidP="00D5736B">
            <w:pPr>
              <w:numPr>
                <w:ilvl w:val="1"/>
                <w:numId w:val="4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b/>
                <w:color w:val="000000"/>
                <w:sz w:val="20"/>
                <w:szCs w:val="20"/>
              </w:rPr>
              <w:t>Metody uproszczone</w:t>
            </w:r>
            <w:r>
              <w:rPr>
                <w:rFonts w:ascii="Calibri" w:eastAsia="Calibri" w:hAnsi="Calibri" w:cs="Calibri"/>
                <w:color w:val="000000"/>
                <w:sz w:val="20"/>
                <w:szCs w:val="20"/>
              </w:rPr>
              <w:t xml:space="preserve"> – metody trendu, metody wskaźników wzrostu, wskaź</w:t>
            </w:r>
            <w:r w:rsidR="001B2F24">
              <w:rPr>
                <w:rFonts w:ascii="Calibri" w:eastAsia="Calibri" w:hAnsi="Calibri" w:cs="Calibri"/>
                <w:color w:val="000000"/>
                <w:sz w:val="20"/>
                <w:szCs w:val="20"/>
              </w:rPr>
              <w:t>niki przejęcia ruchu lub inne. W</w:t>
            </w:r>
            <w:r>
              <w:rPr>
                <w:rFonts w:ascii="Calibri" w:eastAsia="Calibri" w:hAnsi="Calibri" w:cs="Calibri"/>
                <w:color w:val="000000"/>
                <w:sz w:val="20"/>
                <w:szCs w:val="20"/>
              </w:rPr>
              <w:t> przypadku stosowania takich metod prognozowania należy przedstawić zarówno założenia merytoryczne, jak i przesłanki do stosowania danej metody.</w:t>
            </w:r>
          </w:p>
          <w:p w14:paraId="417807F8" w14:textId="22F5BA8D"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Zasadniczo, na potrzeby projektów drogowych należy wykonywać prognozy ruchu za pomocą modelowania. Jedynie w uzasadni</w:t>
            </w:r>
            <w:r w:rsidR="003E2A27">
              <w:rPr>
                <w:rFonts w:ascii="Calibri" w:eastAsia="Calibri" w:hAnsi="Calibri" w:cs="Calibri"/>
                <w:color w:val="000000"/>
                <w:sz w:val="20"/>
                <w:szCs w:val="20"/>
              </w:rPr>
              <w:t xml:space="preserve">onych merytoryczne przypadkach </w:t>
            </w:r>
            <w:r>
              <w:rPr>
                <w:rFonts w:ascii="Calibri" w:eastAsia="Calibri" w:hAnsi="Calibri" w:cs="Calibri"/>
                <w:color w:val="000000"/>
                <w:sz w:val="20"/>
                <w:szCs w:val="20"/>
              </w:rPr>
              <w:t>mogą być stosowane metody uproszczone (np. ograniczenia czasowe, weryfikacja wyników). Jednakże należy mieć świadomość, że otrzymane wyniki będą mniej dokładne niż w przypadku modelowania.</w:t>
            </w:r>
          </w:p>
          <w:p w14:paraId="34D695E7"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Intermodalny Krajowy Model Ruchu (IKMR) został opracowany na zlecenie GDDKiA i  obejmuje obszar całej Polski. Wpływy otoczenia, takie jak obszary poza granicami państwa, porty morskie, porty lotnicze, uwzględniono w modelu w postaci tzw. rejonów zewnętrznych. Model IKMR zawiera zarówno model sieci drogowej (wszystkie odcinki dróg krajowych i wojewódzkich) jak i sieci kolejowej (wszystkie odcinki sieci, również nieczynne) oraz macierze ruchu osobowego (drogowego i kolejowego) i towarowego (drogowego). Obecnie rokiem bazowym dla IKMR jest rok 2015.</w:t>
            </w:r>
          </w:p>
          <w:p w14:paraId="27418C78" w14:textId="5D2F8E94" w:rsidR="001F6CAA"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Mając na uwadze </w:t>
            </w:r>
            <w:r w:rsidR="001B2F24">
              <w:rPr>
                <w:rFonts w:ascii="Calibri" w:eastAsia="Calibri" w:hAnsi="Calibri" w:cs="Calibri"/>
                <w:color w:val="000000"/>
                <w:sz w:val="20"/>
                <w:szCs w:val="20"/>
              </w:rPr>
              <w:t>ciągłą potrzebę przygotowywania</w:t>
            </w:r>
            <w:r>
              <w:rPr>
                <w:rFonts w:ascii="Calibri" w:eastAsia="Calibri" w:hAnsi="Calibri" w:cs="Calibri"/>
                <w:color w:val="000000"/>
                <w:sz w:val="20"/>
                <w:szCs w:val="20"/>
              </w:rPr>
              <w:t xml:space="preserve"> wysokiej jakości prognoz, GDDKiA uczestniczy w pracach dotyczących aktualizacji i udoskonalenia Intermodalnego Krajowego Modelu Ruchu z uwzględnieniem jego aspektów wielogałęziowości. Zastosowanie takiego podejścia jest zgodne z wymaganiami dla funduszy europejskich 2021-2027 opracowania kompleksowego planu transportowego. Model będzie udostępniany przez właściwą jednostkę GDDKiA (aktualnie Departament Strategii i Studiów).  </w:t>
            </w:r>
          </w:p>
        </w:tc>
        <w:tc>
          <w:tcPr>
            <w:tcW w:w="7204" w:type="dxa"/>
            <w:tcBorders>
              <w:left w:val="single" w:sz="4" w:space="0" w:color="000000"/>
            </w:tcBorders>
            <w:tcMar>
              <w:left w:w="284" w:type="dxa"/>
              <w:right w:w="284" w:type="dxa"/>
            </w:tcMar>
          </w:tcPr>
          <w:p w14:paraId="170ACC9E" w14:textId="77777777" w:rsidR="003E2A27" w:rsidRPr="00FD7BF1" w:rsidRDefault="003E2A27" w:rsidP="003E2A27">
            <w:pPr>
              <w:jc w:val="both"/>
              <w:rPr>
                <w:rFonts w:asciiTheme="minorHAnsi" w:hAnsiTheme="minorHAnsi"/>
                <w:spacing w:val="-3"/>
                <w:sz w:val="20"/>
                <w:szCs w:val="20"/>
                <w:lang w:val="en-GB"/>
              </w:rPr>
            </w:pPr>
            <w:r w:rsidRPr="008F5884">
              <w:rPr>
                <w:rFonts w:asciiTheme="minorHAnsi" w:hAnsiTheme="minorHAnsi"/>
                <w:spacing w:val="-3"/>
                <w:sz w:val="20"/>
                <w:szCs w:val="20"/>
                <w:lang w:val="en-GB"/>
              </w:rPr>
              <w:lastRenderedPageBreak/>
              <w:t xml:space="preserve">Preparation of correct traffic forecasts is essential for the CBA. These forecasts must include changes on the analysed section as well as the effects of the planned investment on the road network and </w:t>
            </w:r>
            <w:r w:rsidRPr="00FD7BF1">
              <w:rPr>
                <w:rFonts w:asciiTheme="minorHAnsi" w:hAnsiTheme="minorHAnsi"/>
                <w:spacing w:val="-3"/>
                <w:sz w:val="20"/>
                <w:szCs w:val="20"/>
                <w:lang w:val="en-GB"/>
              </w:rPr>
              <w:t>incuding – if relevant – other transport modes.</w:t>
            </w:r>
          </w:p>
          <w:p w14:paraId="14587576" w14:textId="77777777" w:rsidR="003E2A27" w:rsidRPr="00731E4E" w:rsidRDefault="003E2A27" w:rsidP="003E2A27">
            <w:pPr>
              <w:pStyle w:val="anxnormalZnak"/>
              <w:spacing w:after="120"/>
              <w:ind w:left="0"/>
              <w:rPr>
                <w:rFonts w:asciiTheme="minorHAnsi" w:hAnsiTheme="minorHAnsi"/>
                <w:spacing w:val="-3"/>
                <w:lang w:val="en-GB"/>
              </w:rPr>
            </w:pPr>
            <w:r w:rsidRPr="00731E4E">
              <w:rPr>
                <w:rFonts w:asciiTheme="minorHAnsi" w:hAnsiTheme="minorHAnsi"/>
                <w:spacing w:val="-3"/>
                <w:lang w:val="en-GB"/>
              </w:rPr>
              <w:t>Considering the economic analysis requirements, traffic forecasts should be specifically prepared for the following:</w:t>
            </w:r>
          </w:p>
          <w:p w14:paraId="209EDBDA" w14:textId="77777777" w:rsidR="003E2A27" w:rsidRPr="00731E4E" w:rsidRDefault="003E2A27" w:rsidP="003E2A27">
            <w:pPr>
              <w:pStyle w:val="anxnormalZnak"/>
              <w:numPr>
                <w:ilvl w:val="0"/>
                <w:numId w:val="93"/>
              </w:numPr>
              <w:spacing w:after="120"/>
              <w:ind w:left="795" w:hanging="795"/>
              <w:rPr>
                <w:rFonts w:asciiTheme="minorHAnsi" w:hAnsiTheme="minorHAnsi"/>
                <w:spacing w:val="-3"/>
                <w:lang w:val="en-GB"/>
              </w:rPr>
            </w:pPr>
            <w:r w:rsidRPr="00731E4E">
              <w:rPr>
                <w:rFonts w:asciiTheme="minorHAnsi" w:hAnsiTheme="minorHAnsi"/>
                <w:spacing w:val="-3"/>
                <w:lang w:val="en-GB"/>
              </w:rPr>
              <w:t>Without-the-Project Option (W0),</w:t>
            </w:r>
          </w:p>
          <w:p w14:paraId="09650594" w14:textId="77777777" w:rsidR="003E2A27" w:rsidRPr="00731E4E" w:rsidRDefault="003E2A27" w:rsidP="003E2A27">
            <w:pPr>
              <w:pStyle w:val="anxnormalZnak"/>
              <w:numPr>
                <w:ilvl w:val="0"/>
                <w:numId w:val="93"/>
              </w:numPr>
              <w:spacing w:after="120"/>
              <w:ind w:left="795" w:hanging="795"/>
              <w:rPr>
                <w:rFonts w:asciiTheme="minorHAnsi" w:hAnsiTheme="minorHAnsi"/>
                <w:spacing w:val="-3"/>
                <w:lang w:val="en-GB"/>
              </w:rPr>
            </w:pPr>
            <w:r>
              <w:rPr>
                <w:rFonts w:asciiTheme="minorHAnsi" w:hAnsiTheme="minorHAnsi"/>
                <w:spacing w:val="-3"/>
                <w:lang w:val="en-GB"/>
              </w:rPr>
              <w:t>e</w:t>
            </w:r>
            <w:r w:rsidRPr="00731E4E">
              <w:rPr>
                <w:rFonts w:asciiTheme="minorHAnsi" w:hAnsiTheme="minorHAnsi"/>
                <w:spacing w:val="-3"/>
                <w:lang w:val="en-GB"/>
              </w:rPr>
              <w:t>ach of the Project Investment Option/s analysed in the CBA.</w:t>
            </w:r>
          </w:p>
          <w:p w14:paraId="0393A7E8" w14:textId="77777777" w:rsidR="003E2A27" w:rsidRPr="00FD7BF1" w:rsidRDefault="003E2A27" w:rsidP="003E2A27">
            <w:pPr>
              <w:jc w:val="both"/>
              <w:rPr>
                <w:rFonts w:asciiTheme="minorHAnsi" w:eastAsia="Arial" w:hAnsiTheme="minorHAnsi" w:cs="Arial"/>
                <w:bCs/>
                <w:snapToGrid w:val="0"/>
                <w:spacing w:val="1"/>
                <w:position w:val="-1"/>
                <w:sz w:val="20"/>
                <w:szCs w:val="20"/>
                <w:lang w:val="en-GB"/>
              </w:rPr>
            </w:pPr>
            <w:r w:rsidRPr="00FD7BF1">
              <w:rPr>
                <w:rFonts w:asciiTheme="minorHAnsi" w:eastAsia="Arial" w:hAnsiTheme="minorHAnsi" w:cs="Arial"/>
                <w:bCs/>
                <w:snapToGrid w:val="0"/>
                <w:spacing w:val="1"/>
                <w:position w:val="-1"/>
                <w:sz w:val="20"/>
                <w:szCs w:val="20"/>
                <w:lang w:val="en-GB"/>
              </w:rPr>
              <w:t>Since this Manual is aimed at providing guidance, mainly, for preparation of the required CBA for road “major projects”, it is recommended to use an individual approach in traffic forecasting, as they will usually have a significant impact on traffic flow changes in a larger surrounding road network area, incuding - if relevant - other transport modes.</w:t>
            </w:r>
          </w:p>
          <w:p w14:paraId="68D77A02"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basis for elaboration of traffic analysis and forecasting for these projects is the current traffic model prepared using the methods described below.</w:t>
            </w:r>
          </w:p>
          <w:p w14:paraId="2D708BAC" w14:textId="1FB83082" w:rsidR="00600DEE" w:rsidRPr="0045151D"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Modelling</w:t>
            </w:r>
            <w:r w:rsidR="003E2A27">
              <w:rPr>
                <w:rFonts w:asciiTheme="minorHAnsi" w:hAnsiTheme="minorHAnsi"/>
                <w:b/>
                <w:spacing w:val="-3"/>
                <w:lang w:val="en-GB"/>
              </w:rPr>
              <w:t xml:space="preserve"> </w:t>
            </w:r>
            <w:r w:rsidR="003E2A27">
              <w:rPr>
                <w:rFonts w:asciiTheme="minorHAnsi" w:hAnsiTheme="minorHAnsi"/>
                <w:spacing w:val="-3"/>
                <w:lang w:val="en-GB"/>
              </w:rPr>
              <w:t xml:space="preserve">– </w:t>
            </w:r>
            <w:r w:rsidRPr="0045151D">
              <w:rPr>
                <w:rFonts w:ascii="Calibri" w:eastAsia="Calibri" w:hAnsi="Calibri" w:cs="Calibri"/>
                <w:color w:val="000000"/>
                <w:sz w:val="20"/>
                <w:szCs w:val="20"/>
                <w:lang w:val="en-GB"/>
              </w:rPr>
              <w:t>a</w:t>
            </w:r>
            <w:r w:rsidRPr="0045151D">
              <w:rPr>
                <w:rFonts w:ascii="Calibri" w:eastAsia="Calibri" w:hAnsi="Calibri" w:cs="Calibri"/>
                <w:b/>
                <w:color w:val="000000"/>
                <w:sz w:val="20"/>
                <w:szCs w:val="20"/>
                <w:lang w:val="en-GB"/>
              </w:rPr>
              <w:t> </w:t>
            </w:r>
            <w:r w:rsidRPr="0045151D">
              <w:rPr>
                <w:rFonts w:ascii="Calibri" w:eastAsia="Calibri" w:hAnsi="Calibri" w:cs="Calibri"/>
                <w:color w:val="000000"/>
                <w:sz w:val="20"/>
                <w:szCs w:val="20"/>
                <w:lang w:val="en-GB"/>
              </w:rPr>
              <w:t xml:space="preserve">method in which the basis is a digital model of the transport network (road, rail, air, water) and a matrix of origin/destination pairs, considering population, GDP, level of vehicle ownership, etc. The classic modelling process consists of 4 stages and uses specialised software. The road model is verified on the existing traffic network according to the most recent results of the GPR (General Traffic Counting, </w:t>
            </w:r>
            <w:r w:rsidRPr="0045151D">
              <w:rPr>
                <w:rFonts w:ascii="Calibri" w:eastAsia="Calibri" w:hAnsi="Calibri" w:cs="Calibri"/>
                <w:i/>
                <w:color w:val="000000"/>
                <w:sz w:val="20"/>
                <w:szCs w:val="20"/>
                <w:lang w:val="en-GB"/>
              </w:rPr>
              <w:t>Generalny Pomiar Ruchu)</w:t>
            </w:r>
            <w:r w:rsidRPr="0045151D">
              <w:rPr>
                <w:rFonts w:ascii="Calibri" w:eastAsia="Calibri" w:hAnsi="Calibri" w:cs="Calibri"/>
                <w:color w:val="000000"/>
                <w:sz w:val="20"/>
                <w:szCs w:val="20"/>
                <w:lang w:val="en-GB"/>
              </w:rPr>
              <w:t xml:space="preserve"> and local measurements taking into account seasonal changes and including surveys among drivers. </w:t>
            </w:r>
          </w:p>
          <w:p w14:paraId="51AB235E" w14:textId="6E4F728A"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Transport network models for national roads projects should be based on the Multimodal National Traffic Model (owned by GDDKiA, described below). The voivodeship roads projects also can be based on this model. When using the model to appraise specific projects, it might need to be enhanced – e.g</w:t>
            </w:r>
            <w:r w:rsidR="003E2A27">
              <w:rPr>
                <w:rFonts w:ascii="Calibri" w:eastAsia="Calibri" w:hAnsi="Calibri" w:cs="Calibri"/>
                <w:color w:val="000000"/>
                <w:sz w:val="20"/>
                <w:szCs w:val="20"/>
                <w:lang w:val="en-GB"/>
              </w:rPr>
              <w:t>. by defining additional zones,</w:t>
            </w:r>
            <w:r w:rsidRPr="0045151D">
              <w:rPr>
                <w:rFonts w:ascii="Calibri" w:eastAsia="Calibri" w:hAnsi="Calibri" w:cs="Calibri"/>
                <w:color w:val="000000"/>
                <w:sz w:val="20"/>
                <w:szCs w:val="20"/>
                <w:lang w:val="en-GB"/>
              </w:rPr>
              <w:t xml:space="preserve"> adding network sections or additional matrices.</w:t>
            </w:r>
          </w:p>
          <w:p w14:paraId="2D78BDD8" w14:textId="77777777" w:rsidR="00600DEE" w:rsidRPr="0045151D"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Simplified methods</w:t>
            </w:r>
            <w:r w:rsidRPr="0045151D">
              <w:rPr>
                <w:rFonts w:ascii="Calibri" w:eastAsia="Calibri" w:hAnsi="Calibri" w:cs="Calibri"/>
                <w:color w:val="000000"/>
                <w:sz w:val="20"/>
                <w:szCs w:val="20"/>
                <w:lang w:val="en-GB"/>
              </w:rPr>
              <w:t xml:space="preserve"> – trend method, methods of growth rates, traffic acquisition rates or others. In case of using such methods, assumptions and methodology should be described.</w:t>
            </w:r>
          </w:p>
          <w:p w14:paraId="0C17C224" w14:textId="15C9A479"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As a general principle, road projects traffic forecasts should be developed by means of modelling. Only in justified cases, simplified methods may be used (eg. time constraints, forecast</w:t>
            </w:r>
            <w:r w:rsidR="001B2F24">
              <w:rPr>
                <w:rFonts w:ascii="Calibri" w:eastAsia="Calibri" w:hAnsi="Calibri" w:cs="Calibri"/>
                <w:color w:val="000000"/>
                <w:sz w:val="20"/>
                <w:szCs w:val="20"/>
                <w:lang w:val="en-GB"/>
              </w:rPr>
              <w:t xml:space="preserve"> </w:t>
            </w:r>
            <w:r w:rsidRPr="0045151D">
              <w:rPr>
                <w:rFonts w:ascii="Calibri" w:eastAsia="Calibri" w:hAnsi="Calibri" w:cs="Calibri"/>
                <w:color w:val="000000"/>
                <w:sz w:val="20"/>
                <w:szCs w:val="20"/>
                <w:lang w:val="en-GB"/>
              </w:rPr>
              <w:t>verification). How</w:t>
            </w:r>
            <w:r w:rsidR="001B2F24">
              <w:rPr>
                <w:rFonts w:ascii="Calibri" w:eastAsia="Calibri" w:hAnsi="Calibri" w:cs="Calibri"/>
                <w:color w:val="000000"/>
                <w:sz w:val="20"/>
                <w:szCs w:val="20"/>
                <w:lang w:val="en-GB"/>
              </w:rPr>
              <w:t>ever, on</w:t>
            </w:r>
            <w:r w:rsidRPr="0045151D">
              <w:rPr>
                <w:rFonts w:ascii="Calibri" w:eastAsia="Calibri" w:hAnsi="Calibri" w:cs="Calibri"/>
                <w:color w:val="000000"/>
                <w:sz w:val="20"/>
                <w:szCs w:val="20"/>
                <w:lang w:val="en-GB"/>
              </w:rPr>
              <w:t>e should be aware the results would be less accurate than in the case of modelling.</w:t>
            </w:r>
          </w:p>
          <w:p w14:paraId="067F9B2D"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Multimodal National Traffic Model (IKMR) was commissioned by GDDKiA and covers the entire territory of Poland. Surrounding impacts, such as crossborder traffic, seaports, airports, were included in the model in the form of the so-called external zones. The IKMR model includes both the road network model (all sections of national and voivodeship roads) and the rail network (all network sections, also closed ones) as well as passenger (road and rail) and freight (road) matrices. Currently, the base year for IKMR is 2015.</w:t>
            </w:r>
          </w:p>
          <w:p w14:paraId="6870B462" w14:textId="76E9A416"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order to maintain high quality of the forecasting,  General Directorate for National Roads and Motorways (GDDKiA) is involved in the work aiming at updating and enhancing the the Multimodal National Transport Model, including its  multi-modality aspects. Such approach is in accordance with the requirements for EU funds 2021 - 2027 aiming at a comprehensive transport plan. The model will be available from the relevant GDDKiA unit (currently: Department for Planning).</w:t>
            </w:r>
          </w:p>
        </w:tc>
      </w:tr>
      <w:tr w:rsidR="001F6CAA" w:rsidRPr="007463B9" w14:paraId="418AF8B5" w14:textId="77777777">
        <w:tc>
          <w:tcPr>
            <w:tcW w:w="7367" w:type="dxa"/>
            <w:tcBorders>
              <w:right w:val="single" w:sz="4" w:space="0" w:color="000000"/>
            </w:tcBorders>
            <w:tcMar>
              <w:left w:w="284" w:type="dxa"/>
              <w:right w:w="284" w:type="dxa"/>
            </w:tcMar>
          </w:tcPr>
          <w:p w14:paraId="0F7C0FB2" w14:textId="77777777" w:rsidR="001F6CAA" w:rsidRPr="0045151D" w:rsidRDefault="001F6CAA">
            <w:pPr>
              <w:pBdr>
                <w:top w:val="nil"/>
                <w:left w:val="nil"/>
                <w:bottom w:val="nil"/>
                <w:right w:val="nil"/>
                <w:between w:val="nil"/>
              </w:pBdr>
              <w:spacing w:before="120" w:after="120"/>
              <w:jc w:val="both"/>
              <w:rPr>
                <w:rFonts w:ascii="Calibri" w:eastAsia="Calibri" w:hAnsi="Calibri" w:cs="Calibri"/>
                <w:color w:val="000000"/>
                <w:sz w:val="20"/>
                <w:szCs w:val="20"/>
                <w:lang w:val="en-GB"/>
              </w:rPr>
            </w:pPr>
          </w:p>
        </w:tc>
        <w:tc>
          <w:tcPr>
            <w:tcW w:w="7204" w:type="dxa"/>
            <w:tcBorders>
              <w:left w:val="single" w:sz="4" w:space="0" w:color="000000"/>
            </w:tcBorders>
            <w:tcMar>
              <w:left w:w="284" w:type="dxa"/>
              <w:right w:w="284" w:type="dxa"/>
            </w:tcMar>
          </w:tcPr>
          <w:p w14:paraId="2572D610" w14:textId="77777777" w:rsidR="001F6CAA" w:rsidRPr="0045151D" w:rsidRDefault="001F6CAA">
            <w:pPr>
              <w:rPr>
                <w:rFonts w:ascii="Calibri" w:eastAsia="Calibri" w:hAnsi="Calibri" w:cs="Calibri"/>
                <w:sz w:val="20"/>
                <w:szCs w:val="20"/>
                <w:lang w:val="en-GB"/>
              </w:rPr>
            </w:pPr>
          </w:p>
        </w:tc>
      </w:tr>
    </w:tbl>
    <w:p w14:paraId="7DABB335" w14:textId="190C4B2B" w:rsidR="00600DEE" w:rsidRDefault="00641FB5" w:rsidP="00D5736B">
      <w:pPr>
        <w:pStyle w:val="Nagwek3"/>
        <w:numPr>
          <w:ilvl w:val="2"/>
          <w:numId w:val="17"/>
        </w:numPr>
        <w:ind w:left="0" w:firstLine="0"/>
        <w:rPr>
          <w:rFonts w:ascii="Calibri" w:eastAsia="Calibri" w:hAnsi="Calibri" w:cs="Calibri"/>
          <w:color w:val="4F81BD"/>
        </w:rPr>
      </w:pPr>
      <w:bookmarkStart w:id="42" w:name="_Toc91596236"/>
      <w:bookmarkStart w:id="43" w:name="_Toc95377974"/>
      <w:r>
        <w:rPr>
          <w:rFonts w:ascii="Calibri" w:eastAsia="Calibri" w:hAnsi="Calibri" w:cs="Calibri"/>
          <w:color w:val="4F81BD"/>
        </w:rPr>
        <w:t>Klasyfikacja projektów ze względu na zalecane indywidualne podejście do prognozowania</w:t>
      </w:r>
      <w:bookmarkEnd w:id="42"/>
      <w:bookmarkEnd w:id="43"/>
    </w:p>
    <w:p w14:paraId="3F06FA7B" w14:textId="2E6D84B7" w:rsidR="00600DEE" w:rsidRPr="0045151D" w:rsidRDefault="00641FB5" w:rsidP="001F6CAA">
      <w:pPr>
        <w:pStyle w:val="Nagwek3"/>
        <w:spacing w:after="120"/>
        <w:rPr>
          <w:rFonts w:ascii="Calibri" w:eastAsia="Calibri" w:hAnsi="Calibri" w:cs="Calibri"/>
          <w:color w:val="4F81BD"/>
          <w:lang w:val="en-GB"/>
        </w:rPr>
      </w:pPr>
      <w:bookmarkStart w:id="44" w:name="_Toc95377975"/>
      <w:r w:rsidRPr="0045151D">
        <w:rPr>
          <w:rFonts w:ascii="Calibri" w:eastAsia="Calibri" w:hAnsi="Calibri" w:cs="Calibri"/>
          <w:i/>
          <w:color w:val="4F81BD"/>
          <w:lang w:val="en-GB"/>
        </w:rPr>
        <w:t>1.8.1   Classification of projects based on the recommended forecasting method</w:t>
      </w:r>
      <w:bookmarkEnd w:id="44"/>
    </w:p>
    <w:tbl>
      <w:tblPr>
        <w:tblStyle w:val="afc"/>
        <w:tblW w:w="14571" w:type="dxa"/>
        <w:tblLayout w:type="fixed"/>
        <w:tblLook w:val="0400" w:firstRow="0" w:lastRow="0" w:firstColumn="0" w:lastColumn="0" w:noHBand="0" w:noVBand="1"/>
      </w:tblPr>
      <w:tblGrid>
        <w:gridCol w:w="7367"/>
        <w:gridCol w:w="7204"/>
      </w:tblGrid>
      <w:tr w:rsidR="00600DEE" w:rsidRPr="007463B9" w14:paraId="12182CB7" w14:textId="77777777">
        <w:tc>
          <w:tcPr>
            <w:tcW w:w="7367" w:type="dxa"/>
            <w:tcBorders>
              <w:right w:val="single" w:sz="4" w:space="0" w:color="000000"/>
            </w:tcBorders>
            <w:tcMar>
              <w:left w:w="284" w:type="dxa"/>
              <w:right w:w="284" w:type="dxa"/>
            </w:tcMar>
          </w:tcPr>
          <w:p w14:paraId="09C40ED6" w14:textId="77777777" w:rsidR="00600DEE" w:rsidRDefault="00641FB5" w:rsidP="001F6CAA">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Z punktu widzenia AKK, wśród dużych inwestycji drogowych, dla których zalecane jest stosowanie indywidualnego podejścia do prognozowania ruchu oraz sposobu obliczania pracy przewozowej dla celów AKK, można wyróżnić następujące typy projektów zależne od rodzaju planowanej inwestycji:</w:t>
            </w:r>
          </w:p>
          <w:p w14:paraId="4179EC87" w14:textId="77777777" w:rsidR="00600DEE" w:rsidRDefault="00641FB5" w:rsidP="001F6CAA">
            <w:pPr>
              <w:pBdr>
                <w:top w:val="nil"/>
                <w:left w:val="nil"/>
                <w:bottom w:val="nil"/>
                <w:right w:val="nil"/>
                <w:between w:val="nil"/>
              </w:pBdr>
              <w:spacing w:before="240" w:after="120"/>
              <w:ind w:left="851" w:hanging="851"/>
              <w:jc w:val="both"/>
              <w:rPr>
                <w:rFonts w:ascii="Calibri" w:eastAsia="Calibri" w:hAnsi="Calibri" w:cs="Calibri"/>
                <w:b/>
                <w:color w:val="4F81BD"/>
                <w:sz w:val="20"/>
                <w:szCs w:val="20"/>
              </w:rPr>
            </w:pPr>
            <w:r>
              <w:rPr>
                <w:rFonts w:ascii="Calibri" w:eastAsia="Calibri" w:hAnsi="Calibri" w:cs="Calibri"/>
                <w:b/>
                <w:color w:val="4F81BD"/>
                <w:sz w:val="20"/>
                <w:szCs w:val="20"/>
              </w:rPr>
              <w:t>Tabela 6. Rekomendowany (wg. JASPERS) zakres obszarowy analizy ruchu oraz obliczenie pracy przewozowej na potrzeby AKK</w:t>
            </w:r>
          </w:p>
          <w:tbl>
            <w:tblPr>
              <w:tblStyle w:val="afd"/>
              <w:tblW w:w="7019"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365"/>
              <w:gridCol w:w="1429"/>
              <w:gridCol w:w="1119"/>
              <w:gridCol w:w="2685"/>
              <w:gridCol w:w="1421"/>
            </w:tblGrid>
            <w:tr w:rsidR="00600DEE" w14:paraId="047F673D" w14:textId="77777777" w:rsidTr="008107FB">
              <w:trPr>
                <w:trHeight w:val="1134"/>
                <w:jc w:val="center"/>
              </w:trPr>
              <w:tc>
                <w:tcPr>
                  <w:tcW w:w="365" w:type="dxa"/>
                  <w:tcBorders>
                    <w:top w:val="single" w:sz="4" w:space="0" w:color="FFFFFF"/>
                    <w:left w:val="single" w:sz="4" w:space="0" w:color="FFFFFF"/>
                    <w:bottom w:val="single" w:sz="4" w:space="0" w:color="FFFFFF"/>
                    <w:right w:val="single" w:sz="4" w:space="0" w:color="FFFFFF"/>
                  </w:tcBorders>
                  <w:shd w:val="clear" w:color="auto" w:fill="A6A6A6"/>
                </w:tcPr>
                <w:p w14:paraId="7D73C723" w14:textId="77777777" w:rsidR="00600DEE" w:rsidRDefault="00600DEE">
                  <w:pPr>
                    <w:spacing w:before="120" w:after="120"/>
                    <w:jc w:val="center"/>
                    <w:rPr>
                      <w:rFonts w:ascii="Calibri" w:eastAsia="Calibri" w:hAnsi="Calibri" w:cs="Calibri"/>
                      <w:b/>
                      <w:color w:val="FFFFFF"/>
                      <w:sz w:val="17"/>
                      <w:szCs w:val="17"/>
                    </w:rPr>
                  </w:pPr>
                </w:p>
              </w:tc>
              <w:tc>
                <w:tcPr>
                  <w:tcW w:w="2548" w:type="dxa"/>
                  <w:gridSpan w:val="2"/>
                  <w:tcBorders>
                    <w:top w:val="single" w:sz="4" w:space="0" w:color="FFFFFF"/>
                    <w:left w:val="single" w:sz="4" w:space="0" w:color="FFFFFF"/>
                    <w:bottom w:val="single" w:sz="4" w:space="0" w:color="FFFFFF"/>
                    <w:right w:val="single" w:sz="4" w:space="0" w:color="FFFFFF"/>
                  </w:tcBorders>
                  <w:shd w:val="clear" w:color="auto" w:fill="A6A6A6"/>
                  <w:vAlign w:val="center"/>
                </w:tcPr>
                <w:p w14:paraId="5DAB9096" w14:textId="77777777" w:rsidR="00600DEE" w:rsidRDefault="00641FB5">
                  <w:pPr>
                    <w:spacing w:before="120" w:after="120"/>
                    <w:jc w:val="center"/>
                    <w:rPr>
                      <w:rFonts w:ascii="Calibri" w:eastAsia="Calibri" w:hAnsi="Calibri" w:cs="Calibri"/>
                      <w:b/>
                      <w:color w:val="FFFFFF"/>
                      <w:sz w:val="17"/>
                      <w:szCs w:val="17"/>
                    </w:rPr>
                  </w:pPr>
                  <w:r>
                    <w:rPr>
                      <w:rFonts w:ascii="Calibri" w:eastAsia="Calibri" w:hAnsi="Calibri" w:cs="Calibri"/>
                      <w:b/>
                      <w:color w:val="FFFFFF"/>
                      <w:sz w:val="17"/>
                      <w:szCs w:val="17"/>
                    </w:rPr>
                    <w:t>Rodzaj inwestycji</w:t>
                  </w:r>
                </w:p>
              </w:tc>
              <w:tc>
                <w:tcPr>
                  <w:tcW w:w="2685" w:type="dxa"/>
                  <w:tcBorders>
                    <w:top w:val="single" w:sz="4" w:space="0" w:color="FFFFFF"/>
                    <w:left w:val="single" w:sz="4" w:space="0" w:color="FFFFFF"/>
                    <w:right w:val="single" w:sz="4" w:space="0" w:color="FFFFFF"/>
                  </w:tcBorders>
                  <w:shd w:val="clear" w:color="auto" w:fill="A6A6A6"/>
                  <w:vAlign w:val="center"/>
                </w:tcPr>
                <w:p w14:paraId="19D6A289" w14:textId="77777777" w:rsidR="00600DEE" w:rsidRDefault="00641FB5">
                  <w:pPr>
                    <w:spacing w:before="60" w:after="60"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Zakres obszarowy i metoda analizy ruchu</w:t>
                  </w:r>
                </w:p>
              </w:tc>
              <w:tc>
                <w:tcPr>
                  <w:tcW w:w="1421"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A2625A7" w14:textId="77777777" w:rsidR="00600DEE" w:rsidRDefault="00641FB5">
                  <w:pPr>
                    <w:spacing w:before="60" w:after="60"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Sposób obliczenia pracy przewozowej do AKK*</w:t>
                  </w:r>
                </w:p>
              </w:tc>
            </w:tr>
            <w:tr w:rsidR="00600DEE" w14:paraId="6C874ABB" w14:textId="77777777" w:rsidTr="001F6CAA">
              <w:trPr>
                <w:trHeight w:hRule="exact" w:val="1418"/>
                <w:jc w:val="center"/>
              </w:trPr>
              <w:tc>
                <w:tcPr>
                  <w:tcW w:w="365" w:type="dxa"/>
                  <w:tcBorders>
                    <w:top w:val="single" w:sz="4" w:space="0" w:color="FFFFFF"/>
                    <w:left w:val="single" w:sz="4" w:space="0" w:color="FFFFFF"/>
                    <w:bottom w:val="single" w:sz="4" w:space="0" w:color="FFFFFF"/>
                    <w:right w:val="single" w:sz="4" w:space="0" w:color="FFFFFF"/>
                  </w:tcBorders>
                  <w:shd w:val="clear" w:color="auto" w:fill="DBE5F1"/>
                </w:tcPr>
                <w:p w14:paraId="26A85465"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1.</w:t>
                  </w:r>
                </w:p>
              </w:tc>
              <w:tc>
                <w:tcPr>
                  <w:tcW w:w="2548" w:type="dxa"/>
                  <w:gridSpan w:val="2"/>
                  <w:tcBorders>
                    <w:top w:val="single" w:sz="4" w:space="0" w:color="FFFFFF"/>
                    <w:left w:val="single" w:sz="4" w:space="0" w:color="FFFFFF"/>
                    <w:bottom w:val="single" w:sz="4" w:space="0" w:color="FFFFFF"/>
                    <w:right w:val="single" w:sz="4" w:space="0" w:color="FFFFFF"/>
                  </w:tcBorders>
                  <w:shd w:val="clear" w:color="auto" w:fill="DBE5F1"/>
                </w:tcPr>
                <w:p w14:paraId="22BA7A3D" w14:textId="003DCB99"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Inwestycje punktowe lub liniowe zmierzające do poprawy jakości lub bezpieczeństwa bez zwiększenia przepustowości.</w:t>
                  </w:r>
                </w:p>
                <w:p w14:paraId="5DB859D6" w14:textId="045B5BDC" w:rsidR="001F6CAA" w:rsidRDefault="001F6CAA">
                  <w:pPr>
                    <w:spacing w:before="120" w:after="120"/>
                    <w:rPr>
                      <w:rFonts w:ascii="Calibri" w:eastAsia="Calibri" w:hAnsi="Calibri" w:cs="Calibri"/>
                      <w:color w:val="4F81BD"/>
                      <w:sz w:val="18"/>
                      <w:szCs w:val="18"/>
                    </w:rPr>
                  </w:pPr>
                </w:p>
                <w:p w14:paraId="3FDFC51D" w14:textId="0699BA3D" w:rsidR="001F6CAA" w:rsidRDefault="001F6CAA">
                  <w:pPr>
                    <w:spacing w:before="120" w:after="120"/>
                    <w:rPr>
                      <w:rFonts w:ascii="Calibri" w:eastAsia="Calibri" w:hAnsi="Calibri" w:cs="Calibri"/>
                      <w:color w:val="4F81BD"/>
                      <w:sz w:val="18"/>
                      <w:szCs w:val="18"/>
                    </w:rPr>
                  </w:pPr>
                </w:p>
                <w:p w14:paraId="528A5B53" w14:textId="20DE5C97" w:rsidR="001F6CAA" w:rsidRDefault="001F6CAA">
                  <w:pPr>
                    <w:spacing w:before="120" w:after="120"/>
                    <w:rPr>
                      <w:rFonts w:ascii="Calibri" w:eastAsia="Calibri" w:hAnsi="Calibri" w:cs="Calibri"/>
                      <w:color w:val="4F81BD"/>
                      <w:sz w:val="18"/>
                      <w:szCs w:val="18"/>
                    </w:rPr>
                  </w:pPr>
                </w:p>
                <w:p w14:paraId="0D92D3BE" w14:textId="54D1CD0E" w:rsidR="001F6CAA" w:rsidRDefault="001F6CAA">
                  <w:pPr>
                    <w:spacing w:before="120" w:after="120"/>
                    <w:rPr>
                      <w:rFonts w:ascii="Calibri" w:eastAsia="Calibri" w:hAnsi="Calibri" w:cs="Calibri"/>
                      <w:color w:val="4F81BD"/>
                      <w:sz w:val="18"/>
                      <w:szCs w:val="18"/>
                    </w:rPr>
                  </w:pPr>
                </w:p>
                <w:p w14:paraId="0FB4724C" w14:textId="189189C8" w:rsidR="001F6CAA" w:rsidRDefault="001F6CAA">
                  <w:pPr>
                    <w:spacing w:before="120" w:after="120"/>
                    <w:rPr>
                      <w:rFonts w:ascii="Calibri" w:eastAsia="Calibri" w:hAnsi="Calibri" w:cs="Calibri"/>
                      <w:color w:val="4F81BD"/>
                      <w:sz w:val="18"/>
                      <w:szCs w:val="18"/>
                    </w:rPr>
                  </w:pPr>
                </w:p>
                <w:p w14:paraId="225F6BAA" w14:textId="41B22077" w:rsidR="001F6CAA" w:rsidRDefault="001F6CAA">
                  <w:pPr>
                    <w:spacing w:before="120" w:after="120"/>
                    <w:rPr>
                      <w:rFonts w:ascii="Calibri" w:eastAsia="Calibri" w:hAnsi="Calibri" w:cs="Calibri"/>
                      <w:color w:val="4F81BD"/>
                      <w:sz w:val="18"/>
                      <w:szCs w:val="18"/>
                    </w:rPr>
                  </w:pPr>
                </w:p>
                <w:p w14:paraId="6994488C" w14:textId="77777777" w:rsidR="001F6CAA" w:rsidRDefault="001F6CAA">
                  <w:pPr>
                    <w:spacing w:before="120" w:after="120"/>
                    <w:rPr>
                      <w:rFonts w:ascii="Calibri" w:eastAsia="Calibri" w:hAnsi="Calibri" w:cs="Calibri"/>
                      <w:color w:val="4F81BD"/>
                      <w:sz w:val="18"/>
                      <w:szCs w:val="18"/>
                    </w:rPr>
                  </w:pPr>
                </w:p>
                <w:p w14:paraId="66F03DF0" w14:textId="77777777" w:rsidR="00600DEE" w:rsidRDefault="00600DEE">
                  <w:pPr>
                    <w:spacing w:before="120" w:after="120"/>
                    <w:rPr>
                      <w:rFonts w:ascii="Calibri" w:eastAsia="Calibri" w:hAnsi="Calibri" w:cs="Calibri"/>
                      <w:color w:val="4F81BD"/>
                      <w:sz w:val="18"/>
                      <w:szCs w:val="18"/>
                    </w:rPr>
                  </w:pPr>
                </w:p>
              </w:tc>
              <w:tc>
                <w:tcPr>
                  <w:tcW w:w="2685" w:type="dxa"/>
                  <w:tcBorders>
                    <w:top w:val="single" w:sz="4" w:space="0" w:color="FFFFFF"/>
                    <w:left w:val="single" w:sz="4" w:space="0" w:color="FFFFFF"/>
                    <w:bottom w:val="single" w:sz="4" w:space="0" w:color="FFFFFF"/>
                    <w:right w:val="single" w:sz="4" w:space="0" w:color="FFFFFF"/>
                  </w:tcBorders>
                  <w:shd w:val="clear" w:color="auto" w:fill="DBE5F1"/>
                </w:tcPr>
                <w:p w14:paraId="298520D7" w14:textId="130B7173"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Nie ma potrzeby stosowania  sieciowego modelu ru</w:t>
                  </w:r>
                  <w:r w:rsidR="001B2F24">
                    <w:rPr>
                      <w:rFonts w:ascii="Calibri" w:eastAsia="Calibri" w:hAnsi="Calibri" w:cs="Calibri"/>
                      <w:color w:val="4F81BD"/>
                      <w:sz w:val="18"/>
                      <w:szCs w:val="18"/>
                    </w:rPr>
                    <w:t>chu jeśli nie wystąpią ogranicze</w:t>
                  </w:r>
                  <w:r>
                    <w:rPr>
                      <w:rFonts w:ascii="Calibri" w:eastAsia="Calibri" w:hAnsi="Calibri" w:cs="Calibri"/>
                      <w:color w:val="4F81BD"/>
                      <w:sz w:val="18"/>
                      <w:szCs w:val="18"/>
                    </w:rPr>
                    <w:t>nia przepustowości</w:t>
                  </w:r>
                </w:p>
              </w:tc>
              <w:tc>
                <w:tcPr>
                  <w:tcW w:w="1421" w:type="dxa"/>
                  <w:tcBorders>
                    <w:top w:val="single" w:sz="4" w:space="0" w:color="FFFFFF"/>
                    <w:left w:val="single" w:sz="4" w:space="0" w:color="FFFFFF"/>
                    <w:bottom w:val="single" w:sz="4" w:space="0" w:color="FFFFFF"/>
                    <w:right w:val="single" w:sz="4" w:space="0" w:color="FFFFFF"/>
                  </w:tcBorders>
                  <w:shd w:val="clear" w:color="auto" w:fill="DBE5F1"/>
                </w:tcPr>
                <w:p w14:paraId="7349AD39"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Odcinkowo</w:t>
                  </w:r>
                </w:p>
              </w:tc>
            </w:tr>
            <w:tr w:rsidR="00600DEE" w14:paraId="0E2D509E" w14:textId="77777777" w:rsidTr="001F6CAA">
              <w:trPr>
                <w:trHeight w:hRule="exact" w:val="1247"/>
                <w:jc w:val="center"/>
              </w:trPr>
              <w:tc>
                <w:tcPr>
                  <w:tcW w:w="365" w:type="dxa"/>
                  <w:tcBorders>
                    <w:top w:val="single" w:sz="4" w:space="0" w:color="FFFFFF"/>
                    <w:left w:val="single" w:sz="4" w:space="0" w:color="FFFFFF"/>
                    <w:right w:val="single" w:sz="4" w:space="0" w:color="FFFFFF"/>
                  </w:tcBorders>
                  <w:shd w:val="clear" w:color="auto" w:fill="A6A6A6"/>
                  <w:vAlign w:val="center"/>
                </w:tcPr>
                <w:p w14:paraId="1D4ADED9" w14:textId="77777777" w:rsidR="00600DEE" w:rsidRDefault="00600DEE">
                  <w:pPr>
                    <w:jc w:val="center"/>
                    <w:rPr>
                      <w:rFonts w:ascii="Calibri" w:eastAsia="Calibri" w:hAnsi="Calibri" w:cs="Calibri"/>
                      <w:color w:val="4F81BD"/>
                      <w:sz w:val="18"/>
                      <w:szCs w:val="18"/>
                    </w:rPr>
                  </w:pPr>
                </w:p>
              </w:tc>
              <w:tc>
                <w:tcPr>
                  <w:tcW w:w="2548" w:type="dxa"/>
                  <w:gridSpan w:val="2"/>
                  <w:tcBorders>
                    <w:top w:val="single" w:sz="4" w:space="0" w:color="FFFFFF"/>
                    <w:left w:val="single" w:sz="4" w:space="0" w:color="FFFFFF"/>
                    <w:right w:val="single" w:sz="4" w:space="0" w:color="FFFFFF"/>
                  </w:tcBorders>
                  <w:shd w:val="clear" w:color="auto" w:fill="A6A6A6"/>
                  <w:vAlign w:val="center"/>
                </w:tcPr>
                <w:p w14:paraId="5C53E87F" w14:textId="77777777" w:rsidR="00600DEE" w:rsidRDefault="00600DEE">
                  <w:pPr>
                    <w:jc w:val="center"/>
                    <w:rPr>
                      <w:rFonts w:ascii="Calibri" w:eastAsia="Calibri" w:hAnsi="Calibri" w:cs="Calibri"/>
                      <w:color w:val="4F81BD"/>
                      <w:sz w:val="18"/>
                      <w:szCs w:val="18"/>
                    </w:rPr>
                  </w:pPr>
                </w:p>
                <w:p w14:paraId="1A0B3CC9" w14:textId="77777777" w:rsidR="00600DEE" w:rsidRDefault="00600DEE">
                  <w:pPr>
                    <w:jc w:val="center"/>
                    <w:rPr>
                      <w:rFonts w:ascii="Calibri" w:eastAsia="Calibri" w:hAnsi="Calibri" w:cs="Calibri"/>
                      <w:color w:val="4F81BD"/>
                      <w:sz w:val="18"/>
                      <w:szCs w:val="18"/>
                    </w:rPr>
                  </w:pPr>
                </w:p>
                <w:p w14:paraId="3C27AD08" w14:textId="77777777" w:rsidR="00600DEE" w:rsidRDefault="00641FB5">
                  <w:pPr>
                    <w:jc w:val="center"/>
                    <w:rPr>
                      <w:rFonts w:ascii="Calibri" w:eastAsia="Calibri" w:hAnsi="Calibri" w:cs="Calibri"/>
                      <w:color w:val="4F81BD"/>
                      <w:sz w:val="18"/>
                      <w:szCs w:val="18"/>
                    </w:rPr>
                  </w:pPr>
                  <w:r>
                    <w:rPr>
                      <w:rFonts w:ascii="Calibri" w:eastAsia="Calibri" w:hAnsi="Calibri" w:cs="Calibri"/>
                      <w:b/>
                      <w:color w:val="FFFFFF"/>
                      <w:sz w:val="17"/>
                      <w:szCs w:val="17"/>
                    </w:rPr>
                    <w:t>Rodzaj inwestycji</w:t>
                  </w:r>
                </w:p>
                <w:p w14:paraId="5925E6B8" w14:textId="77777777" w:rsidR="00600DEE" w:rsidRDefault="00600DEE">
                  <w:pPr>
                    <w:jc w:val="center"/>
                    <w:rPr>
                      <w:rFonts w:ascii="Calibri" w:eastAsia="Calibri" w:hAnsi="Calibri" w:cs="Calibri"/>
                      <w:color w:val="4F81BD"/>
                      <w:sz w:val="18"/>
                      <w:szCs w:val="18"/>
                    </w:rPr>
                  </w:pPr>
                </w:p>
                <w:p w14:paraId="1E110061" w14:textId="77777777" w:rsidR="00600DEE" w:rsidRDefault="00600DEE">
                  <w:pPr>
                    <w:jc w:val="center"/>
                    <w:rPr>
                      <w:rFonts w:ascii="Calibri" w:eastAsia="Calibri" w:hAnsi="Calibri" w:cs="Calibri"/>
                      <w:color w:val="4F81BD"/>
                      <w:sz w:val="18"/>
                      <w:szCs w:val="18"/>
                    </w:rPr>
                  </w:pPr>
                </w:p>
              </w:tc>
              <w:tc>
                <w:tcPr>
                  <w:tcW w:w="2685" w:type="dxa"/>
                  <w:tcBorders>
                    <w:top w:val="single" w:sz="4" w:space="0" w:color="FFFFFF"/>
                    <w:left w:val="single" w:sz="4" w:space="0" w:color="FFFFFF"/>
                    <w:right w:val="single" w:sz="4" w:space="0" w:color="FFFFFF"/>
                  </w:tcBorders>
                  <w:shd w:val="clear" w:color="auto" w:fill="A6A6A6"/>
                  <w:vAlign w:val="center"/>
                </w:tcPr>
                <w:p w14:paraId="0D48536C" w14:textId="77777777" w:rsidR="00600DEE" w:rsidRDefault="00641FB5">
                  <w:pPr>
                    <w:jc w:val="center"/>
                    <w:rPr>
                      <w:rFonts w:ascii="Calibri" w:eastAsia="Calibri" w:hAnsi="Calibri" w:cs="Calibri"/>
                      <w:color w:val="4F81BD"/>
                      <w:sz w:val="18"/>
                      <w:szCs w:val="18"/>
                    </w:rPr>
                  </w:pPr>
                  <w:r>
                    <w:rPr>
                      <w:rFonts w:ascii="Calibri" w:eastAsia="Calibri" w:hAnsi="Calibri" w:cs="Calibri"/>
                      <w:b/>
                      <w:color w:val="FFFFFF"/>
                      <w:sz w:val="17"/>
                      <w:szCs w:val="17"/>
                    </w:rPr>
                    <w:t>Zakres obszarowy i metoda analizy ruchu</w:t>
                  </w:r>
                </w:p>
              </w:tc>
              <w:tc>
                <w:tcPr>
                  <w:tcW w:w="1421" w:type="dxa"/>
                  <w:tcBorders>
                    <w:top w:val="single" w:sz="4" w:space="0" w:color="FFFFFF"/>
                    <w:left w:val="single" w:sz="4" w:space="0" w:color="FFFFFF"/>
                    <w:right w:val="single" w:sz="4" w:space="0" w:color="FFFFFF"/>
                  </w:tcBorders>
                  <w:shd w:val="clear" w:color="auto" w:fill="A6A6A6"/>
                  <w:vAlign w:val="center"/>
                </w:tcPr>
                <w:p w14:paraId="2AB502F8"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Sposób</w:t>
                  </w:r>
                </w:p>
                <w:p w14:paraId="7D3FA86D" w14:textId="77777777" w:rsidR="00600DEE" w:rsidRDefault="00641FB5">
                  <w:pPr>
                    <w:jc w:val="center"/>
                    <w:rPr>
                      <w:rFonts w:ascii="Calibri" w:eastAsia="Calibri" w:hAnsi="Calibri" w:cs="Calibri"/>
                      <w:color w:val="4F81BD"/>
                      <w:sz w:val="18"/>
                      <w:szCs w:val="18"/>
                    </w:rPr>
                  </w:pPr>
                  <w:r>
                    <w:rPr>
                      <w:rFonts w:ascii="Calibri" w:eastAsia="Calibri" w:hAnsi="Calibri" w:cs="Calibri"/>
                      <w:b/>
                      <w:color w:val="FFFFFF"/>
                      <w:sz w:val="17"/>
                      <w:szCs w:val="17"/>
                    </w:rPr>
                    <w:t>obliczenia pracy przewozowej do AKK*</w:t>
                  </w:r>
                </w:p>
              </w:tc>
            </w:tr>
            <w:tr w:rsidR="00600DEE" w14:paraId="32B38965" w14:textId="77777777" w:rsidTr="00AA0139">
              <w:trPr>
                <w:trHeight w:hRule="exact" w:val="3686"/>
                <w:jc w:val="center"/>
              </w:trPr>
              <w:tc>
                <w:tcPr>
                  <w:tcW w:w="365" w:type="dxa"/>
                  <w:tcBorders>
                    <w:top w:val="single" w:sz="4" w:space="0" w:color="FFFFFF"/>
                    <w:left w:val="single" w:sz="4" w:space="0" w:color="FFFFFF"/>
                    <w:bottom w:val="single" w:sz="4" w:space="0" w:color="FFFFFF"/>
                    <w:right w:val="single" w:sz="4" w:space="0" w:color="FFFFFF"/>
                  </w:tcBorders>
                  <w:shd w:val="clear" w:color="auto" w:fill="DBE5F1"/>
                </w:tcPr>
                <w:p w14:paraId="7B7A69FA"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lastRenderedPageBreak/>
                    <w:t>2.</w:t>
                  </w:r>
                </w:p>
              </w:tc>
              <w:tc>
                <w:tcPr>
                  <w:tcW w:w="1429" w:type="dxa"/>
                  <w:vMerge w:val="restart"/>
                  <w:tcBorders>
                    <w:top w:val="single" w:sz="4" w:space="0" w:color="FFFFFF"/>
                    <w:left w:val="single" w:sz="4" w:space="0" w:color="FFFFFF"/>
                    <w:bottom w:val="single" w:sz="4" w:space="0" w:color="FFFFFF"/>
                    <w:right w:val="single" w:sz="4" w:space="0" w:color="FFFFFF"/>
                  </w:tcBorders>
                  <w:shd w:val="clear" w:color="auto" w:fill="DBE5F1"/>
                  <w:vAlign w:val="center"/>
                </w:tcPr>
                <w:p w14:paraId="22409EF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Przebudowa istniejącej drogi skutkująca większą przepustowością, np. przez poszerzenie (rozbudowa do drogi dwujezdniowej lub dodanie dodatkowych pasów ruchu).</w:t>
                  </w:r>
                </w:p>
              </w:tc>
              <w:tc>
                <w:tcPr>
                  <w:tcW w:w="1119" w:type="dxa"/>
                  <w:tcBorders>
                    <w:top w:val="single" w:sz="4" w:space="0" w:color="FFFFFF"/>
                    <w:left w:val="single" w:sz="4" w:space="0" w:color="FFFFFF"/>
                    <w:bottom w:val="single" w:sz="4" w:space="0" w:color="FFFFFF"/>
                    <w:right w:val="single" w:sz="4" w:space="0" w:color="FFFFFF"/>
                  </w:tcBorders>
                  <w:shd w:val="clear" w:color="auto" w:fill="DBE5F1"/>
                </w:tcPr>
                <w:p w14:paraId="241E7EF6"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Ograniczone oddziaływanie na pozostałą sieć drogową (np. z uwagi na krótki odcinek inwestycyjny, ograniczone wyłącznie do korytarza)</w:t>
                  </w:r>
                </w:p>
              </w:tc>
              <w:tc>
                <w:tcPr>
                  <w:tcW w:w="2685" w:type="dxa"/>
                  <w:tcBorders>
                    <w:top w:val="single" w:sz="4" w:space="0" w:color="FFFFFF"/>
                    <w:left w:val="single" w:sz="4" w:space="0" w:color="FFFFFF"/>
                    <w:bottom w:val="single" w:sz="4" w:space="0" w:color="FFFFFF"/>
                    <w:right w:val="single" w:sz="4" w:space="0" w:color="FFFFFF"/>
                  </w:tcBorders>
                  <w:shd w:val="clear" w:color="auto" w:fill="DBE5F1"/>
                </w:tcPr>
                <w:p w14:paraId="40F95D10"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Nie ma potrzeby stosowania  sieciowego modelu ruchu</w:t>
                  </w:r>
                </w:p>
              </w:tc>
              <w:tc>
                <w:tcPr>
                  <w:tcW w:w="1421" w:type="dxa"/>
                  <w:tcBorders>
                    <w:top w:val="single" w:sz="4" w:space="0" w:color="FFFFFF"/>
                    <w:left w:val="single" w:sz="4" w:space="0" w:color="FFFFFF"/>
                    <w:bottom w:val="single" w:sz="4" w:space="0" w:color="FFFFFF"/>
                    <w:right w:val="single" w:sz="4" w:space="0" w:color="FFFFFF"/>
                  </w:tcBorders>
                  <w:shd w:val="clear" w:color="auto" w:fill="DBE5F1"/>
                </w:tcPr>
                <w:p w14:paraId="39740368"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Odcinkowo</w:t>
                  </w:r>
                </w:p>
              </w:tc>
            </w:tr>
            <w:tr w:rsidR="00600DEE" w14:paraId="6B57237C" w14:textId="77777777">
              <w:trPr>
                <w:trHeight w:val="350"/>
                <w:jc w:val="center"/>
              </w:trPr>
              <w:tc>
                <w:tcPr>
                  <w:tcW w:w="365" w:type="dxa"/>
                  <w:tcBorders>
                    <w:top w:val="single" w:sz="4" w:space="0" w:color="FFFFFF"/>
                    <w:left w:val="single" w:sz="4" w:space="0" w:color="FFFFFF"/>
                    <w:bottom w:val="single" w:sz="4" w:space="0" w:color="FFFFFF"/>
                    <w:right w:val="single" w:sz="4" w:space="0" w:color="FFFFFF"/>
                  </w:tcBorders>
                  <w:shd w:val="clear" w:color="auto" w:fill="DBE5F1"/>
                </w:tcPr>
                <w:p w14:paraId="2CAAAEA6" w14:textId="77777777" w:rsidR="00600DEE" w:rsidRDefault="00600DEE">
                  <w:pPr>
                    <w:rPr>
                      <w:rFonts w:ascii="Calibri" w:eastAsia="Calibri" w:hAnsi="Calibri" w:cs="Calibri"/>
                      <w:color w:val="4F81BD"/>
                      <w:sz w:val="18"/>
                      <w:szCs w:val="18"/>
                    </w:rPr>
                  </w:pPr>
                </w:p>
              </w:tc>
              <w:tc>
                <w:tcPr>
                  <w:tcW w:w="1429" w:type="dxa"/>
                  <w:vMerge/>
                  <w:tcBorders>
                    <w:top w:val="single" w:sz="4" w:space="0" w:color="FFFFFF"/>
                    <w:left w:val="single" w:sz="4" w:space="0" w:color="FFFFFF"/>
                    <w:bottom w:val="single" w:sz="4" w:space="0" w:color="FFFFFF"/>
                    <w:right w:val="single" w:sz="4" w:space="0" w:color="FFFFFF"/>
                  </w:tcBorders>
                  <w:shd w:val="clear" w:color="auto" w:fill="DBE5F1"/>
                  <w:vAlign w:val="center"/>
                </w:tcPr>
                <w:p w14:paraId="2AFAF0AB" w14:textId="77777777" w:rsidR="00600DEE" w:rsidRDefault="00600DEE">
                  <w:pPr>
                    <w:widowControl w:val="0"/>
                    <w:pBdr>
                      <w:top w:val="nil"/>
                      <w:left w:val="nil"/>
                      <w:bottom w:val="nil"/>
                      <w:right w:val="nil"/>
                      <w:between w:val="nil"/>
                    </w:pBdr>
                    <w:spacing w:line="276" w:lineRule="auto"/>
                    <w:rPr>
                      <w:rFonts w:ascii="Calibri" w:eastAsia="Calibri" w:hAnsi="Calibri" w:cs="Calibri"/>
                      <w:color w:val="4F81BD"/>
                      <w:sz w:val="18"/>
                      <w:szCs w:val="18"/>
                    </w:rPr>
                  </w:pPr>
                </w:p>
              </w:tc>
              <w:tc>
                <w:tcPr>
                  <w:tcW w:w="1119" w:type="dxa"/>
                  <w:tcBorders>
                    <w:top w:val="single" w:sz="4" w:space="0" w:color="FFFFFF"/>
                    <w:left w:val="single" w:sz="4" w:space="0" w:color="FFFFFF"/>
                    <w:bottom w:val="single" w:sz="4" w:space="0" w:color="FFFFFF"/>
                    <w:right w:val="single" w:sz="4" w:space="0" w:color="FFFFFF"/>
                  </w:tcBorders>
                  <w:shd w:val="clear" w:color="auto" w:fill="DBE5F1"/>
                </w:tcPr>
                <w:p w14:paraId="77EFAC34"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Znaczące oddziaływanie na pozostałą sieć drogową</w:t>
                  </w:r>
                </w:p>
              </w:tc>
              <w:tc>
                <w:tcPr>
                  <w:tcW w:w="2685" w:type="dxa"/>
                  <w:tcBorders>
                    <w:top w:val="single" w:sz="4" w:space="0" w:color="FFFFFF"/>
                    <w:left w:val="single" w:sz="4" w:space="0" w:color="FFFFFF"/>
                    <w:bottom w:val="single" w:sz="4" w:space="0" w:color="FFFFFF"/>
                    <w:right w:val="single" w:sz="4" w:space="0" w:color="FFFFFF"/>
                  </w:tcBorders>
                  <w:shd w:val="clear" w:color="auto" w:fill="DBE5F1"/>
                </w:tcPr>
                <w:p w14:paraId="40AE5029"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Model regionalny lub krajowy z uszczegółowieniem obszaru znaczącego odziaływania planowanej inwestycji</w:t>
                  </w:r>
                </w:p>
              </w:tc>
              <w:tc>
                <w:tcPr>
                  <w:tcW w:w="1421" w:type="dxa"/>
                  <w:tcBorders>
                    <w:top w:val="single" w:sz="4" w:space="0" w:color="FFFFFF"/>
                    <w:left w:val="single" w:sz="4" w:space="0" w:color="FFFFFF"/>
                    <w:bottom w:val="single" w:sz="4" w:space="0" w:color="FFFFFF"/>
                    <w:right w:val="single" w:sz="4" w:space="0" w:color="FFFFFF"/>
                  </w:tcBorders>
                  <w:shd w:val="clear" w:color="auto" w:fill="DBE5F1"/>
                </w:tcPr>
                <w:p w14:paraId="7A4605BD"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Sieciowo /Bufor** lub odcinkowo</w:t>
                  </w:r>
                </w:p>
              </w:tc>
            </w:tr>
            <w:tr w:rsidR="00600DEE" w14:paraId="1F2CE2B9" w14:textId="77777777" w:rsidTr="00AA0139">
              <w:trPr>
                <w:trHeight w:hRule="exact" w:val="2268"/>
                <w:jc w:val="center"/>
              </w:trPr>
              <w:tc>
                <w:tcPr>
                  <w:tcW w:w="365" w:type="dxa"/>
                  <w:tcBorders>
                    <w:top w:val="single" w:sz="4" w:space="0" w:color="FFFFFF"/>
                    <w:left w:val="single" w:sz="4" w:space="0" w:color="FFFFFF"/>
                    <w:right w:val="single" w:sz="4" w:space="0" w:color="FFFFFF"/>
                  </w:tcBorders>
                  <w:shd w:val="clear" w:color="auto" w:fill="DBE5F1"/>
                </w:tcPr>
                <w:p w14:paraId="08F947C2"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 xml:space="preserve">3. </w:t>
                  </w:r>
                </w:p>
                <w:p w14:paraId="5E428CC1"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 xml:space="preserve"> </w:t>
                  </w:r>
                </w:p>
              </w:tc>
              <w:tc>
                <w:tcPr>
                  <w:tcW w:w="142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3A1EB98E"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Budowa nowej drogi o nowym przebiegu (w tym obwodnic miast).</w:t>
                  </w:r>
                </w:p>
              </w:tc>
              <w:tc>
                <w:tcPr>
                  <w:tcW w:w="1119" w:type="dxa"/>
                  <w:tcBorders>
                    <w:top w:val="single" w:sz="4" w:space="0" w:color="FFFFFF"/>
                    <w:left w:val="single" w:sz="4" w:space="0" w:color="FFFFFF"/>
                    <w:right w:val="single" w:sz="4" w:space="0" w:color="FFFFFF"/>
                  </w:tcBorders>
                  <w:shd w:val="clear" w:color="auto" w:fill="DBE5F1"/>
                </w:tcPr>
                <w:p w14:paraId="47C15693" w14:textId="77777777" w:rsidR="00600DEE" w:rsidRDefault="00600DEE">
                  <w:pPr>
                    <w:rPr>
                      <w:rFonts w:ascii="Calibri" w:eastAsia="Calibri" w:hAnsi="Calibri" w:cs="Calibri"/>
                      <w:color w:val="4F81BD"/>
                      <w:sz w:val="18"/>
                      <w:szCs w:val="18"/>
                    </w:rPr>
                  </w:pPr>
                </w:p>
                <w:p w14:paraId="5F232502" w14:textId="77777777" w:rsidR="00600DEE" w:rsidRDefault="00600DEE">
                  <w:pPr>
                    <w:rPr>
                      <w:rFonts w:ascii="Calibri" w:eastAsia="Calibri" w:hAnsi="Calibri" w:cs="Calibri"/>
                      <w:color w:val="4F81BD"/>
                      <w:sz w:val="18"/>
                      <w:szCs w:val="18"/>
                    </w:rPr>
                  </w:pPr>
                </w:p>
              </w:tc>
              <w:tc>
                <w:tcPr>
                  <w:tcW w:w="2685" w:type="dxa"/>
                  <w:tcBorders>
                    <w:top w:val="single" w:sz="4" w:space="0" w:color="FFFFFF"/>
                    <w:left w:val="single" w:sz="4" w:space="0" w:color="FFFFFF"/>
                    <w:right w:val="single" w:sz="4" w:space="0" w:color="FFFFFF"/>
                  </w:tcBorders>
                  <w:shd w:val="clear" w:color="auto" w:fill="DBE5F1"/>
                </w:tcPr>
                <w:p w14:paraId="624FB53C" w14:textId="77777777" w:rsidR="00600DEE" w:rsidRDefault="00600DEE">
                  <w:pPr>
                    <w:rPr>
                      <w:rFonts w:ascii="Calibri" w:eastAsia="Calibri" w:hAnsi="Calibri" w:cs="Calibri"/>
                      <w:color w:val="4F81BD"/>
                      <w:sz w:val="18"/>
                      <w:szCs w:val="18"/>
                    </w:rPr>
                  </w:pPr>
                </w:p>
                <w:p w14:paraId="26E8B423" w14:textId="77777777" w:rsidR="00600DEE" w:rsidRDefault="00600DEE">
                  <w:pPr>
                    <w:rPr>
                      <w:rFonts w:ascii="Calibri" w:eastAsia="Calibri" w:hAnsi="Calibri" w:cs="Calibri"/>
                      <w:color w:val="4F81BD"/>
                      <w:sz w:val="18"/>
                      <w:szCs w:val="18"/>
                    </w:rPr>
                  </w:pPr>
                </w:p>
                <w:p w14:paraId="4853676D"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Model regionalny lub krajowy z uszczegółowieniem obszaru znaczącego oddziaływania planowanej inwestycji***</w:t>
                  </w:r>
                </w:p>
                <w:p w14:paraId="42B389BA" w14:textId="77777777" w:rsidR="00600DEE" w:rsidRDefault="00600DEE">
                  <w:pPr>
                    <w:rPr>
                      <w:rFonts w:ascii="Calibri" w:eastAsia="Calibri" w:hAnsi="Calibri" w:cs="Calibri"/>
                      <w:color w:val="4F81BD"/>
                      <w:sz w:val="18"/>
                      <w:szCs w:val="18"/>
                    </w:rPr>
                  </w:pPr>
                </w:p>
              </w:tc>
              <w:tc>
                <w:tcPr>
                  <w:tcW w:w="1421" w:type="dxa"/>
                  <w:tcBorders>
                    <w:top w:val="single" w:sz="4" w:space="0" w:color="FFFFFF"/>
                    <w:left w:val="single" w:sz="4" w:space="0" w:color="FFFFFF"/>
                    <w:right w:val="single" w:sz="4" w:space="0" w:color="FFFFFF"/>
                  </w:tcBorders>
                  <w:shd w:val="clear" w:color="auto" w:fill="DBE5F1"/>
                </w:tcPr>
                <w:p w14:paraId="7CB78932" w14:textId="77777777" w:rsidR="00600DEE" w:rsidRDefault="00600DEE">
                  <w:pPr>
                    <w:rPr>
                      <w:rFonts w:ascii="Calibri" w:eastAsia="Calibri" w:hAnsi="Calibri" w:cs="Calibri"/>
                      <w:color w:val="4F81BD"/>
                      <w:sz w:val="18"/>
                      <w:szCs w:val="18"/>
                    </w:rPr>
                  </w:pPr>
                </w:p>
                <w:p w14:paraId="2817413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Sieciowo/ Bufor** lub odcinkowo</w:t>
                  </w:r>
                </w:p>
              </w:tc>
            </w:tr>
          </w:tbl>
          <w:p w14:paraId="18029898"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p w14:paraId="36A4BA57" w14:textId="77777777" w:rsidR="00600DEE" w:rsidRDefault="00600DEE">
            <w:pPr>
              <w:ind w:right="170"/>
              <w:jc w:val="both"/>
              <w:rPr>
                <w:rFonts w:ascii="Calibri" w:eastAsia="Calibri" w:hAnsi="Calibri" w:cs="Calibri"/>
                <w:sz w:val="16"/>
                <w:szCs w:val="16"/>
              </w:rPr>
            </w:pPr>
          </w:p>
          <w:p w14:paraId="688D5B24" w14:textId="77777777" w:rsidR="00600DEE" w:rsidRDefault="00641FB5">
            <w:pPr>
              <w:tabs>
                <w:tab w:val="left" w:pos="6946"/>
              </w:tabs>
              <w:jc w:val="both"/>
              <w:rPr>
                <w:rFonts w:ascii="Calibri" w:eastAsia="Calibri" w:hAnsi="Calibri" w:cs="Calibri"/>
                <w:sz w:val="16"/>
                <w:szCs w:val="16"/>
              </w:rPr>
            </w:pPr>
            <w:r>
              <w:rPr>
                <w:rFonts w:ascii="Calibri" w:eastAsia="Calibri" w:hAnsi="Calibri" w:cs="Calibri"/>
                <w:sz w:val="16"/>
                <w:szCs w:val="16"/>
              </w:rPr>
              <w:t xml:space="preserve">Odcinkowo: analiza ruchu i obliczenie pracy przewozowej (poj-km i poj-godz) oraz kosztów i korzyści do AKK dla indywidualnych jednorodnych odcinków o znanej długości. </w:t>
            </w:r>
          </w:p>
          <w:p w14:paraId="11EE757B" w14:textId="77777777" w:rsidR="00600DEE" w:rsidRDefault="00641FB5">
            <w:pPr>
              <w:tabs>
                <w:tab w:val="left" w:pos="6946"/>
              </w:tabs>
              <w:ind w:right="170"/>
              <w:jc w:val="both"/>
              <w:rPr>
                <w:rFonts w:ascii="Calibri" w:eastAsia="Calibri" w:hAnsi="Calibri" w:cs="Calibri"/>
                <w:sz w:val="16"/>
                <w:szCs w:val="16"/>
              </w:rPr>
            </w:pPr>
            <w:r>
              <w:rPr>
                <w:rFonts w:ascii="Calibri" w:eastAsia="Calibri" w:hAnsi="Calibri" w:cs="Calibri"/>
                <w:sz w:val="16"/>
                <w:szCs w:val="16"/>
              </w:rPr>
              <w:t>Sieciowo/Bufor: wykorzystanie pracy przewozowej obliczonej dla określonego obszaru obejmującego odcinki o znaczącym oddziaływaniu do obliczenia kosztów i korzyści w ramach AKK.</w:t>
            </w:r>
          </w:p>
          <w:p w14:paraId="041DBDC3" w14:textId="77777777" w:rsidR="00600DEE" w:rsidRDefault="00641FB5">
            <w:pPr>
              <w:tabs>
                <w:tab w:val="left" w:pos="6946"/>
              </w:tabs>
              <w:ind w:right="170"/>
              <w:jc w:val="both"/>
              <w:rPr>
                <w:rFonts w:ascii="Calibri" w:eastAsia="Calibri" w:hAnsi="Calibri" w:cs="Calibri"/>
                <w:sz w:val="16"/>
                <w:szCs w:val="16"/>
              </w:rPr>
            </w:pPr>
            <w:r>
              <w:rPr>
                <w:rFonts w:ascii="Calibri" w:eastAsia="Calibri" w:hAnsi="Calibri" w:cs="Calibri"/>
                <w:sz w:val="16"/>
                <w:szCs w:val="16"/>
              </w:rPr>
              <w:t xml:space="preserve">Bufor, obszar oddziaływania projektu: wyodrębniany na potrzeby analiz finansowo-ekonomicznych, obszar obejmujący sieć dróg, na której różnica w natężeniach ruchu pomiędzy wariantem Wn i W0 dla danego odcinka jest znacząca (np. jest większa niż 10-15% w pierwszym roku prognozy). Należy zapewnić możliwość uzyskania wglądu w wartości pracy przewozowej dla każdego odcinka. </w:t>
            </w:r>
          </w:p>
          <w:p w14:paraId="04059FA9" w14:textId="77777777" w:rsidR="00600DEE" w:rsidRDefault="00600DEE">
            <w:pPr>
              <w:tabs>
                <w:tab w:val="left" w:pos="6946"/>
              </w:tabs>
              <w:ind w:right="170"/>
              <w:jc w:val="both"/>
              <w:rPr>
                <w:rFonts w:ascii="Calibri" w:eastAsia="Calibri" w:hAnsi="Calibri" w:cs="Calibri"/>
                <w:sz w:val="16"/>
                <w:szCs w:val="16"/>
              </w:rPr>
            </w:pPr>
          </w:p>
          <w:p w14:paraId="66CAC440" w14:textId="77777777" w:rsidR="00600DEE" w:rsidRDefault="00641FB5">
            <w:pPr>
              <w:tabs>
                <w:tab w:val="left" w:pos="6946"/>
              </w:tabs>
              <w:ind w:right="170"/>
              <w:jc w:val="both"/>
              <w:rPr>
                <w:rFonts w:ascii="Calibri" w:eastAsia="Calibri" w:hAnsi="Calibri" w:cs="Calibri"/>
                <w:sz w:val="16"/>
                <w:szCs w:val="16"/>
              </w:rPr>
            </w:pPr>
            <w:r>
              <w:rPr>
                <w:rFonts w:ascii="Calibri" w:eastAsia="Calibri" w:hAnsi="Calibri" w:cs="Calibri"/>
                <w:sz w:val="16"/>
                <w:szCs w:val="16"/>
              </w:rPr>
              <w:t xml:space="preserve">* w każdym przypadku należy upewnić się, że w danym roku liczba pojazdów (lub równoważnych dla liczby podróży transportu indywidualnego) w modelu w wariancie inwestycyjnym jest równa liczbie pojazdów (podróży) w wariancie bezinwestycyjnym (to znaczy, że nie ma ruchu wzbudzonego zgodnie z założeniami w modelu). </w:t>
            </w:r>
          </w:p>
          <w:p w14:paraId="0BD7AB63" w14:textId="77777777" w:rsidR="00600DEE" w:rsidRDefault="00600DEE">
            <w:pPr>
              <w:tabs>
                <w:tab w:val="left" w:pos="6946"/>
              </w:tabs>
              <w:ind w:right="170"/>
              <w:jc w:val="both"/>
              <w:rPr>
                <w:rFonts w:ascii="Calibri" w:eastAsia="Calibri" w:hAnsi="Calibri" w:cs="Calibri"/>
                <w:sz w:val="16"/>
                <w:szCs w:val="16"/>
              </w:rPr>
            </w:pPr>
          </w:p>
          <w:p w14:paraId="6BD6AA29" w14:textId="18896074" w:rsidR="00600DEE" w:rsidRDefault="00641FB5">
            <w:pPr>
              <w:tabs>
                <w:tab w:val="left" w:pos="6946"/>
              </w:tabs>
              <w:ind w:right="170"/>
              <w:jc w:val="both"/>
              <w:rPr>
                <w:rFonts w:ascii="Calibri" w:eastAsia="Calibri" w:hAnsi="Calibri" w:cs="Calibri"/>
                <w:sz w:val="16"/>
                <w:szCs w:val="16"/>
              </w:rPr>
            </w:pPr>
            <w:r>
              <w:rPr>
                <w:rFonts w:ascii="Calibri" w:eastAsia="Calibri" w:hAnsi="Calibri" w:cs="Calibri"/>
                <w:sz w:val="16"/>
                <w:szCs w:val="16"/>
              </w:rPr>
              <w:t>** Podejście sieciowe niesie ze sobą konieczność uśredniania niektórych kosztów jednostkowych (eksploatacji pojazdów, bezpieczeństwa ruchu drogowego, zanieczyszczenia środowiska, zmian klimatu) w obrębie danej grupy dróg wyróżnionych w zestawieniu pracy przewozowej pochodzącej z modelu, podczas gdy podejście odcinkowe nie jest obarczone takim uśrednieniem, a co więcej pozwala sprawniej przeprowadzić analizę porealizacyjną i porównanie rzeczywistych paramen</w:t>
            </w:r>
            <w:r w:rsidR="001B2F24">
              <w:rPr>
                <w:rFonts w:ascii="Calibri" w:eastAsia="Calibri" w:hAnsi="Calibri" w:cs="Calibri"/>
                <w:sz w:val="16"/>
                <w:szCs w:val="16"/>
              </w:rPr>
              <w:t>tów projektu z prognozowanymi. W</w:t>
            </w:r>
            <w:r>
              <w:rPr>
                <w:rFonts w:ascii="Calibri" w:eastAsia="Calibri" w:hAnsi="Calibri" w:cs="Calibri"/>
                <w:sz w:val="16"/>
                <w:szCs w:val="16"/>
              </w:rPr>
              <w:t> przypadku, gdy sieć wykorzystana w modelu obejmuje większy zakres niż sieć wykorzystana w obliczeniach prac przewozowych, należy także zapewnić możliwość uzyskania prac przewozowych dla całego modelu (w celach porównawczych).</w:t>
            </w:r>
          </w:p>
          <w:p w14:paraId="254AE5C0" w14:textId="77777777" w:rsidR="00600DEE" w:rsidRDefault="00600DEE">
            <w:pPr>
              <w:tabs>
                <w:tab w:val="left" w:pos="6946"/>
              </w:tabs>
              <w:ind w:right="170"/>
              <w:jc w:val="both"/>
              <w:rPr>
                <w:rFonts w:ascii="Calibri" w:eastAsia="Calibri" w:hAnsi="Calibri" w:cs="Calibri"/>
                <w:sz w:val="16"/>
                <w:szCs w:val="16"/>
              </w:rPr>
            </w:pPr>
          </w:p>
          <w:p w14:paraId="455CBE28" w14:textId="77777777" w:rsidR="00600DEE" w:rsidRDefault="00641FB5">
            <w:pPr>
              <w:tabs>
                <w:tab w:val="left" w:pos="6946"/>
              </w:tabs>
              <w:ind w:right="170"/>
              <w:jc w:val="both"/>
              <w:rPr>
                <w:rFonts w:ascii="Calibri" w:eastAsia="Calibri" w:hAnsi="Calibri" w:cs="Calibri"/>
                <w:sz w:val="16"/>
                <w:szCs w:val="16"/>
              </w:rPr>
            </w:pPr>
            <w:r>
              <w:rPr>
                <w:rFonts w:ascii="Calibri" w:eastAsia="Calibri" w:hAnsi="Calibri" w:cs="Calibri"/>
                <w:sz w:val="16"/>
                <w:szCs w:val="16"/>
              </w:rPr>
              <w:t xml:space="preserve">*** w przypadku sieciowego modelu ruchu, dla potrzeb analizy AKK, można wydzielić na sieci obszar oddziaływania projektu tzw. bufor. </w:t>
            </w:r>
          </w:p>
        </w:tc>
        <w:tc>
          <w:tcPr>
            <w:tcW w:w="7204" w:type="dxa"/>
            <w:tcBorders>
              <w:left w:val="single" w:sz="4" w:space="0" w:color="000000"/>
            </w:tcBorders>
            <w:tcMar>
              <w:left w:w="284" w:type="dxa"/>
              <w:right w:w="284" w:type="dxa"/>
            </w:tcMar>
          </w:tcPr>
          <w:p w14:paraId="11F7E258" w14:textId="77777777" w:rsidR="00600DEE" w:rsidRPr="0045151D" w:rsidRDefault="00641FB5" w:rsidP="001F6CAA">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lastRenderedPageBreak/>
              <w:t>From the CBA perspective, major road projects that should use individual approach to traffic forecasting and transport work calculation may be divided into the following types depending on the type of investment:</w:t>
            </w:r>
          </w:p>
          <w:p w14:paraId="7DB9B57B" w14:textId="529FB7A5" w:rsidR="008107FB" w:rsidRPr="0045151D" w:rsidRDefault="008107FB" w:rsidP="008107FB">
            <w:pPr>
              <w:keepNext/>
              <w:pBdr>
                <w:top w:val="nil"/>
                <w:left w:val="nil"/>
                <w:bottom w:val="nil"/>
                <w:right w:val="nil"/>
                <w:between w:val="nil"/>
              </w:pBdr>
              <w:tabs>
                <w:tab w:val="left" w:pos="720"/>
                <w:tab w:val="left" w:pos="710"/>
              </w:tabs>
              <w:ind w:left="710" w:right="26" w:hanging="710"/>
              <w:jc w:val="both"/>
              <w:rPr>
                <w:rFonts w:ascii="Calibri" w:eastAsia="Calibri" w:hAnsi="Calibri" w:cs="Calibri"/>
                <w:b/>
                <w:color w:val="4F81BD"/>
                <w:sz w:val="20"/>
                <w:szCs w:val="20"/>
                <w:lang w:val="en-GB"/>
              </w:rPr>
            </w:pPr>
          </w:p>
          <w:p w14:paraId="6DB30D54" w14:textId="04AC86EC" w:rsidR="00600DEE" w:rsidRPr="0045151D" w:rsidRDefault="00641FB5" w:rsidP="001F6CAA">
            <w:pPr>
              <w:keepNext/>
              <w:pBdr>
                <w:top w:val="nil"/>
                <w:left w:val="nil"/>
                <w:bottom w:val="nil"/>
                <w:right w:val="nil"/>
                <w:between w:val="nil"/>
              </w:pBdr>
              <w:tabs>
                <w:tab w:val="left" w:pos="720"/>
                <w:tab w:val="left" w:pos="710"/>
              </w:tabs>
              <w:spacing w:before="240" w:after="120"/>
              <w:ind w:right="26"/>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6. Recommended (by JASPERS) territorial scope of traffic analysis and transport work calculation for CBA</w:t>
            </w:r>
          </w:p>
          <w:tbl>
            <w:tblPr>
              <w:tblStyle w:val="afe"/>
              <w:tblW w:w="706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23"/>
              <w:gridCol w:w="1295"/>
              <w:gridCol w:w="1295"/>
              <w:gridCol w:w="2570"/>
              <w:gridCol w:w="1480"/>
            </w:tblGrid>
            <w:tr w:rsidR="00600DEE" w14:paraId="288A73FA" w14:textId="77777777" w:rsidTr="008107FB">
              <w:trPr>
                <w:trHeight w:hRule="exact" w:val="1134"/>
              </w:trPr>
              <w:tc>
                <w:tcPr>
                  <w:tcW w:w="423" w:type="dxa"/>
                  <w:tcBorders>
                    <w:top w:val="single" w:sz="4" w:space="0" w:color="FFFFFF"/>
                    <w:left w:val="single" w:sz="4" w:space="0" w:color="FFFFFF"/>
                    <w:bottom w:val="single" w:sz="4" w:space="0" w:color="FFFFFF"/>
                    <w:right w:val="single" w:sz="4" w:space="0" w:color="FFFFFF"/>
                  </w:tcBorders>
                  <w:shd w:val="clear" w:color="auto" w:fill="A6A6A6"/>
                </w:tcPr>
                <w:p w14:paraId="091334AC" w14:textId="77777777" w:rsidR="00600DEE" w:rsidRPr="0045151D" w:rsidRDefault="00600DEE">
                  <w:pPr>
                    <w:spacing w:before="60" w:after="60" w:line="264" w:lineRule="auto"/>
                    <w:jc w:val="center"/>
                    <w:rPr>
                      <w:rFonts w:ascii="Calibri" w:eastAsia="Calibri" w:hAnsi="Calibri" w:cs="Calibri"/>
                      <w:b/>
                      <w:color w:val="FFFFFF"/>
                      <w:sz w:val="17"/>
                      <w:szCs w:val="17"/>
                      <w:lang w:val="en-GB"/>
                    </w:rPr>
                  </w:pPr>
                </w:p>
              </w:tc>
              <w:tc>
                <w:tcPr>
                  <w:tcW w:w="2590" w:type="dxa"/>
                  <w:gridSpan w:val="2"/>
                  <w:tcBorders>
                    <w:top w:val="single" w:sz="4" w:space="0" w:color="FFFFFF"/>
                    <w:left w:val="single" w:sz="4" w:space="0" w:color="FFFFFF"/>
                    <w:bottom w:val="single" w:sz="4" w:space="0" w:color="FFFFFF"/>
                    <w:right w:val="single" w:sz="4" w:space="0" w:color="FFFFFF"/>
                  </w:tcBorders>
                  <w:shd w:val="clear" w:color="auto" w:fill="A6A6A6"/>
                  <w:vAlign w:val="center"/>
                </w:tcPr>
                <w:p w14:paraId="40D8665A" w14:textId="77777777" w:rsidR="00600DEE" w:rsidRPr="0045151D" w:rsidRDefault="00600DEE">
                  <w:pPr>
                    <w:spacing w:before="60" w:after="60" w:line="264" w:lineRule="auto"/>
                    <w:jc w:val="center"/>
                    <w:rPr>
                      <w:rFonts w:ascii="Calibri" w:eastAsia="Calibri" w:hAnsi="Calibri" w:cs="Calibri"/>
                      <w:b/>
                      <w:color w:val="FFFFFF"/>
                      <w:sz w:val="17"/>
                      <w:szCs w:val="17"/>
                      <w:lang w:val="en-GB"/>
                    </w:rPr>
                  </w:pPr>
                </w:p>
                <w:p w14:paraId="48DB698E" w14:textId="77777777" w:rsidR="00600DEE" w:rsidRDefault="00641FB5">
                  <w:pPr>
                    <w:spacing w:before="60" w:after="60"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Type of investment</w:t>
                  </w:r>
                </w:p>
                <w:p w14:paraId="246D44C7" w14:textId="77777777" w:rsidR="00600DEE" w:rsidRDefault="00600DEE">
                  <w:pPr>
                    <w:spacing w:before="120" w:after="120"/>
                    <w:jc w:val="center"/>
                    <w:rPr>
                      <w:rFonts w:ascii="Calibri" w:eastAsia="Calibri" w:hAnsi="Calibri" w:cs="Calibri"/>
                      <w:b/>
                      <w:color w:val="FFFFFF"/>
                      <w:sz w:val="17"/>
                      <w:szCs w:val="17"/>
                    </w:rPr>
                  </w:pPr>
                </w:p>
              </w:tc>
              <w:tc>
                <w:tcPr>
                  <w:tcW w:w="2570" w:type="dxa"/>
                  <w:tcBorders>
                    <w:top w:val="single" w:sz="4" w:space="0" w:color="FFFFFF"/>
                    <w:left w:val="single" w:sz="4" w:space="0" w:color="FFFFFF"/>
                    <w:right w:val="single" w:sz="4" w:space="0" w:color="FFFFFF"/>
                  </w:tcBorders>
                  <w:shd w:val="clear" w:color="auto" w:fill="A6A6A6"/>
                  <w:vAlign w:val="center"/>
                </w:tcPr>
                <w:p w14:paraId="0EF4581E" w14:textId="77777777" w:rsidR="00600DEE" w:rsidRPr="0045151D" w:rsidRDefault="00641FB5">
                  <w:pPr>
                    <w:spacing w:before="60" w:after="60" w:line="264" w:lineRule="auto"/>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Traffic analysis method and territorial scope</w:t>
                  </w:r>
                </w:p>
              </w:tc>
              <w:tc>
                <w:tcPr>
                  <w:tcW w:w="148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4EE537DC" w14:textId="77777777" w:rsidR="00600DEE" w:rsidRPr="0045151D" w:rsidRDefault="00641FB5">
                  <w:pPr>
                    <w:spacing w:before="60" w:after="60" w:line="264" w:lineRule="auto"/>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Calculation approach</w:t>
                  </w:r>
                </w:p>
                <w:p w14:paraId="4A9CDF45" w14:textId="77777777" w:rsidR="00600DEE" w:rsidRPr="0045151D" w:rsidRDefault="00641FB5">
                  <w:pPr>
                    <w:spacing w:before="60" w:after="60" w:line="264" w:lineRule="auto"/>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to transport work for</w:t>
                  </w:r>
                </w:p>
                <w:p w14:paraId="7F2E2691" w14:textId="77777777" w:rsidR="00600DEE" w:rsidRDefault="00641FB5">
                  <w:pPr>
                    <w:spacing w:before="60" w:after="60" w:line="264" w:lineRule="auto"/>
                    <w:jc w:val="center"/>
                    <w:rPr>
                      <w:rFonts w:ascii="Calibri" w:eastAsia="Calibri" w:hAnsi="Calibri" w:cs="Calibri"/>
                      <w:b/>
                      <w:color w:val="FFFFFF"/>
                      <w:sz w:val="16"/>
                      <w:szCs w:val="16"/>
                    </w:rPr>
                  </w:pPr>
                  <w:r>
                    <w:rPr>
                      <w:rFonts w:ascii="Calibri" w:eastAsia="Calibri" w:hAnsi="Calibri" w:cs="Calibri"/>
                      <w:b/>
                      <w:color w:val="FFFFFF"/>
                      <w:sz w:val="16"/>
                      <w:szCs w:val="16"/>
                    </w:rPr>
                    <w:t>CBA purposes *)</w:t>
                  </w:r>
                </w:p>
              </w:tc>
            </w:tr>
            <w:tr w:rsidR="00600DEE" w14:paraId="18F56152" w14:textId="77777777" w:rsidTr="001F6CAA">
              <w:trPr>
                <w:trHeight w:hRule="exact" w:val="1418"/>
              </w:trPr>
              <w:tc>
                <w:tcPr>
                  <w:tcW w:w="423" w:type="dxa"/>
                  <w:tcBorders>
                    <w:top w:val="single" w:sz="4" w:space="0" w:color="FFFFFF"/>
                    <w:left w:val="single" w:sz="4" w:space="0" w:color="FFFFFF"/>
                    <w:bottom w:val="single" w:sz="4" w:space="0" w:color="FFFFFF"/>
                    <w:right w:val="single" w:sz="4" w:space="0" w:color="FFFFFF"/>
                  </w:tcBorders>
                  <w:shd w:val="clear" w:color="auto" w:fill="DBE5F1"/>
                </w:tcPr>
                <w:p w14:paraId="628FF57E"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1.</w:t>
                  </w:r>
                </w:p>
              </w:tc>
              <w:tc>
                <w:tcPr>
                  <w:tcW w:w="2590" w:type="dxa"/>
                  <w:gridSpan w:val="2"/>
                  <w:tcBorders>
                    <w:top w:val="single" w:sz="4" w:space="0" w:color="FFFFFF"/>
                    <w:left w:val="single" w:sz="4" w:space="0" w:color="FFFFFF"/>
                    <w:bottom w:val="single" w:sz="4" w:space="0" w:color="FFFFFF"/>
                    <w:right w:val="single" w:sz="4" w:space="0" w:color="FFFFFF"/>
                  </w:tcBorders>
                  <w:shd w:val="clear" w:color="auto" w:fill="DBE5F1"/>
                </w:tcPr>
                <w:p w14:paraId="47C9BB0A" w14:textId="77777777"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Single location or linear investment to improve quality and safety conditions without increasing capacity.</w:t>
                  </w:r>
                </w:p>
                <w:p w14:paraId="61D5DD70" w14:textId="77777777" w:rsidR="00600DEE" w:rsidRPr="0045151D" w:rsidRDefault="00600DEE">
                  <w:pPr>
                    <w:spacing w:before="120" w:after="120"/>
                    <w:rPr>
                      <w:rFonts w:ascii="Calibri" w:eastAsia="Calibri" w:hAnsi="Calibri" w:cs="Calibri"/>
                      <w:color w:val="4F81BD"/>
                      <w:sz w:val="18"/>
                      <w:szCs w:val="18"/>
                      <w:lang w:val="en-GB"/>
                    </w:rPr>
                  </w:pPr>
                </w:p>
              </w:tc>
              <w:tc>
                <w:tcPr>
                  <w:tcW w:w="2570" w:type="dxa"/>
                  <w:tcBorders>
                    <w:top w:val="single" w:sz="4" w:space="0" w:color="FFFFFF"/>
                    <w:left w:val="single" w:sz="4" w:space="0" w:color="FFFFFF"/>
                    <w:bottom w:val="single" w:sz="4" w:space="0" w:color="FFFFFF"/>
                    <w:right w:val="single" w:sz="4" w:space="0" w:color="FFFFFF"/>
                  </w:tcBorders>
                  <w:shd w:val="clear" w:color="auto" w:fill="DBE5F1"/>
                </w:tcPr>
                <w:p w14:paraId="649CFE68" w14:textId="77777777"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There is no need to develop/use a network traffic model if no capacity constraints exist</w:t>
                  </w:r>
                </w:p>
              </w:tc>
              <w:tc>
                <w:tcPr>
                  <w:tcW w:w="1480" w:type="dxa"/>
                  <w:tcBorders>
                    <w:top w:val="single" w:sz="4" w:space="0" w:color="FFFFFF"/>
                    <w:left w:val="single" w:sz="4" w:space="0" w:color="FFFFFF"/>
                    <w:bottom w:val="single" w:sz="4" w:space="0" w:color="FFFFFF"/>
                    <w:right w:val="single" w:sz="4" w:space="0" w:color="FFFFFF"/>
                  </w:tcBorders>
                  <w:shd w:val="clear" w:color="auto" w:fill="DBE5F1"/>
                </w:tcPr>
                <w:p w14:paraId="75D8CB1F"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By section</w:t>
                  </w:r>
                </w:p>
              </w:tc>
            </w:tr>
            <w:tr w:rsidR="00600DEE" w14:paraId="53019745" w14:textId="77777777" w:rsidTr="001F6CAA">
              <w:trPr>
                <w:trHeight w:hRule="exact" w:val="1247"/>
              </w:trPr>
              <w:tc>
                <w:tcPr>
                  <w:tcW w:w="423" w:type="dxa"/>
                  <w:tcBorders>
                    <w:top w:val="single" w:sz="4" w:space="0" w:color="FFFFFF"/>
                    <w:left w:val="single" w:sz="4" w:space="0" w:color="FFFFFF"/>
                    <w:right w:val="single" w:sz="4" w:space="0" w:color="FFFFFF"/>
                  </w:tcBorders>
                  <w:shd w:val="clear" w:color="auto" w:fill="A6A6A6"/>
                  <w:vAlign w:val="center"/>
                </w:tcPr>
                <w:p w14:paraId="18A34069" w14:textId="77777777" w:rsidR="00600DEE" w:rsidRDefault="00600DEE">
                  <w:pPr>
                    <w:spacing w:before="120" w:after="120"/>
                    <w:jc w:val="center"/>
                    <w:rPr>
                      <w:rFonts w:ascii="Calibri" w:eastAsia="Calibri" w:hAnsi="Calibri" w:cs="Calibri"/>
                      <w:color w:val="4F81BD"/>
                      <w:sz w:val="18"/>
                      <w:szCs w:val="18"/>
                    </w:rPr>
                  </w:pPr>
                </w:p>
                <w:p w14:paraId="49EAC9C5" w14:textId="77777777" w:rsidR="00600DEE" w:rsidRDefault="00600DEE">
                  <w:pPr>
                    <w:spacing w:before="120" w:after="120"/>
                    <w:jc w:val="center"/>
                    <w:rPr>
                      <w:rFonts w:ascii="Calibri" w:eastAsia="Calibri" w:hAnsi="Calibri" w:cs="Calibri"/>
                      <w:color w:val="4F81BD"/>
                      <w:sz w:val="18"/>
                      <w:szCs w:val="18"/>
                    </w:rPr>
                  </w:pPr>
                </w:p>
                <w:p w14:paraId="4F4B6B4C" w14:textId="77777777" w:rsidR="00600DEE" w:rsidRDefault="00600DEE">
                  <w:pPr>
                    <w:spacing w:before="120" w:after="120"/>
                    <w:jc w:val="center"/>
                    <w:rPr>
                      <w:rFonts w:ascii="Calibri" w:eastAsia="Calibri" w:hAnsi="Calibri" w:cs="Calibri"/>
                      <w:color w:val="4F81BD"/>
                      <w:sz w:val="18"/>
                      <w:szCs w:val="18"/>
                    </w:rPr>
                  </w:pPr>
                </w:p>
              </w:tc>
              <w:tc>
                <w:tcPr>
                  <w:tcW w:w="2590" w:type="dxa"/>
                  <w:gridSpan w:val="2"/>
                  <w:tcBorders>
                    <w:top w:val="single" w:sz="4" w:space="0" w:color="FFFFFF"/>
                    <w:left w:val="single" w:sz="4" w:space="0" w:color="FFFFFF"/>
                    <w:right w:val="single" w:sz="4" w:space="0" w:color="FFFFFF"/>
                  </w:tcBorders>
                  <w:shd w:val="clear" w:color="auto" w:fill="A6A6A6"/>
                  <w:vAlign w:val="center"/>
                </w:tcPr>
                <w:p w14:paraId="1B602F8F" w14:textId="77777777" w:rsidR="00600DEE" w:rsidRDefault="00600DEE">
                  <w:pPr>
                    <w:spacing w:before="60" w:after="60" w:line="264" w:lineRule="auto"/>
                    <w:jc w:val="center"/>
                    <w:rPr>
                      <w:rFonts w:ascii="Calibri" w:eastAsia="Calibri" w:hAnsi="Calibri" w:cs="Calibri"/>
                      <w:b/>
                      <w:color w:val="FFFFFF"/>
                      <w:sz w:val="17"/>
                      <w:szCs w:val="17"/>
                    </w:rPr>
                  </w:pPr>
                </w:p>
                <w:p w14:paraId="540D3878" w14:textId="77777777" w:rsidR="00600DEE" w:rsidRDefault="00641FB5">
                  <w:pPr>
                    <w:spacing w:before="60" w:after="60"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Type of investment</w:t>
                  </w:r>
                </w:p>
                <w:p w14:paraId="1A3C444A" w14:textId="77777777" w:rsidR="00600DEE" w:rsidRDefault="00600DEE">
                  <w:pPr>
                    <w:spacing w:before="120" w:after="120"/>
                    <w:jc w:val="center"/>
                    <w:rPr>
                      <w:rFonts w:ascii="Calibri" w:eastAsia="Calibri" w:hAnsi="Calibri" w:cs="Calibri"/>
                      <w:color w:val="4F81BD"/>
                      <w:sz w:val="18"/>
                      <w:szCs w:val="18"/>
                    </w:rPr>
                  </w:pPr>
                </w:p>
              </w:tc>
              <w:tc>
                <w:tcPr>
                  <w:tcW w:w="2570" w:type="dxa"/>
                  <w:tcBorders>
                    <w:top w:val="single" w:sz="4" w:space="0" w:color="FFFFFF"/>
                    <w:left w:val="single" w:sz="4" w:space="0" w:color="FFFFFF"/>
                    <w:right w:val="single" w:sz="4" w:space="0" w:color="FFFFFF"/>
                  </w:tcBorders>
                  <w:shd w:val="clear" w:color="auto" w:fill="A6A6A6"/>
                  <w:vAlign w:val="center"/>
                </w:tcPr>
                <w:p w14:paraId="1514858E" w14:textId="77777777" w:rsidR="00600DEE" w:rsidRPr="0045151D" w:rsidRDefault="00641FB5">
                  <w:pPr>
                    <w:spacing w:before="120" w:after="120"/>
                    <w:jc w:val="center"/>
                    <w:rPr>
                      <w:rFonts w:ascii="Calibri" w:eastAsia="Calibri" w:hAnsi="Calibri" w:cs="Calibri"/>
                      <w:color w:val="4F81BD"/>
                      <w:sz w:val="18"/>
                      <w:szCs w:val="18"/>
                      <w:lang w:val="en-GB"/>
                    </w:rPr>
                  </w:pPr>
                  <w:r w:rsidRPr="0045151D">
                    <w:rPr>
                      <w:rFonts w:ascii="Calibri" w:eastAsia="Calibri" w:hAnsi="Calibri" w:cs="Calibri"/>
                      <w:b/>
                      <w:color w:val="FFFFFF"/>
                      <w:sz w:val="17"/>
                      <w:szCs w:val="17"/>
                      <w:lang w:val="en-GB"/>
                    </w:rPr>
                    <w:t>Traffic analysis method and territorial scope</w:t>
                  </w:r>
                </w:p>
                <w:p w14:paraId="4F5454AE" w14:textId="77777777" w:rsidR="00600DEE" w:rsidRPr="0045151D" w:rsidRDefault="00641FB5">
                  <w:pPr>
                    <w:spacing w:before="60" w:after="60" w:line="264" w:lineRule="auto"/>
                    <w:jc w:val="center"/>
                    <w:rPr>
                      <w:rFonts w:ascii="Calibri" w:eastAsia="Calibri" w:hAnsi="Calibri" w:cs="Calibri"/>
                      <w:color w:val="4F81BD"/>
                      <w:sz w:val="18"/>
                      <w:szCs w:val="18"/>
                      <w:lang w:val="en-GB"/>
                    </w:rPr>
                  </w:pPr>
                  <w:r w:rsidRPr="0045151D">
                    <w:rPr>
                      <w:rFonts w:ascii="Calibri" w:eastAsia="Calibri" w:hAnsi="Calibri" w:cs="Calibri"/>
                      <w:b/>
                      <w:color w:val="FFFFFF"/>
                      <w:sz w:val="17"/>
                      <w:szCs w:val="17"/>
                      <w:lang w:val="en-GB"/>
                    </w:rPr>
                    <w:t xml:space="preserve"> </w:t>
                  </w:r>
                </w:p>
              </w:tc>
              <w:tc>
                <w:tcPr>
                  <w:tcW w:w="1480" w:type="dxa"/>
                  <w:tcBorders>
                    <w:top w:val="single" w:sz="4" w:space="0" w:color="FFFFFF"/>
                    <w:left w:val="single" w:sz="4" w:space="0" w:color="FFFFFF"/>
                    <w:right w:val="single" w:sz="4" w:space="0" w:color="FFFFFF"/>
                  </w:tcBorders>
                  <w:shd w:val="clear" w:color="auto" w:fill="A6A6A6"/>
                  <w:vAlign w:val="center"/>
                </w:tcPr>
                <w:p w14:paraId="7141649C" w14:textId="77777777" w:rsidR="00600DEE" w:rsidRPr="0045151D" w:rsidRDefault="00641FB5">
                  <w:pPr>
                    <w:spacing w:before="60" w:after="60" w:line="264" w:lineRule="auto"/>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Calculation approach</w:t>
                  </w:r>
                </w:p>
                <w:p w14:paraId="74BDA6DC" w14:textId="77777777" w:rsidR="00600DEE" w:rsidRPr="0045151D" w:rsidRDefault="00641FB5">
                  <w:pPr>
                    <w:spacing w:before="60" w:after="60" w:line="264" w:lineRule="auto"/>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of Traffic flows for</w:t>
                  </w:r>
                </w:p>
                <w:p w14:paraId="2AB73F3B" w14:textId="77777777" w:rsidR="00600DEE" w:rsidRDefault="00641FB5">
                  <w:pPr>
                    <w:spacing w:before="120" w:after="120"/>
                    <w:jc w:val="center"/>
                    <w:rPr>
                      <w:rFonts w:ascii="Calibri" w:eastAsia="Calibri" w:hAnsi="Calibri" w:cs="Calibri"/>
                      <w:color w:val="4F81BD"/>
                      <w:sz w:val="18"/>
                      <w:szCs w:val="18"/>
                    </w:rPr>
                  </w:pPr>
                  <w:r>
                    <w:rPr>
                      <w:rFonts w:ascii="Calibri" w:eastAsia="Calibri" w:hAnsi="Calibri" w:cs="Calibri"/>
                      <w:b/>
                      <w:color w:val="FFFFFF"/>
                      <w:sz w:val="16"/>
                      <w:szCs w:val="16"/>
                    </w:rPr>
                    <w:t>CBA purposes*</w:t>
                  </w:r>
                </w:p>
              </w:tc>
            </w:tr>
            <w:tr w:rsidR="00600DEE" w14:paraId="1E5BB977" w14:textId="77777777" w:rsidTr="00AA0139">
              <w:trPr>
                <w:trHeight w:hRule="exact" w:val="3686"/>
              </w:trPr>
              <w:tc>
                <w:tcPr>
                  <w:tcW w:w="423" w:type="dxa"/>
                  <w:tcBorders>
                    <w:top w:val="single" w:sz="4" w:space="0" w:color="FFFFFF"/>
                    <w:left w:val="single" w:sz="4" w:space="0" w:color="FFFFFF"/>
                    <w:bottom w:val="single" w:sz="4" w:space="0" w:color="FFFFFF"/>
                    <w:right w:val="single" w:sz="4" w:space="0" w:color="FFFFFF"/>
                  </w:tcBorders>
                  <w:shd w:val="clear" w:color="auto" w:fill="DBE5F1"/>
                </w:tcPr>
                <w:p w14:paraId="7F150DED"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lastRenderedPageBreak/>
                    <w:t xml:space="preserve">2. </w:t>
                  </w:r>
                </w:p>
              </w:tc>
              <w:tc>
                <w:tcPr>
                  <w:tcW w:w="1295" w:type="dxa"/>
                  <w:vMerge w:val="restart"/>
                  <w:tcBorders>
                    <w:top w:val="single" w:sz="4" w:space="0" w:color="FFFFFF"/>
                    <w:left w:val="single" w:sz="4" w:space="0" w:color="FFFFFF"/>
                    <w:bottom w:val="single" w:sz="4" w:space="0" w:color="FFFFFF"/>
                    <w:right w:val="single" w:sz="4" w:space="0" w:color="FFFFFF"/>
                  </w:tcBorders>
                  <w:shd w:val="clear" w:color="auto" w:fill="DBE5F1"/>
                  <w:vAlign w:val="center"/>
                </w:tcPr>
                <w:p w14:paraId="65C43176" w14:textId="79C9CC99"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Upgrading</w:t>
                  </w:r>
                  <w:r w:rsidR="001B2F24">
                    <w:rPr>
                      <w:rFonts w:ascii="Calibri" w:eastAsia="Calibri" w:hAnsi="Calibri" w:cs="Calibri"/>
                      <w:color w:val="4F81BD"/>
                      <w:sz w:val="18"/>
                      <w:szCs w:val="18"/>
                      <w:lang w:val="en-GB"/>
                    </w:rPr>
                    <w:t xml:space="preserve"> </w:t>
                  </w:r>
                  <w:r w:rsidRPr="0045151D">
                    <w:rPr>
                      <w:rFonts w:ascii="Calibri" w:eastAsia="Calibri" w:hAnsi="Calibri" w:cs="Calibri"/>
                      <w:color w:val="4F81BD"/>
                      <w:sz w:val="18"/>
                      <w:szCs w:val="18"/>
                      <w:lang w:val="en-GB"/>
                    </w:rPr>
                    <w:t>an existing road to provide higher capacity/standard e.g. widening (expansion to a double-carriageway road or addition of traffic lanes).</w:t>
                  </w:r>
                </w:p>
              </w:tc>
              <w:tc>
                <w:tcPr>
                  <w:tcW w:w="1295" w:type="dxa"/>
                  <w:tcBorders>
                    <w:top w:val="single" w:sz="4" w:space="0" w:color="FFFFFF"/>
                    <w:left w:val="single" w:sz="4" w:space="0" w:color="FFFFFF"/>
                    <w:bottom w:val="single" w:sz="4" w:space="0" w:color="FFFFFF"/>
                    <w:right w:val="single" w:sz="4" w:space="0" w:color="FFFFFF"/>
                  </w:tcBorders>
                  <w:shd w:val="clear" w:color="auto" w:fill="DBE5F1"/>
                </w:tcPr>
                <w:p w14:paraId="32AA5927" w14:textId="77777777"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Limited  impact  on the rest of the road network (for example, due to the short length of the investment, limited only to the corridor)</w:t>
                  </w:r>
                </w:p>
              </w:tc>
              <w:tc>
                <w:tcPr>
                  <w:tcW w:w="2570" w:type="dxa"/>
                  <w:tcBorders>
                    <w:top w:val="single" w:sz="4" w:space="0" w:color="FFFFFF"/>
                    <w:left w:val="single" w:sz="4" w:space="0" w:color="FFFFFF"/>
                    <w:bottom w:val="single" w:sz="4" w:space="0" w:color="FFFFFF"/>
                    <w:right w:val="single" w:sz="4" w:space="0" w:color="FFFFFF"/>
                  </w:tcBorders>
                  <w:shd w:val="clear" w:color="auto" w:fill="DBE5F1"/>
                </w:tcPr>
                <w:p w14:paraId="4C2B0C7A" w14:textId="77777777"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There is no need to develop/use a network traffic model</w:t>
                  </w:r>
                </w:p>
              </w:tc>
              <w:tc>
                <w:tcPr>
                  <w:tcW w:w="148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A8A7FF6"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By section</w:t>
                  </w:r>
                </w:p>
              </w:tc>
            </w:tr>
            <w:tr w:rsidR="00600DEE" w:rsidRPr="007463B9" w14:paraId="258D3F5C" w14:textId="77777777" w:rsidTr="00AA0139">
              <w:trPr>
                <w:trHeight w:val="1343"/>
              </w:trPr>
              <w:tc>
                <w:tcPr>
                  <w:tcW w:w="423" w:type="dxa"/>
                  <w:tcBorders>
                    <w:top w:val="single" w:sz="4" w:space="0" w:color="FFFFFF"/>
                    <w:left w:val="single" w:sz="4" w:space="0" w:color="FFFFFF"/>
                    <w:bottom w:val="single" w:sz="4" w:space="0" w:color="FFFFFF"/>
                    <w:right w:val="single" w:sz="4" w:space="0" w:color="FFFFFF"/>
                  </w:tcBorders>
                  <w:shd w:val="clear" w:color="auto" w:fill="DBE5F1"/>
                </w:tcPr>
                <w:p w14:paraId="3FE6CD71" w14:textId="77777777" w:rsidR="00600DEE" w:rsidRDefault="00600DEE">
                  <w:pPr>
                    <w:spacing w:before="120" w:after="120"/>
                    <w:jc w:val="center"/>
                    <w:rPr>
                      <w:rFonts w:ascii="Calibri" w:eastAsia="Calibri" w:hAnsi="Calibri" w:cs="Calibri"/>
                      <w:color w:val="4F81BD"/>
                      <w:sz w:val="18"/>
                      <w:szCs w:val="18"/>
                    </w:rPr>
                  </w:pPr>
                </w:p>
              </w:tc>
              <w:tc>
                <w:tcPr>
                  <w:tcW w:w="1295" w:type="dxa"/>
                  <w:vMerge/>
                  <w:tcBorders>
                    <w:top w:val="single" w:sz="4" w:space="0" w:color="FFFFFF"/>
                    <w:left w:val="single" w:sz="4" w:space="0" w:color="FFFFFF"/>
                    <w:bottom w:val="single" w:sz="4" w:space="0" w:color="FFFFFF"/>
                    <w:right w:val="single" w:sz="4" w:space="0" w:color="FFFFFF"/>
                  </w:tcBorders>
                  <w:shd w:val="clear" w:color="auto" w:fill="DBE5F1"/>
                  <w:vAlign w:val="center"/>
                </w:tcPr>
                <w:p w14:paraId="14643F45" w14:textId="77777777" w:rsidR="00600DEE" w:rsidRDefault="00600DEE">
                  <w:pPr>
                    <w:widowControl w:val="0"/>
                    <w:pBdr>
                      <w:top w:val="nil"/>
                      <w:left w:val="nil"/>
                      <w:bottom w:val="nil"/>
                      <w:right w:val="nil"/>
                      <w:between w:val="nil"/>
                    </w:pBdr>
                    <w:spacing w:line="276" w:lineRule="auto"/>
                    <w:rPr>
                      <w:rFonts w:ascii="Calibri" w:eastAsia="Calibri" w:hAnsi="Calibri" w:cs="Calibri"/>
                      <w:color w:val="4F81BD"/>
                      <w:sz w:val="18"/>
                      <w:szCs w:val="18"/>
                    </w:rPr>
                  </w:pPr>
                </w:p>
              </w:tc>
              <w:tc>
                <w:tcPr>
                  <w:tcW w:w="1295" w:type="dxa"/>
                  <w:tcBorders>
                    <w:top w:val="single" w:sz="4" w:space="0" w:color="FFFFFF"/>
                    <w:left w:val="single" w:sz="4" w:space="0" w:color="FFFFFF"/>
                    <w:bottom w:val="single" w:sz="4" w:space="0" w:color="FFFFFF"/>
                    <w:right w:val="single" w:sz="4" w:space="0" w:color="FFFFFF"/>
                  </w:tcBorders>
                  <w:shd w:val="clear" w:color="auto" w:fill="DBE5F1"/>
                </w:tcPr>
                <w:p w14:paraId="64DBFE06" w14:textId="77777777"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Significant  impact on the rest of the road network</w:t>
                  </w:r>
                </w:p>
              </w:tc>
              <w:tc>
                <w:tcPr>
                  <w:tcW w:w="2570" w:type="dxa"/>
                  <w:tcBorders>
                    <w:top w:val="single" w:sz="4" w:space="0" w:color="FFFFFF"/>
                    <w:left w:val="single" w:sz="4" w:space="0" w:color="FFFFFF"/>
                    <w:bottom w:val="single" w:sz="4" w:space="0" w:color="FFFFFF"/>
                    <w:right w:val="single" w:sz="4" w:space="0" w:color="FFFFFF"/>
                  </w:tcBorders>
                  <w:shd w:val="clear" w:color="auto" w:fill="DBE5F1"/>
                </w:tcPr>
                <w:p w14:paraId="66AD22B7" w14:textId="77777777"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Regional or national model detailing the significant impact area of the planned investment</w:t>
                  </w:r>
                </w:p>
              </w:tc>
              <w:tc>
                <w:tcPr>
                  <w:tcW w:w="1480" w:type="dxa"/>
                  <w:tcBorders>
                    <w:top w:val="single" w:sz="4" w:space="0" w:color="FFFFFF"/>
                    <w:left w:val="single" w:sz="4" w:space="0" w:color="FFFFFF"/>
                    <w:bottom w:val="single" w:sz="4" w:space="0" w:color="FFFFFF"/>
                    <w:right w:val="single" w:sz="4" w:space="0" w:color="FFFFFF"/>
                  </w:tcBorders>
                  <w:shd w:val="clear" w:color="auto" w:fill="DBE5F1"/>
                </w:tcPr>
                <w:p w14:paraId="1B19ADF6"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By network/</w:t>
                  </w:r>
                </w:p>
                <w:p w14:paraId="433363EC" w14:textId="5143A2AE"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buffer**</w:t>
                  </w:r>
                  <w:r w:rsidR="001B2F24">
                    <w:rPr>
                      <w:rFonts w:ascii="Calibri" w:eastAsia="Calibri" w:hAnsi="Calibri" w:cs="Calibri"/>
                      <w:color w:val="4F81BD"/>
                      <w:sz w:val="18"/>
                      <w:szCs w:val="18"/>
                      <w:lang w:val="en-GB"/>
                    </w:rPr>
                    <w:t xml:space="preserve"> </w:t>
                  </w:r>
                  <w:r w:rsidRPr="0045151D">
                    <w:rPr>
                      <w:rFonts w:ascii="Calibri" w:eastAsia="Calibri" w:hAnsi="Calibri" w:cs="Calibri"/>
                      <w:color w:val="4F81BD"/>
                      <w:sz w:val="18"/>
                      <w:szCs w:val="18"/>
                      <w:lang w:val="en-GB"/>
                    </w:rPr>
                    <w:t>or by section</w:t>
                  </w:r>
                </w:p>
              </w:tc>
            </w:tr>
            <w:tr w:rsidR="00600DEE" w:rsidRPr="007463B9" w14:paraId="1A8414D9" w14:textId="77777777" w:rsidTr="00AA0139">
              <w:trPr>
                <w:trHeight w:hRule="exact" w:val="2268"/>
              </w:trPr>
              <w:tc>
                <w:tcPr>
                  <w:tcW w:w="423" w:type="dxa"/>
                  <w:tcBorders>
                    <w:top w:val="single" w:sz="4" w:space="0" w:color="FFFFFF"/>
                    <w:left w:val="single" w:sz="4" w:space="0" w:color="FFFFFF"/>
                    <w:right w:val="single" w:sz="4" w:space="0" w:color="FFFFFF"/>
                  </w:tcBorders>
                  <w:shd w:val="clear" w:color="auto" w:fill="DBE5F1"/>
                </w:tcPr>
                <w:p w14:paraId="36C4721B" w14:textId="77777777" w:rsidR="00600DEE" w:rsidRDefault="00641FB5">
                  <w:pPr>
                    <w:spacing w:before="120" w:after="120"/>
                    <w:rPr>
                      <w:rFonts w:ascii="Calibri" w:eastAsia="Calibri" w:hAnsi="Calibri" w:cs="Calibri"/>
                      <w:color w:val="4F81BD"/>
                      <w:sz w:val="18"/>
                      <w:szCs w:val="18"/>
                    </w:rPr>
                  </w:pPr>
                  <w:r>
                    <w:rPr>
                      <w:rFonts w:ascii="Calibri" w:eastAsia="Calibri" w:hAnsi="Calibri" w:cs="Calibri"/>
                      <w:color w:val="4F81BD"/>
                      <w:sz w:val="18"/>
                      <w:szCs w:val="18"/>
                    </w:rPr>
                    <w:t>3.</w:t>
                  </w:r>
                </w:p>
                <w:p w14:paraId="295A4CCD" w14:textId="77777777" w:rsidR="00600DEE" w:rsidRDefault="00600DEE">
                  <w:pPr>
                    <w:spacing w:before="120" w:after="120"/>
                    <w:rPr>
                      <w:rFonts w:ascii="Calibri" w:eastAsia="Calibri" w:hAnsi="Calibri" w:cs="Calibri"/>
                      <w:color w:val="4F81BD"/>
                      <w:sz w:val="18"/>
                      <w:szCs w:val="18"/>
                    </w:rPr>
                  </w:pPr>
                </w:p>
              </w:tc>
              <w:tc>
                <w:tcPr>
                  <w:tcW w:w="1295"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84129E5" w14:textId="77777777"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Construction of a new road with new alignment (including city bypasses).</w:t>
                  </w:r>
                </w:p>
              </w:tc>
              <w:tc>
                <w:tcPr>
                  <w:tcW w:w="1295" w:type="dxa"/>
                  <w:tcBorders>
                    <w:top w:val="single" w:sz="4" w:space="0" w:color="FFFFFF"/>
                    <w:left w:val="single" w:sz="4" w:space="0" w:color="FFFFFF"/>
                    <w:right w:val="single" w:sz="4" w:space="0" w:color="FFFFFF"/>
                  </w:tcBorders>
                  <w:shd w:val="clear" w:color="auto" w:fill="DBE5F1"/>
                </w:tcPr>
                <w:p w14:paraId="46F0EC5D" w14:textId="77777777" w:rsidR="00600DEE" w:rsidRPr="0045151D" w:rsidRDefault="00600DEE">
                  <w:pPr>
                    <w:spacing w:before="120" w:after="120"/>
                    <w:rPr>
                      <w:rFonts w:ascii="Calibri" w:eastAsia="Calibri" w:hAnsi="Calibri" w:cs="Calibri"/>
                      <w:color w:val="4F81BD"/>
                      <w:sz w:val="18"/>
                      <w:szCs w:val="18"/>
                      <w:lang w:val="en-GB"/>
                    </w:rPr>
                  </w:pPr>
                </w:p>
                <w:p w14:paraId="23A89224" w14:textId="77777777" w:rsidR="00600DEE" w:rsidRPr="0045151D" w:rsidRDefault="00600DEE">
                  <w:pPr>
                    <w:spacing w:before="120" w:after="120"/>
                    <w:rPr>
                      <w:rFonts w:ascii="Calibri" w:eastAsia="Calibri" w:hAnsi="Calibri" w:cs="Calibri"/>
                      <w:color w:val="4F81BD"/>
                      <w:sz w:val="18"/>
                      <w:szCs w:val="18"/>
                      <w:lang w:val="en-GB"/>
                    </w:rPr>
                  </w:pPr>
                </w:p>
              </w:tc>
              <w:tc>
                <w:tcPr>
                  <w:tcW w:w="2570" w:type="dxa"/>
                  <w:tcBorders>
                    <w:top w:val="single" w:sz="4" w:space="0" w:color="FFFFFF"/>
                    <w:left w:val="single" w:sz="4" w:space="0" w:color="FFFFFF"/>
                    <w:right w:val="single" w:sz="4" w:space="0" w:color="FFFFFF"/>
                  </w:tcBorders>
                  <w:shd w:val="clear" w:color="auto" w:fill="DBE5F1"/>
                </w:tcPr>
                <w:p w14:paraId="14FB2734" w14:textId="77777777" w:rsidR="00600DEE" w:rsidRPr="0045151D" w:rsidRDefault="00600DEE">
                  <w:pPr>
                    <w:spacing w:before="120" w:after="120"/>
                    <w:rPr>
                      <w:rFonts w:ascii="Calibri" w:eastAsia="Calibri" w:hAnsi="Calibri" w:cs="Calibri"/>
                      <w:color w:val="4F81BD"/>
                      <w:sz w:val="18"/>
                      <w:szCs w:val="18"/>
                      <w:lang w:val="en-GB"/>
                    </w:rPr>
                  </w:pPr>
                </w:p>
                <w:p w14:paraId="021BAB3E" w14:textId="77777777" w:rsidR="00600DEE" w:rsidRPr="0045151D" w:rsidRDefault="00600DEE">
                  <w:pPr>
                    <w:spacing w:before="120" w:after="120"/>
                    <w:rPr>
                      <w:rFonts w:ascii="Calibri" w:eastAsia="Calibri" w:hAnsi="Calibri" w:cs="Calibri"/>
                      <w:color w:val="4F81BD"/>
                      <w:sz w:val="18"/>
                      <w:szCs w:val="18"/>
                      <w:lang w:val="en-GB"/>
                    </w:rPr>
                  </w:pPr>
                </w:p>
                <w:p w14:paraId="7A852995" w14:textId="77777777" w:rsidR="00600DEE" w:rsidRPr="0045151D" w:rsidRDefault="00641FB5">
                  <w:pPr>
                    <w:spacing w:before="120" w:after="1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Regional or national model detailing the significant impact area of the planned investment***</w:t>
                  </w:r>
                </w:p>
              </w:tc>
              <w:tc>
                <w:tcPr>
                  <w:tcW w:w="1480" w:type="dxa"/>
                  <w:tcBorders>
                    <w:top w:val="single" w:sz="4" w:space="0" w:color="FFFFFF"/>
                    <w:left w:val="single" w:sz="4" w:space="0" w:color="FFFFFF"/>
                    <w:right w:val="single" w:sz="4" w:space="0" w:color="FFFFFF"/>
                  </w:tcBorders>
                  <w:shd w:val="clear" w:color="auto" w:fill="DBE5F1"/>
                  <w:vAlign w:val="center"/>
                </w:tcPr>
                <w:p w14:paraId="619944F2" w14:textId="77777777" w:rsidR="00600DEE" w:rsidRPr="0045151D" w:rsidRDefault="00600DEE">
                  <w:pPr>
                    <w:spacing w:before="120" w:after="120"/>
                    <w:rPr>
                      <w:rFonts w:ascii="Calibri" w:eastAsia="Calibri" w:hAnsi="Calibri" w:cs="Calibri"/>
                      <w:color w:val="4F81BD"/>
                      <w:sz w:val="18"/>
                      <w:szCs w:val="18"/>
                      <w:lang w:val="en-GB"/>
                    </w:rPr>
                  </w:pPr>
                </w:p>
                <w:p w14:paraId="4FF6E695" w14:textId="0DE25F6C"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By network/</w:t>
                  </w:r>
                  <w:r w:rsidR="001B2F24">
                    <w:rPr>
                      <w:rFonts w:ascii="Calibri" w:eastAsia="Calibri" w:hAnsi="Calibri" w:cs="Calibri"/>
                      <w:color w:val="4F81BD"/>
                      <w:sz w:val="18"/>
                      <w:szCs w:val="18"/>
                      <w:lang w:val="en-GB"/>
                    </w:rPr>
                    <w:t xml:space="preserve"> </w:t>
                  </w:r>
                  <w:r w:rsidRPr="0045151D">
                    <w:rPr>
                      <w:rFonts w:ascii="Calibri" w:eastAsia="Calibri" w:hAnsi="Calibri" w:cs="Calibri"/>
                      <w:color w:val="4F81BD"/>
                      <w:sz w:val="18"/>
                      <w:szCs w:val="18"/>
                      <w:lang w:val="en-GB"/>
                    </w:rPr>
                    <w:t>buffer**</w:t>
                  </w:r>
                </w:p>
                <w:p w14:paraId="4DF8C6D5" w14:textId="77777777" w:rsidR="00600DEE" w:rsidRPr="0045151D" w:rsidRDefault="00600DEE">
                  <w:pPr>
                    <w:rPr>
                      <w:rFonts w:ascii="Calibri" w:eastAsia="Calibri" w:hAnsi="Calibri" w:cs="Calibri"/>
                      <w:color w:val="4F81BD"/>
                      <w:sz w:val="18"/>
                      <w:szCs w:val="18"/>
                      <w:lang w:val="en-GB"/>
                    </w:rPr>
                  </w:pPr>
                </w:p>
                <w:p w14:paraId="5BF0B803"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or by section</w:t>
                  </w:r>
                </w:p>
                <w:p w14:paraId="3CD034BD" w14:textId="77777777" w:rsidR="00600DEE" w:rsidRPr="0045151D" w:rsidRDefault="00600DEE">
                  <w:pPr>
                    <w:spacing w:before="120" w:after="120"/>
                    <w:rPr>
                      <w:rFonts w:ascii="Calibri" w:eastAsia="Calibri" w:hAnsi="Calibri" w:cs="Calibri"/>
                      <w:color w:val="4F81BD"/>
                      <w:sz w:val="18"/>
                      <w:szCs w:val="18"/>
                      <w:lang w:val="en-GB"/>
                    </w:rPr>
                  </w:pPr>
                </w:p>
              </w:tc>
            </w:tr>
          </w:tbl>
          <w:p w14:paraId="582088AB" w14:textId="16522AD9" w:rsidR="00600DEE" w:rsidRPr="0045151D" w:rsidRDefault="00641FB5">
            <w:pPr>
              <w:pBdr>
                <w:top w:val="nil"/>
                <w:left w:val="nil"/>
                <w:bottom w:val="nil"/>
                <w:right w:val="nil"/>
                <w:between w:val="nil"/>
              </w:pBdr>
              <w:spacing w:before="12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Source: proprietary work.</w:t>
            </w:r>
          </w:p>
          <w:p w14:paraId="694275CF" w14:textId="77777777" w:rsidR="00AA0139" w:rsidRPr="0045151D" w:rsidRDefault="00AA0139">
            <w:pPr>
              <w:pBdr>
                <w:top w:val="nil"/>
                <w:left w:val="nil"/>
                <w:bottom w:val="nil"/>
                <w:right w:val="nil"/>
                <w:between w:val="nil"/>
              </w:pBdr>
              <w:spacing w:before="120"/>
              <w:jc w:val="both"/>
              <w:rPr>
                <w:rFonts w:ascii="Calibri" w:eastAsia="Calibri" w:hAnsi="Calibri" w:cs="Calibri"/>
                <w:color w:val="000000"/>
                <w:sz w:val="20"/>
                <w:szCs w:val="20"/>
                <w:lang w:val="en-GB"/>
              </w:rPr>
            </w:pPr>
          </w:p>
          <w:p w14:paraId="7327FF08" w14:textId="77777777" w:rsidR="00600DEE" w:rsidRPr="0045151D" w:rsidRDefault="00641FB5">
            <w:pPr>
              <w:ind w:right="170"/>
              <w:jc w:val="both"/>
              <w:rPr>
                <w:rFonts w:ascii="Calibri" w:eastAsia="Calibri" w:hAnsi="Calibri" w:cs="Calibri"/>
                <w:sz w:val="16"/>
                <w:szCs w:val="16"/>
                <w:lang w:val="en-GB"/>
              </w:rPr>
            </w:pPr>
            <w:r w:rsidRPr="0045151D">
              <w:rPr>
                <w:rFonts w:ascii="Calibri" w:eastAsia="Calibri" w:hAnsi="Calibri" w:cs="Calibri"/>
                <w:sz w:val="16"/>
                <w:szCs w:val="16"/>
                <w:lang w:val="en-GB"/>
              </w:rPr>
              <w:t xml:space="preserve">By Section: analysis of the traffic volumes, transport work (veh-km and veh-hour) and calculation of respective costs and benefits for the CBA done for each uniform road segment of known length. </w:t>
            </w:r>
          </w:p>
          <w:p w14:paraId="606FB9DC" w14:textId="77777777" w:rsidR="00600DEE" w:rsidRPr="0045151D" w:rsidRDefault="00641FB5">
            <w:pPr>
              <w:ind w:right="170"/>
              <w:jc w:val="both"/>
              <w:rPr>
                <w:rFonts w:ascii="Calibri" w:eastAsia="Calibri" w:hAnsi="Calibri" w:cs="Calibri"/>
                <w:sz w:val="16"/>
                <w:szCs w:val="16"/>
                <w:lang w:val="en-GB"/>
              </w:rPr>
            </w:pPr>
            <w:r w:rsidRPr="0045151D">
              <w:rPr>
                <w:rFonts w:ascii="Calibri" w:eastAsia="Calibri" w:hAnsi="Calibri" w:cs="Calibri"/>
                <w:sz w:val="16"/>
                <w:szCs w:val="16"/>
                <w:lang w:val="en-GB"/>
              </w:rPr>
              <w:t>Network/Buffer: uses the transport work of a defined area containing sections with significant impact to calculate respective costs and benefits for the CBA.</w:t>
            </w:r>
          </w:p>
          <w:p w14:paraId="393A12C0" w14:textId="77777777" w:rsidR="00600DEE" w:rsidRPr="0045151D" w:rsidRDefault="00600DEE">
            <w:pPr>
              <w:ind w:right="170"/>
              <w:jc w:val="both"/>
              <w:rPr>
                <w:rFonts w:ascii="Calibri" w:eastAsia="Calibri" w:hAnsi="Calibri" w:cs="Calibri"/>
                <w:sz w:val="16"/>
                <w:szCs w:val="16"/>
                <w:lang w:val="en-GB"/>
              </w:rPr>
            </w:pPr>
          </w:p>
          <w:p w14:paraId="03EE23D3" w14:textId="77777777" w:rsidR="00600DEE" w:rsidRPr="0045151D" w:rsidRDefault="00641FB5">
            <w:pPr>
              <w:ind w:right="170"/>
              <w:jc w:val="both"/>
              <w:rPr>
                <w:rFonts w:ascii="Calibri" w:eastAsia="Calibri" w:hAnsi="Calibri" w:cs="Calibri"/>
                <w:sz w:val="16"/>
                <w:szCs w:val="16"/>
                <w:lang w:val="en-GB"/>
              </w:rPr>
            </w:pPr>
            <w:r w:rsidRPr="0045151D">
              <w:rPr>
                <w:rFonts w:ascii="Calibri" w:eastAsia="Calibri" w:hAnsi="Calibri" w:cs="Calibri"/>
                <w:sz w:val="16"/>
                <w:szCs w:val="16"/>
                <w:lang w:val="en-GB"/>
              </w:rPr>
              <w:t xml:space="preserve">Buffer, project impact area: an area defined for the purpose of CBA containing a selected road network portion where the difference in traffic volumes between variant Wn and W0 is significant </w:t>
            </w:r>
            <w:r w:rsidRPr="0045151D">
              <w:rPr>
                <w:rFonts w:ascii="Calibri" w:eastAsia="Calibri" w:hAnsi="Calibri" w:cs="Calibri"/>
                <w:sz w:val="16"/>
                <w:szCs w:val="16"/>
                <w:lang w:val="en-GB"/>
              </w:rPr>
              <w:lastRenderedPageBreak/>
              <w:t>(e.g. greater than 10-15% in the first year of the forecast). Information on the values of transport work for each section should be made available.</w:t>
            </w:r>
          </w:p>
          <w:p w14:paraId="61E1017C" w14:textId="77777777" w:rsidR="00600DEE" w:rsidRPr="0045151D" w:rsidRDefault="00600DEE">
            <w:pPr>
              <w:ind w:right="170"/>
              <w:jc w:val="both"/>
              <w:rPr>
                <w:rFonts w:ascii="Calibri" w:eastAsia="Calibri" w:hAnsi="Calibri" w:cs="Calibri"/>
                <w:sz w:val="16"/>
                <w:szCs w:val="16"/>
                <w:lang w:val="en-GB"/>
              </w:rPr>
            </w:pPr>
          </w:p>
          <w:p w14:paraId="1002D5DB" w14:textId="77777777" w:rsidR="00600DEE" w:rsidRPr="0045151D" w:rsidRDefault="00641FB5">
            <w:pPr>
              <w:ind w:right="170"/>
              <w:jc w:val="both"/>
              <w:rPr>
                <w:rFonts w:ascii="Calibri" w:eastAsia="Calibri" w:hAnsi="Calibri" w:cs="Calibri"/>
                <w:sz w:val="16"/>
                <w:szCs w:val="16"/>
                <w:lang w:val="en-GB"/>
              </w:rPr>
            </w:pPr>
            <w:r w:rsidRPr="0045151D">
              <w:rPr>
                <w:rFonts w:ascii="Calibri" w:eastAsia="Calibri" w:hAnsi="Calibri" w:cs="Calibri"/>
                <w:sz w:val="16"/>
                <w:szCs w:val="16"/>
                <w:lang w:val="en-GB"/>
              </w:rPr>
              <w:t xml:space="preserve">* In any case, it must be ensured that in a given year, from the traffic analysis results, the number of vehicles (or equivalent for individual transport number of trips) in the investment option is equal to the number of vehicles (and trips) in the non-investment option (meaning that there is no induced traffic as it is assumed in the model). </w:t>
            </w:r>
          </w:p>
          <w:p w14:paraId="57D2E3EF" w14:textId="77777777" w:rsidR="00600DEE" w:rsidRPr="0045151D" w:rsidRDefault="00600DEE">
            <w:pPr>
              <w:ind w:right="170"/>
              <w:jc w:val="both"/>
              <w:rPr>
                <w:rFonts w:ascii="Calibri" w:eastAsia="Calibri" w:hAnsi="Calibri" w:cs="Calibri"/>
                <w:sz w:val="16"/>
                <w:szCs w:val="16"/>
                <w:lang w:val="en-GB"/>
              </w:rPr>
            </w:pPr>
          </w:p>
          <w:p w14:paraId="507F3C90" w14:textId="77777777" w:rsidR="00600DEE" w:rsidRPr="0045151D" w:rsidRDefault="00641FB5">
            <w:pPr>
              <w:ind w:right="170"/>
              <w:jc w:val="both"/>
              <w:rPr>
                <w:rFonts w:ascii="Calibri" w:eastAsia="Calibri" w:hAnsi="Calibri" w:cs="Calibri"/>
                <w:sz w:val="16"/>
                <w:szCs w:val="16"/>
                <w:lang w:val="en-GB"/>
              </w:rPr>
            </w:pPr>
            <w:r w:rsidRPr="0045151D">
              <w:rPr>
                <w:rFonts w:ascii="Calibri" w:eastAsia="Calibri" w:hAnsi="Calibri" w:cs="Calibri"/>
                <w:sz w:val="16"/>
                <w:szCs w:val="16"/>
                <w:lang w:val="en-GB"/>
              </w:rPr>
              <w:t>** Network approach entails some averaging of unit costs (VOC, traffic safety, air pollution or climate change impact) within the road sections group identified in the statement of transport work derived from the model, while the section approach is not affected by the averaging and it would facilitate post-project analysis and comparison of actual investment results with the projected ones. In cases where modelled network is wider than the one used for traffic work calculations, overall traffic work for the entire network should also be made available (for comparison).</w:t>
            </w:r>
          </w:p>
          <w:p w14:paraId="3C433A01" w14:textId="77777777" w:rsidR="00600DEE" w:rsidRPr="0045151D" w:rsidRDefault="00600DEE">
            <w:pPr>
              <w:ind w:right="170"/>
              <w:jc w:val="both"/>
              <w:rPr>
                <w:rFonts w:ascii="Calibri" w:eastAsia="Calibri" w:hAnsi="Calibri" w:cs="Calibri"/>
                <w:sz w:val="16"/>
                <w:szCs w:val="16"/>
                <w:lang w:val="en-GB"/>
              </w:rPr>
            </w:pPr>
          </w:p>
          <w:p w14:paraId="7A14FC18" w14:textId="77777777" w:rsidR="00600DEE" w:rsidRPr="0045151D" w:rsidRDefault="00641FB5">
            <w:pPr>
              <w:rPr>
                <w:rFonts w:ascii="Calibri" w:eastAsia="Calibri" w:hAnsi="Calibri" w:cs="Calibri"/>
                <w:sz w:val="16"/>
                <w:szCs w:val="16"/>
                <w:lang w:val="en-GB"/>
              </w:rPr>
            </w:pPr>
            <w:r w:rsidRPr="0045151D">
              <w:rPr>
                <w:rFonts w:ascii="Calibri" w:eastAsia="Calibri" w:hAnsi="Calibri" w:cs="Calibri"/>
                <w:sz w:val="16"/>
                <w:szCs w:val="16"/>
                <w:lang w:val="en-GB"/>
              </w:rPr>
              <w:t>*** In case of network traffic analysis, for the purpose of CBA calculation, an area impacted by the project - the so-called buffer – can be identified within the network.</w:t>
            </w:r>
          </w:p>
        </w:tc>
      </w:tr>
    </w:tbl>
    <w:p w14:paraId="44783608" w14:textId="604B384E" w:rsidR="00600DEE" w:rsidRDefault="00641FB5" w:rsidP="00D5736B">
      <w:pPr>
        <w:pStyle w:val="Nagwek3"/>
        <w:numPr>
          <w:ilvl w:val="2"/>
          <w:numId w:val="17"/>
        </w:numPr>
        <w:ind w:left="0" w:firstLine="0"/>
        <w:rPr>
          <w:rFonts w:ascii="Calibri" w:eastAsia="Calibri" w:hAnsi="Calibri" w:cs="Calibri"/>
          <w:color w:val="4F81BD"/>
        </w:rPr>
      </w:pPr>
      <w:bookmarkStart w:id="45" w:name="_Toc95377976"/>
      <w:r>
        <w:rPr>
          <w:rFonts w:ascii="Calibri" w:eastAsia="Calibri" w:hAnsi="Calibri" w:cs="Calibri"/>
          <w:color w:val="4F81BD"/>
        </w:rPr>
        <w:lastRenderedPageBreak/>
        <w:t>Model ruchu, ogólne zasady</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1.8.2   Traffic model, general considerations</w:t>
      </w:r>
      <w:bookmarkEnd w:id="45"/>
    </w:p>
    <w:tbl>
      <w:tblPr>
        <w:tblStyle w:val="aff"/>
        <w:tblW w:w="14571" w:type="dxa"/>
        <w:tblLayout w:type="fixed"/>
        <w:tblLook w:val="0400" w:firstRow="0" w:lastRow="0" w:firstColumn="0" w:lastColumn="0" w:noHBand="0" w:noVBand="1"/>
      </w:tblPr>
      <w:tblGrid>
        <w:gridCol w:w="7356"/>
        <w:gridCol w:w="7215"/>
      </w:tblGrid>
      <w:tr w:rsidR="00600DEE" w:rsidRPr="007463B9" w14:paraId="4FF06254" w14:textId="77777777" w:rsidTr="001E05E4">
        <w:tc>
          <w:tcPr>
            <w:tcW w:w="7356" w:type="dxa"/>
            <w:tcBorders>
              <w:right w:val="single" w:sz="4" w:space="0" w:color="000000"/>
            </w:tcBorders>
            <w:tcMar>
              <w:left w:w="284" w:type="dxa"/>
              <w:right w:w="284" w:type="dxa"/>
            </w:tcMar>
          </w:tcPr>
          <w:p w14:paraId="52BDAAAB"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Poniżej przedstawiono kilka ogólnych zaleceń dotyczących modelowania ruchu, które szczególnie należy mieć na uwadze w przypadku, gdyby nie było możliwości wykorzystania aktualnie dostępnych modeli. </w:t>
            </w:r>
          </w:p>
          <w:p w14:paraId="51495330"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bookmarkStart w:id="46" w:name="_heading=h.ihv636" w:colFirst="0" w:colLast="0"/>
            <w:bookmarkEnd w:id="46"/>
            <w:r>
              <w:rPr>
                <w:rFonts w:ascii="Calibri" w:eastAsia="Calibri" w:hAnsi="Calibri" w:cs="Calibri"/>
                <w:color w:val="000000"/>
                <w:sz w:val="20"/>
                <w:szCs w:val="20"/>
              </w:rPr>
              <w:t>Model ruchu IKMR (Intermodalny Krajowy Model Ruchu) opracowany dla GDDKiA jest modelem wielogałęziowym obejmującym nie tylko ruch drogowy (samochodów osobowych, samochodów dostawczych, samochodów ciężarowych i autobusów), ale również pasażerski transport kolejowy oraz uwzględniający wpływy krajowego ruchu lotniczego i portów morskich.</w:t>
            </w:r>
          </w:p>
          <w:p w14:paraId="050935F4" w14:textId="4B2E51C2"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W przypadku każdej metody modelowania należy zwrócić uwagę, aby wszystkie procesy były spójne, uwzględniające we właściwej sekwencji poszczególne etapy opisane w tabeli 7. Należy wziąć pod uwagę poniżej opisane zalecenia i komentarze. </w:t>
            </w:r>
            <w:r w:rsidR="001B2F24">
              <w:rPr>
                <w:rFonts w:ascii="Calibri" w:eastAsia="Calibri" w:hAnsi="Calibri" w:cs="Calibri"/>
                <w:color w:val="000000"/>
                <w:sz w:val="20"/>
                <w:szCs w:val="20"/>
              </w:rPr>
              <w:t>W</w:t>
            </w:r>
            <w:r>
              <w:rPr>
                <w:rFonts w:ascii="Calibri" w:eastAsia="Calibri" w:hAnsi="Calibri" w:cs="Calibri"/>
                <w:color w:val="000000"/>
                <w:sz w:val="20"/>
                <w:szCs w:val="20"/>
              </w:rPr>
              <w:t> przypadku nie uwzględnienia któregoś z etapów (np. wielogałęziowości), należy przedstawić odpowiednie uzasadnienie w opisie modelu.</w:t>
            </w:r>
          </w:p>
          <w:p w14:paraId="4D677921"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Bardzo ważną kwestią jest pełne zrozumienie wymagań oraz zasad funkcjonowania modelu, co zapewni adekwatność rezultatów modelowania oraz właściwą ocenę projektu. Pierwszy etap modelowania (definiowanie zakresu) to przede wszystkim ustalenia i decyzje, jak powinien wyglądać model dla danego projektu, jakie elementy należy przygotować lub zaktualizować oraz przyjęcie metodyki obliczeń.</w:t>
            </w:r>
          </w:p>
          <w:p w14:paraId="159EB644" w14:textId="0D393F43"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Właściwie zdefiniowany model ruchu powinien odzwierciedlać aktualne warun</w:t>
            </w:r>
            <w:r w:rsidR="001B2F24">
              <w:rPr>
                <w:rFonts w:ascii="Calibri" w:eastAsia="Calibri" w:hAnsi="Calibri" w:cs="Calibri"/>
                <w:color w:val="000000"/>
                <w:sz w:val="20"/>
                <w:szCs w:val="20"/>
              </w:rPr>
              <w:t>ki, jednakże ze względu na wiel</w:t>
            </w:r>
            <w:r>
              <w:rPr>
                <w:rFonts w:ascii="Calibri" w:eastAsia="Calibri" w:hAnsi="Calibri" w:cs="Calibri"/>
                <w:color w:val="000000"/>
                <w:sz w:val="20"/>
                <w:szCs w:val="20"/>
              </w:rPr>
              <w:t>ość potoków ruchu oraz złożoność sieci transportowych, nie będzie możliwe pomierzenie i uwzględnienie w modelu wszystkich zmian na sieci. W związku z tym, do modelu dla roku bazowego wprowadza się rzeczywiste potoki (patrz rekomendacje dotyczące pomiarów i badań ruchu przedstawione w załączniku B), które będą podstawą do kalibracji modelu.</w:t>
            </w:r>
          </w:p>
          <w:p w14:paraId="04C308ED"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Procesy kalibracji oraz walidacji zmierzają do uzyskania z modelu wyników pokrywających się z rzeczywistymi warunkami zaobserwowanymi na sieci, przede wszystkim poprzez analizę, a następnie modyfikacje modelu sieci, funkcji popytu lub formuł matematycznych w taki sposób, aby wyniki dobrze odzwierciedlały rzeczywiste warunki ruchu (czasy przejazdów, potoki ruchu na wybranych odcinkach, udział poszczególnych kategorii pojazdów itp.). Na tym etapie należy korygować różnego rodzaju błędy oraz omyłki powstałe w trakcie modelowania.</w:t>
            </w:r>
          </w:p>
          <w:p w14:paraId="493A24BE" w14:textId="65A02431" w:rsidR="00600DEE" w:rsidRDefault="003E2A27">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Przy przygotowywaniu p</w:t>
            </w:r>
            <w:r w:rsidR="00641FB5">
              <w:rPr>
                <w:rFonts w:ascii="Calibri" w:eastAsia="Calibri" w:hAnsi="Calibri" w:cs="Calibri"/>
                <w:color w:val="000000"/>
                <w:sz w:val="20"/>
                <w:szCs w:val="20"/>
              </w:rPr>
              <w:t>rognozy ruchu należy przede wszystkim uwzględniać planowane zmiany na sieci oraz wskaźniki mające wpływ na ruch (np. liczba mieszkańców, zatrudnienie, wskaźnik motoryzacji, aktywność gospodarcza). W rezultacie uzyskamy obraz uwarunkowań będących podstawą do oceny projektu w danym roku.</w:t>
            </w:r>
          </w:p>
          <w:p w14:paraId="56A07326"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Prognozy ruchu pozwalają również na sprawdzenie wpływu oraz korzyści z oddziaływań zewnętrznych takich jak zmiany w polityce transportowej czy też zmiany w zagospodarowaniu przestrzennym, które mogą determinować parametry projektowe inwestycji oraz jej ocenę.</w:t>
            </w:r>
          </w:p>
          <w:p w14:paraId="646E68BF" w14:textId="22ADC9B4"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Proces prognozowania powinien być poprzedzony analizą dotyczącą wyboru metody przygotowania modelu ruchu (modelowanie lub metody uproszczone), co będzie miało wpływ na parametry opisane w tabeli 7, etap I.</w:t>
            </w:r>
          </w:p>
          <w:p w14:paraId="001FD217" w14:textId="290C5DBA" w:rsidR="008107FB" w:rsidRDefault="008107FB">
            <w:pPr>
              <w:pBdr>
                <w:top w:val="nil"/>
                <w:left w:val="nil"/>
                <w:bottom w:val="nil"/>
                <w:right w:val="nil"/>
                <w:between w:val="nil"/>
              </w:pBdr>
              <w:spacing w:before="120" w:after="120"/>
              <w:jc w:val="both"/>
              <w:rPr>
                <w:rFonts w:ascii="Calibri" w:eastAsia="Calibri" w:hAnsi="Calibri" w:cs="Calibri"/>
                <w:color w:val="000000"/>
                <w:sz w:val="20"/>
                <w:szCs w:val="20"/>
              </w:rPr>
            </w:pPr>
          </w:p>
          <w:p w14:paraId="5A747EE4" w14:textId="4ECE352E" w:rsidR="00505091" w:rsidRDefault="00505091">
            <w:pPr>
              <w:pBdr>
                <w:top w:val="nil"/>
                <w:left w:val="nil"/>
                <w:bottom w:val="nil"/>
                <w:right w:val="nil"/>
                <w:between w:val="nil"/>
              </w:pBdr>
              <w:spacing w:before="120" w:after="120"/>
              <w:jc w:val="both"/>
              <w:rPr>
                <w:rFonts w:ascii="Calibri" w:eastAsia="Calibri" w:hAnsi="Calibri" w:cs="Calibri"/>
                <w:color w:val="000000"/>
                <w:sz w:val="20"/>
                <w:szCs w:val="20"/>
              </w:rPr>
            </w:pPr>
          </w:p>
          <w:p w14:paraId="57DB0924" w14:textId="7A82027D" w:rsidR="00505091" w:rsidRDefault="00505091">
            <w:pPr>
              <w:pBdr>
                <w:top w:val="nil"/>
                <w:left w:val="nil"/>
                <w:bottom w:val="nil"/>
                <w:right w:val="nil"/>
                <w:between w:val="nil"/>
              </w:pBdr>
              <w:spacing w:before="120" w:after="120"/>
              <w:jc w:val="both"/>
              <w:rPr>
                <w:rFonts w:ascii="Calibri" w:eastAsia="Calibri" w:hAnsi="Calibri" w:cs="Calibri"/>
                <w:color w:val="000000"/>
                <w:sz w:val="20"/>
                <w:szCs w:val="20"/>
              </w:rPr>
            </w:pPr>
          </w:p>
          <w:p w14:paraId="68A67EE7" w14:textId="0FA3CE87" w:rsidR="00505091" w:rsidRDefault="00505091">
            <w:pPr>
              <w:pBdr>
                <w:top w:val="nil"/>
                <w:left w:val="nil"/>
                <w:bottom w:val="nil"/>
                <w:right w:val="nil"/>
                <w:between w:val="nil"/>
              </w:pBdr>
              <w:spacing w:before="120" w:after="120"/>
              <w:jc w:val="both"/>
              <w:rPr>
                <w:rFonts w:ascii="Calibri" w:eastAsia="Calibri" w:hAnsi="Calibri" w:cs="Calibri"/>
                <w:color w:val="000000"/>
                <w:sz w:val="20"/>
                <w:szCs w:val="20"/>
              </w:rPr>
            </w:pPr>
          </w:p>
          <w:p w14:paraId="1A36CA5E" w14:textId="76BD55D6" w:rsidR="00505091" w:rsidRDefault="00505091">
            <w:pPr>
              <w:pBdr>
                <w:top w:val="nil"/>
                <w:left w:val="nil"/>
                <w:bottom w:val="nil"/>
                <w:right w:val="nil"/>
                <w:between w:val="nil"/>
              </w:pBdr>
              <w:spacing w:before="120" w:after="120"/>
              <w:jc w:val="both"/>
              <w:rPr>
                <w:rFonts w:ascii="Calibri" w:eastAsia="Calibri" w:hAnsi="Calibri" w:cs="Calibri"/>
                <w:color w:val="000000"/>
                <w:sz w:val="20"/>
                <w:szCs w:val="20"/>
              </w:rPr>
            </w:pPr>
          </w:p>
          <w:p w14:paraId="5892FAA9" w14:textId="77777777" w:rsidR="00505091" w:rsidRDefault="00505091">
            <w:pPr>
              <w:pBdr>
                <w:top w:val="nil"/>
                <w:left w:val="nil"/>
                <w:bottom w:val="nil"/>
                <w:right w:val="nil"/>
                <w:between w:val="nil"/>
              </w:pBdr>
              <w:spacing w:before="120" w:after="120"/>
              <w:jc w:val="both"/>
              <w:rPr>
                <w:rFonts w:ascii="Calibri" w:eastAsia="Calibri" w:hAnsi="Calibri" w:cs="Calibri"/>
                <w:color w:val="000000"/>
                <w:sz w:val="20"/>
                <w:szCs w:val="20"/>
              </w:rPr>
            </w:pPr>
          </w:p>
          <w:p w14:paraId="19EFF72B" w14:textId="25E9EA84" w:rsidR="008107FB" w:rsidRDefault="008107FB">
            <w:pPr>
              <w:pBdr>
                <w:top w:val="nil"/>
                <w:left w:val="nil"/>
                <w:bottom w:val="nil"/>
                <w:right w:val="nil"/>
                <w:between w:val="nil"/>
              </w:pBdr>
              <w:spacing w:before="120" w:after="120"/>
              <w:jc w:val="both"/>
              <w:rPr>
                <w:rFonts w:ascii="Calibri" w:eastAsia="Calibri" w:hAnsi="Calibri" w:cs="Calibri"/>
                <w:color w:val="000000"/>
                <w:sz w:val="20"/>
                <w:szCs w:val="20"/>
              </w:rPr>
            </w:pPr>
          </w:p>
          <w:p w14:paraId="7AB54F75" w14:textId="372A9339" w:rsidR="00600DEE" w:rsidRDefault="00641FB5" w:rsidP="00105C0A">
            <w:pPr>
              <w:pBdr>
                <w:top w:val="nil"/>
                <w:left w:val="nil"/>
                <w:bottom w:val="nil"/>
                <w:right w:val="nil"/>
                <w:between w:val="nil"/>
              </w:pBdr>
              <w:spacing w:after="60"/>
              <w:jc w:val="both"/>
              <w:rPr>
                <w:rFonts w:ascii="Calibri" w:eastAsia="Calibri" w:hAnsi="Calibri" w:cs="Calibri"/>
                <w:b/>
                <w:color w:val="4F81BD"/>
                <w:sz w:val="20"/>
                <w:szCs w:val="20"/>
              </w:rPr>
            </w:pPr>
            <w:r>
              <w:rPr>
                <w:rFonts w:ascii="Calibri" w:eastAsia="Calibri" w:hAnsi="Calibri" w:cs="Calibri"/>
                <w:b/>
                <w:color w:val="4F81BD"/>
                <w:sz w:val="20"/>
                <w:szCs w:val="20"/>
              </w:rPr>
              <w:t>Tabela 7. Etapy prognozowania ruchu</w:t>
            </w:r>
          </w:p>
          <w:tbl>
            <w:tblPr>
              <w:tblStyle w:val="aff0"/>
              <w:tblW w:w="6924" w:type="dxa"/>
              <w:tblLayout w:type="fixed"/>
              <w:tblLook w:val="0400" w:firstRow="0" w:lastRow="0" w:firstColumn="0" w:lastColumn="0" w:noHBand="0" w:noVBand="1"/>
            </w:tblPr>
            <w:tblGrid>
              <w:gridCol w:w="1647"/>
              <w:gridCol w:w="5277"/>
            </w:tblGrid>
            <w:tr w:rsidR="00600DEE" w14:paraId="441E5842" w14:textId="77777777" w:rsidTr="00505091">
              <w:trPr>
                <w:trHeight w:val="310"/>
              </w:trPr>
              <w:tc>
                <w:tcPr>
                  <w:tcW w:w="1647" w:type="dxa"/>
                  <w:tcBorders>
                    <w:top w:val="single" w:sz="4" w:space="0" w:color="FFFFFF"/>
                    <w:left w:val="single" w:sz="4" w:space="0" w:color="FFFFFF"/>
                    <w:bottom w:val="single" w:sz="4" w:space="0" w:color="FFFFFF"/>
                    <w:right w:val="nil"/>
                  </w:tcBorders>
                  <w:shd w:val="clear" w:color="auto" w:fill="A6A6A6"/>
                  <w:vAlign w:val="center"/>
                </w:tcPr>
                <w:p w14:paraId="18B6472C"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ETAP</w:t>
                  </w:r>
                </w:p>
              </w:tc>
              <w:tc>
                <w:tcPr>
                  <w:tcW w:w="5277"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23D52CA4"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ZAKRES</w:t>
                  </w:r>
                </w:p>
              </w:tc>
            </w:tr>
            <w:tr w:rsidR="00600DEE" w14:paraId="6C4AEECD" w14:textId="77777777" w:rsidTr="00505091">
              <w:trPr>
                <w:trHeight w:val="417"/>
              </w:trPr>
              <w:tc>
                <w:tcPr>
                  <w:tcW w:w="1647" w:type="dxa"/>
                  <w:tcBorders>
                    <w:top w:val="nil"/>
                    <w:left w:val="single" w:sz="4" w:space="0" w:color="FFFFFF"/>
                    <w:bottom w:val="single" w:sz="4" w:space="0" w:color="FFFFFF"/>
                    <w:right w:val="nil"/>
                  </w:tcBorders>
                  <w:shd w:val="clear" w:color="auto" w:fill="DBE5F1"/>
                </w:tcPr>
                <w:p w14:paraId="5B2CBD28" w14:textId="77777777" w:rsidR="00600DEE" w:rsidRDefault="00641FB5">
                  <w:pPr>
                    <w:tabs>
                      <w:tab w:val="left" w:pos="285"/>
                      <w:tab w:val="center" w:pos="534"/>
                    </w:tabs>
                    <w:spacing w:before="60" w:after="60" w:line="264" w:lineRule="auto"/>
                    <w:jc w:val="center"/>
                    <w:rPr>
                      <w:rFonts w:ascii="Calibri" w:eastAsia="Calibri" w:hAnsi="Calibri" w:cs="Calibri"/>
                      <w:color w:val="4F81BD"/>
                      <w:sz w:val="18"/>
                      <w:szCs w:val="18"/>
                    </w:rPr>
                  </w:pPr>
                  <w:r>
                    <w:rPr>
                      <w:rFonts w:ascii="Calibri" w:eastAsia="Calibri" w:hAnsi="Calibri" w:cs="Calibri"/>
                      <w:b/>
                      <w:color w:val="4F81BD"/>
                      <w:sz w:val="18"/>
                      <w:szCs w:val="18"/>
                    </w:rPr>
                    <w:t>ETAP I </w:t>
                  </w:r>
                  <w:r>
                    <w:rPr>
                      <w:rFonts w:ascii="Calibri" w:eastAsia="Calibri" w:hAnsi="Calibri" w:cs="Calibri"/>
                      <w:color w:val="4F81BD"/>
                      <w:sz w:val="18"/>
                      <w:szCs w:val="18"/>
                    </w:rPr>
                    <w:t xml:space="preserve"> </w:t>
                  </w:r>
                </w:p>
                <w:p w14:paraId="5E6197EC" w14:textId="77777777" w:rsidR="00600DEE" w:rsidRDefault="00641FB5">
                  <w:pPr>
                    <w:tabs>
                      <w:tab w:val="left" w:pos="285"/>
                      <w:tab w:val="center" w:pos="534"/>
                    </w:tabs>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Definiowanie modelu</w:t>
                  </w:r>
                </w:p>
              </w:tc>
              <w:tc>
                <w:tcPr>
                  <w:tcW w:w="5277" w:type="dxa"/>
                  <w:tcBorders>
                    <w:top w:val="nil"/>
                    <w:left w:val="single" w:sz="4" w:space="0" w:color="FFFFFF"/>
                    <w:bottom w:val="single" w:sz="4" w:space="0" w:color="FFFFFF"/>
                    <w:right w:val="single" w:sz="4" w:space="0" w:color="FFFFFF"/>
                  </w:tcBorders>
                  <w:shd w:val="clear" w:color="auto" w:fill="DBE5F1"/>
                </w:tcPr>
                <w:p w14:paraId="610E2441"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Zasięg obszarowy modelu</w:t>
                  </w:r>
                </w:p>
                <w:p w14:paraId="7691C48D"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Szczegóły sieci (z uwzględnieniem wielogałęziowości)</w:t>
                  </w:r>
                </w:p>
                <w:p w14:paraId="512E477D"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Rejony komunikacyjne</w:t>
                  </w:r>
                </w:p>
                <w:p w14:paraId="77796065"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Kategorie pojazdów</w:t>
                  </w:r>
                </w:p>
                <w:p w14:paraId="067408AB"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Kategorie innych gałęzi transportu</w:t>
                  </w:r>
                </w:p>
                <w:p w14:paraId="2C7D32E8"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Kategorie użytkowników</w:t>
                  </w:r>
                </w:p>
                <w:p w14:paraId="5A16BD41"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Okresy analizy (rok/doba/godzina szczytu)</w:t>
                  </w:r>
                </w:p>
                <w:p w14:paraId="356751B0"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Horyzont prognozy. Rok bazowy</w:t>
                  </w:r>
                </w:p>
                <w:p w14:paraId="57B59611"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Inne parametry modelu (np. opłaty)</w:t>
                  </w:r>
                </w:p>
              </w:tc>
            </w:tr>
            <w:tr w:rsidR="00600DEE" w14:paraId="01A1404F" w14:textId="77777777" w:rsidTr="00505091">
              <w:trPr>
                <w:trHeight w:val="1025"/>
              </w:trPr>
              <w:tc>
                <w:tcPr>
                  <w:tcW w:w="1647" w:type="dxa"/>
                  <w:tcBorders>
                    <w:top w:val="single" w:sz="4" w:space="0" w:color="FFFFFF"/>
                    <w:left w:val="single" w:sz="4" w:space="0" w:color="FFFFFF"/>
                    <w:bottom w:val="single" w:sz="4" w:space="0" w:color="FFFFFF"/>
                    <w:right w:val="nil"/>
                  </w:tcBorders>
                  <w:shd w:val="clear" w:color="auto" w:fill="DBE5F1"/>
                </w:tcPr>
                <w:p w14:paraId="11B82C81"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ETAP II</w:t>
                  </w:r>
                </w:p>
                <w:p w14:paraId="6190186B"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Model dla roku bazowego</w:t>
                  </w:r>
                </w:p>
              </w:tc>
              <w:tc>
                <w:tcPr>
                  <w:tcW w:w="5277" w:type="dxa"/>
                  <w:tcBorders>
                    <w:top w:val="single" w:sz="4" w:space="0" w:color="FFFFFF"/>
                    <w:left w:val="single" w:sz="4" w:space="0" w:color="FFFFFF"/>
                    <w:bottom w:val="single" w:sz="4" w:space="0" w:color="FFFFFF"/>
                    <w:right w:val="single" w:sz="4" w:space="0" w:color="FFFFFF"/>
                  </w:tcBorders>
                  <w:shd w:val="clear" w:color="auto" w:fill="DBE5F1"/>
                </w:tcPr>
                <w:p w14:paraId="7005AC9E" w14:textId="77777777" w:rsidR="00600DEE" w:rsidRDefault="00641FB5" w:rsidP="00D5736B">
                  <w:pPr>
                    <w:numPr>
                      <w:ilvl w:val="0"/>
                      <w:numId w:val="49"/>
                    </w:numPr>
                    <w:spacing w:before="40" w:after="40"/>
                    <w:ind w:left="317" w:hanging="317"/>
                    <w:rPr>
                      <w:rFonts w:ascii="Calibri" w:eastAsia="Calibri" w:hAnsi="Calibri" w:cs="Calibri"/>
                      <w:b/>
                      <w:color w:val="4F81BD"/>
                      <w:sz w:val="18"/>
                      <w:szCs w:val="18"/>
                    </w:rPr>
                  </w:pPr>
                  <w:r>
                    <w:rPr>
                      <w:rFonts w:ascii="Calibri" w:eastAsia="Calibri" w:hAnsi="Calibri" w:cs="Calibri"/>
                      <w:b/>
                      <w:color w:val="4F81BD"/>
                      <w:sz w:val="18"/>
                      <w:szCs w:val="18"/>
                    </w:rPr>
                    <w:t>Przygotowanie danych wejściowych</w:t>
                  </w:r>
                </w:p>
                <w:p w14:paraId="24BC0AE2" w14:textId="77777777" w:rsidR="00600DEE" w:rsidRDefault="00641FB5" w:rsidP="00D5736B">
                  <w:pPr>
                    <w:numPr>
                      <w:ilvl w:val="0"/>
                      <w:numId w:val="49"/>
                    </w:numPr>
                    <w:spacing w:before="40" w:after="40"/>
                    <w:ind w:left="317" w:hanging="317"/>
                    <w:rPr>
                      <w:rFonts w:ascii="Calibri" w:eastAsia="Calibri" w:hAnsi="Calibri" w:cs="Calibri"/>
                      <w:b/>
                      <w:color w:val="4F81BD"/>
                      <w:sz w:val="18"/>
                      <w:szCs w:val="18"/>
                    </w:rPr>
                  </w:pPr>
                  <w:r>
                    <w:rPr>
                      <w:rFonts w:ascii="Calibri" w:eastAsia="Calibri" w:hAnsi="Calibri" w:cs="Calibri"/>
                      <w:b/>
                      <w:color w:val="4F81BD"/>
                      <w:sz w:val="18"/>
                      <w:szCs w:val="18"/>
                    </w:rPr>
                    <w:t>Aktualizacja i uszczegółowienie sieci transportowych</w:t>
                  </w:r>
                </w:p>
                <w:p w14:paraId="5CFA3FB7" w14:textId="77777777" w:rsidR="00600DEE" w:rsidRDefault="00641FB5" w:rsidP="00D5736B">
                  <w:pPr>
                    <w:numPr>
                      <w:ilvl w:val="0"/>
                      <w:numId w:val="49"/>
                    </w:numPr>
                    <w:spacing w:before="40" w:after="40"/>
                    <w:ind w:left="317" w:hanging="317"/>
                    <w:rPr>
                      <w:rFonts w:ascii="Calibri" w:eastAsia="Calibri" w:hAnsi="Calibri" w:cs="Calibri"/>
                      <w:b/>
                      <w:color w:val="4F81BD"/>
                      <w:sz w:val="18"/>
                      <w:szCs w:val="18"/>
                    </w:rPr>
                  </w:pPr>
                  <w:r>
                    <w:rPr>
                      <w:rFonts w:ascii="Calibri" w:eastAsia="Calibri" w:hAnsi="Calibri" w:cs="Calibri"/>
                      <w:b/>
                      <w:color w:val="4F81BD"/>
                      <w:sz w:val="18"/>
                      <w:szCs w:val="18"/>
                    </w:rPr>
                    <w:t>Uwzględnienie transportu publicznego (w miastach)</w:t>
                  </w:r>
                </w:p>
                <w:p w14:paraId="076B317E" w14:textId="77777777" w:rsidR="00600DEE" w:rsidRDefault="00641FB5" w:rsidP="00D5736B">
                  <w:pPr>
                    <w:numPr>
                      <w:ilvl w:val="0"/>
                      <w:numId w:val="49"/>
                    </w:numPr>
                    <w:spacing w:before="40" w:after="40"/>
                    <w:ind w:left="317" w:hanging="317"/>
                    <w:rPr>
                      <w:rFonts w:ascii="Calibri" w:eastAsia="Calibri" w:hAnsi="Calibri" w:cs="Calibri"/>
                      <w:b/>
                      <w:color w:val="4F81BD"/>
                      <w:sz w:val="18"/>
                      <w:szCs w:val="18"/>
                    </w:rPr>
                  </w:pPr>
                  <w:r>
                    <w:rPr>
                      <w:rFonts w:ascii="Calibri" w:eastAsia="Calibri" w:hAnsi="Calibri" w:cs="Calibri"/>
                      <w:b/>
                      <w:color w:val="4F81BD"/>
                      <w:sz w:val="18"/>
                      <w:szCs w:val="18"/>
                    </w:rPr>
                    <w:t>Aktualizacja i uszczegółowienie rejonów komunikacyjnych</w:t>
                  </w:r>
                </w:p>
                <w:p w14:paraId="3656525E" w14:textId="77777777" w:rsidR="00600DEE" w:rsidRDefault="00641FB5" w:rsidP="00D5736B">
                  <w:pPr>
                    <w:numPr>
                      <w:ilvl w:val="0"/>
                      <w:numId w:val="49"/>
                    </w:numPr>
                    <w:spacing w:before="40" w:after="40"/>
                    <w:ind w:left="317" w:hanging="317"/>
                    <w:rPr>
                      <w:rFonts w:ascii="Calibri" w:eastAsia="Calibri" w:hAnsi="Calibri" w:cs="Calibri"/>
                      <w:b/>
                      <w:color w:val="4F81BD"/>
                      <w:sz w:val="18"/>
                      <w:szCs w:val="18"/>
                    </w:rPr>
                  </w:pPr>
                  <w:r>
                    <w:rPr>
                      <w:rFonts w:ascii="Calibri" w:eastAsia="Calibri" w:hAnsi="Calibri" w:cs="Calibri"/>
                      <w:b/>
                      <w:color w:val="4F81BD"/>
                      <w:sz w:val="18"/>
                      <w:szCs w:val="18"/>
                    </w:rPr>
                    <w:t>Opracowanie/ uszczegółowienie macierzy podróży</w:t>
                  </w:r>
                </w:p>
                <w:p w14:paraId="28A29E57" w14:textId="77777777" w:rsidR="00600DEE" w:rsidRDefault="00641FB5" w:rsidP="00D5736B">
                  <w:pPr>
                    <w:numPr>
                      <w:ilvl w:val="0"/>
                      <w:numId w:val="49"/>
                    </w:numPr>
                    <w:spacing w:before="40" w:after="40"/>
                    <w:ind w:left="317" w:hanging="317"/>
                    <w:rPr>
                      <w:rFonts w:ascii="Calibri" w:eastAsia="Calibri" w:hAnsi="Calibri" w:cs="Calibri"/>
                      <w:b/>
                      <w:color w:val="4F81BD"/>
                      <w:sz w:val="18"/>
                      <w:szCs w:val="18"/>
                    </w:rPr>
                  </w:pPr>
                  <w:r>
                    <w:rPr>
                      <w:rFonts w:ascii="Calibri" w:eastAsia="Calibri" w:hAnsi="Calibri" w:cs="Calibri"/>
                      <w:b/>
                      <w:color w:val="4F81BD"/>
                      <w:sz w:val="18"/>
                      <w:szCs w:val="18"/>
                    </w:rPr>
                    <w:t>Aktualizacja zmiennych funkcji popytu</w:t>
                  </w:r>
                </w:p>
              </w:tc>
            </w:tr>
            <w:tr w:rsidR="00600DEE" w14:paraId="70CCAC57" w14:textId="77777777" w:rsidTr="00505091">
              <w:trPr>
                <w:trHeight w:hRule="exact" w:val="1243"/>
              </w:trPr>
              <w:tc>
                <w:tcPr>
                  <w:tcW w:w="1647" w:type="dxa"/>
                  <w:tcBorders>
                    <w:top w:val="single" w:sz="4" w:space="0" w:color="FFFFFF"/>
                    <w:left w:val="single" w:sz="4" w:space="0" w:color="FFFFFF"/>
                    <w:bottom w:val="single" w:sz="4" w:space="0" w:color="FFFFFF"/>
                    <w:right w:val="nil"/>
                  </w:tcBorders>
                  <w:shd w:val="clear" w:color="auto" w:fill="DBE5F1"/>
                </w:tcPr>
                <w:p w14:paraId="222CBBDE"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ETAP III</w:t>
                  </w:r>
                </w:p>
                <w:p w14:paraId="292FEAB9"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Kalibracja</w:t>
                  </w:r>
                </w:p>
                <w:p w14:paraId="2E4C8D98"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 xml:space="preserve"> i walidacja modelu</w:t>
                  </w:r>
                </w:p>
              </w:tc>
              <w:tc>
                <w:tcPr>
                  <w:tcW w:w="5277" w:type="dxa"/>
                  <w:tcBorders>
                    <w:top w:val="single" w:sz="4" w:space="0" w:color="FFFFFF"/>
                    <w:left w:val="single" w:sz="4" w:space="0" w:color="FFFFFF"/>
                    <w:bottom w:val="single" w:sz="4" w:space="0" w:color="FFFFFF"/>
                    <w:right w:val="single" w:sz="4" w:space="0" w:color="FFFFFF"/>
                  </w:tcBorders>
                  <w:shd w:val="clear" w:color="auto" w:fill="DBE5F1"/>
                </w:tcPr>
                <w:p w14:paraId="49E0BBE6"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Kalibracja modelu</w:t>
                  </w:r>
                </w:p>
                <w:p w14:paraId="4D95472D"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Kalibracja macierzy podróży</w:t>
                  </w:r>
                </w:p>
                <w:p w14:paraId="72D8589E"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Kalibracja zmiennych funkcji popytu</w:t>
                  </w:r>
                </w:p>
              </w:tc>
            </w:tr>
            <w:tr w:rsidR="00600DEE" w14:paraId="5943D688" w14:textId="77777777" w:rsidTr="00505091">
              <w:trPr>
                <w:trHeight w:val="1025"/>
              </w:trPr>
              <w:tc>
                <w:tcPr>
                  <w:tcW w:w="1647" w:type="dxa"/>
                  <w:tcBorders>
                    <w:top w:val="single" w:sz="4" w:space="0" w:color="FFFFFF"/>
                    <w:left w:val="single" w:sz="4" w:space="0" w:color="FFFFFF"/>
                    <w:bottom w:val="single" w:sz="4" w:space="0" w:color="FFFFFF"/>
                    <w:right w:val="nil"/>
                  </w:tcBorders>
                  <w:shd w:val="clear" w:color="auto" w:fill="DBE5F1"/>
                </w:tcPr>
                <w:p w14:paraId="76FC8B0D"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ETAP IV</w:t>
                  </w:r>
                </w:p>
                <w:p w14:paraId="516F5EE4"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 xml:space="preserve">Prognozowanie ruchu </w:t>
                  </w:r>
                </w:p>
                <w:p w14:paraId="389843B2"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 xml:space="preserve"> -założenia</w:t>
                  </w:r>
                </w:p>
              </w:tc>
              <w:tc>
                <w:tcPr>
                  <w:tcW w:w="5277" w:type="dxa"/>
                  <w:tcBorders>
                    <w:top w:val="single" w:sz="4" w:space="0" w:color="FFFFFF"/>
                    <w:left w:val="single" w:sz="4" w:space="0" w:color="FFFFFF"/>
                    <w:bottom w:val="single" w:sz="4" w:space="0" w:color="FFFFFF"/>
                    <w:right w:val="single" w:sz="4" w:space="0" w:color="FFFFFF"/>
                  </w:tcBorders>
                  <w:shd w:val="clear" w:color="auto" w:fill="DBE5F1"/>
                </w:tcPr>
                <w:p w14:paraId="4469C899"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Zdefiniwanie wariantu bezinwestycyjnego i inwestycyjnego</w:t>
                  </w:r>
                </w:p>
                <w:p w14:paraId="2941739E"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 xml:space="preserve">Analiza rozwoju sieci </w:t>
                  </w:r>
                </w:p>
                <w:p w14:paraId="4EFD4CAA"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Opracowanie wskaźników wzrostu</w:t>
                  </w:r>
                </w:p>
                <w:p w14:paraId="6672EE8C"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Wpływ wskaźników wzrostu na popyt</w:t>
                  </w:r>
                </w:p>
                <w:p w14:paraId="62365410"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Wpływ oddziaływań zewnętrznych</w:t>
                  </w:r>
                </w:p>
              </w:tc>
            </w:tr>
            <w:tr w:rsidR="00600DEE" w14:paraId="0BCDFBCE" w14:textId="77777777" w:rsidTr="00505091">
              <w:trPr>
                <w:trHeight w:hRule="exact" w:val="1243"/>
              </w:trPr>
              <w:tc>
                <w:tcPr>
                  <w:tcW w:w="1647" w:type="dxa"/>
                  <w:tcBorders>
                    <w:top w:val="single" w:sz="4" w:space="0" w:color="FFFFFF"/>
                    <w:left w:val="single" w:sz="4" w:space="0" w:color="FFFFFF"/>
                    <w:bottom w:val="single" w:sz="4" w:space="0" w:color="FFFFFF"/>
                    <w:right w:val="nil"/>
                  </w:tcBorders>
                  <w:shd w:val="clear" w:color="auto" w:fill="DBE5F1"/>
                </w:tcPr>
                <w:p w14:paraId="1A8A0EC1"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ETAP V</w:t>
                  </w:r>
                </w:p>
                <w:p w14:paraId="3D64B271"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 xml:space="preserve">Oszacowanie prognozy ruchu </w:t>
                  </w:r>
                </w:p>
                <w:p w14:paraId="5B1E78F5"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Raporty wynikowe</w:t>
                  </w:r>
                </w:p>
              </w:tc>
              <w:tc>
                <w:tcPr>
                  <w:tcW w:w="5277" w:type="dxa"/>
                  <w:tcBorders>
                    <w:top w:val="single" w:sz="4" w:space="0" w:color="FFFFFF"/>
                    <w:left w:val="single" w:sz="4" w:space="0" w:color="FFFFFF"/>
                    <w:bottom w:val="single" w:sz="4" w:space="0" w:color="FFFFFF"/>
                    <w:right w:val="single" w:sz="4" w:space="0" w:color="FFFFFF"/>
                  </w:tcBorders>
                  <w:shd w:val="clear" w:color="auto" w:fill="DBE5F1"/>
                </w:tcPr>
                <w:p w14:paraId="3B133C06"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Oszacowanie potoków ruchu</w:t>
                  </w:r>
                </w:p>
                <w:p w14:paraId="6BF29708"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Analiza wyników</w:t>
                  </w:r>
                </w:p>
                <w:p w14:paraId="5498FA7A"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Przygotowanie raportów wynikowych.</w:t>
                  </w:r>
                </w:p>
              </w:tc>
            </w:tr>
          </w:tbl>
          <w:p w14:paraId="7841CD5F"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Źródło: w oparciu o opracowanie “The Use of Transport Models in Transport Planning and Project Appraisal”, JASPERS, luty 2014.</w:t>
            </w:r>
          </w:p>
          <w:p w14:paraId="7225FD28" w14:textId="0736285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Opisy podstawowych założeń i metodyki do prognoz ruchu dla celów AKK dla projektów, których </w:t>
            </w:r>
            <w:r w:rsidR="00933C7D">
              <w:rPr>
                <w:rFonts w:ascii="Calibri" w:eastAsia="Calibri" w:hAnsi="Calibri" w:cs="Calibri"/>
                <w:color w:val="000000"/>
                <w:sz w:val="20"/>
                <w:szCs w:val="20"/>
              </w:rPr>
              <w:t>B</w:t>
            </w:r>
            <w:r>
              <w:rPr>
                <w:rFonts w:ascii="Calibri" w:eastAsia="Calibri" w:hAnsi="Calibri" w:cs="Calibri"/>
                <w:color w:val="000000"/>
                <w:sz w:val="20"/>
                <w:szCs w:val="20"/>
              </w:rPr>
              <w:t xml:space="preserve">eneficjentem jest GDDKiA, znajdują się w załączniku B. </w:t>
            </w:r>
          </w:p>
          <w:p w14:paraId="366DD2AE"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procesie przygotowania lub weryfikacji parametrów modelowanych odcinków sieci, należy zwrócić szczególną uwagę na prawidłowe zdefiniowanie przepustowości oraz funkcji oporu dla poszczególnych kategorii odcinków dróg.</w:t>
            </w:r>
          </w:p>
          <w:p w14:paraId="2E382D76" w14:textId="77777777" w:rsidR="00600DEE" w:rsidRDefault="00600DEE">
            <w:pPr>
              <w:pBdr>
                <w:top w:val="nil"/>
                <w:left w:val="nil"/>
                <w:bottom w:val="nil"/>
                <w:right w:val="nil"/>
                <w:between w:val="nil"/>
              </w:pBdr>
              <w:spacing w:before="120" w:after="120"/>
              <w:jc w:val="both"/>
              <w:rPr>
                <w:rFonts w:ascii="Calibri" w:eastAsia="Calibri" w:hAnsi="Calibri" w:cs="Calibri"/>
                <w:color w:val="000000"/>
                <w:sz w:val="20"/>
                <w:szCs w:val="20"/>
              </w:rPr>
            </w:pPr>
          </w:p>
          <w:p w14:paraId="3C34CFF3"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b/>
                <w:i/>
                <w:color w:val="000000"/>
                <w:sz w:val="20"/>
                <w:szCs w:val="20"/>
                <w:u w:val="single"/>
              </w:rPr>
              <w:t>Uwaga:</w:t>
            </w:r>
            <w:r>
              <w:rPr>
                <w:rFonts w:ascii="Calibri" w:eastAsia="Calibri" w:hAnsi="Calibri" w:cs="Calibri"/>
                <w:color w:val="000000"/>
                <w:sz w:val="20"/>
                <w:szCs w:val="20"/>
              </w:rPr>
              <w:t xml:space="preserve"> Zazwyczaj modele i prognozy ruchu przygotowywane według zaleceń GDDKiA nie zakładają występowania ruchu wzbudzonego na sieci drogowej. </w:t>
            </w:r>
          </w:p>
        </w:tc>
        <w:tc>
          <w:tcPr>
            <w:tcW w:w="7215" w:type="dxa"/>
            <w:tcBorders>
              <w:left w:val="single" w:sz="4" w:space="0" w:color="000000"/>
            </w:tcBorders>
            <w:tcMar>
              <w:left w:w="284" w:type="dxa"/>
              <w:right w:w="284" w:type="dxa"/>
            </w:tcMar>
            <w:vAlign w:val="center"/>
          </w:tcPr>
          <w:p w14:paraId="511A6D13"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Below some general recommendations on traffic modelling are presented that should be of special consideration when use of currently available models is not possible.</w:t>
            </w:r>
          </w:p>
          <w:p w14:paraId="7DD75CE6" w14:textId="05FAA760"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IKMR (Multimoda</w:t>
            </w:r>
            <w:r w:rsidR="001B2F24">
              <w:rPr>
                <w:rFonts w:ascii="Calibri" w:eastAsia="Calibri" w:hAnsi="Calibri" w:cs="Calibri"/>
                <w:color w:val="000000"/>
                <w:sz w:val="20"/>
                <w:szCs w:val="20"/>
                <w:lang w:val="en-GB"/>
              </w:rPr>
              <w:t>l</w:t>
            </w:r>
            <w:r w:rsidRPr="0045151D">
              <w:rPr>
                <w:rFonts w:ascii="Calibri" w:eastAsia="Calibri" w:hAnsi="Calibri" w:cs="Calibri"/>
                <w:color w:val="000000"/>
                <w:sz w:val="20"/>
                <w:szCs w:val="20"/>
                <w:lang w:val="en-GB"/>
              </w:rPr>
              <w:t xml:space="preserve"> National Traffic Model), the traffic model developed for GDDKiA, is a multimodal model that includes not only road traffic (passenger cars, vans, trucks and buses), but also rail passenger transport, and taking into account the impact of domestic air traffic and seaports.</w:t>
            </w:r>
          </w:p>
          <w:p w14:paraId="4A13CC14"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Irrespective of the modelling method, consistent processes must be applied following all the individual stages described below (table 7). Recommendations and comments described below must be taken into account. In case any stage task is not considered (e.g. mode share), the relevant clarification should be included in the model description.</w:t>
            </w:r>
          </w:p>
          <w:p w14:paraId="74890416"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It is very important to fully understand requirements and operating rules of the model, as it will ensure the adequacy of modelling results and a proper assessment of the project. The first stage of modelling (defining the scope) involves primarily describing assumptions for, and decisions on how to create the project model, what inputs need to be prepared or updated, and adopting the calculation methodology.</w:t>
            </w:r>
          </w:p>
          <w:p w14:paraId="476EC49D"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traffic model prepared on the basis of the agreed scope should reflect the current conditions; however, due to the multiplicity of traffic flows and complexity of the transport network, it is not possible to measure and/or incorporate all changes in the network. Therefore, the model for the base year uses actual flows (see traffic couting and survey recommendations provided in Appendix B), which will be the basis for model calibration.</w:t>
            </w:r>
          </w:p>
          <w:p w14:paraId="7F79A85A"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calibration and validation seek to ensure that the model results coincide with the actual conditions observed in the network, primarily through the analysis and modification of the network model, correcting the demand function or mathematical formulas in such a way that the results better reflect the actual traffic conditions (travel times, traffic flows on selected sections, share of different vehicle categories, etc.). It is aimed at correcting various existing errors and omissions that could arise during modelling.</w:t>
            </w:r>
          </w:p>
          <w:p w14:paraId="793C856B"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When preparing a traffic forecast, planned changes of the network and indicators that can have a traffic impact (e.g. population, employment, car ownership, economic activity) should be considered in the first place. As a result, a snapshot of actual conditions will be created that can serve as a basis for evaluation of the project in a given year.</w:t>
            </w:r>
          </w:p>
          <w:p w14:paraId="21D75C79"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Forecasting models also allow one to check the influence and benefits of external impacts such as changes in transport policy or changes in the spatial development planning that can determine the parameters of the design project and its appraisal.</w:t>
            </w:r>
          </w:p>
          <w:p w14:paraId="4A6107E6" w14:textId="1245E639" w:rsidR="001E05E4" w:rsidRPr="0045151D" w:rsidRDefault="00641FB5" w:rsidP="001E05E4">
            <w:pPr>
              <w:pBdr>
                <w:top w:val="nil"/>
                <w:left w:val="nil"/>
                <w:bottom w:val="nil"/>
                <w:right w:val="nil"/>
                <w:between w:val="nil"/>
              </w:pBdr>
              <w:tabs>
                <w:tab w:val="left" w:pos="0"/>
              </w:tabs>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forecasting process should be preceded by an analysis regarding the choice of the method of preparation of the traffic model (modelling or simplified methods), which will have an impact on the parameters described in table 7, Stage I</w:t>
            </w:r>
          </w:p>
          <w:p w14:paraId="373A465A" w14:textId="2362C968" w:rsidR="00600DEE" w:rsidRDefault="00641FB5" w:rsidP="001F6CAA">
            <w:pPr>
              <w:keepNext/>
              <w:pBdr>
                <w:top w:val="nil"/>
                <w:left w:val="nil"/>
                <w:bottom w:val="nil"/>
                <w:right w:val="nil"/>
                <w:between w:val="nil"/>
              </w:pBdr>
              <w:tabs>
                <w:tab w:val="left" w:pos="720"/>
                <w:tab w:val="left" w:pos="0"/>
              </w:tabs>
              <w:ind w:right="26"/>
              <w:rPr>
                <w:rFonts w:ascii="Calibri" w:eastAsia="Calibri" w:hAnsi="Calibri" w:cs="Calibri"/>
                <w:b/>
                <w:color w:val="4F81BD"/>
                <w:sz w:val="20"/>
                <w:szCs w:val="20"/>
              </w:rPr>
            </w:pPr>
            <w:r>
              <w:rPr>
                <w:rFonts w:ascii="Calibri" w:eastAsia="Calibri" w:hAnsi="Calibri" w:cs="Calibri"/>
                <w:b/>
                <w:color w:val="4F81BD"/>
                <w:sz w:val="20"/>
                <w:szCs w:val="20"/>
              </w:rPr>
              <w:t>Table 7. Traffic forecasting stages</w:t>
            </w:r>
          </w:p>
          <w:tbl>
            <w:tblPr>
              <w:tblStyle w:val="aff1"/>
              <w:tblpPr w:leftFromText="141" w:rightFromText="141" w:vertAnchor="page" w:horzAnchor="margin" w:tblpY="302"/>
              <w:tblOverlap w:val="never"/>
              <w:tblW w:w="6935" w:type="dxa"/>
              <w:tblLayout w:type="fixed"/>
              <w:tblLook w:val="0400" w:firstRow="0" w:lastRow="0" w:firstColumn="0" w:lastColumn="0" w:noHBand="0" w:noVBand="1"/>
            </w:tblPr>
            <w:tblGrid>
              <w:gridCol w:w="2163"/>
              <w:gridCol w:w="4772"/>
            </w:tblGrid>
            <w:tr w:rsidR="00600DEE" w14:paraId="0DE78BF4" w14:textId="77777777" w:rsidTr="001E05E4">
              <w:trPr>
                <w:trHeight w:val="311"/>
              </w:trPr>
              <w:tc>
                <w:tcPr>
                  <w:tcW w:w="2163" w:type="dxa"/>
                  <w:tcBorders>
                    <w:top w:val="single" w:sz="4" w:space="0" w:color="FFFFFF"/>
                    <w:left w:val="single" w:sz="4" w:space="0" w:color="FFFFFF"/>
                    <w:bottom w:val="single" w:sz="4" w:space="0" w:color="FFFFFF"/>
                    <w:right w:val="nil"/>
                  </w:tcBorders>
                  <w:shd w:val="clear" w:color="auto" w:fill="A6A6A6"/>
                  <w:vAlign w:val="center"/>
                </w:tcPr>
                <w:p w14:paraId="51A9B938" w14:textId="77777777" w:rsidR="00600DEE" w:rsidRDefault="00641FB5" w:rsidP="001E05E4">
                  <w:pPr>
                    <w:jc w:val="center"/>
                    <w:rPr>
                      <w:rFonts w:ascii="Calibri" w:eastAsia="Calibri" w:hAnsi="Calibri" w:cs="Calibri"/>
                      <w:b/>
                      <w:color w:val="FFFFFF"/>
                      <w:sz w:val="18"/>
                      <w:szCs w:val="18"/>
                    </w:rPr>
                  </w:pPr>
                  <w:r>
                    <w:rPr>
                      <w:rFonts w:ascii="Calibri" w:eastAsia="Calibri" w:hAnsi="Calibri" w:cs="Calibri"/>
                      <w:b/>
                      <w:color w:val="FFFFFF"/>
                      <w:sz w:val="18"/>
                      <w:szCs w:val="18"/>
                    </w:rPr>
                    <w:t>STAGE</w:t>
                  </w:r>
                </w:p>
              </w:tc>
              <w:tc>
                <w:tcPr>
                  <w:tcW w:w="4772" w:type="dxa"/>
                  <w:tcBorders>
                    <w:top w:val="single" w:sz="4" w:space="0" w:color="FFFFFF"/>
                    <w:left w:val="single" w:sz="4" w:space="0" w:color="FFFFFF"/>
                    <w:bottom w:val="single" w:sz="4" w:space="0" w:color="FFFFFF"/>
                    <w:right w:val="single" w:sz="4" w:space="0" w:color="FFFFFF"/>
                  </w:tcBorders>
                  <w:shd w:val="clear" w:color="auto" w:fill="A6A6A6"/>
                </w:tcPr>
                <w:p w14:paraId="773380F7"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SCOPE</w:t>
                  </w:r>
                </w:p>
              </w:tc>
            </w:tr>
            <w:tr w:rsidR="00600DEE" w:rsidRPr="007463B9" w14:paraId="169EBF4E" w14:textId="77777777" w:rsidTr="001E05E4">
              <w:trPr>
                <w:trHeight w:val="419"/>
              </w:trPr>
              <w:tc>
                <w:tcPr>
                  <w:tcW w:w="2163" w:type="dxa"/>
                  <w:tcBorders>
                    <w:top w:val="nil"/>
                    <w:left w:val="single" w:sz="4" w:space="0" w:color="FFFFFF"/>
                    <w:bottom w:val="single" w:sz="4" w:space="0" w:color="FFFFFF"/>
                    <w:right w:val="nil"/>
                  </w:tcBorders>
                  <w:shd w:val="clear" w:color="auto" w:fill="DBE5F1"/>
                </w:tcPr>
                <w:p w14:paraId="06F0CBD0" w14:textId="77777777" w:rsidR="00600DEE" w:rsidRPr="0045151D" w:rsidRDefault="00641FB5">
                  <w:pPr>
                    <w:tabs>
                      <w:tab w:val="left" w:pos="285"/>
                      <w:tab w:val="center" w:pos="534"/>
                    </w:tabs>
                    <w:spacing w:before="60" w:after="60" w:line="264" w:lineRule="auto"/>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STAGE I</w:t>
                  </w:r>
                </w:p>
                <w:p w14:paraId="5EC79891" w14:textId="77777777" w:rsidR="00600DEE" w:rsidRPr="0045151D" w:rsidRDefault="00641FB5">
                  <w:pPr>
                    <w:tabs>
                      <w:tab w:val="left" w:pos="285"/>
                      <w:tab w:val="center" w:pos="534"/>
                    </w:tabs>
                    <w:spacing w:before="60" w:after="60" w:line="264" w:lineRule="auto"/>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Defining the model</w:t>
                  </w:r>
                </w:p>
              </w:tc>
              <w:tc>
                <w:tcPr>
                  <w:tcW w:w="4772" w:type="dxa"/>
                  <w:tcBorders>
                    <w:top w:val="nil"/>
                    <w:left w:val="single" w:sz="4" w:space="0" w:color="FFFFFF"/>
                    <w:bottom w:val="single" w:sz="4" w:space="0" w:color="FFFFFF"/>
                    <w:right w:val="single" w:sz="4" w:space="0" w:color="FFFFFF"/>
                  </w:tcBorders>
                  <w:shd w:val="clear" w:color="auto" w:fill="DBE5F1"/>
                </w:tcPr>
                <w:p w14:paraId="2A34E0BF"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Extent of network</w:t>
                  </w:r>
                </w:p>
                <w:p w14:paraId="499ED2B5"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Network details (considering multimodality)</w:t>
                  </w:r>
                </w:p>
                <w:p w14:paraId="6D0642FE"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Zone system</w:t>
                  </w:r>
                </w:p>
                <w:p w14:paraId="2444F0ED"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Categories of vehicles</w:t>
                  </w:r>
                </w:p>
                <w:p w14:paraId="03DB883F"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 xml:space="preserve">Categories of other modes </w:t>
                  </w:r>
                </w:p>
                <w:p w14:paraId="18068BB1"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Categories of users</w:t>
                  </w:r>
                </w:p>
                <w:p w14:paraId="4E29BE9F" w14:textId="77777777" w:rsidR="00600DEE" w:rsidRPr="0045151D" w:rsidRDefault="00641FB5" w:rsidP="00D5736B">
                  <w:pPr>
                    <w:numPr>
                      <w:ilvl w:val="0"/>
                      <w:numId w:val="49"/>
                    </w:numPr>
                    <w:spacing w:before="40" w:after="40"/>
                    <w:ind w:left="0" w:firstLine="0"/>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Analysis periods (year/day/peak hour)</w:t>
                  </w:r>
                </w:p>
                <w:p w14:paraId="3282B1E1"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Modelled years/ Base Year</w:t>
                  </w:r>
                </w:p>
                <w:p w14:paraId="5AEECF97" w14:textId="77777777" w:rsidR="00600DEE" w:rsidRPr="0045151D" w:rsidRDefault="00641FB5" w:rsidP="00D5736B">
                  <w:pPr>
                    <w:numPr>
                      <w:ilvl w:val="0"/>
                      <w:numId w:val="49"/>
                    </w:numPr>
                    <w:spacing w:before="40" w:after="40"/>
                    <w:ind w:left="0" w:firstLine="0"/>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Other network parameters (e.g. tolls)</w:t>
                  </w:r>
                </w:p>
              </w:tc>
            </w:tr>
            <w:tr w:rsidR="00600DEE" w:rsidRPr="007463B9" w14:paraId="39A58876" w14:textId="77777777" w:rsidTr="001E05E4">
              <w:trPr>
                <w:trHeight w:val="1028"/>
              </w:trPr>
              <w:tc>
                <w:tcPr>
                  <w:tcW w:w="2163" w:type="dxa"/>
                  <w:tcBorders>
                    <w:top w:val="single" w:sz="4" w:space="0" w:color="FFFFFF"/>
                    <w:left w:val="single" w:sz="4" w:space="0" w:color="FFFFFF"/>
                    <w:bottom w:val="single" w:sz="4" w:space="0" w:color="FFFFFF"/>
                    <w:right w:val="nil"/>
                  </w:tcBorders>
                  <w:shd w:val="clear" w:color="auto" w:fill="DBE5F1"/>
                </w:tcPr>
                <w:p w14:paraId="631DD8F1" w14:textId="77777777" w:rsidR="00600DEE" w:rsidRPr="0045151D" w:rsidRDefault="00641FB5">
                  <w:pPr>
                    <w:spacing w:before="60" w:after="60" w:line="264" w:lineRule="auto"/>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STAGE II</w:t>
                  </w:r>
                </w:p>
                <w:p w14:paraId="0B188BF1" w14:textId="77777777" w:rsidR="00600DEE" w:rsidRPr="0045151D" w:rsidRDefault="00641FB5">
                  <w:pPr>
                    <w:spacing w:before="60" w:after="60" w:line="264" w:lineRule="auto"/>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The model for the base year</w:t>
                  </w:r>
                </w:p>
              </w:tc>
              <w:tc>
                <w:tcPr>
                  <w:tcW w:w="4772" w:type="dxa"/>
                  <w:tcBorders>
                    <w:top w:val="single" w:sz="4" w:space="0" w:color="FFFFFF"/>
                    <w:left w:val="single" w:sz="4" w:space="0" w:color="FFFFFF"/>
                    <w:bottom w:val="single" w:sz="4" w:space="0" w:color="FFFFFF"/>
                    <w:right w:val="single" w:sz="4" w:space="0" w:color="FFFFFF"/>
                  </w:tcBorders>
                  <w:shd w:val="clear" w:color="auto" w:fill="DBE5F1"/>
                </w:tcPr>
                <w:p w14:paraId="47BD4FBA"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 xml:space="preserve">Input data collection </w:t>
                  </w:r>
                </w:p>
                <w:p w14:paraId="44A86EBB"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Transport networks updated and detailed</w:t>
                  </w:r>
                </w:p>
                <w:p w14:paraId="0CACE5D0" w14:textId="77777777" w:rsidR="00600DEE" w:rsidRPr="0045151D" w:rsidRDefault="00641FB5" w:rsidP="00D5736B">
                  <w:pPr>
                    <w:numPr>
                      <w:ilvl w:val="0"/>
                      <w:numId w:val="49"/>
                    </w:numPr>
                    <w:spacing w:before="40" w:after="40"/>
                    <w:ind w:left="0" w:firstLine="0"/>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Public transport consideration (in the cities)</w:t>
                  </w:r>
                </w:p>
                <w:p w14:paraId="5FF902ED"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Zones updated and detailed</w:t>
                  </w:r>
                </w:p>
                <w:p w14:paraId="6EF217EF"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Development/ elaboration</w:t>
                  </w:r>
                  <w:r>
                    <w:rPr>
                      <w:rFonts w:ascii="Calibri" w:eastAsia="Calibri" w:hAnsi="Calibri" w:cs="Calibri"/>
                      <w:b/>
                      <w:color w:val="4F81BD"/>
                      <w:sz w:val="16"/>
                      <w:szCs w:val="16"/>
                    </w:rPr>
                    <w:t xml:space="preserve"> </w:t>
                  </w:r>
                  <w:r>
                    <w:rPr>
                      <w:rFonts w:ascii="Calibri" w:eastAsia="Calibri" w:hAnsi="Calibri" w:cs="Calibri"/>
                      <w:b/>
                      <w:color w:val="4F81BD"/>
                      <w:sz w:val="18"/>
                      <w:szCs w:val="18"/>
                    </w:rPr>
                    <w:t>of demand matrices</w:t>
                  </w:r>
                </w:p>
                <w:p w14:paraId="588D23DC" w14:textId="77777777" w:rsidR="00600DEE" w:rsidRPr="0045151D" w:rsidRDefault="00641FB5" w:rsidP="00D5736B">
                  <w:pPr>
                    <w:numPr>
                      <w:ilvl w:val="0"/>
                      <w:numId w:val="49"/>
                    </w:numPr>
                    <w:spacing w:before="40" w:after="40"/>
                    <w:ind w:left="0" w:firstLine="0"/>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Variables of demand functions updated</w:t>
                  </w:r>
                </w:p>
              </w:tc>
            </w:tr>
            <w:tr w:rsidR="00600DEE" w14:paraId="7E6E8BA6" w14:textId="77777777" w:rsidTr="00105C0A">
              <w:trPr>
                <w:trHeight w:hRule="exact" w:val="1247"/>
              </w:trPr>
              <w:tc>
                <w:tcPr>
                  <w:tcW w:w="2163" w:type="dxa"/>
                  <w:tcBorders>
                    <w:top w:val="single" w:sz="4" w:space="0" w:color="FFFFFF"/>
                    <w:left w:val="single" w:sz="4" w:space="0" w:color="FFFFFF"/>
                    <w:bottom w:val="single" w:sz="4" w:space="0" w:color="FFFFFF"/>
                    <w:right w:val="nil"/>
                  </w:tcBorders>
                  <w:shd w:val="clear" w:color="auto" w:fill="DBE5F1"/>
                </w:tcPr>
                <w:p w14:paraId="1E70F308" w14:textId="77777777" w:rsidR="00600DEE" w:rsidRPr="0045151D" w:rsidRDefault="00641FB5">
                  <w:pPr>
                    <w:spacing w:before="60" w:after="60" w:line="264" w:lineRule="auto"/>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STAGE III</w:t>
                  </w:r>
                </w:p>
                <w:p w14:paraId="6E283D6A" w14:textId="77777777" w:rsidR="00600DEE" w:rsidRPr="0045151D" w:rsidRDefault="00641FB5">
                  <w:pPr>
                    <w:spacing w:before="60" w:after="60" w:line="264" w:lineRule="auto"/>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Calibration</w:t>
                  </w:r>
                </w:p>
                <w:p w14:paraId="18C8FE9A" w14:textId="77777777" w:rsidR="00600DEE" w:rsidRPr="0045151D" w:rsidRDefault="00641FB5">
                  <w:pPr>
                    <w:spacing w:before="60" w:after="60" w:line="264" w:lineRule="auto"/>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 xml:space="preserve"> and validation of the model</w:t>
                  </w:r>
                </w:p>
              </w:tc>
              <w:tc>
                <w:tcPr>
                  <w:tcW w:w="4772" w:type="dxa"/>
                  <w:tcBorders>
                    <w:top w:val="single" w:sz="4" w:space="0" w:color="FFFFFF"/>
                    <w:left w:val="single" w:sz="4" w:space="0" w:color="FFFFFF"/>
                    <w:bottom w:val="single" w:sz="4" w:space="0" w:color="FFFFFF"/>
                    <w:right w:val="single" w:sz="4" w:space="0" w:color="FFFFFF"/>
                  </w:tcBorders>
                  <w:shd w:val="clear" w:color="auto" w:fill="DBE5F1"/>
                </w:tcPr>
                <w:p w14:paraId="71DC0D6B"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 xml:space="preserve">Calibration of the model </w:t>
                  </w:r>
                </w:p>
                <w:p w14:paraId="21FBB9E9"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 xml:space="preserve">Calibration of travel matrices </w:t>
                  </w:r>
                </w:p>
                <w:p w14:paraId="5117D2D2"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 xml:space="preserve">Calibration of demand function variables </w:t>
                  </w:r>
                </w:p>
                <w:p w14:paraId="19FF9E74" w14:textId="77777777" w:rsidR="00600DEE" w:rsidRDefault="00600DEE">
                  <w:pPr>
                    <w:spacing w:before="40" w:after="40"/>
                    <w:rPr>
                      <w:rFonts w:ascii="Calibri" w:eastAsia="Calibri" w:hAnsi="Calibri" w:cs="Calibri"/>
                      <w:b/>
                      <w:color w:val="4F81BD"/>
                      <w:sz w:val="18"/>
                      <w:szCs w:val="18"/>
                    </w:rPr>
                  </w:pPr>
                </w:p>
              </w:tc>
            </w:tr>
            <w:tr w:rsidR="00600DEE" w14:paraId="2C922EB8" w14:textId="77777777" w:rsidTr="001E05E4">
              <w:trPr>
                <w:trHeight w:val="1028"/>
              </w:trPr>
              <w:tc>
                <w:tcPr>
                  <w:tcW w:w="2163" w:type="dxa"/>
                  <w:tcBorders>
                    <w:top w:val="single" w:sz="4" w:space="0" w:color="FFFFFF"/>
                    <w:left w:val="single" w:sz="4" w:space="0" w:color="FFFFFF"/>
                    <w:bottom w:val="single" w:sz="4" w:space="0" w:color="FFFFFF"/>
                    <w:right w:val="nil"/>
                  </w:tcBorders>
                  <w:shd w:val="clear" w:color="auto" w:fill="DBE5F1"/>
                </w:tcPr>
                <w:p w14:paraId="71F05264"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STAGE IV</w:t>
                  </w:r>
                </w:p>
                <w:p w14:paraId="2B95C688"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Traffic forecasting - assumptions</w:t>
                  </w:r>
                </w:p>
                <w:p w14:paraId="2BEE2128" w14:textId="77777777" w:rsidR="00600DEE" w:rsidRDefault="00600DEE">
                  <w:pPr>
                    <w:spacing w:before="60" w:after="60" w:line="264" w:lineRule="auto"/>
                    <w:jc w:val="center"/>
                    <w:rPr>
                      <w:rFonts w:ascii="Calibri" w:eastAsia="Calibri" w:hAnsi="Calibri" w:cs="Calibri"/>
                      <w:b/>
                      <w:color w:val="4F81BD"/>
                      <w:sz w:val="18"/>
                      <w:szCs w:val="18"/>
                    </w:rPr>
                  </w:pPr>
                </w:p>
              </w:tc>
              <w:tc>
                <w:tcPr>
                  <w:tcW w:w="4772" w:type="dxa"/>
                  <w:tcBorders>
                    <w:top w:val="single" w:sz="4" w:space="0" w:color="FFFFFF"/>
                    <w:left w:val="single" w:sz="4" w:space="0" w:color="FFFFFF"/>
                    <w:bottom w:val="single" w:sz="4" w:space="0" w:color="FFFFFF"/>
                    <w:right w:val="single" w:sz="4" w:space="0" w:color="FFFFFF"/>
                  </w:tcBorders>
                  <w:shd w:val="clear" w:color="auto" w:fill="DBE5F1"/>
                </w:tcPr>
                <w:p w14:paraId="697AB586" w14:textId="77777777" w:rsidR="00600DEE" w:rsidRPr="0045151D" w:rsidRDefault="00641FB5" w:rsidP="00D5736B">
                  <w:pPr>
                    <w:numPr>
                      <w:ilvl w:val="0"/>
                      <w:numId w:val="49"/>
                    </w:numPr>
                    <w:spacing w:before="40" w:after="40"/>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Definition of non-investment and investment option</w:t>
                  </w:r>
                </w:p>
                <w:p w14:paraId="2392C626"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 xml:space="preserve">Network development analysis </w:t>
                  </w:r>
                </w:p>
                <w:p w14:paraId="50C86BEE"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 xml:space="preserve">Develop growth rates </w:t>
                  </w:r>
                </w:p>
                <w:p w14:paraId="33E17848"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Apply growth rates to demand</w:t>
                  </w:r>
                </w:p>
                <w:p w14:paraId="6BD02E6E"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Include external impacts</w:t>
                  </w:r>
                </w:p>
              </w:tc>
            </w:tr>
            <w:tr w:rsidR="00600DEE" w14:paraId="0159CA3A" w14:textId="77777777" w:rsidTr="00105C0A">
              <w:trPr>
                <w:trHeight w:hRule="exact" w:val="1247"/>
              </w:trPr>
              <w:tc>
                <w:tcPr>
                  <w:tcW w:w="2163" w:type="dxa"/>
                  <w:tcBorders>
                    <w:top w:val="single" w:sz="4" w:space="0" w:color="FFFFFF"/>
                    <w:left w:val="single" w:sz="4" w:space="0" w:color="FFFFFF"/>
                    <w:bottom w:val="single" w:sz="4" w:space="0" w:color="FFFFFF"/>
                    <w:right w:val="nil"/>
                  </w:tcBorders>
                  <w:shd w:val="clear" w:color="auto" w:fill="DBE5F1"/>
                </w:tcPr>
                <w:p w14:paraId="7F170CF3" w14:textId="77777777" w:rsidR="00600DEE" w:rsidRDefault="00641FB5">
                  <w:pPr>
                    <w:spacing w:before="60" w:after="60"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STAGE V</w:t>
                  </w:r>
                </w:p>
                <w:p w14:paraId="3258CAC0" w14:textId="77777777" w:rsidR="00600DEE" w:rsidRPr="0045151D" w:rsidRDefault="00641FB5">
                  <w:pPr>
                    <w:spacing w:before="60" w:after="60" w:line="264" w:lineRule="auto"/>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Traffic forecasting estimation. Output reports</w:t>
                  </w:r>
                </w:p>
              </w:tc>
              <w:tc>
                <w:tcPr>
                  <w:tcW w:w="4772" w:type="dxa"/>
                  <w:tcBorders>
                    <w:top w:val="single" w:sz="4" w:space="0" w:color="FFFFFF"/>
                    <w:left w:val="single" w:sz="4" w:space="0" w:color="FFFFFF"/>
                    <w:bottom w:val="single" w:sz="4" w:space="0" w:color="FFFFFF"/>
                    <w:right w:val="single" w:sz="4" w:space="0" w:color="FFFFFF"/>
                  </w:tcBorders>
                  <w:shd w:val="clear" w:color="auto" w:fill="DBE5F1"/>
                </w:tcPr>
                <w:p w14:paraId="136706FD"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Traffic flows estimation</w:t>
                  </w:r>
                </w:p>
                <w:p w14:paraId="7283C637"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Analysis of the outputs</w:t>
                  </w:r>
                </w:p>
                <w:p w14:paraId="44580F8F" w14:textId="77777777" w:rsidR="00600DEE" w:rsidRDefault="00641FB5" w:rsidP="00D5736B">
                  <w:pPr>
                    <w:numPr>
                      <w:ilvl w:val="0"/>
                      <w:numId w:val="49"/>
                    </w:numPr>
                    <w:spacing w:before="40" w:after="40"/>
                    <w:ind w:left="0" w:firstLine="0"/>
                    <w:rPr>
                      <w:rFonts w:ascii="Calibri" w:eastAsia="Calibri" w:hAnsi="Calibri" w:cs="Calibri"/>
                      <w:b/>
                      <w:color w:val="4F81BD"/>
                      <w:sz w:val="18"/>
                      <w:szCs w:val="18"/>
                    </w:rPr>
                  </w:pPr>
                  <w:r>
                    <w:rPr>
                      <w:rFonts w:ascii="Calibri" w:eastAsia="Calibri" w:hAnsi="Calibri" w:cs="Calibri"/>
                      <w:b/>
                      <w:color w:val="4F81BD"/>
                      <w:sz w:val="18"/>
                      <w:szCs w:val="18"/>
                    </w:rPr>
                    <w:t>Output reports development</w:t>
                  </w:r>
                </w:p>
              </w:tc>
            </w:tr>
          </w:tbl>
          <w:p w14:paraId="6CAFCE69"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Source: Based on “The Use of Transport Models in Transport Planning and Project Appraisal”, JASPERS, February 2014.</w:t>
            </w:r>
          </w:p>
          <w:p w14:paraId="64757CBD" w14:textId="77777777" w:rsidR="003E2A27" w:rsidRPr="00FD7BF1" w:rsidRDefault="00641FB5" w:rsidP="003E2A27">
            <w:pPr>
              <w:pStyle w:val="anxnormalZnak"/>
              <w:spacing w:after="120"/>
              <w:ind w:left="0"/>
              <w:rPr>
                <w:rFonts w:asciiTheme="minorHAnsi" w:hAnsiTheme="minorHAnsi" w:cstheme="minorHAnsi"/>
                <w:spacing w:val="-3"/>
                <w:lang w:val="en-GB"/>
              </w:rPr>
            </w:pPr>
            <w:r w:rsidRPr="0045151D">
              <w:rPr>
                <w:rFonts w:ascii="Calibri" w:eastAsia="Calibri" w:hAnsi="Calibri" w:cs="Calibri"/>
                <w:color w:val="000000"/>
                <w:lang w:val="en-GB"/>
              </w:rPr>
              <w:t>The detailed assumptions and methodology for CBA traffic forecasts for projects whose beneficiary is GDDKiA are presented in Appendix B</w:t>
            </w:r>
            <w:r w:rsidR="003E2A27" w:rsidRPr="00FD7BF1">
              <w:rPr>
                <w:rFonts w:asciiTheme="minorHAnsi" w:hAnsiTheme="minorHAnsi" w:cstheme="minorHAnsi"/>
                <w:spacing w:val="-3"/>
                <w:lang w:val="en-GB"/>
              </w:rPr>
              <w:t xml:space="preserve">. </w:t>
            </w:r>
          </w:p>
          <w:p w14:paraId="0A3F4B4F" w14:textId="77777777" w:rsidR="003E2A27" w:rsidRDefault="003E2A27" w:rsidP="003E2A27">
            <w:pPr>
              <w:pStyle w:val="anxnormalZnak"/>
              <w:spacing w:after="120"/>
              <w:ind w:left="0"/>
              <w:rPr>
                <w:rFonts w:asciiTheme="minorHAnsi" w:hAnsiTheme="minorHAnsi" w:cstheme="minorHAnsi"/>
                <w:spacing w:val="-3"/>
                <w:lang w:val="en-GB"/>
              </w:rPr>
            </w:pPr>
            <w:r w:rsidRPr="00371A33">
              <w:rPr>
                <w:rFonts w:asciiTheme="minorHAnsi" w:hAnsiTheme="minorHAnsi" w:cstheme="minorHAnsi"/>
                <w:spacing w:val="-3"/>
                <w:lang w:val="en-GB"/>
              </w:rPr>
              <w:t>During the process of preparation or verification of the model assumptions the particular attention should be paid to the proper definition of traffic flow capacity and resistance function for different categories of road sections in the model.</w:t>
            </w:r>
          </w:p>
          <w:p w14:paraId="48D22DCB" w14:textId="46E5442E" w:rsidR="00600DEE" w:rsidRPr="0045151D" w:rsidRDefault="00600DEE">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42339538"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b/>
                <w:i/>
                <w:color w:val="000000"/>
                <w:sz w:val="20"/>
                <w:szCs w:val="20"/>
                <w:u w:val="single"/>
                <w:lang w:val="en-GB"/>
              </w:rPr>
              <w:t>Note:</w:t>
            </w:r>
            <w:r w:rsidRPr="0045151D">
              <w:rPr>
                <w:rFonts w:ascii="Calibri" w:eastAsia="Calibri" w:hAnsi="Calibri" w:cs="Calibri"/>
                <w:color w:val="000000"/>
                <w:sz w:val="20"/>
                <w:szCs w:val="20"/>
                <w:lang w:val="en-GB"/>
              </w:rPr>
              <w:t xml:space="preserve"> Generally, traffic forecasts conducted according to GDDKiA traffic models and methods will not consider induced traffic on the road network.</w:t>
            </w:r>
          </w:p>
        </w:tc>
      </w:tr>
    </w:tbl>
    <w:p w14:paraId="53F91A50" w14:textId="16859938" w:rsidR="00600DEE" w:rsidRDefault="00641FB5" w:rsidP="00D5736B">
      <w:pPr>
        <w:pStyle w:val="Nagwek3"/>
        <w:numPr>
          <w:ilvl w:val="2"/>
          <w:numId w:val="17"/>
        </w:numPr>
        <w:ind w:left="0" w:firstLine="0"/>
        <w:rPr>
          <w:rFonts w:ascii="Calibri" w:eastAsia="Calibri" w:hAnsi="Calibri" w:cs="Calibri"/>
          <w:color w:val="4F81BD"/>
        </w:rPr>
      </w:pPr>
      <w:bookmarkStart w:id="47" w:name="_Toc95377977"/>
      <w:r>
        <w:rPr>
          <w:rFonts w:ascii="Calibri" w:eastAsia="Calibri" w:hAnsi="Calibri" w:cs="Calibri"/>
          <w:color w:val="4F81BD"/>
        </w:rPr>
        <w:t>Wyniki prognozy ruchu</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1.8.3   Traffic forecast outputs</w:t>
      </w:r>
      <w:bookmarkEnd w:id="47"/>
      <w:r>
        <w:rPr>
          <w:rFonts w:ascii="Calibri" w:eastAsia="Calibri" w:hAnsi="Calibri" w:cs="Calibri"/>
          <w:color w:val="4F81BD"/>
        </w:rPr>
        <w:t xml:space="preserve"> </w:t>
      </w:r>
    </w:p>
    <w:tbl>
      <w:tblPr>
        <w:tblStyle w:val="aff2"/>
        <w:tblW w:w="14571" w:type="dxa"/>
        <w:tblLayout w:type="fixed"/>
        <w:tblLook w:val="0400" w:firstRow="0" w:lastRow="0" w:firstColumn="0" w:lastColumn="0" w:noHBand="0" w:noVBand="1"/>
      </w:tblPr>
      <w:tblGrid>
        <w:gridCol w:w="7367"/>
        <w:gridCol w:w="7204"/>
      </w:tblGrid>
      <w:tr w:rsidR="00600DEE" w:rsidRPr="007463B9" w14:paraId="79FEE6F2" w14:textId="77777777">
        <w:tc>
          <w:tcPr>
            <w:tcW w:w="7367" w:type="dxa"/>
            <w:tcBorders>
              <w:right w:val="single" w:sz="4" w:space="0" w:color="000000"/>
            </w:tcBorders>
            <w:tcMar>
              <w:left w:w="284" w:type="dxa"/>
              <w:right w:w="284" w:type="dxa"/>
            </w:tcMar>
          </w:tcPr>
          <w:p w14:paraId="16735B30"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Główne założenia modelu oraz wyniki prognozowania ruchu powinny być przedstawione w ramach AKK (lub dołączone jako osobny dokument), w tym jako minimum:</w:t>
            </w:r>
          </w:p>
          <w:p w14:paraId="627DF808" w14:textId="77777777" w:rsidR="00600DEE" w:rsidRDefault="00641FB5" w:rsidP="00D5736B">
            <w:pPr>
              <w:numPr>
                <w:ilvl w:val="0"/>
                <w:numId w:val="79"/>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mapa przedstawiająca sieć, w obrębie której przeprowadzano analizy projektu; </w:t>
            </w:r>
          </w:p>
          <w:p w14:paraId="15A14292" w14:textId="77777777" w:rsidR="00600DEE" w:rsidRDefault="00641FB5" w:rsidP="00D5736B">
            <w:pPr>
              <w:numPr>
                <w:ilvl w:val="0"/>
                <w:numId w:val="79"/>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dane dotyczące wielkości potoków ruchu w roku bazowym oraz wyniki, co najmniej dwóch poprzednich GPR-ów (na istniejących drogach w ramach sieci określonej powyżej), w podziale na kategorie pojazdów zgodnie z GPR (lub co najmniej z podziałem na pojazdy lekkie i ciężkie), wraz z podaniem odpowiednich zmian;</w:t>
            </w:r>
          </w:p>
          <w:p w14:paraId="66839196" w14:textId="77777777" w:rsidR="00600DEE" w:rsidRDefault="00641FB5" w:rsidP="00D5736B">
            <w:pPr>
              <w:numPr>
                <w:ilvl w:val="0"/>
                <w:numId w:val="79"/>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opis metodyki prognozowania oraz założeń;</w:t>
            </w:r>
          </w:p>
          <w:p w14:paraId="60750A52" w14:textId="77777777" w:rsidR="00600DEE" w:rsidRDefault="00641FB5" w:rsidP="00D5736B">
            <w:pPr>
              <w:numPr>
                <w:ilvl w:val="0"/>
                <w:numId w:val="79"/>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wskaźniki wzrostu ruchu; </w:t>
            </w:r>
          </w:p>
          <w:p w14:paraId="0519DC09" w14:textId="77777777" w:rsidR="00600DEE" w:rsidRDefault="00641FB5" w:rsidP="00D5736B">
            <w:pPr>
              <w:numPr>
                <w:ilvl w:val="0"/>
                <w:numId w:val="79"/>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wyniki prognozy ruchu na sieci drogowej obszaru oddziaływania projektu dla wariantów inwestycyjnych i bezinwestycyjnego: </w:t>
            </w:r>
          </w:p>
          <w:p w14:paraId="4C1AFC7E" w14:textId="77777777" w:rsidR="00600DEE" w:rsidRDefault="00641FB5" w:rsidP="00D5736B">
            <w:pPr>
              <w:numPr>
                <w:ilvl w:val="1"/>
                <w:numId w:val="52"/>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wyniki uzyskane  bezpośrednio z modelu:</w:t>
            </w:r>
          </w:p>
          <w:p w14:paraId="42554298" w14:textId="77777777" w:rsidR="00600DEE" w:rsidRDefault="00641FB5" w:rsidP="00D5736B">
            <w:pPr>
              <w:numPr>
                <w:ilvl w:val="0"/>
                <w:numId w:val="81"/>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 xml:space="preserve">prognozowane natężenia ruchu na poszczególnych odcinkach, w relacjach źródło-cel, w SDR (poj/dobę), </w:t>
            </w:r>
          </w:p>
          <w:p w14:paraId="5BE88C5F" w14:textId="77777777" w:rsidR="00600DEE" w:rsidRDefault="00641FB5" w:rsidP="00D5736B">
            <w:pPr>
              <w:numPr>
                <w:ilvl w:val="0"/>
                <w:numId w:val="81"/>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średnie odległości podróży,</w:t>
            </w:r>
          </w:p>
          <w:p w14:paraId="035DF979" w14:textId="77777777" w:rsidR="00600DEE" w:rsidRDefault="00641FB5" w:rsidP="00D5736B">
            <w:pPr>
              <w:numPr>
                <w:ilvl w:val="0"/>
                <w:numId w:val="81"/>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ruch źródło-cel dla poszczególnych odcinków sieci,</w:t>
            </w:r>
          </w:p>
          <w:p w14:paraId="47384C15" w14:textId="77777777" w:rsidR="00600DEE" w:rsidRDefault="00641FB5" w:rsidP="00D5736B">
            <w:pPr>
              <w:numPr>
                <w:ilvl w:val="0"/>
                <w:numId w:val="81"/>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 xml:space="preserve">czas podróży na określonych odcinkach lub kategoriach odcinków o określonej długości, </w:t>
            </w:r>
          </w:p>
          <w:p w14:paraId="55CB9326" w14:textId="77777777" w:rsidR="00600DEE" w:rsidRDefault="00641FB5" w:rsidP="00D5736B">
            <w:pPr>
              <w:numPr>
                <w:ilvl w:val="0"/>
                <w:numId w:val="81"/>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prędkości podróży na poszczególnych odcinkach</w:t>
            </w:r>
          </w:p>
          <w:p w14:paraId="7DD90A9E" w14:textId="77777777" w:rsidR="00600DEE" w:rsidRDefault="00641FB5">
            <w:p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 xml:space="preserve">oraz </w:t>
            </w:r>
          </w:p>
          <w:p w14:paraId="0A794C3C" w14:textId="77777777" w:rsidR="00600DEE" w:rsidRDefault="00641FB5" w:rsidP="00D5736B">
            <w:pPr>
              <w:numPr>
                <w:ilvl w:val="1"/>
                <w:numId w:val="52"/>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 xml:space="preserve">wskaźniki pokazujące wydajność sieci: </w:t>
            </w:r>
          </w:p>
          <w:p w14:paraId="6A6E3E96" w14:textId="77777777" w:rsidR="00600DEE" w:rsidRDefault="00641FB5" w:rsidP="00D5736B">
            <w:pPr>
              <w:numPr>
                <w:ilvl w:val="0"/>
                <w:numId w:val="81"/>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liczba podróży,</w:t>
            </w:r>
          </w:p>
          <w:p w14:paraId="2263E174" w14:textId="77777777" w:rsidR="00600DEE" w:rsidRDefault="00641FB5" w:rsidP="00D5736B">
            <w:pPr>
              <w:numPr>
                <w:ilvl w:val="0"/>
                <w:numId w:val="81"/>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praca przewozowa na określonej sieci w poj-km i poj-godz w podziale na kategorie dróg/przedziały prędkości,</w:t>
            </w:r>
          </w:p>
          <w:p w14:paraId="6CCCD443" w14:textId="0374E601" w:rsidR="00600DEE" w:rsidRDefault="00641FB5" w:rsidP="00D5736B">
            <w:pPr>
              <w:numPr>
                <w:ilvl w:val="0"/>
                <w:numId w:val="81"/>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 xml:space="preserve">prognozę warunków ruchu w analizowanym okresie (poziom swobody ruchu) pokazującą wyliczone potoki ruchu w odniesieniu do przepustowości w okresie referencyjnym. </w:t>
            </w:r>
          </w:p>
          <w:p w14:paraId="08F8063B"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Wyniki prognozy ruchu wykorzystywane dla celów AKK (tj. długości odcinków, SDR </w:t>
            </w:r>
            <w:r>
              <w:rPr>
                <w:rFonts w:ascii="Calibri" w:eastAsia="Calibri" w:hAnsi="Calibri" w:cs="Calibri"/>
                <w:color w:val="000000"/>
                <w:sz w:val="20"/>
                <w:szCs w:val="20"/>
              </w:rPr>
              <w:br/>
              <w:t xml:space="preserve">i/lub prace przewozowe wyrażone w pojazdokilometrach i pojazdogodzinach dla danej sieci drogowej) powinny być przedstawiane z uwzględnieniem podziału na kategorie </w:t>
            </w:r>
            <w:r>
              <w:rPr>
                <w:rFonts w:ascii="Calibri" w:eastAsia="Calibri" w:hAnsi="Calibri" w:cs="Calibri"/>
                <w:color w:val="000000"/>
                <w:sz w:val="20"/>
                <w:szCs w:val="20"/>
              </w:rPr>
              <w:br/>
              <w:t xml:space="preserve">i/lub grupy dróg (np. w zależności od zakresu analizowanej sieci dróg) zgodnie </w:t>
            </w:r>
            <w:r>
              <w:rPr>
                <w:rFonts w:ascii="Calibri" w:eastAsia="Calibri" w:hAnsi="Calibri" w:cs="Calibri"/>
                <w:color w:val="000000"/>
                <w:sz w:val="20"/>
                <w:szCs w:val="20"/>
              </w:rPr>
              <w:br/>
              <w:t>z krajowym modelem ruchu udostępnianym przez GDDKiA:</w:t>
            </w:r>
          </w:p>
          <w:p w14:paraId="2E13AA86"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Autostrady</w:t>
            </w:r>
          </w:p>
          <w:p w14:paraId="4381AD26"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Drogi ekspresowe dwujezdniowe</w:t>
            </w:r>
          </w:p>
          <w:p w14:paraId="60DC55CE"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Drogi ekspresowe jednojezdniowe</w:t>
            </w:r>
          </w:p>
          <w:p w14:paraId="7FD4B937"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Drogi ekspresowe jednojezdniowe z dodatkowym pasem ruchu</w:t>
            </w:r>
          </w:p>
          <w:p w14:paraId="1ED27D13"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Drogi zamiejskie ogólnodostępne dwujezdniowe</w:t>
            </w:r>
          </w:p>
          <w:p w14:paraId="0C1512C1"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Drogi zamiejskie ogólnodostępne jednojezdniowe</w:t>
            </w:r>
          </w:p>
          <w:p w14:paraId="1F7D2937"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Ulice miejskie ogólnodostępne dwujezdniowe</w:t>
            </w:r>
          </w:p>
          <w:p w14:paraId="1FA2F82D"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Ulice miejskie ogólnodostępne jednojezdniowe</w:t>
            </w:r>
          </w:p>
          <w:p w14:paraId="4A179DFB"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Inne.</w:t>
            </w:r>
          </w:p>
          <w:p w14:paraId="0714728A"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Kategorie pojazdów zwykle brane pod uwagę przy prezentacji wyników prognozy są następujące:</w:t>
            </w:r>
          </w:p>
          <w:p w14:paraId="367ACF22"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Samochody osobowe</w:t>
            </w:r>
          </w:p>
          <w:p w14:paraId="20690B45"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Samochody dostawcze </w:t>
            </w:r>
          </w:p>
          <w:p w14:paraId="78E20737"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Samochody ciężarowe bez przyczepy </w:t>
            </w:r>
          </w:p>
          <w:p w14:paraId="123BCF2E"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Samochody ciężarowe z przyczepą</w:t>
            </w:r>
          </w:p>
          <w:p w14:paraId="1B87D77A" w14:textId="77777777" w:rsidR="00600DEE" w:rsidRDefault="00641FB5" w:rsidP="00D5736B">
            <w:pPr>
              <w:numPr>
                <w:ilvl w:val="0"/>
                <w:numId w:val="54"/>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Autobusy.</w:t>
            </w:r>
          </w:p>
          <w:p w14:paraId="45622CE6"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Kategorie pojazdów, które można zamiennie uwzględnić są następujące:</w:t>
            </w:r>
          </w:p>
          <w:p w14:paraId="62615BA1" w14:textId="77777777" w:rsidR="00600DEE" w:rsidRDefault="00641FB5" w:rsidP="00D5736B">
            <w:pPr>
              <w:numPr>
                <w:ilvl w:val="0"/>
                <w:numId w:val="54"/>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b/>
                <w:color w:val="000000"/>
                <w:sz w:val="20"/>
                <w:szCs w:val="20"/>
              </w:rPr>
              <w:t>LV</w:t>
            </w:r>
            <w:r>
              <w:rPr>
                <w:rFonts w:ascii="Calibri" w:eastAsia="Calibri" w:hAnsi="Calibri" w:cs="Calibri"/>
                <w:color w:val="000000"/>
                <w:sz w:val="20"/>
                <w:szCs w:val="20"/>
              </w:rPr>
              <w:t xml:space="preserve"> – samochody lekkie, masa całkowita &lt; 3,5 tony</w:t>
            </w:r>
          </w:p>
          <w:p w14:paraId="4C0514CA" w14:textId="77777777" w:rsidR="00600DEE" w:rsidRDefault="00641FB5" w:rsidP="00D5736B">
            <w:pPr>
              <w:numPr>
                <w:ilvl w:val="0"/>
                <w:numId w:val="54"/>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b/>
                <w:color w:val="000000"/>
                <w:sz w:val="20"/>
                <w:szCs w:val="20"/>
              </w:rPr>
              <w:t>HGV</w:t>
            </w:r>
            <w:r>
              <w:rPr>
                <w:rFonts w:ascii="Calibri" w:eastAsia="Calibri" w:hAnsi="Calibri" w:cs="Calibri"/>
                <w:color w:val="000000"/>
                <w:sz w:val="20"/>
                <w:szCs w:val="20"/>
              </w:rPr>
              <w:t xml:space="preserve"> – samochody ciężkie, masa całkowita &gt; 3,5 tony (w tym autobusy).</w:t>
            </w:r>
          </w:p>
        </w:tc>
        <w:tc>
          <w:tcPr>
            <w:tcW w:w="7204" w:type="dxa"/>
            <w:tcBorders>
              <w:left w:val="single" w:sz="4" w:space="0" w:color="000000"/>
            </w:tcBorders>
            <w:tcMar>
              <w:left w:w="284" w:type="dxa"/>
              <w:right w:w="284" w:type="dxa"/>
            </w:tcMar>
          </w:tcPr>
          <w:p w14:paraId="79FB7966" w14:textId="1BD831E4" w:rsidR="00600DEE" w:rsidRPr="0045151D" w:rsidRDefault="003E2A27">
            <w:pPr>
              <w:pBdr>
                <w:top w:val="nil"/>
                <w:left w:val="nil"/>
                <w:bottom w:val="nil"/>
                <w:right w:val="nil"/>
                <w:between w:val="nil"/>
              </w:pBdr>
              <w:spacing w:before="120" w:after="120"/>
              <w:jc w:val="both"/>
              <w:rPr>
                <w:rFonts w:ascii="Calibri" w:eastAsia="Calibri" w:hAnsi="Calibri" w:cs="Calibri"/>
                <w:color w:val="000000"/>
                <w:sz w:val="20"/>
                <w:szCs w:val="20"/>
                <w:lang w:val="en-GB"/>
              </w:rPr>
            </w:pPr>
            <w:r>
              <w:rPr>
                <w:rFonts w:ascii="Calibri" w:eastAsia="Calibri" w:hAnsi="Calibri" w:cs="Calibri"/>
                <w:color w:val="000000"/>
                <w:sz w:val="20"/>
                <w:szCs w:val="20"/>
                <w:lang w:val="en-GB"/>
              </w:rPr>
              <w:t xml:space="preserve">Main traffic model </w:t>
            </w:r>
            <w:r w:rsidR="00641FB5" w:rsidRPr="0045151D">
              <w:rPr>
                <w:rFonts w:ascii="Calibri" w:eastAsia="Calibri" w:hAnsi="Calibri" w:cs="Calibri"/>
                <w:color w:val="000000"/>
                <w:sz w:val="20"/>
                <w:szCs w:val="20"/>
                <w:lang w:val="en-GB"/>
              </w:rPr>
              <w:t>assumptions and forecasting results should be summarised in the CBA report (or attached as a separate document) including, at least, the following elements:</w:t>
            </w:r>
          </w:p>
          <w:p w14:paraId="3F6D2D19" w14:textId="77777777" w:rsidR="00600DEE" w:rsidRPr="0045151D"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location map showing the network within which the analysis of the project is carried out;</w:t>
            </w:r>
          </w:p>
          <w:p w14:paraId="5A67F96A" w14:textId="77777777" w:rsidR="00600DEE" w:rsidRPr="0045151D"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presentation of the base year traffic flows and historic traffic evolution (on existing roads of the relevant network as presented above), broken down into vehicle categories as defined in the GPR – national traffic survey (or, at least, distinguishing Light Vehicles (LV) and Heavy Goods Vehicles (HGV)), from at least two last GPR and the respective calculated changes;</w:t>
            </w:r>
          </w:p>
          <w:p w14:paraId="61D82F79" w14:textId="77777777" w:rsidR="00600DEE" w:rsidRPr="0045151D"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description of forecasting methodology and assumptions made;</w:t>
            </w:r>
          </w:p>
          <w:p w14:paraId="3DA2183D" w14:textId="77777777" w:rsidR="00600DEE"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rPr>
            </w:pPr>
            <w:r>
              <w:rPr>
                <w:rFonts w:ascii="Calibri" w:eastAsia="Calibri" w:hAnsi="Calibri" w:cs="Calibri"/>
                <w:color w:val="000000"/>
                <w:sz w:val="20"/>
                <w:szCs w:val="20"/>
              </w:rPr>
              <w:t>traffic growths indicators;</w:t>
            </w:r>
          </w:p>
          <w:p w14:paraId="0E88A97D" w14:textId="77777777" w:rsidR="00600DEE" w:rsidRPr="0045151D"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traffic modelling outputs for With and Without-the-Project options on the relevant network: </w:t>
            </w:r>
          </w:p>
          <w:p w14:paraId="2BDAE545" w14:textId="77777777" w:rsidR="00600DEE" w:rsidRPr="0045151D" w:rsidRDefault="00641FB5" w:rsidP="00D5736B">
            <w:pPr>
              <w:numPr>
                <w:ilvl w:val="0"/>
                <w:numId w:val="56"/>
              </w:numPr>
              <w:pBdr>
                <w:top w:val="nil"/>
                <w:left w:val="nil"/>
                <w:bottom w:val="nil"/>
                <w:right w:val="nil"/>
                <w:between w:val="nil"/>
              </w:pBdr>
              <w:spacing w:before="120" w:after="120"/>
              <w:ind w:left="795" w:hanging="36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direct outputs from the model:</w:t>
            </w:r>
          </w:p>
          <w:p w14:paraId="079A5F23" w14:textId="77777777" w:rsidR="00600DEE" w:rsidRPr="0045151D" w:rsidRDefault="00641FB5" w:rsidP="00D5736B">
            <w:pPr>
              <w:numPr>
                <w:ilvl w:val="2"/>
                <w:numId w:val="52"/>
              </w:numPr>
              <w:pBdr>
                <w:top w:val="nil"/>
                <w:left w:val="nil"/>
                <w:bottom w:val="nil"/>
                <w:right w:val="nil"/>
                <w:between w:val="nil"/>
              </w:pBdr>
              <w:spacing w:before="120" w:after="120"/>
              <w:ind w:left="795" w:hanging="36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forecasted demand on each section, between the O/D pairs, in average annual daily traffic (AADT) [veh/day], </w:t>
            </w:r>
          </w:p>
          <w:p w14:paraId="484077BD" w14:textId="77777777" w:rsidR="00600DEE" w:rsidRPr="0045151D" w:rsidRDefault="00641FB5" w:rsidP="00D5736B">
            <w:pPr>
              <w:numPr>
                <w:ilvl w:val="2"/>
                <w:numId w:val="52"/>
              </w:numPr>
              <w:pBdr>
                <w:top w:val="nil"/>
                <w:left w:val="nil"/>
                <w:bottom w:val="nil"/>
                <w:right w:val="nil"/>
                <w:between w:val="nil"/>
              </w:pBdr>
              <w:spacing w:before="120" w:after="120"/>
              <w:ind w:left="795" w:hanging="36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average length of the trips,</w:t>
            </w:r>
          </w:p>
          <w:p w14:paraId="6C3E6613" w14:textId="77777777" w:rsidR="00600DEE" w:rsidRPr="0045151D" w:rsidRDefault="00641FB5" w:rsidP="00D5736B">
            <w:pPr>
              <w:numPr>
                <w:ilvl w:val="2"/>
                <w:numId w:val="52"/>
              </w:numPr>
              <w:pBdr>
                <w:top w:val="nil"/>
                <w:left w:val="nil"/>
                <w:bottom w:val="nil"/>
                <w:right w:val="nil"/>
                <w:between w:val="nil"/>
              </w:pBdr>
              <w:spacing w:before="120" w:after="120"/>
              <w:ind w:left="795" w:hanging="36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O/D pairs traffic for individual sections, </w:t>
            </w:r>
          </w:p>
          <w:p w14:paraId="30DECDA1" w14:textId="77777777" w:rsidR="00600DEE" w:rsidRPr="0045151D" w:rsidRDefault="00641FB5" w:rsidP="00D5736B">
            <w:pPr>
              <w:numPr>
                <w:ilvl w:val="2"/>
                <w:numId w:val="52"/>
              </w:numPr>
              <w:pBdr>
                <w:top w:val="nil"/>
                <w:left w:val="nil"/>
                <w:bottom w:val="nil"/>
                <w:right w:val="nil"/>
                <w:between w:val="nil"/>
              </w:pBdr>
              <w:spacing w:before="120" w:after="120"/>
              <w:ind w:left="795" w:hanging="36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travel time along a specific section/series of sections of indicated lenght,</w:t>
            </w:r>
          </w:p>
          <w:p w14:paraId="6E837486" w14:textId="77777777" w:rsidR="00600DEE" w:rsidRDefault="00641FB5" w:rsidP="00D5736B">
            <w:pPr>
              <w:numPr>
                <w:ilvl w:val="2"/>
                <w:numId w:val="52"/>
              </w:numPr>
              <w:pBdr>
                <w:top w:val="nil"/>
                <w:left w:val="nil"/>
                <w:bottom w:val="nil"/>
                <w:right w:val="nil"/>
                <w:between w:val="nil"/>
              </w:pBdr>
              <w:spacing w:before="120" w:after="120"/>
              <w:ind w:left="795" w:hanging="369"/>
              <w:jc w:val="both"/>
              <w:rPr>
                <w:rFonts w:ascii="Calibri" w:eastAsia="Calibri" w:hAnsi="Calibri" w:cs="Calibri"/>
                <w:color w:val="000000"/>
                <w:sz w:val="20"/>
                <w:szCs w:val="20"/>
              </w:rPr>
            </w:pPr>
            <w:r>
              <w:rPr>
                <w:rFonts w:ascii="Calibri" w:eastAsia="Calibri" w:hAnsi="Calibri" w:cs="Calibri"/>
                <w:color w:val="000000"/>
                <w:sz w:val="20"/>
                <w:szCs w:val="20"/>
              </w:rPr>
              <w:t>speed on sections</w:t>
            </w:r>
          </w:p>
          <w:p w14:paraId="441A2D1E" w14:textId="77777777" w:rsidR="00600DEE" w:rsidRDefault="00641FB5">
            <w:pPr>
              <w:pBdr>
                <w:top w:val="nil"/>
                <w:left w:val="nil"/>
                <w:bottom w:val="nil"/>
                <w:right w:val="nil"/>
                <w:between w:val="nil"/>
              </w:pBdr>
              <w:spacing w:before="120" w:after="120"/>
              <w:ind w:left="795" w:hanging="369"/>
              <w:jc w:val="both"/>
              <w:rPr>
                <w:rFonts w:ascii="Calibri" w:eastAsia="Calibri" w:hAnsi="Calibri" w:cs="Calibri"/>
                <w:color w:val="000000"/>
                <w:sz w:val="20"/>
                <w:szCs w:val="20"/>
              </w:rPr>
            </w:pPr>
            <w:r>
              <w:rPr>
                <w:rFonts w:ascii="Calibri" w:eastAsia="Calibri" w:hAnsi="Calibri" w:cs="Calibri"/>
                <w:color w:val="000000"/>
                <w:sz w:val="20"/>
                <w:szCs w:val="20"/>
              </w:rPr>
              <w:t xml:space="preserve">and </w:t>
            </w:r>
          </w:p>
          <w:p w14:paraId="3B41BC3A" w14:textId="77777777" w:rsidR="00600DEE" w:rsidRDefault="00641FB5" w:rsidP="00D5736B">
            <w:pPr>
              <w:numPr>
                <w:ilvl w:val="0"/>
                <w:numId w:val="56"/>
              </w:numPr>
              <w:pBdr>
                <w:top w:val="nil"/>
                <w:left w:val="nil"/>
                <w:bottom w:val="nil"/>
                <w:right w:val="nil"/>
                <w:between w:val="nil"/>
              </w:pBdr>
              <w:spacing w:before="120" w:after="120"/>
              <w:ind w:left="795" w:hanging="369"/>
              <w:jc w:val="both"/>
              <w:rPr>
                <w:rFonts w:ascii="Calibri" w:eastAsia="Calibri" w:hAnsi="Calibri" w:cs="Calibri"/>
                <w:color w:val="000000"/>
                <w:sz w:val="20"/>
                <w:szCs w:val="20"/>
              </w:rPr>
            </w:pPr>
            <w:r>
              <w:rPr>
                <w:rFonts w:ascii="Calibri" w:eastAsia="Calibri" w:hAnsi="Calibri" w:cs="Calibri"/>
                <w:color w:val="000000"/>
                <w:sz w:val="20"/>
                <w:szCs w:val="20"/>
              </w:rPr>
              <w:t xml:space="preserve"> network performance indicators: </w:t>
            </w:r>
          </w:p>
          <w:p w14:paraId="63DEDF39" w14:textId="77777777" w:rsidR="00600DEE" w:rsidRDefault="00641FB5" w:rsidP="00D5736B">
            <w:pPr>
              <w:numPr>
                <w:ilvl w:val="2"/>
                <w:numId w:val="52"/>
              </w:numPr>
              <w:pBdr>
                <w:top w:val="nil"/>
                <w:left w:val="nil"/>
                <w:bottom w:val="nil"/>
                <w:right w:val="nil"/>
                <w:between w:val="nil"/>
              </w:pBdr>
              <w:spacing w:before="120" w:after="120"/>
              <w:ind w:left="795" w:hanging="369"/>
              <w:jc w:val="both"/>
              <w:rPr>
                <w:rFonts w:ascii="Calibri" w:eastAsia="Calibri" w:hAnsi="Calibri" w:cs="Calibri"/>
                <w:color w:val="000000"/>
                <w:sz w:val="20"/>
                <w:szCs w:val="20"/>
              </w:rPr>
            </w:pPr>
            <w:r>
              <w:rPr>
                <w:rFonts w:ascii="Calibri" w:eastAsia="Calibri" w:hAnsi="Calibri" w:cs="Calibri"/>
                <w:color w:val="000000"/>
                <w:sz w:val="20"/>
                <w:szCs w:val="20"/>
              </w:rPr>
              <w:t xml:space="preserve">number of trips, </w:t>
            </w:r>
          </w:p>
          <w:p w14:paraId="78268BF5" w14:textId="77777777" w:rsidR="00600DEE" w:rsidRPr="0045151D" w:rsidRDefault="00641FB5" w:rsidP="00D5736B">
            <w:pPr>
              <w:numPr>
                <w:ilvl w:val="2"/>
                <w:numId w:val="52"/>
              </w:numPr>
              <w:pBdr>
                <w:top w:val="nil"/>
                <w:left w:val="nil"/>
                <w:bottom w:val="nil"/>
                <w:right w:val="nil"/>
                <w:between w:val="nil"/>
              </w:pBdr>
              <w:spacing w:before="120" w:after="120"/>
              <w:ind w:left="795" w:hanging="36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transport work on the considered network in veh-km and in veh-h, distinguishing by categories of roads/speed ranges;</w:t>
            </w:r>
          </w:p>
          <w:p w14:paraId="79D438AD" w14:textId="77777777" w:rsidR="00600DEE" w:rsidRPr="0045151D" w:rsidRDefault="00641FB5" w:rsidP="00D5736B">
            <w:pPr>
              <w:numPr>
                <w:ilvl w:val="2"/>
                <w:numId w:val="52"/>
              </w:numPr>
              <w:pBdr>
                <w:top w:val="nil"/>
                <w:left w:val="nil"/>
                <w:bottom w:val="nil"/>
                <w:right w:val="nil"/>
                <w:between w:val="nil"/>
              </w:pBdr>
              <w:spacing w:before="120" w:after="120"/>
              <w:ind w:left="795" w:hanging="36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assessment of the project traffic flow conditions (Level of Service) as regards the calculated traffic flows vs. capacity along the reference period.</w:t>
            </w:r>
          </w:p>
          <w:p w14:paraId="5D8F3CA8" w14:textId="07BF4185"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Traffic forecast outputs to be used in CBA calculations (i.e. road section lengths, AADT and/or transport work expressed in veh-km and veh-h for the whole network) should be generally presented distinguishing the following road categories and/or groups (i.e. depending on the analysed road network), in line with GD</w:t>
            </w:r>
            <w:r w:rsidR="00497CC7">
              <w:rPr>
                <w:rFonts w:ascii="Calibri" w:eastAsia="Calibri" w:hAnsi="Calibri" w:cs="Calibri"/>
                <w:color w:val="000000"/>
                <w:sz w:val="20"/>
                <w:szCs w:val="20"/>
                <w:lang w:val="en-GB"/>
              </w:rPr>
              <w:t>DKiA’s national traffic model</w:t>
            </w:r>
            <w:r w:rsidRPr="0045151D">
              <w:rPr>
                <w:rFonts w:ascii="Calibri" w:eastAsia="Calibri" w:hAnsi="Calibri" w:cs="Calibri"/>
                <w:color w:val="000000"/>
                <w:sz w:val="20"/>
                <w:szCs w:val="20"/>
                <w:lang w:val="en-GB"/>
              </w:rPr>
              <w:t>:</w:t>
            </w:r>
          </w:p>
          <w:p w14:paraId="5B16E3F4" w14:textId="77777777" w:rsidR="00600DEE" w:rsidRDefault="00641FB5" w:rsidP="00D5736B">
            <w:pPr>
              <w:numPr>
                <w:ilvl w:val="0"/>
                <w:numId w:val="19"/>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Motorways</w:t>
            </w:r>
          </w:p>
          <w:p w14:paraId="1833E933" w14:textId="77777777" w:rsidR="00600DEE" w:rsidRDefault="00641FB5" w:rsidP="00D5736B">
            <w:pPr>
              <w:numPr>
                <w:ilvl w:val="0"/>
                <w:numId w:val="19"/>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Expressways dual carriageway</w:t>
            </w:r>
          </w:p>
          <w:p w14:paraId="1A86100A" w14:textId="77777777" w:rsidR="00600DEE" w:rsidRDefault="00641FB5" w:rsidP="00D5736B">
            <w:pPr>
              <w:numPr>
                <w:ilvl w:val="0"/>
                <w:numId w:val="19"/>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Expressways single carriageway</w:t>
            </w:r>
          </w:p>
          <w:p w14:paraId="24220030" w14:textId="77777777" w:rsidR="00600DEE" w:rsidRPr="0045151D" w:rsidRDefault="00641FB5" w:rsidP="00D5736B">
            <w:pPr>
              <w:numPr>
                <w:ilvl w:val="0"/>
                <w:numId w:val="19"/>
              </w:num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Expressways single carriageway with one additional lane,</w:t>
            </w:r>
          </w:p>
          <w:p w14:paraId="476DFFE3" w14:textId="77777777" w:rsidR="00600DEE" w:rsidRPr="0045151D" w:rsidRDefault="00641FB5" w:rsidP="00D5736B">
            <w:pPr>
              <w:numPr>
                <w:ilvl w:val="0"/>
                <w:numId w:val="19"/>
              </w:num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Public non-urban roads dual carriageway</w:t>
            </w:r>
          </w:p>
          <w:p w14:paraId="61FE881F" w14:textId="77777777" w:rsidR="00600DEE" w:rsidRPr="0045151D" w:rsidRDefault="00641FB5" w:rsidP="00D5736B">
            <w:pPr>
              <w:numPr>
                <w:ilvl w:val="0"/>
                <w:numId w:val="19"/>
              </w:num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 Public non-urban roads single carriageway</w:t>
            </w:r>
          </w:p>
          <w:p w14:paraId="7CB8F33C" w14:textId="77777777" w:rsidR="00600DEE" w:rsidRDefault="00641FB5" w:rsidP="00D5736B">
            <w:pPr>
              <w:numPr>
                <w:ilvl w:val="0"/>
                <w:numId w:val="19"/>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Public urban streets dual carriageway</w:t>
            </w:r>
          </w:p>
          <w:p w14:paraId="5E584D2A" w14:textId="7663568B" w:rsidR="00600DEE" w:rsidRDefault="00641FB5" w:rsidP="00D5736B">
            <w:pPr>
              <w:numPr>
                <w:ilvl w:val="0"/>
                <w:numId w:val="19"/>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Public urban streets single carriageway</w:t>
            </w:r>
          </w:p>
          <w:p w14:paraId="5BFC09DB" w14:textId="3C669196" w:rsidR="00497CC7" w:rsidRDefault="00497CC7" w:rsidP="00D5736B">
            <w:pPr>
              <w:numPr>
                <w:ilvl w:val="0"/>
                <w:numId w:val="19"/>
              </w:num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All other roads.</w:t>
            </w:r>
          </w:p>
          <w:p w14:paraId="7C953492" w14:textId="75C25B66"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Vehicle categories usually used for the presentation of traffic forecast outputs are listed below:</w:t>
            </w:r>
          </w:p>
          <w:p w14:paraId="030ECFF6" w14:textId="77777777" w:rsidR="00600DEE"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rPr>
            </w:pPr>
            <w:r>
              <w:rPr>
                <w:rFonts w:ascii="Calibri" w:eastAsia="Calibri" w:hAnsi="Calibri" w:cs="Calibri"/>
                <w:color w:val="000000"/>
                <w:sz w:val="20"/>
                <w:szCs w:val="20"/>
              </w:rPr>
              <w:t>Passenger cars</w:t>
            </w:r>
          </w:p>
          <w:p w14:paraId="6A4CBAD9" w14:textId="77777777" w:rsidR="00600DEE"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rPr>
            </w:pPr>
            <w:r>
              <w:rPr>
                <w:rFonts w:ascii="Calibri" w:eastAsia="Calibri" w:hAnsi="Calibri" w:cs="Calibri"/>
                <w:color w:val="000000"/>
                <w:sz w:val="20"/>
                <w:szCs w:val="20"/>
              </w:rPr>
              <w:t>Vans</w:t>
            </w:r>
          </w:p>
          <w:p w14:paraId="1CA916AA" w14:textId="77777777" w:rsidR="00600DEE"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rPr>
            </w:pPr>
            <w:r>
              <w:rPr>
                <w:rFonts w:ascii="Calibri" w:eastAsia="Calibri" w:hAnsi="Calibri" w:cs="Calibri"/>
                <w:color w:val="000000"/>
                <w:sz w:val="20"/>
                <w:szCs w:val="20"/>
              </w:rPr>
              <w:t>Trucks without trailers</w:t>
            </w:r>
          </w:p>
          <w:p w14:paraId="1DD73D98" w14:textId="77777777" w:rsidR="00600DEE"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rPr>
            </w:pPr>
            <w:r>
              <w:rPr>
                <w:rFonts w:ascii="Calibri" w:eastAsia="Calibri" w:hAnsi="Calibri" w:cs="Calibri"/>
                <w:color w:val="000000"/>
                <w:sz w:val="20"/>
                <w:szCs w:val="20"/>
              </w:rPr>
              <w:t>Trucks with trailers</w:t>
            </w:r>
          </w:p>
          <w:p w14:paraId="6562AEC8" w14:textId="77777777" w:rsidR="00600DEE" w:rsidRDefault="00641FB5" w:rsidP="00D5736B">
            <w:pPr>
              <w:numPr>
                <w:ilvl w:val="0"/>
                <w:numId w:val="19"/>
              </w:numPr>
              <w:pBdr>
                <w:top w:val="nil"/>
                <w:left w:val="nil"/>
                <w:bottom w:val="nil"/>
                <w:right w:val="nil"/>
                <w:between w:val="nil"/>
              </w:pBdr>
              <w:spacing w:before="120" w:after="120"/>
              <w:ind w:left="795" w:hanging="795"/>
              <w:jc w:val="both"/>
              <w:rPr>
                <w:rFonts w:ascii="Calibri" w:eastAsia="Calibri" w:hAnsi="Calibri" w:cs="Calibri"/>
                <w:color w:val="000000"/>
                <w:sz w:val="20"/>
                <w:szCs w:val="20"/>
              </w:rPr>
            </w:pPr>
            <w:r>
              <w:rPr>
                <w:rFonts w:ascii="Calibri" w:eastAsia="Calibri" w:hAnsi="Calibri" w:cs="Calibri"/>
                <w:color w:val="000000"/>
                <w:sz w:val="20"/>
                <w:szCs w:val="20"/>
              </w:rPr>
              <w:t>Buses.</w:t>
            </w:r>
          </w:p>
          <w:p w14:paraId="15D82233"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Vehicle categories which can alternatively be used: </w:t>
            </w:r>
          </w:p>
          <w:p w14:paraId="1FA4B574" w14:textId="77777777" w:rsidR="00600DEE" w:rsidRPr="0045151D" w:rsidRDefault="00641FB5" w:rsidP="00D5736B">
            <w:pPr>
              <w:numPr>
                <w:ilvl w:val="0"/>
                <w:numId w:val="54"/>
              </w:numPr>
              <w:pBdr>
                <w:top w:val="nil"/>
                <w:left w:val="nil"/>
                <w:bottom w:val="nil"/>
                <w:right w:val="nil"/>
                <w:between w:val="nil"/>
              </w:pBdr>
              <w:spacing w:before="120" w:after="120"/>
              <w:ind w:left="795" w:hanging="795"/>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LV</w:t>
            </w:r>
            <w:r w:rsidRPr="0045151D">
              <w:rPr>
                <w:rFonts w:ascii="Calibri" w:eastAsia="Calibri" w:hAnsi="Calibri" w:cs="Calibri"/>
                <w:color w:val="000000"/>
                <w:sz w:val="20"/>
                <w:szCs w:val="20"/>
                <w:lang w:val="en-GB"/>
              </w:rPr>
              <w:t xml:space="preserve"> – light vehicles, gross weight &lt; 3,5 tons</w:t>
            </w:r>
          </w:p>
          <w:p w14:paraId="0CD1DC17" w14:textId="77777777" w:rsidR="00600DEE" w:rsidRPr="0045151D" w:rsidRDefault="00641FB5" w:rsidP="00D5736B">
            <w:pPr>
              <w:numPr>
                <w:ilvl w:val="0"/>
                <w:numId w:val="54"/>
              </w:numPr>
              <w:pBdr>
                <w:top w:val="nil"/>
                <w:left w:val="nil"/>
                <w:bottom w:val="nil"/>
                <w:right w:val="nil"/>
                <w:between w:val="nil"/>
              </w:pBdr>
              <w:spacing w:before="120" w:after="120"/>
              <w:ind w:left="795" w:hanging="795"/>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HGV</w:t>
            </w:r>
            <w:r w:rsidRPr="0045151D">
              <w:rPr>
                <w:rFonts w:ascii="Calibri" w:eastAsia="Calibri" w:hAnsi="Calibri" w:cs="Calibri"/>
                <w:color w:val="000000"/>
                <w:sz w:val="20"/>
                <w:szCs w:val="20"/>
                <w:lang w:val="en-GB"/>
              </w:rPr>
              <w:t xml:space="preserve"> – heavy goods vehicles, gross weight &gt; 3,5 tons (incl. buses).</w:t>
            </w:r>
          </w:p>
          <w:p w14:paraId="69F513A1" w14:textId="77777777" w:rsidR="00600DEE" w:rsidRPr="0045151D" w:rsidRDefault="00600DEE">
            <w:pPr>
              <w:pBdr>
                <w:top w:val="nil"/>
                <w:left w:val="nil"/>
                <w:bottom w:val="nil"/>
                <w:right w:val="nil"/>
                <w:between w:val="nil"/>
              </w:pBdr>
              <w:spacing w:before="120" w:after="120"/>
              <w:jc w:val="both"/>
              <w:rPr>
                <w:rFonts w:ascii="Calibri" w:eastAsia="Calibri" w:hAnsi="Calibri" w:cs="Calibri"/>
                <w:color w:val="000000"/>
                <w:sz w:val="20"/>
                <w:szCs w:val="20"/>
                <w:lang w:val="en-GB"/>
              </w:rPr>
            </w:pPr>
          </w:p>
        </w:tc>
      </w:tr>
    </w:tbl>
    <w:p w14:paraId="42EEBB7D" w14:textId="2A99982F" w:rsidR="00600DEE" w:rsidRDefault="00641FB5" w:rsidP="00D5736B">
      <w:pPr>
        <w:pStyle w:val="Nagwek2"/>
        <w:numPr>
          <w:ilvl w:val="1"/>
          <w:numId w:val="17"/>
        </w:numPr>
        <w:ind w:left="0" w:firstLine="0"/>
        <w:rPr>
          <w:rFonts w:ascii="Calibri" w:eastAsia="Calibri" w:hAnsi="Calibri" w:cs="Calibri"/>
          <w:color w:val="4F81BD"/>
        </w:rPr>
      </w:pPr>
      <w:bookmarkStart w:id="48" w:name="_Toc95377978"/>
      <w:r>
        <w:rPr>
          <w:rFonts w:ascii="Calibri" w:eastAsia="Calibri" w:hAnsi="Calibri" w:cs="Calibri"/>
          <w:color w:val="4F81BD"/>
        </w:rPr>
        <w:t>Założenia kosztowe dla wariantu bezinwestycyjnego (W0) i wariantów inwestycyjnych (Wn)</w:t>
      </w:r>
      <w:r>
        <w:rPr>
          <w:rFonts w:ascii="Calibri" w:eastAsia="Calibri" w:hAnsi="Calibri" w:cs="Calibri"/>
          <w:color w:val="4F81BD"/>
        </w:rPr>
        <w:br/>
      </w:r>
      <w:r>
        <w:rPr>
          <w:rFonts w:ascii="Calibri" w:eastAsia="Calibri" w:hAnsi="Calibri" w:cs="Calibri"/>
          <w:i/>
          <w:color w:val="4F81BD"/>
        </w:rPr>
        <w:t>1.9</w:t>
      </w:r>
      <w:r>
        <w:rPr>
          <w:rFonts w:ascii="Calibri" w:eastAsia="Calibri" w:hAnsi="Calibri" w:cs="Calibri"/>
          <w:color w:val="4F81BD"/>
        </w:rPr>
        <w:t xml:space="preserve">  </w:t>
      </w:r>
      <w:r>
        <w:rPr>
          <w:rFonts w:ascii="Calibri" w:eastAsia="Calibri" w:hAnsi="Calibri" w:cs="Calibri"/>
          <w:i/>
          <w:color w:val="4F81BD"/>
        </w:rPr>
        <w:t>Costs assumptions for the “without-the-project” scenario (W0) and for the project investment options (Wn)</w:t>
      </w:r>
      <w:bookmarkEnd w:id="48"/>
    </w:p>
    <w:p w14:paraId="5B9B81B3" w14:textId="26156837" w:rsidR="00600DEE" w:rsidRDefault="00641FB5" w:rsidP="00D5736B">
      <w:pPr>
        <w:pStyle w:val="Nagwek3"/>
        <w:numPr>
          <w:ilvl w:val="2"/>
          <w:numId w:val="17"/>
        </w:numPr>
        <w:spacing w:before="120" w:after="120"/>
        <w:ind w:left="0" w:firstLine="0"/>
        <w:rPr>
          <w:rFonts w:ascii="Calibri" w:eastAsia="Calibri" w:hAnsi="Calibri" w:cs="Calibri"/>
          <w:i/>
          <w:color w:val="4F81BD"/>
        </w:rPr>
      </w:pPr>
      <w:bookmarkStart w:id="49" w:name="_Toc91596241"/>
      <w:bookmarkStart w:id="50" w:name="_Toc95377979"/>
      <w:r>
        <w:rPr>
          <w:rFonts w:ascii="Calibri" w:eastAsia="Calibri" w:hAnsi="Calibri" w:cs="Calibri"/>
          <w:color w:val="4F81BD"/>
        </w:rPr>
        <w:t>Przygotowanie danych wejściowych dotyczących nakładów kapitałowych dla wariantów inwestycyjnych</w:t>
      </w:r>
      <w:bookmarkEnd w:id="49"/>
      <w:bookmarkEnd w:id="50"/>
    </w:p>
    <w:p w14:paraId="77CBA151" w14:textId="524ECB7C" w:rsidR="00600DEE" w:rsidRPr="0045151D" w:rsidRDefault="00641FB5" w:rsidP="00D24D31">
      <w:pPr>
        <w:pStyle w:val="Nagwek3"/>
        <w:spacing w:before="120" w:after="120"/>
        <w:rPr>
          <w:rFonts w:ascii="Calibri" w:eastAsia="Calibri" w:hAnsi="Calibri" w:cs="Calibri"/>
          <w:i/>
          <w:color w:val="4F81BD"/>
          <w:lang w:val="en-GB"/>
        </w:rPr>
      </w:pPr>
      <w:bookmarkStart w:id="51" w:name="_Toc95377980"/>
      <w:r w:rsidRPr="0045151D">
        <w:rPr>
          <w:rFonts w:ascii="Calibri" w:eastAsia="Calibri" w:hAnsi="Calibri" w:cs="Calibri"/>
          <w:i/>
          <w:color w:val="4F81BD"/>
          <w:lang w:val="en-GB"/>
        </w:rPr>
        <w:t>1.9.1   Preparation of capital expenditures inputs for investment options</w:t>
      </w:r>
      <w:bookmarkEnd w:id="51"/>
    </w:p>
    <w:tbl>
      <w:tblPr>
        <w:tblStyle w:val="aff3"/>
        <w:tblW w:w="14571" w:type="dxa"/>
        <w:tblLayout w:type="fixed"/>
        <w:tblLook w:val="0400" w:firstRow="0" w:lastRow="0" w:firstColumn="0" w:lastColumn="0" w:noHBand="0" w:noVBand="1"/>
      </w:tblPr>
      <w:tblGrid>
        <w:gridCol w:w="7367"/>
        <w:gridCol w:w="7204"/>
      </w:tblGrid>
      <w:tr w:rsidR="00600DEE" w:rsidRPr="007463B9" w14:paraId="6E93F5BB" w14:textId="77777777">
        <w:tc>
          <w:tcPr>
            <w:tcW w:w="7367" w:type="dxa"/>
            <w:tcBorders>
              <w:right w:val="single" w:sz="4" w:space="0" w:color="000000"/>
            </w:tcBorders>
            <w:tcMar>
              <w:left w:w="284" w:type="dxa"/>
              <w:right w:w="284" w:type="dxa"/>
            </w:tcMar>
          </w:tcPr>
          <w:p w14:paraId="59F892D7" w14:textId="77777777" w:rsidR="00600DEE" w:rsidRDefault="00641FB5" w:rsidP="00D24D31">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Do najważniejszych danych wejściowych należą nakłady kapitałowe dla każdego </w:t>
            </w:r>
            <w:r>
              <w:rPr>
                <w:rFonts w:ascii="Calibri" w:eastAsia="Calibri" w:hAnsi="Calibri" w:cs="Calibri"/>
                <w:color w:val="000000"/>
                <w:sz w:val="20"/>
                <w:szCs w:val="20"/>
              </w:rPr>
              <w:br/>
              <w:t xml:space="preserve">z wariantów inwestycyjnych. </w:t>
            </w:r>
          </w:p>
          <w:p w14:paraId="30262A08"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Umiejętność właściwego szacowania przyszłych kosztów i zakresu ich dokładności jest kluczowa nie tylko dla AKK, ale również dla planowania i realizacji programu inwestycyjnego jako całości. Jest to zagadnienie, które dotyczy wielu Beneficjentów, dlatego zaleca się dużą ostrożność i dokładność w procesie szacowania kosztów inwestycyjnych.</w:t>
            </w:r>
          </w:p>
          <w:p w14:paraId="43274C46"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Należy uwzględnić najlepsze dostępne informacje o aktualnie kształtujących się cenach na roboty budowlane w drogownictwie. Istotną rzeczą jest zrozumienie podstawy oszacowania, a zatem oczekiwanej dokładności oraz sprawdzenie tego zakresu niepewności w analizie wrażliwości (patrz rozdział 4.1). Przy wyborze wariantu większe znaczenie ma zastosowanie spójnej podstawy kosztowej dla wszystkich wariantów inwestycyjnych niż uzyskanie dokładnych danych w wartościach bezwzględnych. Należy przedstawić wszystkie przyjęte założenia. Dlatego bardzo istotne jest, aby oszacowanie kosztów inwestycyjnych odbyło się na podstawie dokumentacji zawierającej szacunki na podobnym  poziomie dokładności.</w:t>
            </w:r>
          </w:p>
          <w:p w14:paraId="55A5EB53"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W momencie przygotowywania wniosku o dofinansowanie możliwe jest aktualizowanie kosztów na podstawie dokładniejszych przedmiarów (na szczegółowych projektach wykonawczych) lub zastosowanie cen z ofert przetargowych na wykonawstwo. Jeżeli nowe szacunki mieszczą się w zakresie badanym w analizie wrażliwości i wyniki są nadal możliwe do zaakceptowania, na tym etapie nie ma potrzeby powtarzania pełnej analizy (aktualizacja tylko w przypadku gdy wykonujący analizę uzna to za stosowne). </w:t>
            </w:r>
          </w:p>
          <w:p w14:paraId="5941BD72"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W0 nie występują nakłady inwestycyjne. Jednakże w przypadku bardzo złego stanu technicznego może być konieczne poniesienie znaczących kosztów na przeprowadzenie prac mających na celu zapewnienie funkcjonowania infrastruktury. W takim przypadku koszty te należy zakwalifikować do nakładów na utrzymanie i remonty w wariancie W0.</w:t>
            </w:r>
          </w:p>
          <w:p w14:paraId="4A0DA6A4"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Dla projektów drogowych zaleca się podział nakładów inwestycyjnych na główne kategorie kosztów (proponowane w tabeli poniżej), jeżeli oczywiście taki poziom szczegółowości informacji jest dostępny:</w:t>
            </w:r>
          </w:p>
          <w:p w14:paraId="08BEAE75"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8. Zestawienie szacunkowych kosztów inwestycyjnych</w:t>
            </w:r>
          </w:p>
          <w:tbl>
            <w:tblPr>
              <w:tblStyle w:val="aff4"/>
              <w:tblW w:w="6726" w:type="dxa"/>
              <w:tblLayout w:type="fixed"/>
              <w:tblLook w:val="0000" w:firstRow="0" w:lastRow="0" w:firstColumn="0" w:lastColumn="0" w:noHBand="0" w:noVBand="0"/>
            </w:tblPr>
            <w:tblGrid>
              <w:gridCol w:w="532"/>
              <w:gridCol w:w="1698"/>
              <w:gridCol w:w="720"/>
              <w:gridCol w:w="720"/>
              <w:gridCol w:w="631"/>
              <w:gridCol w:w="716"/>
              <w:gridCol w:w="766"/>
              <w:gridCol w:w="943"/>
            </w:tblGrid>
            <w:tr w:rsidR="00600DEE" w14:paraId="31A1D338" w14:textId="77777777" w:rsidTr="00D24D31">
              <w:trPr>
                <w:trHeight w:hRule="exact" w:val="737"/>
              </w:trPr>
              <w:tc>
                <w:tcPr>
                  <w:tcW w:w="532" w:type="dxa"/>
                  <w:vMerge w:val="restart"/>
                  <w:tcBorders>
                    <w:top w:val="single" w:sz="4" w:space="0" w:color="FFFFFF"/>
                    <w:left w:val="single" w:sz="4" w:space="0" w:color="FFFFFF"/>
                  </w:tcBorders>
                  <w:shd w:val="clear" w:color="auto" w:fill="A6A6A6"/>
                  <w:vAlign w:val="center"/>
                </w:tcPr>
                <w:p w14:paraId="16377FEB"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Lp.</w:t>
                  </w:r>
                </w:p>
              </w:tc>
              <w:tc>
                <w:tcPr>
                  <w:tcW w:w="1698" w:type="dxa"/>
                  <w:vMerge w:val="restart"/>
                  <w:tcBorders>
                    <w:top w:val="single" w:sz="4" w:space="0" w:color="FFFFFF"/>
                    <w:left w:val="single" w:sz="4" w:space="0" w:color="FFFFFF"/>
                  </w:tcBorders>
                  <w:shd w:val="clear" w:color="auto" w:fill="A6A6A6"/>
                  <w:vAlign w:val="center"/>
                </w:tcPr>
                <w:p w14:paraId="6A3323CC"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Kategoria kosztów</w:t>
                  </w:r>
                </w:p>
              </w:tc>
              <w:tc>
                <w:tcPr>
                  <w:tcW w:w="4496" w:type="dxa"/>
                  <w:gridSpan w:val="6"/>
                  <w:tcBorders>
                    <w:top w:val="single" w:sz="4" w:space="0" w:color="FFFFFF"/>
                    <w:left w:val="single" w:sz="4" w:space="0" w:color="FFFFFF"/>
                    <w:bottom w:val="single" w:sz="4" w:space="0" w:color="FFFFFF"/>
                  </w:tcBorders>
                  <w:shd w:val="clear" w:color="auto" w:fill="A6A6A6"/>
                  <w:vAlign w:val="center"/>
                </w:tcPr>
                <w:p w14:paraId="46F1499C"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Warianty inwestycyjne (Opcje) w tys. PLN</w:t>
                  </w:r>
                </w:p>
              </w:tc>
            </w:tr>
            <w:tr w:rsidR="00600DEE" w14:paraId="33DFFE8E" w14:textId="77777777" w:rsidTr="00D24D31">
              <w:trPr>
                <w:trHeight w:val="228"/>
              </w:trPr>
              <w:tc>
                <w:tcPr>
                  <w:tcW w:w="532" w:type="dxa"/>
                  <w:vMerge/>
                  <w:tcBorders>
                    <w:top w:val="single" w:sz="4" w:space="0" w:color="FFFFFF"/>
                    <w:left w:val="single" w:sz="4" w:space="0" w:color="FFFFFF"/>
                  </w:tcBorders>
                  <w:shd w:val="clear" w:color="auto" w:fill="A6A6A6"/>
                  <w:vAlign w:val="center"/>
                </w:tcPr>
                <w:p w14:paraId="2830D440"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698" w:type="dxa"/>
                  <w:vMerge/>
                  <w:tcBorders>
                    <w:top w:val="single" w:sz="4" w:space="0" w:color="FFFFFF"/>
                    <w:left w:val="single" w:sz="4" w:space="0" w:color="FFFFFF"/>
                  </w:tcBorders>
                  <w:shd w:val="clear" w:color="auto" w:fill="A6A6A6"/>
                  <w:vAlign w:val="center"/>
                </w:tcPr>
                <w:p w14:paraId="744B6AF9"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440" w:type="dxa"/>
                  <w:gridSpan w:val="2"/>
                  <w:tcBorders>
                    <w:top w:val="single" w:sz="4" w:space="0" w:color="FFFFFF"/>
                    <w:left w:val="single" w:sz="4" w:space="0" w:color="FFFFFF"/>
                    <w:bottom w:val="single" w:sz="4" w:space="0" w:color="FFFFFF"/>
                  </w:tcBorders>
                  <w:shd w:val="clear" w:color="auto" w:fill="A6A6A6"/>
                  <w:vAlign w:val="center"/>
                </w:tcPr>
                <w:p w14:paraId="0C53B67D"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W1</w:t>
                  </w:r>
                </w:p>
              </w:tc>
              <w:tc>
                <w:tcPr>
                  <w:tcW w:w="1347" w:type="dxa"/>
                  <w:gridSpan w:val="2"/>
                  <w:tcBorders>
                    <w:top w:val="single" w:sz="4" w:space="0" w:color="FFFFFF"/>
                    <w:left w:val="single" w:sz="4" w:space="0" w:color="FFFFFF"/>
                    <w:bottom w:val="single" w:sz="4" w:space="0" w:color="FFFFFF"/>
                  </w:tcBorders>
                  <w:shd w:val="clear" w:color="auto" w:fill="A6A6A6"/>
                  <w:vAlign w:val="center"/>
                </w:tcPr>
                <w:p w14:paraId="028C9FC6"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W2</w:t>
                  </w:r>
                </w:p>
              </w:tc>
              <w:tc>
                <w:tcPr>
                  <w:tcW w:w="1709" w:type="dxa"/>
                  <w:gridSpan w:val="2"/>
                  <w:tcBorders>
                    <w:top w:val="single" w:sz="4" w:space="0" w:color="FFFFFF"/>
                    <w:left w:val="single" w:sz="4" w:space="0" w:color="FFFFFF"/>
                    <w:bottom w:val="single" w:sz="4" w:space="0" w:color="FFFFFF"/>
                  </w:tcBorders>
                  <w:shd w:val="clear" w:color="auto" w:fill="A6A6A6"/>
                </w:tcPr>
                <w:p w14:paraId="67DA118B"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Wn</w:t>
                  </w:r>
                </w:p>
              </w:tc>
            </w:tr>
            <w:tr w:rsidR="00600DEE" w14:paraId="0CCA790C" w14:textId="77777777" w:rsidTr="00D24D31">
              <w:trPr>
                <w:trHeight w:val="228"/>
              </w:trPr>
              <w:tc>
                <w:tcPr>
                  <w:tcW w:w="532" w:type="dxa"/>
                  <w:vMerge/>
                  <w:tcBorders>
                    <w:top w:val="single" w:sz="4" w:space="0" w:color="FFFFFF"/>
                    <w:left w:val="single" w:sz="4" w:space="0" w:color="FFFFFF"/>
                  </w:tcBorders>
                  <w:shd w:val="clear" w:color="auto" w:fill="A6A6A6"/>
                  <w:vAlign w:val="center"/>
                </w:tcPr>
                <w:p w14:paraId="33355E23"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698" w:type="dxa"/>
                  <w:vMerge/>
                  <w:tcBorders>
                    <w:top w:val="single" w:sz="4" w:space="0" w:color="FFFFFF"/>
                    <w:left w:val="single" w:sz="4" w:space="0" w:color="FFFFFF"/>
                  </w:tcBorders>
                  <w:shd w:val="clear" w:color="auto" w:fill="A6A6A6"/>
                  <w:vAlign w:val="center"/>
                </w:tcPr>
                <w:p w14:paraId="2169224F"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720" w:type="dxa"/>
                  <w:tcBorders>
                    <w:top w:val="single" w:sz="4" w:space="0" w:color="FFFFFF"/>
                    <w:left w:val="single" w:sz="4" w:space="0" w:color="FFFFFF"/>
                    <w:bottom w:val="single" w:sz="4" w:space="0" w:color="FFFFFF"/>
                  </w:tcBorders>
                  <w:shd w:val="clear" w:color="auto" w:fill="A6A6A6"/>
                  <w:vAlign w:val="center"/>
                </w:tcPr>
                <w:p w14:paraId="5955F003" w14:textId="77777777" w:rsidR="00600DEE" w:rsidRDefault="00641FB5">
                  <w:pPr>
                    <w:spacing w:before="20" w:after="20"/>
                    <w:jc w:val="center"/>
                    <w:rPr>
                      <w:rFonts w:ascii="Calibri" w:eastAsia="Calibri" w:hAnsi="Calibri" w:cs="Calibri"/>
                      <w:color w:val="FFFFFF"/>
                      <w:sz w:val="18"/>
                      <w:szCs w:val="18"/>
                    </w:rPr>
                  </w:pPr>
                  <w:r>
                    <w:rPr>
                      <w:rFonts w:ascii="Calibri" w:eastAsia="Calibri" w:hAnsi="Calibri" w:cs="Calibri"/>
                      <w:color w:val="FFFFFF"/>
                      <w:sz w:val="18"/>
                      <w:szCs w:val="18"/>
                    </w:rPr>
                    <w:t>netto</w:t>
                  </w:r>
                </w:p>
              </w:tc>
              <w:tc>
                <w:tcPr>
                  <w:tcW w:w="720" w:type="dxa"/>
                  <w:tcBorders>
                    <w:top w:val="single" w:sz="4" w:space="0" w:color="FFFFFF"/>
                    <w:left w:val="single" w:sz="4" w:space="0" w:color="FFFFFF"/>
                    <w:bottom w:val="single" w:sz="4" w:space="0" w:color="FFFFFF"/>
                  </w:tcBorders>
                  <w:shd w:val="clear" w:color="auto" w:fill="A6A6A6"/>
                  <w:vAlign w:val="center"/>
                </w:tcPr>
                <w:p w14:paraId="50E58F96" w14:textId="77777777" w:rsidR="00600DEE" w:rsidRDefault="00641FB5">
                  <w:pPr>
                    <w:spacing w:before="20" w:after="20"/>
                    <w:jc w:val="center"/>
                    <w:rPr>
                      <w:rFonts w:ascii="Calibri" w:eastAsia="Calibri" w:hAnsi="Calibri" w:cs="Calibri"/>
                      <w:color w:val="FFFFFF"/>
                      <w:sz w:val="18"/>
                      <w:szCs w:val="18"/>
                    </w:rPr>
                  </w:pPr>
                  <w:r>
                    <w:rPr>
                      <w:rFonts w:ascii="Calibri" w:eastAsia="Calibri" w:hAnsi="Calibri" w:cs="Calibri"/>
                      <w:color w:val="FFFFFF"/>
                      <w:sz w:val="18"/>
                      <w:szCs w:val="18"/>
                    </w:rPr>
                    <w:t>brutto</w:t>
                  </w:r>
                </w:p>
              </w:tc>
              <w:tc>
                <w:tcPr>
                  <w:tcW w:w="631" w:type="dxa"/>
                  <w:tcBorders>
                    <w:top w:val="single" w:sz="4" w:space="0" w:color="FFFFFF"/>
                    <w:left w:val="single" w:sz="4" w:space="0" w:color="FFFFFF"/>
                    <w:bottom w:val="single" w:sz="4" w:space="0" w:color="FFFFFF"/>
                  </w:tcBorders>
                  <w:shd w:val="clear" w:color="auto" w:fill="A6A6A6"/>
                  <w:vAlign w:val="center"/>
                </w:tcPr>
                <w:p w14:paraId="11C247EF" w14:textId="77777777" w:rsidR="00600DEE" w:rsidRDefault="00641FB5">
                  <w:pPr>
                    <w:spacing w:before="20" w:after="20"/>
                    <w:jc w:val="center"/>
                    <w:rPr>
                      <w:rFonts w:ascii="Calibri" w:eastAsia="Calibri" w:hAnsi="Calibri" w:cs="Calibri"/>
                      <w:color w:val="FFFFFF"/>
                      <w:sz w:val="18"/>
                      <w:szCs w:val="18"/>
                    </w:rPr>
                  </w:pPr>
                  <w:r>
                    <w:rPr>
                      <w:rFonts w:ascii="Calibri" w:eastAsia="Calibri" w:hAnsi="Calibri" w:cs="Calibri"/>
                      <w:color w:val="FFFFFF"/>
                      <w:sz w:val="18"/>
                      <w:szCs w:val="18"/>
                    </w:rPr>
                    <w:t>netto</w:t>
                  </w:r>
                </w:p>
              </w:tc>
              <w:tc>
                <w:tcPr>
                  <w:tcW w:w="716" w:type="dxa"/>
                  <w:tcBorders>
                    <w:top w:val="single" w:sz="4" w:space="0" w:color="FFFFFF"/>
                    <w:left w:val="single" w:sz="4" w:space="0" w:color="FFFFFF"/>
                    <w:bottom w:val="single" w:sz="4" w:space="0" w:color="FFFFFF"/>
                  </w:tcBorders>
                  <w:shd w:val="clear" w:color="auto" w:fill="A6A6A6"/>
                  <w:vAlign w:val="center"/>
                </w:tcPr>
                <w:p w14:paraId="654E5884" w14:textId="77777777" w:rsidR="00600DEE" w:rsidRDefault="00641FB5">
                  <w:pPr>
                    <w:spacing w:before="20" w:after="20"/>
                    <w:jc w:val="center"/>
                    <w:rPr>
                      <w:rFonts w:ascii="Calibri" w:eastAsia="Calibri" w:hAnsi="Calibri" w:cs="Calibri"/>
                      <w:color w:val="FFFFFF"/>
                      <w:sz w:val="18"/>
                      <w:szCs w:val="18"/>
                    </w:rPr>
                  </w:pPr>
                  <w:r>
                    <w:rPr>
                      <w:rFonts w:ascii="Calibri" w:eastAsia="Calibri" w:hAnsi="Calibri" w:cs="Calibri"/>
                      <w:color w:val="FFFFFF"/>
                      <w:sz w:val="18"/>
                      <w:szCs w:val="18"/>
                    </w:rPr>
                    <w:t>brutto</w:t>
                  </w:r>
                </w:p>
              </w:tc>
              <w:tc>
                <w:tcPr>
                  <w:tcW w:w="766" w:type="dxa"/>
                  <w:tcBorders>
                    <w:top w:val="single" w:sz="4" w:space="0" w:color="FFFFFF"/>
                    <w:left w:val="single" w:sz="4" w:space="0" w:color="FFFFFF"/>
                    <w:bottom w:val="single" w:sz="4" w:space="0" w:color="FFFFFF"/>
                  </w:tcBorders>
                  <w:shd w:val="clear" w:color="auto" w:fill="A6A6A6"/>
                  <w:vAlign w:val="center"/>
                </w:tcPr>
                <w:p w14:paraId="09A69EBE" w14:textId="77777777" w:rsidR="00600DEE" w:rsidRDefault="00641FB5">
                  <w:pPr>
                    <w:spacing w:before="20" w:after="20"/>
                    <w:jc w:val="center"/>
                    <w:rPr>
                      <w:rFonts w:ascii="Calibri" w:eastAsia="Calibri" w:hAnsi="Calibri" w:cs="Calibri"/>
                      <w:color w:val="FFFFFF"/>
                      <w:sz w:val="18"/>
                      <w:szCs w:val="18"/>
                    </w:rPr>
                  </w:pPr>
                  <w:r>
                    <w:rPr>
                      <w:rFonts w:ascii="Calibri" w:eastAsia="Calibri" w:hAnsi="Calibri" w:cs="Calibri"/>
                      <w:color w:val="FFFFFF"/>
                      <w:sz w:val="18"/>
                      <w:szCs w:val="18"/>
                    </w:rPr>
                    <w:t>netto</w:t>
                  </w:r>
                </w:p>
              </w:tc>
              <w:tc>
                <w:tcPr>
                  <w:tcW w:w="943" w:type="dxa"/>
                  <w:tcBorders>
                    <w:top w:val="single" w:sz="4" w:space="0" w:color="FFFFFF"/>
                    <w:left w:val="single" w:sz="4" w:space="0" w:color="FFFFFF"/>
                    <w:bottom w:val="single" w:sz="4" w:space="0" w:color="FFFFFF"/>
                  </w:tcBorders>
                  <w:shd w:val="clear" w:color="auto" w:fill="A6A6A6"/>
                  <w:vAlign w:val="center"/>
                </w:tcPr>
                <w:p w14:paraId="582489E2" w14:textId="77777777" w:rsidR="00600DEE" w:rsidRDefault="00641FB5">
                  <w:pPr>
                    <w:spacing w:before="20" w:after="20"/>
                    <w:jc w:val="center"/>
                    <w:rPr>
                      <w:rFonts w:ascii="Calibri" w:eastAsia="Calibri" w:hAnsi="Calibri" w:cs="Calibri"/>
                      <w:color w:val="FFFFFF"/>
                      <w:sz w:val="18"/>
                      <w:szCs w:val="18"/>
                    </w:rPr>
                  </w:pPr>
                  <w:r>
                    <w:rPr>
                      <w:rFonts w:ascii="Calibri" w:eastAsia="Calibri" w:hAnsi="Calibri" w:cs="Calibri"/>
                      <w:color w:val="FFFFFF"/>
                      <w:sz w:val="18"/>
                      <w:szCs w:val="18"/>
                    </w:rPr>
                    <w:t>brutto</w:t>
                  </w:r>
                </w:p>
              </w:tc>
            </w:tr>
            <w:tr w:rsidR="00600DEE" w14:paraId="1AA1E5A2" w14:textId="77777777" w:rsidTr="00D24D31">
              <w:trPr>
                <w:trHeight w:val="228"/>
              </w:trPr>
              <w:tc>
                <w:tcPr>
                  <w:tcW w:w="532" w:type="dxa"/>
                  <w:tcBorders>
                    <w:top w:val="single" w:sz="4" w:space="0" w:color="FFFFFF"/>
                    <w:left w:val="single" w:sz="4" w:space="0" w:color="FFFFFF"/>
                    <w:bottom w:val="single" w:sz="4" w:space="0" w:color="FFFFFF"/>
                  </w:tcBorders>
                  <w:shd w:val="clear" w:color="auto" w:fill="DBE5F1"/>
                  <w:vAlign w:val="center"/>
                </w:tcPr>
                <w:p w14:paraId="4E9281F2"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I</w:t>
                  </w:r>
                </w:p>
              </w:tc>
              <w:tc>
                <w:tcPr>
                  <w:tcW w:w="1698" w:type="dxa"/>
                  <w:tcBorders>
                    <w:top w:val="single" w:sz="4" w:space="0" w:color="FFFFFF"/>
                    <w:left w:val="single" w:sz="4" w:space="0" w:color="FFFFFF"/>
                    <w:bottom w:val="single" w:sz="4" w:space="0" w:color="FFFFFF"/>
                  </w:tcBorders>
                  <w:shd w:val="clear" w:color="auto" w:fill="DBE5F1"/>
                  <w:vAlign w:val="center"/>
                </w:tcPr>
                <w:p w14:paraId="659010C8"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Dokumentacja, pomoc techniczna </w:t>
                  </w:r>
                </w:p>
              </w:tc>
              <w:tc>
                <w:tcPr>
                  <w:tcW w:w="720" w:type="dxa"/>
                  <w:tcBorders>
                    <w:top w:val="single" w:sz="4" w:space="0" w:color="FFFFFF"/>
                    <w:left w:val="single" w:sz="4" w:space="0" w:color="FFFFFF"/>
                    <w:bottom w:val="single" w:sz="4" w:space="0" w:color="FFFFFF"/>
                  </w:tcBorders>
                  <w:shd w:val="clear" w:color="auto" w:fill="DBE5F1"/>
                  <w:vAlign w:val="center"/>
                </w:tcPr>
                <w:p w14:paraId="62E0A9C3"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5FDD8743"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509B04FB"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661B03BF"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356BAC2D"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7EB90280" w14:textId="77777777" w:rsidR="00600DEE" w:rsidRDefault="00600DEE">
                  <w:pPr>
                    <w:spacing w:before="20" w:after="20"/>
                    <w:jc w:val="right"/>
                    <w:rPr>
                      <w:rFonts w:ascii="Calibri" w:eastAsia="Calibri" w:hAnsi="Calibri" w:cs="Calibri"/>
                      <w:color w:val="4F81BD"/>
                      <w:sz w:val="18"/>
                      <w:szCs w:val="18"/>
                    </w:rPr>
                  </w:pPr>
                </w:p>
              </w:tc>
            </w:tr>
            <w:tr w:rsidR="00600DEE" w14:paraId="5E99F7AC" w14:textId="77777777" w:rsidTr="00D24D31">
              <w:trPr>
                <w:trHeight w:val="228"/>
              </w:trPr>
              <w:tc>
                <w:tcPr>
                  <w:tcW w:w="532" w:type="dxa"/>
                  <w:tcBorders>
                    <w:top w:val="single" w:sz="4" w:space="0" w:color="FFFFFF"/>
                    <w:left w:val="single" w:sz="4" w:space="0" w:color="FFFFFF"/>
                    <w:bottom w:val="single" w:sz="4" w:space="0" w:color="FFFFFF"/>
                  </w:tcBorders>
                  <w:shd w:val="clear" w:color="auto" w:fill="DBE5F1"/>
                  <w:vAlign w:val="center"/>
                </w:tcPr>
                <w:p w14:paraId="4FF33884"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II</w:t>
                  </w:r>
                </w:p>
              </w:tc>
              <w:tc>
                <w:tcPr>
                  <w:tcW w:w="1698" w:type="dxa"/>
                  <w:tcBorders>
                    <w:top w:val="single" w:sz="4" w:space="0" w:color="FFFFFF"/>
                    <w:left w:val="single" w:sz="4" w:space="0" w:color="FFFFFF"/>
                    <w:bottom w:val="single" w:sz="4" w:space="0" w:color="FFFFFF"/>
                  </w:tcBorders>
                  <w:shd w:val="clear" w:color="auto" w:fill="DBE5F1"/>
                  <w:vAlign w:val="center"/>
                </w:tcPr>
                <w:p w14:paraId="40CBF06D"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Nadzór inwestorski </w:t>
                  </w:r>
                </w:p>
              </w:tc>
              <w:tc>
                <w:tcPr>
                  <w:tcW w:w="720" w:type="dxa"/>
                  <w:tcBorders>
                    <w:top w:val="single" w:sz="4" w:space="0" w:color="FFFFFF"/>
                    <w:left w:val="single" w:sz="4" w:space="0" w:color="FFFFFF"/>
                    <w:bottom w:val="single" w:sz="4" w:space="0" w:color="FFFFFF"/>
                  </w:tcBorders>
                  <w:shd w:val="clear" w:color="auto" w:fill="DBE5F1"/>
                  <w:vAlign w:val="center"/>
                </w:tcPr>
                <w:p w14:paraId="6AD36295"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4A79D7ED"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3F5D8B38"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02B2C14F"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1EAE9EA3"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2C0889C4" w14:textId="77777777" w:rsidR="00600DEE" w:rsidRDefault="00600DEE">
                  <w:pPr>
                    <w:spacing w:before="20" w:after="20"/>
                    <w:jc w:val="right"/>
                    <w:rPr>
                      <w:rFonts w:ascii="Calibri" w:eastAsia="Calibri" w:hAnsi="Calibri" w:cs="Calibri"/>
                      <w:color w:val="4F81BD"/>
                      <w:sz w:val="18"/>
                      <w:szCs w:val="18"/>
                    </w:rPr>
                  </w:pPr>
                </w:p>
              </w:tc>
            </w:tr>
            <w:tr w:rsidR="00600DEE" w14:paraId="092950D8" w14:textId="77777777" w:rsidTr="00D24D31">
              <w:trPr>
                <w:trHeight w:val="228"/>
              </w:trPr>
              <w:tc>
                <w:tcPr>
                  <w:tcW w:w="532" w:type="dxa"/>
                  <w:tcBorders>
                    <w:top w:val="single" w:sz="4" w:space="0" w:color="FFFFFF"/>
                    <w:left w:val="single" w:sz="4" w:space="0" w:color="FFFFFF"/>
                    <w:bottom w:val="single" w:sz="4" w:space="0" w:color="FFFFFF"/>
                  </w:tcBorders>
                  <w:shd w:val="clear" w:color="auto" w:fill="DBE5F1"/>
                  <w:vAlign w:val="center"/>
                </w:tcPr>
                <w:p w14:paraId="53BF68A9"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III</w:t>
                  </w:r>
                </w:p>
              </w:tc>
              <w:tc>
                <w:tcPr>
                  <w:tcW w:w="1698" w:type="dxa"/>
                  <w:tcBorders>
                    <w:top w:val="single" w:sz="4" w:space="0" w:color="FFFFFF"/>
                    <w:left w:val="single" w:sz="4" w:space="0" w:color="FFFFFF"/>
                    <w:bottom w:val="single" w:sz="4" w:space="0" w:color="FFFFFF"/>
                  </w:tcBorders>
                  <w:shd w:val="clear" w:color="auto" w:fill="DBE5F1"/>
                  <w:vAlign w:val="center"/>
                </w:tcPr>
                <w:p w14:paraId="711EF9CD"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Archeologia </w:t>
                  </w:r>
                </w:p>
              </w:tc>
              <w:tc>
                <w:tcPr>
                  <w:tcW w:w="720" w:type="dxa"/>
                  <w:tcBorders>
                    <w:top w:val="single" w:sz="4" w:space="0" w:color="FFFFFF"/>
                    <w:left w:val="single" w:sz="4" w:space="0" w:color="FFFFFF"/>
                    <w:bottom w:val="single" w:sz="4" w:space="0" w:color="FFFFFF"/>
                  </w:tcBorders>
                  <w:shd w:val="clear" w:color="auto" w:fill="DBE5F1"/>
                  <w:vAlign w:val="center"/>
                </w:tcPr>
                <w:p w14:paraId="4C622894"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6CBBA063"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7504E202"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575F643B"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01950EDE"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4E680F8C" w14:textId="77777777" w:rsidR="00600DEE" w:rsidRDefault="00600DEE">
                  <w:pPr>
                    <w:spacing w:before="20" w:after="20"/>
                    <w:jc w:val="right"/>
                    <w:rPr>
                      <w:rFonts w:ascii="Calibri" w:eastAsia="Calibri" w:hAnsi="Calibri" w:cs="Calibri"/>
                      <w:color w:val="4F81BD"/>
                      <w:sz w:val="18"/>
                      <w:szCs w:val="18"/>
                    </w:rPr>
                  </w:pPr>
                </w:p>
              </w:tc>
            </w:tr>
            <w:tr w:rsidR="00600DEE" w14:paraId="095AB85A" w14:textId="77777777" w:rsidTr="00D24D31">
              <w:trPr>
                <w:trHeight w:val="228"/>
              </w:trPr>
              <w:tc>
                <w:tcPr>
                  <w:tcW w:w="532" w:type="dxa"/>
                  <w:tcBorders>
                    <w:top w:val="single" w:sz="4" w:space="0" w:color="FFFFFF"/>
                    <w:left w:val="single" w:sz="4" w:space="0" w:color="FFFFFF"/>
                    <w:bottom w:val="single" w:sz="4" w:space="0" w:color="FFFFFF"/>
                  </w:tcBorders>
                  <w:shd w:val="clear" w:color="auto" w:fill="DBE5F1"/>
                  <w:vAlign w:val="center"/>
                </w:tcPr>
                <w:p w14:paraId="110F2B63"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IV</w:t>
                  </w:r>
                </w:p>
              </w:tc>
              <w:tc>
                <w:tcPr>
                  <w:tcW w:w="1698" w:type="dxa"/>
                  <w:tcBorders>
                    <w:top w:val="single" w:sz="4" w:space="0" w:color="FFFFFF"/>
                    <w:left w:val="single" w:sz="4" w:space="0" w:color="FFFFFF"/>
                    <w:bottom w:val="single" w:sz="4" w:space="0" w:color="FFFFFF"/>
                  </w:tcBorders>
                  <w:shd w:val="clear" w:color="auto" w:fill="DBE5F1"/>
                  <w:vAlign w:val="center"/>
                </w:tcPr>
                <w:p w14:paraId="0E00424B"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Inne prace przygotowawcze </w:t>
                  </w:r>
                </w:p>
              </w:tc>
              <w:tc>
                <w:tcPr>
                  <w:tcW w:w="720" w:type="dxa"/>
                  <w:tcBorders>
                    <w:top w:val="single" w:sz="4" w:space="0" w:color="FFFFFF"/>
                    <w:left w:val="single" w:sz="4" w:space="0" w:color="FFFFFF"/>
                    <w:bottom w:val="single" w:sz="4" w:space="0" w:color="FFFFFF"/>
                  </w:tcBorders>
                  <w:shd w:val="clear" w:color="auto" w:fill="DBE5F1"/>
                  <w:vAlign w:val="center"/>
                </w:tcPr>
                <w:p w14:paraId="3AFBFC1B"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70036EDF"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4EC163C3"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6C1D0854"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30D56C36"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06A52A77" w14:textId="77777777" w:rsidR="00600DEE" w:rsidRDefault="00600DEE">
                  <w:pPr>
                    <w:spacing w:before="20" w:after="20"/>
                    <w:jc w:val="right"/>
                    <w:rPr>
                      <w:rFonts w:ascii="Calibri" w:eastAsia="Calibri" w:hAnsi="Calibri" w:cs="Calibri"/>
                      <w:color w:val="4F81BD"/>
                      <w:sz w:val="18"/>
                      <w:szCs w:val="18"/>
                    </w:rPr>
                  </w:pPr>
                </w:p>
              </w:tc>
            </w:tr>
            <w:tr w:rsidR="00600DEE" w14:paraId="2961597D" w14:textId="77777777" w:rsidTr="00D24D31">
              <w:trPr>
                <w:trHeight w:val="228"/>
              </w:trPr>
              <w:tc>
                <w:tcPr>
                  <w:tcW w:w="532" w:type="dxa"/>
                  <w:tcBorders>
                    <w:top w:val="single" w:sz="4" w:space="0" w:color="FFFFFF"/>
                    <w:left w:val="single" w:sz="4" w:space="0" w:color="FFFFFF"/>
                    <w:bottom w:val="single" w:sz="4" w:space="0" w:color="FFFFFF"/>
                  </w:tcBorders>
                  <w:shd w:val="clear" w:color="auto" w:fill="DBE5F1"/>
                  <w:vAlign w:val="center"/>
                </w:tcPr>
                <w:p w14:paraId="785F131C"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V</w:t>
                  </w:r>
                </w:p>
              </w:tc>
              <w:tc>
                <w:tcPr>
                  <w:tcW w:w="1698" w:type="dxa"/>
                  <w:tcBorders>
                    <w:top w:val="single" w:sz="4" w:space="0" w:color="FFFFFF"/>
                    <w:left w:val="single" w:sz="4" w:space="0" w:color="FFFFFF"/>
                    <w:bottom w:val="single" w:sz="4" w:space="0" w:color="FFFFFF"/>
                  </w:tcBorders>
                  <w:shd w:val="clear" w:color="auto" w:fill="DBE5F1"/>
                  <w:vAlign w:val="center"/>
                </w:tcPr>
                <w:p w14:paraId="726CFEC6"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Promocja projektu </w:t>
                  </w:r>
                </w:p>
              </w:tc>
              <w:tc>
                <w:tcPr>
                  <w:tcW w:w="720" w:type="dxa"/>
                  <w:tcBorders>
                    <w:top w:val="single" w:sz="4" w:space="0" w:color="FFFFFF"/>
                    <w:left w:val="single" w:sz="4" w:space="0" w:color="FFFFFF"/>
                    <w:bottom w:val="single" w:sz="4" w:space="0" w:color="FFFFFF"/>
                  </w:tcBorders>
                  <w:shd w:val="clear" w:color="auto" w:fill="DBE5F1"/>
                  <w:vAlign w:val="center"/>
                </w:tcPr>
                <w:p w14:paraId="5A76D775"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1C348224"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2571625E"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09D767F9"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27BC7B4C"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04D2E329" w14:textId="77777777" w:rsidR="00600DEE" w:rsidRDefault="00600DEE">
                  <w:pPr>
                    <w:spacing w:before="20" w:after="20"/>
                    <w:jc w:val="right"/>
                    <w:rPr>
                      <w:rFonts w:ascii="Calibri" w:eastAsia="Calibri" w:hAnsi="Calibri" w:cs="Calibri"/>
                      <w:color w:val="4F81BD"/>
                      <w:sz w:val="18"/>
                      <w:szCs w:val="18"/>
                    </w:rPr>
                  </w:pPr>
                </w:p>
              </w:tc>
            </w:tr>
            <w:tr w:rsidR="00600DEE" w14:paraId="2A00523F" w14:textId="77777777" w:rsidTr="00D24D31">
              <w:trPr>
                <w:trHeight w:val="228"/>
              </w:trPr>
              <w:tc>
                <w:tcPr>
                  <w:tcW w:w="532" w:type="dxa"/>
                  <w:tcBorders>
                    <w:top w:val="single" w:sz="4" w:space="0" w:color="FFFFFF"/>
                    <w:left w:val="single" w:sz="4" w:space="0" w:color="FFFFFF"/>
                    <w:bottom w:val="single" w:sz="4" w:space="0" w:color="FFFFFF"/>
                  </w:tcBorders>
                  <w:shd w:val="clear" w:color="auto" w:fill="DBE5F1"/>
                  <w:vAlign w:val="center"/>
                </w:tcPr>
                <w:p w14:paraId="16B2CFBA"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VI</w:t>
                  </w:r>
                </w:p>
              </w:tc>
              <w:tc>
                <w:tcPr>
                  <w:tcW w:w="1698" w:type="dxa"/>
                  <w:tcBorders>
                    <w:top w:val="single" w:sz="4" w:space="0" w:color="FFFFFF"/>
                    <w:left w:val="single" w:sz="4" w:space="0" w:color="FFFFFF"/>
                    <w:bottom w:val="single" w:sz="4" w:space="0" w:color="FFFFFF"/>
                  </w:tcBorders>
                  <w:shd w:val="clear" w:color="auto" w:fill="DBE5F1"/>
                  <w:vAlign w:val="center"/>
                </w:tcPr>
                <w:p w14:paraId="64D7D8B4"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Wykup gruntów </w:t>
                  </w:r>
                </w:p>
              </w:tc>
              <w:tc>
                <w:tcPr>
                  <w:tcW w:w="720" w:type="dxa"/>
                  <w:tcBorders>
                    <w:top w:val="single" w:sz="4" w:space="0" w:color="FFFFFF"/>
                    <w:left w:val="single" w:sz="4" w:space="0" w:color="FFFFFF"/>
                    <w:bottom w:val="single" w:sz="4" w:space="0" w:color="FFFFFF"/>
                  </w:tcBorders>
                  <w:shd w:val="clear" w:color="auto" w:fill="DBE5F1"/>
                  <w:vAlign w:val="center"/>
                </w:tcPr>
                <w:p w14:paraId="47A14BD4"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11E6E713"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623B7C52"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1F1D4D60"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422E31D1"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013A05E2" w14:textId="77777777" w:rsidR="00600DEE" w:rsidRDefault="00600DEE">
                  <w:pPr>
                    <w:spacing w:before="20" w:after="20"/>
                    <w:jc w:val="right"/>
                    <w:rPr>
                      <w:rFonts w:ascii="Calibri" w:eastAsia="Calibri" w:hAnsi="Calibri" w:cs="Calibri"/>
                      <w:color w:val="4F81BD"/>
                      <w:sz w:val="18"/>
                      <w:szCs w:val="18"/>
                    </w:rPr>
                  </w:pPr>
                </w:p>
              </w:tc>
            </w:tr>
            <w:tr w:rsidR="00600DEE" w14:paraId="27F93DB7" w14:textId="77777777" w:rsidTr="00D24D31">
              <w:trPr>
                <w:trHeight w:hRule="exact" w:val="340"/>
              </w:trPr>
              <w:tc>
                <w:tcPr>
                  <w:tcW w:w="532" w:type="dxa"/>
                  <w:tcBorders>
                    <w:top w:val="single" w:sz="4" w:space="0" w:color="FFFFFF"/>
                    <w:left w:val="single" w:sz="4" w:space="0" w:color="FFFFFF"/>
                    <w:bottom w:val="single" w:sz="4" w:space="0" w:color="FFFFFF"/>
                  </w:tcBorders>
                  <w:shd w:val="clear" w:color="auto" w:fill="DBE5F1"/>
                  <w:vAlign w:val="center"/>
                </w:tcPr>
                <w:p w14:paraId="695FF5A1"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VII</w:t>
                  </w:r>
                </w:p>
              </w:tc>
              <w:tc>
                <w:tcPr>
                  <w:tcW w:w="1698" w:type="dxa"/>
                  <w:tcBorders>
                    <w:top w:val="single" w:sz="4" w:space="0" w:color="FFFFFF"/>
                    <w:left w:val="single" w:sz="4" w:space="0" w:color="FFFFFF"/>
                    <w:bottom w:val="single" w:sz="4" w:space="0" w:color="FFFFFF"/>
                  </w:tcBorders>
                  <w:shd w:val="clear" w:color="auto" w:fill="DBE5F1"/>
                  <w:vAlign w:val="center"/>
                </w:tcPr>
                <w:p w14:paraId="215F166B" w14:textId="77777777" w:rsidR="00600DEE" w:rsidRDefault="00641FB5" w:rsidP="00DF6B9D">
                  <w:pPr>
                    <w:rPr>
                      <w:rFonts w:ascii="Calibri" w:eastAsia="Calibri" w:hAnsi="Calibri" w:cs="Calibri"/>
                      <w:color w:val="4F81BD"/>
                      <w:sz w:val="18"/>
                      <w:szCs w:val="18"/>
                    </w:rPr>
                  </w:pPr>
                  <w:r>
                    <w:rPr>
                      <w:rFonts w:ascii="Calibri" w:eastAsia="Calibri" w:hAnsi="Calibri" w:cs="Calibri"/>
                      <w:color w:val="4F81BD"/>
                      <w:sz w:val="18"/>
                      <w:szCs w:val="18"/>
                    </w:rPr>
                    <w:t xml:space="preserve">Wymagania ogólne </w:t>
                  </w:r>
                </w:p>
                <w:p w14:paraId="57EBB879" w14:textId="77777777" w:rsidR="00600DEE" w:rsidRDefault="00600DEE">
                  <w:pPr>
                    <w:spacing w:before="20" w:after="20"/>
                    <w:rPr>
                      <w:rFonts w:ascii="Calibri" w:eastAsia="Calibri" w:hAnsi="Calibri" w:cs="Calibri"/>
                      <w:color w:val="4F81BD"/>
                      <w:sz w:val="18"/>
                      <w:szCs w:val="18"/>
                    </w:rPr>
                  </w:pPr>
                </w:p>
                <w:p w14:paraId="0910DD3E" w14:textId="77777777" w:rsidR="00600DEE" w:rsidRDefault="00600DEE">
                  <w:pPr>
                    <w:spacing w:before="20" w:after="20"/>
                    <w:rPr>
                      <w:rFonts w:ascii="Calibri" w:eastAsia="Calibri" w:hAnsi="Calibri" w:cs="Calibri"/>
                      <w:color w:val="4F81BD"/>
                      <w:sz w:val="18"/>
                      <w:szCs w:val="18"/>
                    </w:rPr>
                  </w:pPr>
                </w:p>
                <w:p w14:paraId="67043A7C" w14:textId="77777777" w:rsidR="00600DEE" w:rsidRDefault="00600DEE">
                  <w:pPr>
                    <w:spacing w:before="20" w:after="20"/>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28449245"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69AC3822"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0EF24CBE"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0076C714"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67C00AA0"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4D649D74" w14:textId="77777777" w:rsidR="00600DEE" w:rsidRDefault="00600DEE">
                  <w:pPr>
                    <w:spacing w:before="20" w:after="20"/>
                    <w:jc w:val="right"/>
                    <w:rPr>
                      <w:rFonts w:ascii="Calibri" w:eastAsia="Calibri" w:hAnsi="Calibri" w:cs="Calibri"/>
                      <w:color w:val="4F81BD"/>
                      <w:sz w:val="18"/>
                      <w:szCs w:val="18"/>
                    </w:rPr>
                  </w:pPr>
                </w:p>
              </w:tc>
            </w:tr>
            <w:tr w:rsidR="00600DEE" w14:paraId="2F8501D3" w14:textId="77777777" w:rsidTr="00D24D31">
              <w:trPr>
                <w:trHeight w:hRule="exact" w:val="340"/>
              </w:trPr>
              <w:tc>
                <w:tcPr>
                  <w:tcW w:w="532" w:type="dxa"/>
                  <w:vMerge w:val="restart"/>
                  <w:tcBorders>
                    <w:top w:val="single" w:sz="4" w:space="0" w:color="FFFFFF"/>
                    <w:left w:val="single" w:sz="4" w:space="0" w:color="FFFFFF"/>
                  </w:tcBorders>
                  <w:shd w:val="clear" w:color="auto" w:fill="A6A6A6"/>
                  <w:vAlign w:val="center"/>
                </w:tcPr>
                <w:p w14:paraId="1FC14F67"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Lp.</w:t>
                  </w:r>
                </w:p>
              </w:tc>
              <w:tc>
                <w:tcPr>
                  <w:tcW w:w="1698" w:type="dxa"/>
                  <w:vMerge w:val="restart"/>
                  <w:tcBorders>
                    <w:top w:val="single" w:sz="4" w:space="0" w:color="FFFFFF"/>
                    <w:left w:val="single" w:sz="4" w:space="0" w:color="FFFFFF"/>
                  </w:tcBorders>
                  <w:shd w:val="clear" w:color="auto" w:fill="A6A6A6"/>
                  <w:vAlign w:val="center"/>
                </w:tcPr>
                <w:p w14:paraId="560FE58D" w14:textId="77777777" w:rsidR="00600DEE" w:rsidRDefault="00641FB5" w:rsidP="00DF6B9D">
                  <w:pPr>
                    <w:spacing w:before="100" w:beforeAutospacing="1" w:after="100" w:afterAutospacing="1"/>
                    <w:jc w:val="center"/>
                    <w:rPr>
                      <w:rFonts w:ascii="Calibri" w:eastAsia="Calibri" w:hAnsi="Calibri" w:cs="Calibri"/>
                      <w:b/>
                      <w:color w:val="FFFFFF"/>
                      <w:sz w:val="18"/>
                      <w:szCs w:val="18"/>
                    </w:rPr>
                  </w:pPr>
                  <w:r>
                    <w:rPr>
                      <w:rFonts w:ascii="Calibri" w:eastAsia="Calibri" w:hAnsi="Calibri" w:cs="Calibri"/>
                      <w:b/>
                      <w:color w:val="FFFFFF"/>
                      <w:sz w:val="18"/>
                      <w:szCs w:val="18"/>
                    </w:rPr>
                    <w:t>Kategoria kosztów</w:t>
                  </w:r>
                </w:p>
              </w:tc>
              <w:tc>
                <w:tcPr>
                  <w:tcW w:w="4496" w:type="dxa"/>
                  <w:gridSpan w:val="6"/>
                  <w:tcBorders>
                    <w:top w:val="single" w:sz="4" w:space="0" w:color="FFFFFF"/>
                    <w:left w:val="single" w:sz="4" w:space="0" w:color="FFFFFF"/>
                    <w:bottom w:val="single" w:sz="4" w:space="0" w:color="FFFFFF"/>
                  </w:tcBorders>
                  <w:shd w:val="clear" w:color="auto" w:fill="A6A6A6"/>
                  <w:vAlign w:val="center"/>
                </w:tcPr>
                <w:p w14:paraId="3AE648D6"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Warianty inwestycyjne (Opcje) w tys. PLN</w:t>
                  </w:r>
                </w:p>
              </w:tc>
            </w:tr>
            <w:tr w:rsidR="00600DEE" w14:paraId="65EE1D30" w14:textId="77777777" w:rsidTr="00D24D31">
              <w:trPr>
                <w:trHeight w:val="274"/>
              </w:trPr>
              <w:tc>
                <w:tcPr>
                  <w:tcW w:w="532" w:type="dxa"/>
                  <w:vMerge/>
                  <w:tcBorders>
                    <w:top w:val="single" w:sz="4" w:space="0" w:color="FFFFFF"/>
                    <w:left w:val="single" w:sz="4" w:space="0" w:color="FFFFFF"/>
                  </w:tcBorders>
                  <w:shd w:val="clear" w:color="auto" w:fill="A6A6A6"/>
                  <w:vAlign w:val="center"/>
                </w:tcPr>
                <w:p w14:paraId="1CA3CB74"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698" w:type="dxa"/>
                  <w:vMerge/>
                  <w:tcBorders>
                    <w:top w:val="single" w:sz="4" w:space="0" w:color="FFFFFF"/>
                    <w:left w:val="single" w:sz="4" w:space="0" w:color="FFFFFF"/>
                  </w:tcBorders>
                  <w:shd w:val="clear" w:color="auto" w:fill="A6A6A6"/>
                  <w:vAlign w:val="center"/>
                </w:tcPr>
                <w:p w14:paraId="52C0E5C6"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440" w:type="dxa"/>
                  <w:gridSpan w:val="2"/>
                  <w:tcBorders>
                    <w:top w:val="single" w:sz="4" w:space="0" w:color="FFFFFF"/>
                    <w:left w:val="single" w:sz="4" w:space="0" w:color="FFFFFF"/>
                    <w:bottom w:val="single" w:sz="4" w:space="0" w:color="FFFFFF"/>
                  </w:tcBorders>
                  <w:shd w:val="clear" w:color="auto" w:fill="A6A6A6"/>
                  <w:vAlign w:val="center"/>
                </w:tcPr>
                <w:p w14:paraId="4D3BC574"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b/>
                      <w:color w:val="FFFFFF"/>
                      <w:sz w:val="18"/>
                      <w:szCs w:val="18"/>
                    </w:rPr>
                    <w:t>W1</w:t>
                  </w:r>
                </w:p>
              </w:tc>
              <w:tc>
                <w:tcPr>
                  <w:tcW w:w="1347" w:type="dxa"/>
                  <w:gridSpan w:val="2"/>
                  <w:tcBorders>
                    <w:top w:val="single" w:sz="4" w:space="0" w:color="FFFFFF"/>
                    <w:left w:val="single" w:sz="4" w:space="0" w:color="FFFFFF"/>
                    <w:bottom w:val="single" w:sz="4" w:space="0" w:color="FFFFFF"/>
                  </w:tcBorders>
                  <w:shd w:val="clear" w:color="auto" w:fill="A6A6A6"/>
                  <w:vAlign w:val="center"/>
                </w:tcPr>
                <w:p w14:paraId="0912DBE5"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b/>
                      <w:color w:val="FFFFFF"/>
                      <w:sz w:val="18"/>
                      <w:szCs w:val="18"/>
                    </w:rPr>
                    <w:t>W2</w:t>
                  </w:r>
                </w:p>
              </w:tc>
              <w:tc>
                <w:tcPr>
                  <w:tcW w:w="1709" w:type="dxa"/>
                  <w:gridSpan w:val="2"/>
                  <w:tcBorders>
                    <w:top w:val="single" w:sz="4" w:space="0" w:color="FFFFFF"/>
                    <w:left w:val="single" w:sz="4" w:space="0" w:color="FFFFFF"/>
                    <w:bottom w:val="single" w:sz="4" w:space="0" w:color="FFFFFF"/>
                  </w:tcBorders>
                  <w:shd w:val="clear" w:color="auto" w:fill="A6A6A6"/>
                  <w:vAlign w:val="center"/>
                </w:tcPr>
                <w:p w14:paraId="338A911F"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b/>
                      <w:color w:val="FFFFFF"/>
                      <w:sz w:val="18"/>
                      <w:szCs w:val="18"/>
                    </w:rPr>
                    <w:t>Wn</w:t>
                  </w:r>
                </w:p>
              </w:tc>
            </w:tr>
            <w:tr w:rsidR="00600DEE" w14:paraId="3684DB13" w14:textId="77777777" w:rsidTr="00D24D31">
              <w:trPr>
                <w:trHeight w:val="285"/>
              </w:trPr>
              <w:tc>
                <w:tcPr>
                  <w:tcW w:w="532" w:type="dxa"/>
                  <w:vMerge/>
                  <w:tcBorders>
                    <w:top w:val="single" w:sz="4" w:space="0" w:color="FFFFFF"/>
                    <w:left w:val="single" w:sz="4" w:space="0" w:color="FFFFFF"/>
                  </w:tcBorders>
                  <w:shd w:val="clear" w:color="auto" w:fill="A6A6A6"/>
                  <w:vAlign w:val="center"/>
                </w:tcPr>
                <w:p w14:paraId="7AE2ACDA" w14:textId="77777777" w:rsidR="00600DEE" w:rsidRDefault="00600DEE">
                  <w:pPr>
                    <w:widowControl w:val="0"/>
                    <w:pBdr>
                      <w:top w:val="nil"/>
                      <w:left w:val="nil"/>
                      <w:bottom w:val="nil"/>
                      <w:right w:val="nil"/>
                      <w:between w:val="nil"/>
                    </w:pBdr>
                    <w:spacing w:line="276" w:lineRule="auto"/>
                    <w:rPr>
                      <w:rFonts w:ascii="Calibri" w:eastAsia="Calibri" w:hAnsi="Calibri" w:cs="Calibri"/>
                      <w:color w:val="4F81BD"/>
                      <w:sz w:val="18"/>
                      <w:szCs w:val="18"/>
                    </w:rPr>
                  </w:pPr>
                </w:p>
              </w:tc>
              <w:tc>
                <w:tcPr>
                  <w:tcW w:w="1698" w:type="dxa"/>
                  <w:vMerge/>
                  <w:tcBorders>
                    <w:top w:val="single" w:sz="4" w:space="0" w:color="FFFFFF"/>
                    <w:left w:val="single" w:sz="4" w:space="0" w:color="FFFFFF"/>
                  </w:tcBorders>
                  <w:shd w:val="clear" w:color="auto" w:fill="A6A6A6"/>
                  <w:vAlign w:val="center"/>
                </w:tcPr>
                <w:p w14:paraId="650E0F0B" w14:textId="77777777" w:rsidR="00600DEE" w:rsidRDefault="00600DEE">
                  <w:pPr>
                    <w:widowControl w:val="0"/>
                    <w:pBdr>
                      <w:top w:val="nil"/>
                      <w:left w:val="nil"/>
                      <w:bottom w:val="nil"/>
                      <w:right w:val="nil"/>
                      <w:between w:val="nil"/>
                    </w:pBdr>
                    <w:spacing w:line="276" w:lineRule="auto"/>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A6A6A6"/>
                  <w:vAlign w:val="center"/>
                </w:tcPr>
                <w:p w14:paraId="67640FE8"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FFFFFF"/>
                      <w:sz w:val="18"/>
                      <w:szCs w:val="18"/>
                    </w:rPr>
                    <w:t>netto</w:t>
                  </w:r>
                </w:p>
              </w:tc>
              <w:tc>
                <w:tcPr>
                  <w:tcW w:w="720" w:type="dxa"/>
                  <w:tcBorders>
                    <w:top w:val="single" w:sz="4" w:space="0" w:color="FFFFFF"/>
                    <w:left w:val="single" w:sz="4" w:space="0" w:color="FFFFFF"/>
                    <w:bottom w:val="single" w:sz="4" w:space="0" w:color="FFFFFF"/>
                  </w:tcBorders>
                  <w:shd w:val="clear" w:color="auto" w:fill="A6A6A6"/>
                  <w:vAlign w:val="center"/>
                </w:tcPr>
                <w:p w14:paraId="04C31B3D"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FFFFFF"/>
                      <w:sz w:val="18"/>
                      <w:szCs w:val="18"/>
                    </w:rPr>
                    <w:t>brutto</w:t>
                  </w:r>
                </w:p>
              </w:tc>
              <w:tc>
                <w:tcPr>
                  <w:tcW w:w="631" w:type="dxa"/>
                  <w:tcBorders>
                    <w:top w:val="single" w:sz="4" w:space="0" w:color="FFFFFF"/>
                    <w:left w:val="single" w:sz="4" w:space="0" w:color="FFFFFF"/>
                    <w:bottom w:val="single" w:sz="4" w:space="0" w:color="FFFFFF"/>
                  </w:tcBorders>
                  <w:shd w:val="clear" w:color="auto" w:fill="A6A6A6"/>
                  <w:vAlign w:val="center"/>
                </w:tcPr>
                <w:p w14:paraId="4BF8B279"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FFFFFF"/>
                      <w:sz w:val="18"/>
                      <w:szCs w:val="18"/>
                    </w:rPr>
                    <w:t>netto</w:t>
                  </w:r>
                </w:p>
              </w:tc>
              <w:tc>
                <w:tcPr>
                  <w:tcW w:w="716" w:type="dxa"/>
                  <w:tcBorders>
                    <w:top w:val="single" w:sz="4" w:space="0" w:color="FFFFFF"/>
                    <w:left w:val="single" w:sz="4" w:space="0" w:color="FFFFFF"/>
                    <w:bottom w:val="single" w:sz="4" w:space="0" w:color="FFFFFF"/>
                  </w:tcBorders>
                  <w:shd w:val="clear" w:color="auto" w:fill="A6A6A6"/>
                  <w:vAlign w:val="center"/>
                </w:tcPr>
                <w:p w14:paraId="1EE3B875"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FFFFFF"/>
                      <w:sz w:val="18"/>
                      <w:szCs w:val="18"/>
                    </w:rPr>
                    <w:t>brutto</w:t>
                  </w:r>
                </w:p>
              </w:tc>
              <w:tc>
                <w:tcPr>
                  <w:tcW w:w="766" w:type="dxa"/>
                  <w:tcBorders>
                    <w:top w:val="single" w:sz="4" w:space="0" w:color="FFFFFF"/>
                    <w:left w:val="single" w:sz="4" w:space="0" w:color="FFFFFF"/>
                    <w:bottom w:val="single" w:sz="4" w:space="0" w:color="FFFFFF"/>
                  </w:tcBorders>
                  <w:shd w:val="clear" w:color="auto" w:fill="A6A6A6"/>
                  <w:vAlign w:val="center"/>
                </w:tcPr>
                <w:p w14:paraId="21281495"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FFFFFF"/>
                      <w:sz w:val="18"/>
                      <w:szCs w:val="18"/>
                    </w:rPr>
                    <w:t>netto</w:t>
                  </w:r>
                </w:p>
              </w:tc>
              <w:tc>
                <w:tcPr>
                  <w:tcW w:w="943" w:type="dxa"/>
                  <w:tcBorders>
                    <w:top w:val="single" w:sz="4" w:space="0" w:color="FFFFFF"/>
                    <w:left w:val="single" w:sz="4" w:space="0" w:color="FFFFFF"/>
                    <w:bottom w:val="single" w:sz="4" w:space="0" w:color="FFFFFF"/>
                  </w:tcBorders>
                  <w:shd w:val="clear" w:color="auto" w:fill="A6A6A6"/>
                  <w:vAlign w:val="center"/>
                </w:tcPr>
                <w:p w14:paraId="19AA54D3"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FFFFFF"/>
                      <w:sz w:val="18"/>
                      <w:szCs w:val="18"/>
                    </w:rPr>
                    <w:t>brutto</w:t>
                  </w:r>
                </w:p>
              </w:tc>
            </w:tr>
            <w:tr w:rsidR="00600DEE" w14:paraId="7E3A9C0E" w14:textId="77777777" w:rsidTr="00D24D31">
              <w:trPr>
                <w:trHeight w:hRule="exact" w:val="454"/>
              </w:trPr>
              <w:tc>
                <w:tcPr>
                  <w:tcW w:w="532" w:type="dxa"/>
                  <w:tcBorders>
                    <w:top w:val="single" w:sz="4" w:space="0" w:color="FFFFFF"/>
                    <w:left w:val="single" w:sz="4" w:space="0" w:color="FFFFFF"/>
                    <w:bottom w:val="single" w:sz="4" w:space="0" w:color="FFFFFF"/>
                  </w:tcBorders>
                  <w:shd w:val="clear" w:color="auto" w:fill="DBE5F1"/>
                  <w:vAlign w:val="center"/>
                </w:tcPr>
                <w:p w14:paraId="21D53920"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VIII</w:t>
                  </w:r>
                </w:p>
              </w:tc>
              <w:tc>
                <w:tcPr>
                  <w:tcW w:w="1698" w:type="dxa"/>
                  <w:tcBorders>
                    <w:top w:val="single" w:sz="4" w:space="0" w:color="FFFFFF"/>
                    <w:left w:val="single" w:sz="4" w:space="0" w:color="FFFFFF"/>
                    <w:bottom w:val="single" w:sz="4" w:space="0" w:color="FFFFFF"/>
                  </w:tcBorders>
                  <w:shd w:val="clear" w:color="auto" w:fill="DBE5F1"/>
                  <w:vAlign w:val="center"/>
                </w:tcPr>
                <w:p w14:paraId="0BFD5692"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Roboty drogowe </w:t>
                  </w:r>
                </w:p>
              </w:tc>
              <w:tc>
                <w:tcPr>
                  <w:tcW w:w="720" w:type="dxa"/>
                  <w:tcBorders>
                    <w:top w:val="single" w:sz="4" w:space="0" w:color="FFFFFF"/>
                    <w:left w:val="single" w:sz="4" w:space="0" w:color="FFFFFF"/>
                    <w:bottom w:val="single" w:sz="4" w:space="0" w:color="FFFFFF"/>
                  </w:tcBorders>
                  <w:shd w:val="clear" w:color="auto" w:fill="DBE5F1"/>
                  <w:vAlign w:val="center"/>
                </w:tcPr>
                <w:p w14:paraId="10EEDFA1"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3705ECFE"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7961AD61"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33454BAA"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0474821E"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04B065B6" w14:textId="77777777" w:rsidR="00600DEE" w:rsidRDefault="00600DEE">
                  <w:pPr>
                    <w:spacing w:before="20" w:after="20"/>
                    <w:jc w:val="right"/>
                    <w:rPr>
                      <w:rFonts w:ascii="Calibri" w:eastAsia="Calibri" w:hAnsi="Calibri" w:cs="Calibri"/>
                      <w:color w:val="4F81BD"/>
                      <w:sz w:val="18"/>
                      <w:szCs w:val="18"/>
                    </w:rPr>
                  </w:pPr>
                </w:p>
              </w:tc>
            </w:tr>
            <w:tr w:rsidR="00600DEE" w14:paraId="1717F360" w14:textId="77777777" w:rsidTr="00D24D31">
              <w:trPr>
                <w:trHeight w:hRule="exact" w:val="454"/>
              </w:trPr>
              <w:tc>
                <w:tcPr>
                  <w:tcW w:w="532" w:type="dxa"/>
                  <w:tcBorders>
                    <w:top w:val="single" w:sz="4" w:space="0" w:color="FFFFFF"/>
                    <w:left w:val="single" w:sz="4" w:space="0" w:color="FFFFFF"/>
                    <w:bottom w:val="single" w:sz="4" w:space="0" w:color="FFFFFF"/>
                  </w:tcBorders>
                  <w:shd w:val="clear" w:color="auto" w:fill="DBE5F1"/>
                  <w:vAlign w:val="center"/>
                </w:tcPr>
                <w:p w14:paraId="2981B3FB" w14:textId="77777777" w:rsidR="00600DEE" w:rsidRDefault="00600DEE">
                  <w:pPr>
                    <w:spacing w:before="20" w:after="20"/>
                    <w:jc w:val="center"/>
                    <w:rPr>
                      <w:rFonts w:ascii="Calibri" w:eastAsia="Calibri" w:hAnsi="Calibri" w:cs="Calibri"/>
                      <w:b/>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6FE2776D"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 xml:space="preserve">Prace przygotowawcze </w:t>
                  </w:r>
                </w:p>
              </w:tc>
              <w:tc>
                <w:tcPr>
                  <w:tcW w:w="720" w:type="dxa"/>
                  <w:tcBorders>
                    <w:top w:val="single" w:sz="4" w:space="0" w:color="FFFFFF"/>
                    <w:left w:val="single" w:sz="4" w:space="0" w:color="FFFFFF"/>
                    <w:bottom w:val="single" w:sz="4" w:space="0" w:color="FFFFFF"/>
                  </w:tcBorders>
                  <w:shd w:val="clear" w:color="auto" w:fill="DBE5F1"/>
                  <w:vAlign w:val="center"/>
                </w:tcPr>
                <w:p w14:paraId="5E0C893B"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21F9875C"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7CCA8F9D"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01F466E9"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181CA947"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1E96B7DA" w14:textId="77777777" w:rsidR="00600DEE" w:rsidRDefault="00600DEE">
                  <w:pPr>
                    <w:spacing w:before="20" w:after="20"/>
                    <w:jc w:val="right"/>
                    <w:rPr>
                      <w:rFonts w:ascii="Calibri" w:eastAsia="Calibri" w:hAnsi="Calibri" w:cs="Calibri"/>
                      <w:color w:val="4F81BD"/>
                      <w:sz w:val="18"/>
                      <w:szCs w:val="18"/>
                    </w:rPr>
                  </w:pPr>
                </w:p>
              </w:tc>
            </w:tr>
            <w:tr w:rsidR="00600DEE" w14:paraId="10E4B4BB" w14:textId="77777777" w:rsidTr="00D24D31">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0CE060CD" w14:textId="77777777" w:rsidR="00600DEE" w:rsidRDefault="00600DEE">
                  <w:pPr>
                    <w:spacing w:before="20" w:after="20"/>
                    <w:jc w:val="center"/>
                    <w:rPr>
                      <w:rFonts w:ascii="Calibri" w:eastAsia="Calibri" w:hAnsi="Calibri" w:cs="Calibri"/>
                      <w:b/>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16EE516C"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 xml:space="preserve">Roboty ziemne </w:t>
                  </w:r>
                </w:p>
              </w:tc>
              <w:tc>
                <w:tcPr>
                  <w:tcW w:w="720" w:type="dxa"/>
                  <w:tcBorders>
                    <w:top w:val="single" w:sz="4" w:space="0" w:color="FFFFFF"/>
                    <w:left w:val="single" w:sz="4" w:space="0" w:color="FFFFFF"/>
                    <w:bottom w:val="single" w:sz="4" w:space="0" w:color="FFFFFF"/>
                  </w:tcBorders>
                  <w:shd w:val="clear" w:color="auto" w:fill="DBE5F1"/>
                  <w:vAlign w:val="center"/>
                </w:tcPr>
                <w:p w14:paraId="4FB65182"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2061C7B0"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62366E25"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5D2C7F05"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0F11CD25"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38F7AE41" w14:textId="77777777" w:rsidR="00600DEE" w:rsidRDefault="00600DEE">
                  <w:pPr>
                    <w:spacing w:before="20" w:after="20"/>
                    <w:jc w:val="right"/>
                    <w:rPr>
                      <w:rFonts w:ascii="Calibri" w:eastAsia="Calibri" w:hAnsi="Calibri" w:cs="Calibri"/>
                      <w:color w:val="4F81BD"/>
                      <w:sz w:val="18"/>
                      <w:szCs w:val="18"/>
                    </w:rPr>
                  </w:pPr>
                </w:p>
              </w:tc>
            </w:tr>
            <w:tr w:rsidR="00600DEE" w14:paraId="64E74E9C" w14:textId="77777777" w:rsidTr="00D24D31">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30F6177E" w14:textId="77777777" w:rsidR="00600DEE" w:rsidRDefault="00600DEE">
                  <w:pPr>
                    <w:spacing w:before="20" w:after="20"/>
                    <w:jc w:val="center"/>
                    <w:rPr>
                      <w:rFonts w:ascii="Calibri" w:eastAsia="Calibri" w:hAnsi="Calibri" w:cs="Calibri"/>
                      <w:b/>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6BF00108"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 xml:space="preserve">Obiekty mostowe </w:t>
                  </w:r>
                </w:p>
              </w:tc>
              <w:tc>
                <w:tcPr>
                  <w:tcW w:w="720" w:type="dxa"/>
                  <w:tcBorders>
                    <w:top w:val="single" w:sz="4" w:space="0" w:color="FFFFFF"/>
                    <w:left w:val="single" w:sz="4" w:space="0" w:color="FFFFFF"/>
                    <w:bottom w:val="single" w:sz="4" w:space="0" w:color="FFFFFF"/>
                  </w:tcBorders>
                  <w:shd w:val="clear" w:color="auto" w:fill="DBE5F1"/>
                  <w:vAlign w:val="center"/>
                </w:tcPr>
                <w:p w14:paraId="71647BF3"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36F416C8"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4D1ADA16"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1A2D5942"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58C5F598"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3D6BA009" w14:textId="77777777" w:rsidR="00600DEE" w:rsidRDefault="00600DEE">
                  <w:pPr>
                    <w:spacing w:before="20" w:after="20"/>
                    <w:jc w:val="right"/>
                    <w:rPr>
                      <w:rFonts w:ascii="Calibri" w:eastAsia="Calibri" w:hAnsi="Calibri" w:cs="Calibri"/>
                      <w:color w:val="4F81BD"/>
                      <w:sz w:val="18"/>
                      <w:szCs w:val="18"/>
                    </w:rPr>
                  </w:pPr>
                </w:p>
              </w:tc>
            </w:tr>
            <w:tr w:rsidR="00600DEE" w14:paraId="081A9CE7" w14:textId="77777777" w:rsidTr="00D24D31">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18BFB29B" w14:textId="77777777" w:rsidR="00600DEE" w:rsidRDefault="00600DEE">
                  <w:pPr>
                    <w:spacing w:before="20" w:after="20"/>
                    <w:jc w:val="center"/>
                    <w:rPr>
                      <w:rFonts w:ascii="Calibri" w:eastAsia="Calibri" w:hAnsi="Calibri" w:cs="Calibri"/>
                      <w:b/>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0D33A86C"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 xml:space="preserve">Tunele </w:t>
                  </w:r>
                </w:p>
              </w:tc>
              <w:tc>
                <w:tcPr>
                  <w:tcW w:w="720" w:type="dxa"/>
                  <w:tcBorders>
                    <w:top w:val="single" w:sz="4" w:space="0" w:color="FFFFFF"/>
                    <w:left w:val="single" w:sz="4" w:space="0" w:color="FFFFFF"/>
                    <w:bottom w:val="single" w:sz="4" w:space="0" w:color="FFFFFF"/>
                  </w:tcBorders>
                  <w:shd w:val="clear" w:color="auto" w:fill="DBE5F1"/>
                  <w:vAlign w:val="center"/>
                </w:tcPr>
                <w:p w14:paraId="11D0EEFC"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176CF26C"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499CC78A"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1E9FDCB7"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75E31B50"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249BCD2A" w14:textId="77777777" w:rsidR="00600DEE" w:rsidRDefault="00600DEE">
                  <w:pPr>
                    <w:spacing w:before="20" w:after="20"/>
                    <w:jc w:val="right"/>
                    <w:rPr>
                      <w:rFonts w:ascii="Calibri" w:eastAsia="Calibri" w:hAnsi="Calibri" w:cs="Calibri"/>
                      <w:color w:val="4F81BD"/>
                      <w:sz w:val="18"/>
                      <w:szCs w:val="18"/>
                    </w:rPr>
                  </w:pPr>
                </w:p>
              </w:tc>
            </w:tr>
            <w:tr w:rsidR="00600DEE" w14:paraId="73F8F0F7" w14:textId="77777777" w:rsidTr="00D24D31">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0001F8D4" w14:textId="77777777" w:rsidR="00600DEE" w:rsidRDefault="00600DEE">
                  <w:pPr>
                    <w:spacing w:before="20" w:after="20"/>
                    <w:jc w:val="center"/>
                    <w:rPr>
                      <w:rFonts w:ascii="Calibri" w:eastAsia="Calibri" w:hAnsi="Calibri" w:cs="Calibri"/>
                      <w:b/>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66B38540"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 xml:space="preserve">Ściany oporowe i podobne </w:t>
                  </w:r>
                </w:p>
              </w:tc>
              <w:tc>
                <w:tcPr>
                  <w:tcW w:w="720" w:type="dxa"/>
                  <w:tcBorders>
                    <w:top w:val="single" w:sz="4" w:space="0" w:color="FFFFFF"/>
                    <w:left w:val="single" w:sz="4" w:space="0" w:color="FFFFFF"/>
                    <w:bottom w:val="single" w:sz="4" w:space="0" w:color="FFFFFF"/>
                  </w:tcBorders>
                  <w:shd w:val="clear" w:color="auto" w:fill="DBE5F1"/>
                  <w:vAlign w:val="center"/>
                </w:tcPr>
                <w:p w14:paraId="100BD6D9"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313E0811"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33C847B9"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25744BFE"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79940332"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3E4B90A5" w14:textId="77777777" w:rsidR="00600DEE" w:rsidRDefault="00600DEE">
                  <w:pPr>
                    <w:spacing w:before="20" w:after="20"/>
                    <w:jc w:val="right"/>
                    <w:rPr>
                      <w:rFonts w:ascii="Calibri" w:eastAsia="Calibri" w:hAnsi="Calibri" w:cs="Calibri"/>
                      <w:color w:val="4F81BD"/>
                      <w:sz w:val="18"/>
                      <w:szCs w:val="18"/>
                    </w:rPr>
                  </w:pPr>
                </w:p>
              </w:tc>
            </w:tr>
            <w:tr w:rsidR="00600DEE" w14:paraId="04A5626D" w14:textId="77777777" w:rsidTr="00D24D31">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30412A91" w14:textId="77777777" w:rsidR="00600DEE" w:rsidRDefault="00600DEE">
                  <w:pPr>
                    <w:spacing w:before="20" w:after="20"/>
                    <w:jc w:val="center"/>
                    <w:rPr>
                      <w:rFonts w:ascii="Calibri" w:eastAsia="Calibri" w:hAnsi="Calibri" w:cs="Calibri"/>
                      <w:b/>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4F0AD9D0"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Podbudowa</w:t>
                  </w:r>
                </w:p>
              </w:tc>
              <w:tc>
                <w:tcPr>
                  <w:tcW w:w="720" w:type="dxa"/>
                  <w:tcBorders>
                    <w:top w:val="single" w:sz="4" w:space="0" w:color="FFFFFF"/>
                    <w:left w:val="single" w:sz="4" w:space="0" w:color="FFFFFF"/>
                    <w:bottom w:val="single" w:sz="4" w:space="0" w:color="FFFFFF"/>
                  </w:tcBorders>
                  <w:shd w:val="clear" w:color="auto" w:fill="DBE5F1"/>
                  <w:vAlign w:val="center"/>
                </w:tcPr>
                <w:p w14:paraId="6E52D1EF"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7A4CA1B3"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68E4552C"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1AA470A6"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318246DB"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6DE4FC06" w14:textId="77777777" w:rsidR="00600DEE" w:rsidRDefault="00600DEE">
                  <w:pPr>
                    <w:spacing w:before="20" w:after="20"/>
                    <w:jc w:val="right"/>
                    <w:rPr>
                      <w:rFonts w:ascii="Calibri" w:eastAsia="Calibri" w:hAnsi="Calibri" w:cs="Calibri"/>
                      <w:color w:val="4F81BD"/>
                      <w:sz w:val="18"/>
                      <w:szCs w:val="18"/>
                    </w:rPr>
                  </w:pPr>
                </w:p>
              </w:tc>
            </w:tr>
            <w:tr w:rsidR="00600DEE" w14:paraId="0F6008DD" w14:textId="77777777" w:rsidTr="00D24D31">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57BDA6F8" w14:textId="77777777" w:rsidR="00600DEE" w:rsidRDefault="00600DEE">
                  <w:pPr>
                    <w:spacing w:before="20" w:after="20"/>
                    <w:jc w:val="center"/>
                    <w:rPr>
                      <w:rFonts w:ascii="Calibri" w:eastAsia="Calibri" w:hAnsi="Calibri" w:cs="Calibri"/>
                      <w:b/>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21BB5ADA"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 xml:space="preserve">Nawierzchnie </w:t>
                  </w:r>
                </w:p>
              </w:tc>
              <w:tc>
                <w:tcPr>
                  <w:tcW w:w="720" w:type="dxa"/>
                  <w:tcBorders>
                    <w:top w:val="single" w:sz="4" w:space="0" w:color="FFFFFF"/>
                    <w:left w:val="single" w:sz="4" w:space="0" w:color="FFFFFF"/>
                    <w:bottom w:val="single" w:sz="4" w:space="0" w:color="FFFFFF"/>
                  </w:tcBorders>
                  <w:shd w:val="clear" w:color="auto" w:fill="DBE5F1"/>
                  <w:vAlign w:val="center"/>
                </w:tcPr>
                <w:p w14:paraId="2B99201C"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2C718D84"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1B4ED566"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3A5D78BB"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2EED6D22"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65808AF7" w14:textId="77777777" w:rsidR="00600DEE" w:rsidRDefault="00600DEE">
                  <w:pPr>
                    <w:spacing w:before="20" w:after="20"/>
                    <w:jc w:val="right"/>
                    <w:rPr>
                      <w:rFonts w:ascii="Calibri" w:eastAsia="Calibri" w:hAnsi="Calibri" w:cs="Calibri"/>
                      <w:color w:val="4F81BD"/>
                      <w:sz w:val="18"/>
                      <w:szCs w:val="18"/>
                    </w:rPr>
                  </w:pPr>
                </w:p>
              </w:tc>
            </w:tr>
            <w:tr w:rsidR="00600DEE" w14:paraId="3760AA04" w14:textId="77777777" w:rsidTr="00D24D31">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7240C5AC" w14:textId="77777777" w:rsidR="00600DEE" w:rsidRDefault="00600DEE">
                  <w:pPr>
                    <w:spacing w:before="20" w:after="20"/>
                    <w:jc w:val="center"/>
                    <w:rPr>
                      <w:rFonts w:ascii="Calibri" w:eastAsia="Calibri" w:hAnsi="Calibri" w:cs="Calibri"/>
                      <w:b/>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39EC4AF3"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 xml:space="preserve">Odwodnienie drogi </w:t>
                  </w:r>
                </w:p>
              </w:tc>
              <w:tc>
                <w:tcPr>
                  <w:tcW w:w="720" w:type="dxa"/>
                  <w:tcBorders>
                    <w:top w:val="single" w:sz="4" w:space="0" w:color="FFFFFF"/>
                    <w:left w:val="single" w:sz="4" w:space="0" w:color="FFFFFF"/>
                    <w:bottom w:val="single" w:sz="4" w:space="0" w:color="FFFFFF"/>
                  </w:tcBorders>
                  <w:shd w:val="clear" w:color="auto" w:fill="DBE5F1"/>
                  <w:vAlign w:val="center"/>
                </w:tcPr>
                <w:p w14:paraId="390422AC"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6EB2E484"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5FF59975"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6C0D00EE"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49E9AC16"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247BAB20" w14:textId="77777777" w:rsidR="00600DEE" w:rsidRDefault="00600DEE">
                  <w:pPr>
                    <w:spacing w:before="20" w:after="20"/>
                    <w:jc w:val="right"/>
                    <w:rPr>
                      <w:rFonts w:ascii="Calibri" w:eastAsia="Calibri" w:hAnsi="Calibri" w:cs="Calibri"/>
                      <w:color w:val="4F81BD"/>
                      <w:sz w:val="18"/>
                      <w:szCs w:val="18"/>
                    </w:rPr>
                  </w:pPr>
                </w:p>
              </w:tc>
            </w:tr>
            <w:tr w:rsidR="00600DEE" w14:paraId="118EA5B4" w14:textId="77777777" w:rsidTr="00D24D31">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1267288F" w14:textId="77777777" w:rsidR="00600DEE" w:rsidRDefault="00600DEE">
                  <w:pPr>
                    <w:spacing w:before="20" w:after="20"/>
                    <w:jc w:val="center"/>
                    <w:rPr>
                      <w:rFonts w:ascii="Calibri" w:eastAsia="Calibri" w:hAnsi="Calibri" w:cs="Calibri"/>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1A8BA5E8"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Ekrany akustyczne</w:t>
                  </w:r>
                </w:p>
              </w:tc>
              <w:tc>
                <w:tcPr>
                  <w:tcW w:w="720" w:type="dxa"/>
                  <w:tcBorders>
                    <w:top w:val="single" w:sz="4" w:space="0" w:color="FFFFFF"/>
                    <w:left w:val="single" w:sz="4" w:space="0" w:color="FFFFFF"/>
                    <w:bottom w:val="single" w:sz="4" w:space="0" w:color="FFFFFF"/>
                  </w:tcBorders>
                  <w:shd w:val="clear" w:color="auto" w:fill="DBE5F1"/>
                  <w:vAlign w:val="center"/>
                </w:tcPr>
                <w:p w14:paraId="7A687258"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13F79B99"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1D18F95A"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6222B115"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67F06617"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0C897D0A" w14:textId="77777777" w:rsidR="00600DEE" w:rsidRDefault="00600DEE">
                  <w:pPr>
                    <w:spacing w:before="20" w:after="20"/>
                    <w:jc w:val="right"/>
                    <w:rPr>
                      <w:rFonts w:ascii="Calibri" w:eastAsia="Calibri" w:hAnsi="Calibri" w:cs="Calibri"/>
                      <w:color w:val="4F81BD"/>
                      <w:sz w:val="18"/>
                      <w:szCs w:val="18"/>
                    </w:rPr>
                  </w:pPr>
                </w:p>
              </w:tc>
            </w:tr>
            <w:tr w:rsidR="00600DEE" w14:paraId="618B6B33" w14:textId="77777777" w:rsidTr="00F132E9">
              <w:trPr>
                <w:trHeight w:hRule="exact" w:val="454"/>
              </w:trPr>
              <w:tc>
                <w:tcPr>
                  <w:tcW w:w="532" w:type="dxa"/>
                  <w:tcBorders>
                    <w:top w:val="single" w:sz="4" w:space="0" w:color="FFFFFF"/>
                    <w:left w:val="single" w:sz="4" w:space="0" w:color="FFFFFF"/>
                    <w:bottom w:val="single" w:sz="4" w:space="0" w:color="FFFFFF"/>
                  </w:tcBorders>
                  <w:shd w:val="clear" w:color="auto" w:fill="DBE5F1"/>
                  <w:vAlign w:val="center"/>
                </w:tcPr>
                <w:p w14:paraId="28779F4B" w14:textId="77777777" w:rsidR="00600DEE" w:rsidRDefault="00600DEE">
                  <w:pPr>
                    <w:spacing w:before="20" w:after="20"/>
                    <w:jc w:val="center"/>
                    <w:rPr>
                      <w:rFonts w:ascii="Calibri" w:eastAsia="Calibri" w:hAnsi="Calibri" w:cs="Calibri"/>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1026BCDE"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Inne działania środowiskowe</w:t>
                  </w:r>
                </w:p>
              </w:tc>
              <w:tc>
                <w:tcPr>
                  <w:tcW w:w="720" w:type="dxa"/>
                  <w:tcBorders>
                    <w:top w:val="single" w:sz="4" w:space="0" w:color="FFFFFF"/>
                    <w:left w:val="single" w:sz="4" w:space="0" w:color="FFFFFF"/>
                    <w:bottom w:val="single" w:sz="4" w:space="0" w:color="FFFFFF"/>
                  </w:tcBorders>
                  <w:shd w:val="clear" w:color="auto" w:fill="DBE5F1"/>
                  <w:vAlign w:val="center"/>
                </w:tcPr>
                <w:p w14:paraId="3928421A"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587CB4CA"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43307EF3"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36831AC0"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5EA615DC"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24A17828" w14:textId="77777777" w:rsidR="00600DEE" w:rsidRDefault="00600DEE">
                  <w:pPr>
                    <w:spacing w:before="20" w:after="20"/>
                    <w:jc w:val="right"/>
                    <w:rPr>
                      <w:rFonts w:ascii="Calibri" w:eastAsia="Calibri" w:hAnsi="Calibri" w:cs="Calibri"/>
                      <w:color w:val="4F81BD"/>
                      <w:sz w:val="18"/>
                      <w:szCs w:val="18"/>
                    </w:rPr>
                  </w:pPr>
                </w:p>
              </w:tc>
            </w:tr>
            <w:tr w:rsidR="00600DEE" w14:paraId="32037E43" w14:textId="77777777" w:rsidTr="00F132E9">
              <w:trPr>
                <w:trHeight w:hRule="exact" w:val="454"/>
              </w:trPr>
              <w:tc>
                <w:tcPr>
                  <w:tcW w:w="532" w:type="dxa"/>
                  <w:tcBorders>
                    <w:top w:val="single" w:sz="4" w:space="0" w:color="FFFFFF"/>
                    <w:left w:val="single" w:sz="4" w:space="0" w:color="FFFFFF"/>
                    <w:bottom w:val="single" w:sz="4" w:space="0" w:color="FFFFFF"/>
                  </w:tcBorders>
                  <w:shd w:val="clear" w:color="auto" w:fill="DBE5F1"/>
                  <w:vAlign w:val="center"/>
                </w:tcPr>
                <w:p w14:paraId="3C9C671C" w14:textId="77777777" w:rsidR="00600DEE" w:rsidRDefault="00600DEE">
                  <w:pPr>
                    <w:spacing w:before="20" w:after="20"/>
                    <w:jc w:val="center"/>
                    <w:rPr>
                      <w:rFonts w:ascii="Calibri" w:eastAsia="Calibri" w:hAnsi="Calibri" w:cs="Calibri"/>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572C6002"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Roboty wykończeniowe</w:t>
                  </w:r>
                </w:p>
              </w:tc>
              <w:tc>
                <w:tcPr>
                  <w:tcW w:w="720" w:type="dxa"/>
                  <w:tcBorders>
                    <w:top w:val="single" w:sz="4" w:space="0" w:color="FFFFFF"/>
                    <w:left w:val="single" w:sz="4" w:space="0" w:color="FFFFFF"/>
                    <w:bottom w:val="single" w:sz="4" w:space="0" w:color="FFFFFF"/>
                  </w:tcBorders>
                  <w:shd w:val="clear" w:color="auto" w:fill="DBE5F1"/>
                  <w:vAlign w:val="center"/>
                </w:tcPr>
                <w:p w14:paraId="5C6C0777"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376738CC"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0DFAB86A"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668166DD"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0D541A82"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6E89A81E" w14:textId="77777777" w:rsidR="00600DEE" w:rsidRDefault="00600DEE">
                  <w:pPr>
                    <w:spacing w:before="20" w:after="20"/>
                    <w:jc w:val="right"/>
                    <w:rPr>
                      <w:rFonts w:ascii="Calibri" w:eastAsia="Calibri" w:hAnsi="Calibri" w:cs="Calibri"/>
                      <w:color w:val="4F81BD"/>
                      <w:sz w:val="18"/>
                      <w:szCs w:val="18"/>
                    </w:rPr>
                  </w:pPr>
                </w:p>
              </w:tc>
            </w:tr>
            <w:tr w:rsidR="00600DEE" w14:paraId="2EB96212" w14:textId="77777777" w:rsidTr="00F132E9">
              <w:trPr>
                <w:trHeight w:hRule="exact" w:val="454"/>
              </w:trPr>
              <w:tc>
                <w:tcPr>
                  <w:tcW w:w="532" w:type="dxa"/>
                  <w:tcBorders>
                    <w:top w:val="single" w:sz="4" w:space="0" w:color="FFFFFF"/>
                    <w:left w:val="single" w:sz="4" w:space="0" w:color="FFFFFF"/>
                    <w:bottom w:val="single" w:sz="4" w:space="0" w:color="FFFFFF"/>
                  </w:tcBorders>
                  <w:shd w:val="clear" w:color="auto" w:fill="DBE5F1"/>
                  <w:vAlign w:val="center"/>
                </w:tcPr>
                <w:p w14:paraId="4B0F9174" w14:textId="77777777" w:rsidR="00600DEE" w:rsidRDefault="00600DEE">
                  <w:pPr>
                    <w:spacing w:before="20" w:after="20"/>
                    <w:jc w:val="center"/>
                    <w:rPr>
                      <w:rFonts w:ascii="Calibri" w:eastAsia="Calibri" w:hAnsi="Calibri" w:cs="Calibri"/>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2F4BE310"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Oznakowanie, oświetlenie i BRD</w:t>
                  </w:r>
                </w:p>
              </w:tc>
              <w:tc>
                <w:tcPr>
                  <w:tcW w:w="720" w:type="dxa"/>
                  <w:tcBorders>
                    <w:top w:val="single" w:sz="4" w:space="0" w:color="FFFFFF"/>
                    <w:left w:val="single" w:sz="4" w:space="0" w:color="FFFFFF"/>
                    <w:bottom w:val="single" w:sz="4" w:space="0" w:color="FFFFFF"/>
                  </w:tcBorders>
                  <w:shd w:val="clear" w:color="auto" w:fill="DBE5F1"/>
                  <w:vAlign w:val="center"/>
                </w:tcPr>
                <w:p w14:paraId="0D52A113"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35FA1B96"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5701207C"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61480A77"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23C653C5"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0A886C8F" w14:textId="77777777" w:rsidR="00600DEE" w:rsidRDefault="00600DEE">
                  <w:pPr>
                    <w:spacing w:before="20" w:after="20"/>
                    <w:jc w:val="right"/>
                    <w:rPr>
                      <w:rFonts w:ascii="Calibri" w:eastAsia="Calibri" w:hAnsi="Calibri" w:cs="Calibri"/>
                      <w:color w:val="4F81BD"/>
                      <w:sz w:val="18"/>
                      <w:szCs w:val="18"/>
                    </w:rPr>
                  </w:pPr>
                </w:p>
              </w:tc>
            </w:tr>
            <w:tr w:rsidR="00600DEE" w14:paraId="1E6507BF" w14:textId="77777777" w:rsidTr="00D24D31">
              <w:trPr>
                <w:trHeight w:val="228"/>
              </w:trPr>
              <w:tc>
                <w:tcPr>
                  <w:tcW w:w="532" w:type="dxa"/>
                  <w:tcBorders>
                    <w:top w:val="single" w:sz="4" w:space="0" w:color="FFFFFF"/>
                    <w:left w:val="single" w:sz="4" w:space="0" w:color="FFFFFF"/>
                    <w:bottom w:val="single" w:sz="4" w:space="0" w:color="FFFFFF"/>
                  </w:tcBorders>
                  <w:shd w:val="clear" w:color="auto" w:fill="DBE5F1"/>
                  <w:vAlign w:val="center"/>
                </w:tcPr>
                <w:p w14:paraId="18F42841" w14:textId="77777777" w:rsidR="00600DEE" w:rsidRDefault="00600DEE">
                  <w:pPr>
                    <w:spacing w:before="20" w:after="20"/>
                    <w:jc w:val="center"/>
                    <w:rPr>
                      <w:rFonts w:ascii="Calibri" w:eastAsia="Calibri" w:hAnsi="Calibri" w:cs="Calibri"/>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69B905AD"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Inne roboty</w:t>
                  </w:r>
                </w:p>
              </w:tc>
              <w:tc>
                <w:tcPr>
                  <w:tcW w:w="720" w:type="dxa"/>
                  <w:tcBorders>
                    <w:top w:val="single" w:sz="4" w:space="0" w:color="FFFFFF"/>
                    <w:left w:val="single" w:sz="4" w:space="0" w:color="FFFFFF"/>
                    <w:bottom w:val="single" w:sz="4" w:space="0" w:color="FFFFFF"/>
                  </w:tcBorders>
                  <w:shd w:val="clear" w:color="auto" w:fill="DBE5F1"/>
                  <w:vAlign w:val="center"/>
                </w:tcPr>
                <w:p w14:paraId="7A1BA34C"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11549891"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756DB330"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0C802157"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2A8BC579"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4F2375A5" w14:textId="77777777" w:rsidR="00600DEE" w:rsidRDefault="00600DEE">
                  <w:pPr>
                    <w:spacing w:before="20" w:after="20"/>
                    <w:jc w:val="right"/>
                    <w:rPr>
                      <w:rFonts w:ascii="Calibri" w:eastAsia="Calibri" w:hAnsi="Calibri" w:cs="Calibri"/>
                      <w:color w:val="4F81BD"/>
                      <w:sz w:val="18"/>
                      <w:szCs w:val="18"/>
                    </w:rPr>
                  </w:pPr>
                </w:p>
              </w:tc>
            </w:tr>
            <w:tr w:rsidR="00600DEE" w14:paraId="1B49A9A7" w14:textId="77777777" w:rsidTr="00F132E9">
              <w:trPr>
                <w:trHeight w:hRule="exact" w:val="454"/>
              </w:trPr>
              <w:tc>
                <w:tcPr>
                  <w:tcW w:w="532" w:type="dxa"/>
                  <w:tcBorders>
                    <w:top w:val="single" w:sz="4" w:space="0" w:color="FFFFFF"/>
                    <w:left w:val="single" w:sz="4" w:space="0" w:color="FFFFFF"/>
                    <w:bottom w:val="single" w:sz="4" w:space="0" w:color="FFFFFF"/>
                  </w:tcBorders>
                  <w:shd w:val="clear" w:color="auto" w:fill="DBE5F1"/>
                  <w:vAlign w:val="center"/>
                </w:tcPr>
                <w:p w14:paraId="24E6E4D5" w14:textId="77777777" w:rsidR="00600DEE" w:rsidRDefault="00600DEE">
                  <w:pPr>
                    <w:spacing w:before="20" w:after="20"/>
                    <w:jc w:val="center"/>
                    <w:rPr>
                      <w:rFonts w:ascii="Calibri" w:eastAsia="Calibri" w:hAnsi="Calibri" w:cs="Calibri"/>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48E58CEE"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Przebudowa urządzeń obcych</w:t>
                  </w:r>
                </w:p>
              </w:tc>
              <w:tc>
                <w:tcPr>
                  <w:tcW w:w="720" w:type="dxa"/>
                  <w:tcBorders>
                    <w:top w:val="single" w:sz="4" w:space="0" w:color="FFFFFF"/>
                    <w:left w:val="single" w:sz="4" w:space="0" w:color="FFFFFF"/>
                    <w:bottom w:val="single" w:sz="4" w:space="0" w:color="FFFFFF"/>
                  </w:tcBorders>
                  <w:shd w:val="clear" w:color="auto" w:fill="DBE5F1"/>
                  <w:vAlign w:val="center"/>
                </w:tcPr>
                <w:p w14:paraId="295C603A"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57E45BC6"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6EA19870"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4861F4E7"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70FD1144"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378C4541" w14:textId="77777777" w:rsidR="00600DEE" w:rsidRDefault="00600DEE">
                  <w:pPr>
                    <w:spacing w:before="20" w:after="20"/>
                    <w:jc w:val="right"/>
                    <w:rPr>
                      <w:rFonts w:ascii="Calibri" w:eastAsia="Calibri" w:hAnsi="Calibri" w:cs="Calibri"/>
                      <w:color w:val="4F81BD"/>
                      <w:sz w:val="18"/>
                      <w:szCs w:val="18"/>
                    </w:rPr>
                  </w:pPr>
                </w:p>
              </w:tc>
            </w:tr>
            <w:tr w:rsidR="00600DEE" w14:paraId="264E3FFC" w14:textId="77777777" w:rsidTr="00F132E9">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73FE39BE" w14:textId="77777777" w:rsidR="00600DEE" w:rsidRDefault="00600DEE">
                  <w:pPr>
                    <w:spacing w:before="20" w:after="20"/>
                    <w:jc w:val="center"/>
                    <w:rPr>
                      <w:rFonts w:ascii="Calibri" w:eastAsia="Calibri" w:hAnsi="Calibri" w:cs="Calibri"/>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7AFA1233"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Zieleń</w:t>
                  </w:r>
                </w:p>
              </w:tc>
              <w:tc>
                <w:tcPr>
                  <w:tcW w:w="720" w:type="dxa"/>
                  <w:tcBorders>
                    <w:top w:val="single" w:sz="4" w:space="0" w:color="FFFFFF"/>
                    <w:left w:val="single" w:sz="4" w:space="0" w:color="FFFFFF"/>
                    <w:bottom w:val="single" w:sz="4" w:space="0" w:color="FFFFFF"/>
                  </w:tcBorders>
                  <w:shd w:val="clear" w:color="auto" w:fill="DBE5F1"/>
                  <w:vAlign w:val="center"/>
                </w:tcPr>
                <w:p w14:paraId="6699292F"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1CCDD741"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1FC790A9"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46057823"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5ADEC143"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2EA90C6B" w14:textId="77777777" w:rsidR="00600DEE" w:rsidRDefault="00600DEE">
                  <w:pPr>
                    <w:spacing w:before="20" w:after="20"/>
                    <w:jc w:val="right"/>
                    <w:rPr>
                      <w:rFonts w:ascii="Calibri" w:eastAsia="Calibri" w:hAnsi="Calibri" w:cs="Calibri"/>
                      <w:color w:val="4F81BD"/>
                      <w:sz w:val="18"/>
                      <w:szCs w:val="18"/>
                    </w:rPr>
                  </w:pPr>
                </w:p>
              </w:tc>
            </w:tr>
            <w:tr w:rsidR="00600DEE" w14:paraId="56066B68" w14:textId="77777777" w:rsidTr="00F132E9">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22F97B98" w14:textId="77777777" w:rsidR="00600DEE" w:rsidRDefault="00600DEE">
                  <w:pPr>
                    <w:spacing w:before="20" w:after="20"/>
                    <w:jc w:val="center"/>
                    <w:rPr>
                      <w:rFonts w:ascii="Calibri" w:eastAsia="Calibri" w:hAnsi="Calibri" w:cs="Calibri"/>
                      <w:color w:val="4F81BD"/>
                      <w:sz w:val="18"/>
                      <w:szCs w:val="18"/>
                    </w:rPr>
                  </w:pPr>
                </w:p>
              </w:tc>
              <w:tc>
                <w:tcPr>
                  <w:tcW w:w="1698" w:type="dxa"/>
                  <w:tcBorders>
                    <w:top w:val="single" w:sz="4" w:space="0" w:color="FFFFFF"/>
                    <w:left w:val="single" w:sz="4" w:space="0" w:color="FFFFFF"/>
                    <w:bottom w:val="single" w:sz="4" w:space="0" w:color="FFFFFF"/>
                  </w:tcBorders>
                  <w:shd w:val="clear" w:color="auto" w:fill="DBE5F1"/>
                  <w:vAlign w:val="center"/>
                </w:tcPr>
                <w:p w14:paraId="58072FEA"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ITS</w:t>
                  </w:r>
                </w:p>
              </w:tc>
              <w:tc>
                <w:tcPr>
                  <w:tcW w:w="720" w:type="dxa"/>
                  <w:tcBorders>
                    <w:top w:val="single" w:sz="4" w:space="0" w:color="FFFFFF"/>
                    <w:left w:val="single" w:sz="4" w:space="0" w:color="FFFFFF"/>
                    <w:bottom w:val="single" w:sz="4" w:space="0" w:color="FFFFFF"/>
                  </w:tcBorders>
                  <w:shd w:val="clear" w:color="auto" w:fill="DBE5F1"/>
                  <w:vAlign w:val="center"/>
                </w:tcPr>
                <w:p w14:paraId="26C5F89B"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13DF088F"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6E581CE7"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4559CAA5"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20BFF82E"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7FA0C730" w14:textId="77777777" w:rsidR="00600DEE" w:rsidRDefault="00600DEE">
                  <w:pPr>
                    <w:spacing w:before="20" w:after="20"/>
                    <w:jc w:val="right"/>
                    <w:rPr>
                      <w:rFonts w:ascii="Calibri" w:eastAsia="Calibri" w:hAnsi="Calibri" w:cs="Calibri"/>
                      <w:color w:val="4F81BD"/>
                      <w:sz w:val="18"/>
                      <w:szCs w:val="18"/>
                    </w:rPr>
                  </w:pPr>
                </w:p>
              </w:tc>
            </w:tr>
            <w:tr w:rsidR="00600DEE" w14:paraId="517E4FD1" w14:textId="77777777" w:rsidTr="00F132E9">
              <w:trPr>
                <w:trHeight w:hRule="exact" w:val="284"/>
              </w:trPr>
              <w:tc>
                <w:tcPr>
                  <w:tcW w:w="532" w:type="dxa"/>
                  <w:tcBorders>
                    <w:top w:val="single" w:sz="4" w:space="0" w:color="FFFFFF"/>
                    <w:left w:val="single" w:sz="4" w:space="0" w:color="FFFFFF"/>
                    <w:bottom w:val="single" w:sz="4" w:space="0" w:color="FFFFFF"/>
                  </w:tcBorders>
                  <w:shd w:val="clear" w:color="auto" w:fill="DBE5F1"/>
                  <w:vAlign w:val="center"/>
                </w:tcPr>
                <w:p w14:paraId="4F534F12"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IX</w:t>
                  </w:r>
                </w:p>
              </w:tc>
              <w:tc>
                <w:tcPr>
                  <w:tcW w:w="1698" w:type="dxa"/>
                  <w:tcBorders>
                    <w:top w:val="single" w:sz="4" w:space="0" w:color="FFFFFF"/>
                    <w:left w:val="single" w:sz="4" w:space="0" w:color="FFFFFF"/>
                    <w:bottom w:val="single" w:sz="4" w:space="0" w:color="FFFFFF"/>
                  </w:tcBorders>
                  <w:shd w:val="clear" w:color="auto" w:fill="DBE5F1"/>
                  <w:vAlign w:val="center"/>
                </w:tcPr>
                <w:p w14:paraId="4A0D3AA8"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Zakład i maszyny</w:t>
                  </w:r>
                </w:p>
              </w:tc>
              <w:tc>
                <w:tcPr>
                  <w:tcW w:w="720" w:type="dxa"/>
                  <w:tcBorders>
                    <w:top w:val="single" w:sz="4" w:space="0" w:color="FFFFFF"/>
                    <w:left w:val="single" w:sz="4" w:space="0" w:color="FFFFFF"/>
                    <w:bottom w:val="single" w:sz="4" w:space="0" w:color="FFFFFF"/>
                  </w:tcBorders>
                  <w:shd w:val="clear" w:color="auto" w:fill="DBE5F1"/>
                  <w:vAlign w:val="center"/>
                </w:tcPr>
                <w:p w14:paraId="7890260E"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4D10DDEC"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1B1E83DF"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7CB5D361"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667B3A7B"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207F5F78" w14:textId="77777777" w:rsidR="00600DEE" w:rsidRDefault="00600DEE">
                  <w:pPr>
                    <w:spacing w:before="20" w:after="20"/>
                    <w:jc w:val="right"/>
                    <w:rPr>
                      <w:rFonts w:ascii="Calibri" w:eastAsia="Calibri" w:hAnsi="Calibri" w:cs="Calibri"/>
                      <w:color w:val="4F81BD"/>
                      <w:sz w:val="18"/>
                      <w:szCs w:val="18"/>
                    </w:rPr>
                  </w:pPr>
                </w:p>
              </w:tc>
            </w:tr>
            <w:tr w:rsidR="00600DEE" w14:paraId="2EC5F062" w14:textId="77777777" w:rsidTr="00F132E9">
              <w:trPr>
                <w:trHeight w:hRule="exact" w:val="454"/>
              </w:trPr>
              <w:tc>
                <w:tcPr>
                  <w:tcW w:w="532" w:type="dxa"/>
                  <w:tcBorders>
                    <w:top w:val="single" w:sz="4" w:space="0" w:color="FFFFFF"/>
                    <w:left w:val="single" w:sz="4" w:space="0" w:color="FFFFFF"/>
                    <w:bottom w:val="single" w:sz="4" w:space="0" w:color="FFFFFF"/>
                  </w:tcBorders>
                  <w:shd w:val="clear" w:color="auto" w:fill="DBE5F1"/>
                  <w:vAlign w:val="center"/>
                </w:tcPr>
                <w:p w14:paraId="75C8DADE"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X</w:t>
                  </w:r>
                </w:p>
              </w:tc>
              <w:tc>
                <w:tcPr>
                  <w:tcW w:w="1698" w:type="dxa"/>
                  <w:tcBorders>
                    <w:top w:val="single" w:sz="4" w:space="0" w:color="FFFFFF"/>
                    <w:left w:val="single" w:sz="4" w:space="0" w:color="FFFFFF"/>
                    <w:bottom w:val="single" w:sz="4" w:space="0" w:color="FFFFFF"/>
                  </w:tcBorders>
                  <w:shd w:val="clear" w:color="auto" w:fill="DBE5F1"/>
                  <w:vAlign w:val="center"/>
                </w:tcPr>
                <w:p w14:paraId="35815D9A"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Koszty okołokontraktowe</w:t>
                  </w:r>
                </w:p>
              </w:tc>
              <w:tc>
                <w:tcPr>
                  <w:tcW w:w="720" w:type="dxa"/>
                  <w:tcBorders>
                    <w:top w:val="single" w:sz="4" w:space="0" w:color="FFFFFF"/>
                    <w:left w:val="single" w:sz="4" w:space="0" w:color="FFFFFF"/>
                    <w:bottom w:val="single" w:sz="4" w:space="0" w:color="FFFFFF"/>
                  </w:tcBorders>
                  <w:shd w:val="clear" w:color="auto" w:fill="DBE5F1"/>
                  <w:vAlign w:val="center"/>
                </w:tcPr>
                <w:p w14:paraId="3EF0A69A"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31342AA1"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39541D4F"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6AF529BA"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5A4EB017"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17C65560" w14:textId="77777777" w:rsidR="00600DEE" w:rsidRDefault="00600DEE">
                  <w:pPr>
                    <w:spacing w:before="20" w:after="20"/>
                    <w:jc w:val="right"/>
                    <w:rPr>
                      <w:rFonts w:ascii="Calibri" w:eastAsia="Calibri" w:hAnsi="Calibri" w:cs="Calibri"/>
                      <w:color w:val="4F81BD"/>
                      <w:sz w:val="18"/>
                      <w:szCs w:val="18"/>
                    </w:rPr>
                  </w:pPr>
                </w:p>
              </w:tc>
            </w:tr>
            <w:tr w:rsidR="00600DEE" w14:paraId="7F908650" w14:textId="77777777" w:rsidTr="00F132E9">
              <w:trPr>
                <w:trHeight w:hRule="exact" w:val="454"/>
              </w:trPr>
              <w:tc>
                <w:tcPr>
                  <w:tcW w:w="532" w:type="dxa"/>
                  <w:tcBorders>
                    <w:top w:val="single" w:sz="4" w:space="0" w:color="FFFFFF"/>
                    <w:left w:val="single" w:sz="4" w:space="0" w:color="FFFFFF"/>
                    <w:bottom w:val="single" w:sz="4" w:space="0" w:color="FFFFFF"/>
                  </w:tcBorders>
                  <w:shd w:val="clear" w:color="auto" w:fill="DBE5F1"/>
                  <w:vAlign w:val="center"/>
                </w:tcPr>
                <w:p w14:paraId="7AA3B564"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XI</w:t>
                  </w:r>
                </w:p>
              </w:tc>
              <w:tc>
                <w:tcPr>
                  <w:tcW w:w="1698" w:type="dxa"/>
                  <w:tcBorders>
                    <w:top w:val="single" w:sz="4" w:space="0" w:color="FFFFFF"/>
                    <w:left w:val="single" w:sz="4" w:space="0" w:color="FFFFFF"/>
                    <w:bottom w:val="single" w:sz="4" w:space="0" w:color="FFFFFF"/>
                  </w:tcBorders>
                  <w:shd w:val="clear" w:color="auto" w:fill="DBE5F1"/>
                  <w:vAlign w:val="center"/>
                </w:tcPr>
                <w:p w14:paraId="7572BCB4"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Rezerwa na roboty nieprzewidziane </w:t>
                  </w:r>
                </w:p>
              </w:tc>
              <w:tc>
                <w:tcPr>
                  <w:tcW w:w="720" w:type="dxa"/>
                  <w:tcBorders>
                    <w:top w:val="single" w:sz="4" w:space="0" w:color="FFFFFF"/>
                    <w:left w:val="single" w:sz="4" w:space="0" w:color="FFFFFF"/>
                    <w:bottom w:val="single" w:sz="4" w:space="0" w:color="FFFFFF"/>
                  </w:tcBorders>
                  <w:shd w:val="clear" w:color="auto" w:fill="DBE5F1"/>
                  <w:vAlign w:val="center"/>
                </w:tcPr>
                <w:p w14:paraId="4DBE3D80"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164A37F0"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38509CE6"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079FEB91"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1D1CBC25"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726AA032" w14:textId="77777777" w:rsidR="00600DEE" w:rsidRDefault="00600DEE">
                  <w:pPr>
                    <w:spacing w:before="20" w:after="20"/>
                    <w:jc w:val="right"/>
                    <w:rPr>
                      <w:rFonts w:ascii="Calibri" w:eastAsia="Calibri" w:hAnsi="Calibri" w:cs="Calibri"/>
                      <w:color w:val="4F81BD"/>
                      <w:sz w:val="18"/>
                      <w:szCs w:val="18"/>
                    </w:rPr>
                  </w:pPr>
                </w:p>
              </w:tc>
            </w:tr>
            <w:tr w:rsidR="00600DEE" w14:paraId="51789D52" w14:textId="77777777" w:rsidTr="00F132E9">
              <w:trPr>
                <w:trHeight w:hRule="exact" w:val="680"/>
              </w:trPr>
              <w:tc>
                <w:tcPr>
                  <w:tcW w:w="532" w:type="dxa"/>
                  <w:tcBorders>
                    <w:top w:val="single" w:sz="4" w:space="0" w:color="FFFFFF"/>
                    <w:left w:val="single" w:sz="4" w:space="0" w:color="FFFFFF"/>
                    <w:bottom w:val="single" w:sz="4" w:space="0" w:color="FFFFFF"/>
                  </w:tcBorders>
                  <w:shd w:val="clear" w:color="auto" w:fill="DBE5F1"/>
                  <w:vAlign w:val="center"/>
                </w:tcPr>
                <w:p w14:paraId="667D977B"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XII</w:t>
                  </w:r>
                </w:p>
              </w:tc>
              <w:tc>
                <w:tcPr>
                  <w:tcW w:w="1698" w:type="dxa"/>
                  <w:tcBorders>
                    <w:top w:val="single" w:sz="4" w:space="0" w:color="FFFFFF"/>
                    <w:left w:val="single" w:sz="4" w:space="0" w:color="FFFFFF"/>
                    <w:bottom w:val="single" w:sz="4" w:space="0" w:color="FFFFFF"/>
                  </w:tcBorders>
                  <w:shd w:val="clear" w:color="auto" w:fill="DBE5F1"/>
                  <w:vAlign w:val="center"/>
                </w:tcPr>
                <w:p w14:paraId="7B294397"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Łączny koszt inwestycji, w tym rezerwa</w:t>
                  </w:r>
                </w:p>
              </w:tc>
              <w:tc>
                <w:tcPr>
                  <w:tcW w:w="720" w:type="dxa"/>
                  <w:tcBorders>
                    <w:top w:val="single" w:sz="4" w:space="0" w:color="FFFFFF"/>
                    <w:left w:val="single" w:sz="4" w:space="0" w:color="FFFFFF"/>
                    <w:bottom w:val="single" w:sz="4" w:space="0" w:color="FFFFFF"/>
                  </w:tcBorders>
                  <w:shd w:val="clear" w:color="auto" w:fill="DBE5F1"/>
                  <w:vAlign w:val="center"/>
                </w:tcPr>
                <w:p w14:paraId="7912E5FF" w14:textId="77777777" w:rsidR="00600DEE" w:rsidRDefault="00600DEE">
                  <w:pPr>
                    <w:spacing w:before="20" w:after="20"/>
                    <w:jc w:val="right"/>
                    <w:rPr>
                      <w:rFonts w:ascii="Calibri" w:eastAsia="Calibri" w:hAnsi="Calibri" w:cs="Calibri"/>
                      <w:color w:val="4F81BD"/>
                      <w:sz w:val="18"/>
                      <w:szCs w:val="18"/>
                    </w:rPr>
                  </w:pPr>
                </w:p>
              </w:tc>
              <w:tc>
                <w:tcPr>
                  <w:tcW w:w="720" w:type="dxa"/>
                  <w:tcBorders>
                    <w:top w:val="single" w:sz="4" w:space="0" w:color="FFFFFF"/>
                    <w:left w:val="single" w:sz="4" w:space="0" w:color="FFFFFF"/>
                    <w:bottom w:val="single" w:sz="4" w:space="0" w:color="FFFFFF"/>
                  </w:tcBorders>
                  <w:shd w:val="clear" w:color="auto" w:fill="DBE5F1"/>
                  <w:vAlign w:val="center"/>
                </w:tcPr>
                <w:p w14:paraId="650E6870" w14:textId="77777777" w:rsidR="00600DEE" w:rsidRDefault="00600DEE">
                  <w:pPr>
                    <w:spacing w:before="20" w:after="20"/>
                    <w:jc w:val="right"/>
                    <w:rPr>
                      <w:rFonts w:ascii="Calibri" w:eastAsia="Calibri" w:hAnsi="Calibri" w:cs="Calibri"/>
                      <w:color w:val="4F81BD"/>
                      <w:sz w:val="18"/>
                      <w:szCs w:val="18"/>
                    </w:rPr>
                  </w:pPr>
                </w:p>
              </w:tc>
              <w:tc>
                <w:tcPr>
                  <w:tcW w:w="631" w:type="dxa"/>
                  <w:tcBorders>
                    <w:top w:val="single" w:sz="4" w:space="0" w:color="FFFFFF"/>
                    <w:left w:val="single" w:sz="4" w:space="0" w:color="FFFFFF"/>
                    <w:bottom w:val="single" w:sz="4" w:space="0" w:color="FFFFFF"/>
                  </w:tcBorders>
                  <w:shd w:val="clear" w:color="auto" w:fill="DBE5F1"/>
                  <w:vAlign w:val="center"/>
                </w:tcPr>
                <w:p w14:paraId="74C973D1" w14:textId="77777777" w:rsidR="00600DEE" w:rsidRDefault="00600DEE">
                  <w:pPr>
                    <w:spacing w:before="20" w:after="20"/>
                    <w:jc w:val="right"/>
                    <w:rPr>
                      <w:rFonts w:ascii="Calibri" w:eastAsia="Calibri" w:hAnsi="Calibri" w:cs="Calibri"/>
                      <w:color w:val="4F81BD"/>
                      <w:sz w:val="18"/>
                      <w:szCs w:val="18"/>
                    </w:rPr>
                  </w:pPr>
                </w:p>
              </w:tc>
              <w:tc>
                <w:tcPr>
                  <w:tcW w:w="716" w:type="dxa"/>
                  <w:tcBorders>
                    <w:top w:val="single" w:sz="4" w:space="0" w:color="FFFFFF"/>
                    <w:left w:val="single" w:sz="4" w:space="0" w:color="FFFFFF"/>
                    <w:bottom w:val="single" w:sz="4" w:space="0" w:color="FFFFFF"/>
                  </w:tcBorders>
                  <w:shd w:val="clear" w:color="auto" w:fill="DBE5F1"/>
                </w:tcPr>
                <w:p w14:paraId="6F6CFEAD" w14:textId="77777777" w:rsidR="00600DEE" w:rsidRDefault="00600DEE">
                  <w:pPr>
                    <w:spacing w:before="20" w:after="20"/>
                    <w:jc w:val="right"/>
                    <w:rPr>
                      <w:rFonts w:ascii="Calibri" w:eastAsia="Calibri" w:hAnsi="Calibri" w:cs="Calibri"/>
                      <w:color w:val="4F81BD"/>
                      <w:sz w:val="18"/>
                      <w:szCs w:val="18"/>
                    </w:rPr>
                  </w:pPr>
                </w:p>
              </w:tc>
              <w:tc>
                <w:tcPr>
                  <w:tcW w:w="766" w:type="dxa"/>
                  <w:tcBorders>
                    <w:top w:val="single" w:sz="4" w:space="0" w:color="FFFFFF"/>
                    <w:left w:val="single" w:sz="4" w:space="0" w:color="FFFFFF"/>
                    <w:bottom w:val="single" w:sz="4" w:space="0" w:color="FFFFFF"/>
                  </w:tcBorders>
                  <w:shd w:val="clear" w:color="auto" w:fill="DBE5F1"/>
                </w:tcPr>
                <w:p w14:paraId="43732676" w14:textId="77777777" w:rsidR="00600DEE" w:rsidRDefault="00600DEE">
                  <w:pPr>
                    <w:spacing w:before="20" w:after="20"/>
                    <w:jc w:val="right"/>
                    <w:rPr>
                      <w:rFonts w:ascii="Calibri" w:eastAsia="Calibri" w:hAnsi="Calibri" w:cs="Calibri"/>
                      <w:color w:val="4F81BD"/>
                      <w:sz w:val="18"/>
                      <w:szCs w:val="18"/>
                    </w:rPr>
                  </w:pPr>
                </w:p>
              </w:tc>
              <w:tc>
                <w:tcPr>
                  <w:tcW w:w="943" w:type="dxa"/>
                  <w:tcBorders>
                    <w:top w:val="single" w:sz="4" w:space="0" w:color="FFFFFF"/>
                    <w:left w:val="single" w:sz="4" w:space="0" w:color="FFFFFF"/>
                    <w:bottom w:val="single" w:sz="4" w:space="0" w:color="FFFFFF"/>
                  </w:tcBorders>
                  <w:shd w:val="clear" w:color="auto" w:fill="DBE5F1"/>
                </w:tcPr>
                <w:p w14:paraId="33976132" w14:textId="77777777" w:rsidR="00600DEE" w:rsidRDefault="00600DEE">
                  <w:pPr>
                    <w:spacing w:before="20" w:after="20"/>
                    <w:jc w:val="right"/>
                    <w:rPr>
                      <w:rFonts w:ascii="Calibri" w:eastAsia="Calibri" w:hAnsi="Calibri" w:cs="Calibri"/>
                      <w:color w:val="4F81BD"/>
                      <w:sz w:val="18"/>
                      <w:szCs w:val="18"/>
                    </w:rPr>
                  </w:pPr>
                </w:p>
              </w:tc>
            </w:tr>
            <w:tr w:rsidR="00600DEE" w14:paraId="2D34763B" w14:textId="77777777" w:rsidTr="00D24D31">
              <w:trPr>
                <w:trHeight w:val="228"/>
              </w:trPr>
              <w:tc>
                <w:tcPr>
                  <w:tcW w:w="532" w:type="dxa"/>
                  <w:tcBorders>
                    <w:top w:val="single" w:sz="4" w:space="0" w:color="FFFFFF"/>
                    <w:left w:val="single" w:sz="4" w:space="0" w:color="FFFFFF"/>
                    <w:bottom w:val="single" w:sz="4" w:space="0" w:color="FFFFFF"/>
                  </w:tcBorders>
                  <w:shd w:val="clear" w:color="auto" w:fill="DBE5F1"/>
                  <w:vAlign w:val="center"/>
                </w:tcPr>
                <w:p w14:paraId="1B382AAF"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XIII</w:t>
                  </w:r>
                </w:p>
              </w:tc>
              <w:tc>
                <w:tcPr>
                  <w:tcW w:w="1698" w:type="dxa"/>
                  <w:tcBorders>
                    <w:top w:val="single" w:sz="4" w:space="0" w:color="FFFFFF"/>
                    <w:left w:val="single" w:sz="4" w:space="0" w:color="FFFFFF"/>
                    <w:bottom w:val="single" w:sz="4" w:space="0" w:color="FFFFFF"/>
                  </w:tcBorders>
                  <w:shd w:val="clear" w:color="auto" w:fill="DBE5F1"/>
                  <w:vAlign w:val="center"/>
                </w:tcPr>
                <w:p w14:paraId="54CA3186"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VAT</w:t>
                  </w:r>
                </w:p>
              </w:tc>
              <w:tc>
                <w:tcPr>
                  <w:tcW w:w="1440" w:type="dxa"/>
                  <w:gridSpan w:val="2"/>
                  <w:tcBorders>
                    <w:top w:val="single" w:sz="4" w:space="0" w:color="FFFFFF"/>
                    <w:left w:val="single" w:sz="4" w:space="0" w:color="FFFFFF"/>
                    <w:bottom w:val="single" w:sz="4" w:space="0" w:color="FFFFFF"/>
                  </w:tcBorders>
                  <w:shd w:val="clear" w:color="auto" w:fill="DBE5F1"/>
                  <w:vAlign w:val="center"/>
                </w:tcPr>
                <w:p w14:paraId="6BDAB320" w14:textId="77777777" w:rsidR="00600DEE" w:rsidRDefault="00600DEE">
                  <w:pPr>
                    <w:spacing w:before="20" w:after="20"/>
                    <w:jc w:val="right"/>
                    <w:rPr>
                      <w:rFonts w:ascii="Calibri" w:eastAsia="Calibri" w:hAnsi="Calibri" w:cs="Calibri"/>
                      <w:color w:val="4F81BD"/>
                      <w:sz w:val="18"/>
                      <w:szCs w:val="18"/>
                    </w:rPr>
                  </w:pPr>
                </w:p>
              </w:tc>
              <w:tc>
                <w:tcPr>
                  <w:tcW w:w="1347" w:type="dxa"/>
                  <w:gridSpan w:val="2"/>
                  <w:tcBorders>
                    <w:top w:val="single" w:sz="4" w:space="0" w:color="FFFFFF"/>
                    <w:left w:val="single" w:sz="4" w:space="0" w:color="FFFFFF"/>
                    <w:bottom w:val="single" w:sz="4" w:space="0" w:color="FFFFFF"/>
                  </w:tcBorders>
                  <w:shd w:val="clear" w:color="auto" w:fill="DBE5F1"/>
                  <w:vAlign w:val="center"/>
                </w:tcPr>
                <w:p w14:paraId="4016BD79" w14:textId="77777777" w:rsidR="00600DEE" w:rsidRDefault="00600DEE">
                  <w:pPr>
                    <w:spacing w:before="20" w:after="20"/>
                    <w:jc w:val="right"/>
                    <w:rPr>
                      <w:rFonts w:ascii="Calibri" w:eastAsia="Calibri" w:hAnsi="Calibri" w:cs="Calibri"/>
                      <w:color w:val="4F81BD"/>
                      <w:sz w:val="18"/>
                      <w:szCs w:val="18"/>
                    </w:rPr>
                  </w:pPr>
                </w:p>
              </w:tc>
              <w:tc>
                <w:tcPr>
                  <w:tcW w:w="1709" w:type="dxa"/>
                  <w:gridSpan w:val="2"/>
                  <w:tcBorders>
                    <w:top w:val="single" w:sz="4" w:space="0" w:color="FFFFFF"/>
                    <w:left w:val="single" w:sz="4" w:space="0" w:color="FFFFFF"/>
                    <w:bottom w:val="single" w:sz="4" w:space="0" w:color="FFFFFF"/>
                  </w:tcBorders>
                  <w:shd w:val="clear" w:color="auto" w:fill="DBE5F1"/>
                </w:tcPr>
                <w:p w14:paraId="436FA5B2" w14:textId="77777777" w:rsidR="00600DEE" w:rsidRDefault="00600DEE">
                  <w:pPr>
                    <w:spacing w:before="20" w:after="20"/>
                    <w:jc w:val="right"/>
                    <w:rPr>
                      <w:rFonts w:ascii="Calibri" w:eastAsia="Calibri" w:hAnsi="Calibri" w:cs="Calibri"/>
                      <w:color w:val="4F81BD"/>
                      <w:sz w:val="18"/>
                      <w:szCs w:val="18"/>
                    </w:rPr>
                  </w:pPr>
                </w:p>
              </w:tc>
            </w:tr>
          </w:tbl>
          <w:p w14:paraId="50A883BC" w14:textId="77777777" w:rsidR="00600DEE" w:rsidRDefault="00641FB5" w:rsidP="000927FA">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sytuacji, gdy w inwestycji występują obiekty inżynierskie o znacznej wartości (tunele, mosty lub wiadukty itp.), należy je wyodrębnić w zestawieniu kosztów jeżeli wykonujący analizę uzna to za stosowne. Takie rozbicie ułatwia porównywanie wariantów i zidentyfikowanie dominujących kosztów inwestycyjnych. Ponadto, w przypadku zbliżonych wyników AKK, łatwiejsze jest zestawienie wariantów pod względem spełnianych celów i kosztów inwestycyjnych.</w:t>
            </w:r>
          </w:p>
          <w:p w14:paraId="6BD29604" w14:textId="41EF8F0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W zestawieniu należy podać koszty netto oraz z uwzględnieniem podatku VAT. Jest to związane ze zróżnicowanym poziomem VAT dla różnych kategorii kosztów, kwalifikowalnością lub nie podatku VAT dla różnych </w:t>
            </w:r>
            <w:r w:rsidR="00933C7D">
              <w:rPr>
                <w:rFonts w:ascii="Calibri" w:eastAsia="Calibri" w:hAnsi="Calibri" w:cs="Calibri"/>
                <w:color w:val="000000"/>
                <w:sz w:val="20"/>
                <w:szCs w:val="20"/>
              </w:rPr>
              <w:t>B</w:t>
            </w:r>
            <w:r>
              <w:rPr>
                <w:rFonts w:ascii="Calibri" w:eastAsia="Calibri" w:hAnsi="Calibri" w:cs="Calibri"/>
                <w:color w:val="000000"/>
                <w:sz w:val="20"/>
                <w:szCs w:val="20"/>
              </w:rPr>
              <w:t>eneficjentów oraz koniecznością przekształcenia nakładów inwestycyjnych wyrażonych w cenach rynkowych na ceny rozrachunkowe (patrz rozdział 2.2.2).</w:t>
            </w:r>
          </w:p>
          <w:p w14:paraId="08D205AD"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Dla celów poglądowych zaleca się przedstawienie łącznych kosztów inwestycyjnych wariantu inwestycyjnego, jak również kosztów na kilometr (patrz tabela poniżej).</w:t>
            </w:r>
          </w:p>
          <w:p w14:paraId="7C3078D0"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 xml:space="preserve">Tabela 9. Koszty projektu </w:t>
            </w:r>
          </w:p>
          <w:tbl>
            <w:tblPr>
              <w:tblStyle w:val="aff5"/>
              <w:tblW w:w="6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8"/>
              <w:gridCol w:w="1938"/>
              <w:gridCol w:w="2941"/>
            </w:tblGrid>
            <w:tr w:rsidR="00600DEE" w14:paraId="10BA2D25" w14:textId="77777777" w:rsidTr="00CB0FAE">
              <w:trPr>
                <w:trHeight w:val="243"/>
              </w:trPr>
              <w:tc>
                <w:tcPr>
                  <w:tcW w:w="1938" w:type="dxa"/>
                  <w:tcBorders>
                    <w:top w:val="nil"/>
                    <w:left w:val="nil"/>
                    <w:bottom w:val="nil"/>
                    <w:right w:val="single" w:sz="4" w:space="0" w:color="FFFFFF"/>
                  </w:tcBorders>
                  <w:shd w:val="clear" w:color="auto" w:fill="A6A6A6"/>
                  <w:vAlign w:val="center"/>
                </w:tcPr>
                <w:p w14:paraId="6A97C1E4"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Wyszczególnienie</w:t>
                  </w:r>
                </w:p>
              </w:tc>
              <w:tc>
                <w:tcPr>
                  <w:tcW w:w="1938" w:type="dxa"/>
                  <w:tcBorders>
                    <w:top w:val="nil"/>
                    <w:left w:val="single" w:sz="4" w:space="0" w:color="FFFFFF"/>
                    <w:bottom w:val="nil"/>
                    <w:right w:val="single" w:sz="4" w:space="0" w:color="FFFFFF"/>
                  </w:tcBorders>
                  <w:shd w:val="clear" w:color="auto" w:fill="A6A6A6"/>
                  <w:vAlign w:val="center"/>
                </w:tcPr>
                <w:p w14:paraId="5AF62B42"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Koszt z VAT na km</w:t>
                  </w:r>
                </w:p>
              </w:tc>
              <w:tc>
                <w:tcPr>
                  <w:tcW w:w="2941" w:type="dxa"/>
                  <w:tcBorders>
                    <w:top w:val="nil"/>
                    <w:left w:val="single" w:sz="4" w:space="0" w:color="FFFFFF"/>
                    <w:bottom w:val="nil"/>
                    <w:right w:val="nil"/>
                  </w:tcBorders>
                  <w:shd w:val="clear" w:color="auto" w:fill="A6A6A6"/>
                  <w:vAlign w:val="center"/>
                </w:tcPr>
                <w:p w14:paraId="30E65E3E"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Koszt bez VAT na km</w:t>
                  </w:r>
                </w:p>
              </w:tc>
            </w:tr>
            <w:tr w:rsidR="00600DEE" w14:paraId="556E55B7" w14:textId="77777777" w:rsidTr="00CB0FAE">
              <w:trPr>
                <w:trHeight w:val="291"/>
              </w:trPr>
              <w:tc>
                <w:tcPr>
                  <w:tcW w:w="1938" w:type="dxa"/>
                  <w:tcBorders>
                    <w:top w:val="single" w:sz="4" w:space="0" w:color="FFFFFF"/>
                    <w:left w:val="nil"/>
                    <w:bottom w:val="single" w:sz="4" w:space="0" w:color="FFFFFF"/>
                    <w:right w:val="single" w:sz="4" w:space="0" w:color="FFFFFF"/>
                  </w:tcBorders>
                  <w:shd w:val="clear" w:color="auto" w:fill="DBE5F1"/>
                  <w:vAlign w:val="center"/>
                </w:tcPr>
                <w:p w14:paraId="516295E5" w14:textId="77777777" w:rsidR="00600DEE" w:rsidRDefault="00641FB5">
                  <w:pPr>
                    <w:ind w:right="-20"/>
                    <w:rPr>
                      <w:rFonts w:ascii="Calibri" w:eastAsia="Calibri" w:hAnsi="Calibri" w:cs="Calibri"/>
                      <w:color w:val="4F81BD"/>
                      <w:sz w:val="18"/>
                      <w:szCs w:val="18"/>
                    </w:rPr>
                  </w:pPr>
                  <w:r>
                    <w:rPr>
                      <w:rFonts w:ascii="Calibri" w:eastAsia="Calibri" w:hAnsi="Calibri" w:cs="Calibri"/>
                      <w:color w:val="4F81BD"/>
                      <w:sz w:val="18"/>
                      <w:szCs w:val="18"/>
                    </w:rPr>
                    <w:t>Bez wykupu gruntów</w:t>
                  </w:r>
                </w:p>
              </w:tc>
              <w:tc>
                <w:tcPr>
                  <w:tcW w:w="1938" w:type="dxa"/>
                  <w:tcBorders>
                    <w:top w:val="single" w:sz="4" w:space="0" w:color="FFFFFF"/>
                    <w:left w:val="single" w:sz="4" w:space="0" w:color="FFFFFF"/>
                    <w:bottom w:val="single" w:sz="4" w:space="0" w:color="FFFFFF"/>
                    <w:right w:val="single" w:sz="4" w:space="0" w:color="FFFFFF"/>
                  </w:tcBorders>
                  <w:shd w:val="clear" w:color="auto" w:fill="DBE5F1"/>
                </w:tcPr>
                <w:p w14:paraId="4E1D4789" w14:textId="77777777" w:rsidR="00600DEE" w:rsidRDefault="00600DEE">
                  <w:pPr>
                    <w:ind w:right="952"/>
                    <w:jc w:val="center"/>
                    <w:rPr>
                      <w:rFonts w:ascii="Calibri" w:eastAsia="Calibri" w:hAnsi="Calibri" w:cs="Calibri"/>
                      <w:color w:val="4F81BD"/>
                      <w:sz w:val="18"/>
                      <w:szCs w:val="18"/>
                    </w:rPr>
                  </w:pPr>
                </w:p>
              </w:tc>
              <w:tc>
                <w:tcPr>
                  <w:tcW w:w="2941" w:type="dxa"/>
                  <w:tcBorders>
                    <w:top w:val="single" w:sz="4" w:space="0" w:color="FFFFFF"/>
                    <w:left w:val="single" w:sz="4" w:space="0" w:color="FFFFFF"/>
                    <w:bottom w:val="single" w:sz="4" w:space="0" w:color="FFFFFF"/>
                    <w:right w:val="nil"/>
                  </w:tcBorders>
                  <w:shd w:val="clear" w:color="auto" w:fill="DBE5F1"/>
                </w:tcPr>
                <w:p w14:paraId="544E2856" w14:textId="77777777" w:rsidR="00600DEE" w:rsidRDefault="00600DEE">
                  <w:pPr>
                    <w:ind w:right="904"/>
                    <w:jc w:val="center"/>
                    <w:rPr>
                      <w:rFonts w:ascii="Calibri" w:eastAsia="Calibri" w:hAnsi="Calibri" w:cs="Calibri"/>
                      <w:color w:val="4F81BD"/>
                      <w:sz w:val="18"/>
                      <w:szCs w:val="18"/>
                    </w:rPr>
                  </w:pPr>
                </w:p>
              </w:tc>
            </w:tr>
            <w:tr w:rsidR="00600DEE" w14:paraId="21C0EBC3" w14:textId="77777777" w:rsidTr="00CB0FAE">
              <w:trPr>
                <w:trHeight w:hRule="exact" w:val="616"/>
              </w:trPr>
              <w:tc>
                <w:tcPr>
                  <w:tcW w:w="1938" w:type="dxa"/>
                  <w:tcBorders>
                    <w:top w:val="single" w:sz="4" w:space="0" w:color="FFFFFF"/>
                    <w:left w:val="nil"/>
                    <w:bottom w:val="nil"/>
                    <w:right w:val="single" w:sz="4" w:space="0" w:color="FFFFFF"/>
                  </w:tcBorders>
                  <w:shd w:val="clear" w:color="auto" w:fill="DBE5F1"/>
                </w:tcPr>
                <w:p w14:paraId="04DB2B98" w14:textId="77777777" w:rsidR="00600DEE" w:rsidRDefault="00641FB5">
                  <w:pPr>
                    <w:spacing w:before="4"/>
                    <w:rPr>
                      <w:rFonts w:ascii="Calibri" w:eastAsia="Calibri" w:hAnsi="Calibri" w:cs="Calibri"/>
                      <w:color w:val="4F81BD"/>
                      <w:sz w:val="12"/>
                      <w:szCs w:val="12"/>
                    </w:rPr>
                  </w:pPr>
                  <w:r>
                    <w:rPr>
                      <w:rFonts w:ascii="Calibri" w:eastAsia="Calibri" w:hAnsi="Calibri" w:cs="Calibri"/>
                      <w:color w:val="4F81BD"/>
                      <w:sz w:val="18"/>
                      <w:szCs w:val="18"/>
                    </w:rPr>
                    <w:t>Bez wykupu gruntów i bez obiektów</w:t>
                  </w:r>
                </w:p>
              </w:tc>
              <w:tc>
                <w:tcPr>
                  <w:tcW w:w="1938" w:type="dxa"/>
                  <w:tcBorders>
                    <w:top w:val="single" w:sz="4" w:space="0" w:color="FFFFFF"/>
                    <w:left w:val="single" w:sz="4" w:space="0" w:color="FFFFFF"/>
                    <w:bottom w:val="nil"/>
                    <w:right w:val="single" w:sz="4" w:space="0" w:color="FFFFFF"/>
                  </w:tcBorders>
                  <w:shd w:val="clear" w:color="auto" w:fill="DBE5F1"/>
                </w:tcPr>
                <w:p w14:paraId="67241F16" w14:textId="77777777" w:rsidR="00600DEE" w:rsidRDefault="00600DEE">
                  <w:pPr>
                    <w:ind w:right="952"/>
                    <w:jc w:val="center"/>
                    <w:rPr>
                      <w:rFonts w:ascii="Calibri" w:eastAsia="Calibri" w:hAnsi="Calibri" w:cs="Calibri"/>
                      <w:color w:val="4F81BD"/>
                      <w:sz w:val="18"/>
                      <w:szCs w:val="18"/>
                    </w:rPr>
                  </w:pPr>
                </w:p>
              </w:tc>
              <w:tc>
                <w:tcPr>
                  <w:tcW w:w="2941" w:type="dxa"/>
                  <w:tcBorders>
                    <w:top w:val="single" w:sz="4" w:space="0" w:color="FFFFFF"/>
                    <w:left w:val="single" w:sz="4" w:space="0" w:color="FFFFFF"/>
                    <w:bottom w:val="nil"/>
                    <w:right w:val="nil"/>
                  </w:tcBorders>
                  <w:shd w:val="clear" w:color="auto" w:fill="DBE5F1"/>
                </w:tcPr>
                <w:p w14:paraId="6FC98A06" w14:textId="77777777" w:rsidR="00600DEE" w:rsidRDefault="00600DEE">
                  <w:pPr>
                    <w:ind w:right="904"/>
                    <w:jc w:val="center"/>
                    <w:rPr>
                      <w:rFonts w:ascii="Calibri" w:eastAsia="Calibri" w:hAnsi="Calibri" w:cs="Calibri"/>
                      <w:color w:val="4F81BD"/>
                      <w:sz w:val="18"/>
                      <w:szCs w:val="18"/>
                    </w:rPr>
                  </w:pPr>
                </w:p>
              </w:tc>
            </w:tr>
          </w:tbl>
          <w:p w14:paraId="01215AC1"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Nakłady inwestycyjne dla celów AKK należy rozłożyć na poszczególne lata analizy zgodnie z harmonogramem finansowym ponoszenia wydatków. Należy unikać przedstawiania bardzo małych nakładów ponoszonych na początku przygotowania i realizacji inwestycji. W takich przypadkach zaleca się, aby wszystkie mniejsze nakłady włączyć do kosztów w pierwszym roku analizy. W przypadku nakładów ponoszonych przed pierwszym rokiem analizy, co do zasady, nie stosuje się ich indeksacji i wykazuje w wartości nominalnej w pierwszym roku analizy.</w:t>
            </w:r>
          </w:p>
        </w:tc>
        <w:tc>
          <w:tcPr>
            <w:tcW w:w="7204" w:type="dxa"/>
            <w:tcBorders>
              <w:left w:val="single" w:sz="4" w:space="0" w:color="000000"/>
            </w:tcBorders>
            <w:tcMar>
              <w:left w:w="284" w:type="dxa"/>
              <w:right w:w="284" w:type="dxa"/>
            </w:tcMar>
          </w:tcPr>
          <w:p w14:paraId="77A35974" w14:textId="77777777" w:rsidR="00600DEE" w:rsidRPr="0045151D" w:rsidRDefault="00641FB5" w:rsidP="00D24D31">
            <w:pPr>
              <w:pBdr>
                <w:top w:val="nil"/>
                <w:left w:val="nil"/>
                <w:bottom w:val="nil"/>
                <w:right w:val="nil"/>
                <w:between w:val="nil"/>
              </w:pBdr>
              <w:spacing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One of the most important inputs are the capital expenditures of each project investment option. </w:t>
            </w:r>
          </w:p>
          <w:p w14:paraId="50ABB1F3"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ability to estimate future costs and range of uncertainties is crucial not only for the CBA, but also for planning and implementation of the investment programme as a whole. It is a matter concerning many Beneficiaries; therefore, it is recommended to be cautious and accurate during investment costs assessment.</w:t>
            </w:r>
          </w:p>
          <w:p w14:paraId="65D69190"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One must take into account the best available information on current prices of road construction works. An important point is to understand the basis of the estimate and, thus, the accuracy which can be expected, and to test this range of uncertainty in the sensitivity analysis (see chapter 4.1). For option selection, it is more important to use a consistent cost basis for all investment options than to obtain accurate data in absolute values. All assumptions used should be stated. Therefore, it is important that the costs estimation is made on the basis of project documentation of about the same accuracy level.</w:t>
            </w:r>
          </w:p>
          <w:p w14:paraId="739B3CCB"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At the time of preparing the grant application form, there might be updated costs information on the basis of more accurate bills of quantities from detailed construction designs, or tender prices. If the new estimate is within the range tested in the sensitivity analysis and the results were still considered acceptable, there is no need to repeat the full analysis at this stage (an update only if deemed appriprate). </w:t>
            </w:r>
          </w:p>
          <w:p w14:paraId="25781EC6"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Usually, there are no investment expenditures in W0. However, if the infrastructure is in a very bad condition, it may be necessary to incur significant costs for the works to ensure that the infrastructure functions correctly. In such case, the costs should be classified as maintenance and repair expenditure in W0.</w:t>
            </w:r>
          </w:p>
          <w:p w14:paraId="0C41627B"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case of road projects, it is recommended that investment costs are broken down into the main items (proposed in the table below), where such a level of information detail is available.</w:t>
            </w:r>
          </w:p>
          <w:p w14:paraId="436BC646" w14:textId="77777777" w:rsidR="00600DEE" w:rsidRPr="0045151D" w:rsidRDefault="00600DEE" w:rsidP="00DF6B9D">
            <w:pPr>
              <w:pBdr>
                <w:top w:val="nil"/>
                <w:left w:val="nil"/>
                <w:bottom w:val="nil"/>
                <w:right w:val="nil"/>
                <w:between w:val="nil"/>
              </w:pBdr>
              <w:jc w:val="both"/>
              <w:rPr>
                <w:rFonts w:ascii="Calibri" w:eastAsia="Calibri" w:hAnsi="Calibri" w:cs="Calibri"/>
                <w:sz w:val="20"/>
                <w:szCs w:val="20"/>
                <w:lang w:val="en-GB"/>
              </w:rPr>
            </w:pPr>
          </w:p>
          <w:p w14:paraId="18A2511C" w14:textId="77777777" w:rsidR="00600DEE" w:rsidRPr="0045151D" w:rsidRDefault="00600DEE" w:rsidP="00DF6B9D">
            <w:pPr>
              <w:pBdr>
                <w:top w:val="nil"/>
                <w:left w:val="nil"/>
                <w:bottom w:val="nil"/>
                <w:right w:val="nil"/>
                <w:between w:val="nil"/>
              </w:pBdr>
              <w:jc w:val="both"/>
              <w:rPr>
                <w:rFonts w:ascii="Calibri" w:eastAsia="Calibri" w:hAnsi="Calibri" w:cs="Calibri"/>
                <w:sz w:val="20"/>
                <w:szCs w:val="20"/>
                <w:lang w:val="en-GB"/>
              </w:rPr>
            </w:pPr>
          </w:p>
          <w:p w14:paraId="5F821E02" w14:textId="77777777" w:rsidR="00DF6B9D" w:rsidRPr="0045151D" w:rsidRDefault="00DF6B9D">
            <w:pPr>
              <w:keepNext/>
              <w:pBdr>
                <w:top w:val="nil"/>
                <w:left w:val="nil"/>
                <w:bottom w:val="nil"/>
                <w:right w:val="nil"/>
                <w:between w:val="nil"/>
              </w:pBdr>
              <w:tabs>
                <w:tab w:val="left" w:pos="720"/>
                <w:tab w:val="left" w:pos="0"/>
              </w:tabs>
              <w:spacing w:after="120"/>
              <w:ind w:right="26"/>
              <w:rPr>
                <w:rFonts w:ascii="Calibri" w:eastAsia="Calibri" w:hAnsi="Calibri" w:cs="Calibri"/>
                <w:sz w:val="20"/>
                <w:szCs w:val="20"/>
                <w:lang w:val="en-GB"/>
              </w:rPr>
            </w:pPr>
          </w:p>
          <w:p w14:paraId="746EFDFB" w14:textId="30EBC21A" w:rsidR="00600DEE" w:rsidRPr="0045151D" w:rsidRDefault="00641FB5" w:rsidP="00DF6B9D">
            <w:pPr>
              <w:keepNext/>
              <w:pBdr>
                <w:top w:val="nil"/>
                <w:left w:val="nil"/>
                <w:bottom w:val="nil"/>
                <w:right w:val="nil"/>
                <w:between w:val="nil"/>
              </w:pBdr>
              <w:tabs>
                <w:tab w:val="left" w:pos="720"/>
                <w:tab w:val="left" w:pos="0"/>
              </w:tabs>
              <w:spacing w:before="240" w:after="120"/>
              <w:ind w:right="26"/>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8. Statement of estimated investment costs</w:t>
            </w:r>
          </w:p>
          <w:tbl>
            <w:tblPr>
              <w:tblStyle w:val="aff6"/>
              <w:tblW w:w="6941" w:type="dxa"/>
              <w:tblLayout w:type="fixed"/>
              <w:tblLook w:val="0000" w:firstRow="0" w:lastRow="0" w:firstColumn="0" w:lastColumn="0" w:noHBand="0" w:noVBand="0"/>
            </w:tblPr>
            <w:tblGrid>
              <w:gridCol w:w="625"/>
              <w:gridCol w:w="1979"/>
              <w:gridCol w:w="660"/>
              <w:gridCol w:w="35"/>
              <w:gridCol w:w="644"/>
              <w:gridCol w:w="683"/>
              <w:gridCol w:w="7"/>
              <w:gridCol w:w="730"/>
              <w:gridCol w:w="540"/>
              <w:gridCol w:w="49"/>
              <w:gridCol w:w="989"/>
            </w:tblGrid>
            <w:tr w:rsidR="00600DEE" w14:paraId="64134ACE" w14:textId="77777777" w:rsidTr="00DF6B9D">
              <w:trPr>
                <w:trHeight w:hRule="exact" w:val="567"/>
              </w:trPr>
              <w:tc>
                <w:tcPr>
                  <w:tcW w:w="625" w:type="dxa"/>
                  <w:vMerge w:val="restart"/>
                  <w:tcBorders>
                    <w:top w:val="single" w:sz="4" w:space="0" w:color="FFFFFF"/>
                    <w:left w:val="single" w:sz="4" w:space="0" w:color="FFFFFF"/>
                  </w:tcBorders>
                  <w:shd w:val="clear" w:color="auto" w:fill="A6A6A6"/>
                  <w:vAlign w:val="center"/>
                </w:tcPr>
                <w:p w14:paraId="61128B54"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Nb.</w:t>
                  </w:r>
                </w:p>
              </w:tc>
              <w:tc>
                <w:tcPr>
                  <w:tcW w:w="1979" w:type="dxa"/>
                  <w:vMerge w:val="restart"/>
                  <w:tcBorders>
                    <w:top w:val="single" w:sz="4" w:space="0" w:color="FFFFFF"/>
                    <w:left w:val="single" w:sz="4" w:space="0" w:color="FFFFFF"/>
                  </w:tcBorders>
                  <w:shd w:val="clear" w:color="auto" w:fill="A6A6A6"/>
                  <w:vAlign w:val="center"/>
                </w:tcPr>
                <w:p w14:paraId="1F780D2E"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Cost category</w:t>
                  </w:r>
                </w:p>
              </w:tc>
              <w:tc>
                <w:tcPr>
                  <w:tcW w:w="4337" w:type="dxa"/>
                  <w:gridSpan w:val="9"/>
                  <w:tcBorders>
                    <w:top w:val="single" w:sz="4" w:space="0" w:color="FFFFFF"/>
                    <w:left w:val="single" w:sz="4" w:space="0" w:color="FFFFFF"/>
                    <w:bottom w:val="single" w:sz="4" w:space="0" w:color="FFFFFF"/>
                  </w:tcBorders>
                  <w:shd w:val="clear" w:color="auto" w:fill="A6A6A6"/>
                  <w:vAlign w:val="center"/>
                </w:tcPr>
                <w:p w14:paraId="5B9E5442"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Project investment options (PLN ‘000)</w:t>
                  </w:r>
                </w:p>
              </w:tc>
            </w:tr>
            <w:tr w:rsidR="00600DEE" w14:paraId="083AE426" w14:textId="77777777" w:rsidTr="00DF6B9D">
              <w:trPr>
                <w:trHeight w:val="405"/>
              </w:trPr>
              <w:tc>
                <w:tcPr>
                  <w:tcW w:w="625" w:type="dxa"/>
                  <w:vMerge/>
                  <w:tcBorders>
                    <w:top w:val="single" w:sz="4" w:space="0" w:color="FFFFFF"/>
                    <w:left w:val="single" w:sz="4" w:space="0" w:color="FFFFFF"/>
                  </w:tcBorders>
                  <w:shd w:val="clear" w:color="auto" w:fill="A6A6A6"/>
                  <w:vAlign w:val="center"/>
                </w:tcPr>
                <w:p w14:paraId="5329B114"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979" w:type="dxa"/>
                  <w:vMerge/>
                  <w:tcBorders>
                    <w:top w:val="single" w:sz="4" w:space="0" w:color="FFFFFF"/>
                    <w:left w:val="single" w:sz="4" w:space="0" w:color="FFFFFF"/>
                  </w:tcBorders>
                  <w:shd w:val="clear" w:color="auto" w:fill="A6A6A6"/>
                  <w:vAlign w:val="center"/>
                </w:tcPr>
                <w:p w14:paraId="017B29DB"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339" w:type="dxa"/>
                  <w:gridSpan w:val="3"/>
                  <w:tcBorders>
                    <w:top w:val="single" w:sz="4" w:space="0" w:color="FFFFFF"/>
                    <w:left w:val="single" w:sz="4" w:space="0" w:color="FFFFFF"/>
                    <w:bottom w:val="single" w:sz="4" w:space="0" w:color="FFFFFF"/>
                    <w:right w:val="single" w:sz="4" w:space="0" w:color="FFFFFF"/>
                  </w:tcBorders>
                  <w:shd w:val="clear" w:color="auto" w:fill="A6A6A6"/>
                  <w:vAlign w:val="center"/>
                </w:tcPr>
                <w:p w14:paraId="6D016503"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W1</w:t>
                  </w:r>
                </w:p>
              </w:tc>
              <w:tc>
                <w:tcPr>
                  <w:tcW w:w="1420" w:type="dxa"/>
                  <w:gridSpan w:val="3"/>
                  <w:tcBorders>
                    <w:top w:val="single" w:sz="4" w:space="0" w:color="FFFFFF"/>
                    <w:left w:val="single" w:sz="4" w:space="0" w:color="FFFFFF"/>
                    <w:bottom w:val="single" w:sz="4" w:space="0" w:color="FFFFFF"/>
                    <w:right w:val="single" w:sz="4" w:space="0" w:color="FFFFFF"/>
                  </w:tcBorders>
                  <w:shd w:val="clear" w:color="auto" w:fill="A6A6A6"/>
                  <w:vAlign w:val="center"/>
                </w:tcPr>
                <w:p w14:paraId="698D159B"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W2</w:t>
                  </w:r>
                </w:p>
              </w:tc>
              <w:tc>
                <w:tcPr>
                  <w:tcW w:w="1578" w:type="dxa"/>
                  <w:gridSpan w:val="3"/>
                  <w:tcBorders>
                    <w:top w:val="single" w:sz="4" w:space="0" w:color="FFFFFF"/>
                    <w:left w:val="single" w:sz="4" w:space="0" w:color="FFFFFF"/>
                    <w:bottom w:val="single" w:sz="4" w:space="0" w:color="FFFFFF"/>
                  </w:tcBorders>
                  <w:shd w:val="clear" w:color="auto" w:fill="A6A6A6"/>
                  <w:vAlign w:val="center"/>
                </w:tcPr>
                <w:p w14:paraId="6482C7E1"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Wn</w:t>
                  </w:r>
                </w:p>
              </w:tc>
            </w:tr>
            <w:tr w:rsidR="00600DEE" w14:paraId="28E794F6" w14:textId="77777777" w:rsidTr="00DF6B9D">
              <w:trPr>
                <w:trHeight w:val="280"/>
              </w:trPr>
              <w:tc>
                <w:tcPr>
                  <w:tcW w:w="625" w:type="dxa"/>
                  <w:vMerge/>
                  <w:tcBorders>
                    <w:top w:val="single" w:sz="4" w:space="0" w:color="FFFFFF"/>
                    <w:left w:val="single" w:sz="4" w:space="0" w:color="FFFFFF"/>
                  </w:tcBorders>
                  <w:shd w:val="clear" w:color="auto" w:fill="A6A6A6"/>
                  <w:vAlign w:val="center"/>
                </w:tcPr>
                <w:p w14:paraId="564F3E60"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979" w:type="dxa"/>
                  <w:vMerge/>
                  <w:tcBorders>
                    <w:top w:val="single" w:sz="4" w:space="0" w:color="FFFFFF"/>
                    <w:left w:val="single" w:sz="4" w:space="0" w:color="FFFFFF"/>
                  </w:tcBorders>
                  <w:shd w:val="clear" w:color="auto" w:fill="A6A6A6"/>
                  <w:vAlign w:val="center"/>
                </w:tcPr>
                <w:p w14:paraId="3918C809"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66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06BECEF9"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net</w:t>
                  </w:r>
                </w:p>
              </w:tc>
              <w:tc>
                <w:tcPr>
                  <w:tcW w:w="679" w:type="dxa"/>
                  <w:gridSpan w:val="2"/>
                  <w:tcBorders>
                    <w:top w:val="single" w:sz="4" w:space="0" w:color="FFFFFF"/>
                    <w:left w:val="single" w:sz="4" w:space="0" w:color="FFFFFF"/>
                    <w:bottom w:val="single" w:sz="4" w:space="0" w:color="FFFFFF"/>
                    <w:right w:val="single" w:sz="4" w:space="0" w:color="FFFFFF"/>
                  </w:tcBorders>
                  <w:shd w:val="clear" w:color="auto" w:fill="A6A6A6"/>
                  <w:vAlign w:val="center"/>
                </w:tcPr>
                <w:p w14:paraId="6116E7CB"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gross</w:t>
                  </w:r>
                </w:p>
              </w:tc>
              <w:tc>
                <w:tcPr>
                  <w:tcW w:w="690" w:type="dxa"/>
                  <w:gridSpan w:val="2"/>
                  <w:tcBorders>
                    <w:top w:val="single" w:sz="4" w:space="0" w:color="FFFFFF"/>
                    <w:left w:val="single" w:sz="4" w:space="0" w:color="FFFFFF"/>
                    <w:bottom w:val="single" w:sz="4" w:space="0" w:color="FFFFFF"/>
                    <w:right w:val="single" w:sz="4" w:space="0" w:color="FFFFFF"/>
                  </w:tcBorders>
                  <w:shd w:val="clear" w:color="auto" w:fill="A6A6A6"/>
                  <w:vAlign w:val="center"/>
                </w:tcPr>
                <w:p w14:paraId="46C73F92"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net</w:t>
                  </w:r>
                </w:p>
              </w:tc>
              <w:tc>
                <w:tcPr>
                  <w:tcW w:w="73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64DEA24C"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gross</w:t>
                  </w:r>
                </w:p>
              </w:tc>
              <w:tc>
                <w:tcPr>
                  <w:tcW w:w="54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4C052AC8"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net</w:t>
                  </w:r>
                </w:p>
              </w:tc>
              <w:tc>
                <w:tcPr>
                  <w:tcW w:w="1038" w:type="dxa"/>
                  <w:gridSpan w:val="2"/>
                  <w:tcBorders>
                    <w:top w:val="single" w:sz="4" w:space="0" w:color="FFFFFF"/>
                    <w:left w:val="single" w:sz="4" w:space="0" w:color="FFFFFF"/>
                    <w:bottom w:val="single" w:sz="4" w:space="0" w:color="FFFFFF"/>
                  </w:tcBorders>
                  <w:shd w:val="clear" w:color="auto" w:fill="A6A6A6"/>
                  <w:vAlign w:val="center"/>
                </w:tcPr>
                <w:p w14:paraId="7D470714"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gross</w:t>
                  </w:r>
                </w:p>
              </w:tc>
            </w:tr>
            <w:tr w:rsidR="00600DEE" w:rsidRPr="007463B9" w14:paraId="37AC9D47" w14:textId="77777777" w:rsidTr="00DF6B9D">
              <w:trPr>
                <w:trHeight w:val="232"/>
              </w:trPr>
              <w:tc>
                <w:tcPr>
                  <w:tcW w:w="625" w:type="dxa"/>
                  <w:tcBorders>
                    <w:top w:val="single" w:sz="4" w:space="0" w:color="FFFFFF"/>
                    <w:left w:val="single" w:sz="4" w:space="0" w:color="FFFFFF"/>
                    <w:bottom w:val="single" w:sz="4" w:space="0" w:color="FFFFFF"/>
                  </w:tcBorders>
                  <w:shd w:val="clear" w:color="auto" w:fill="DBE5F1"/>
                  <w:vAlign w:val="center"/>
                </w:tcPr>
                <w:p w14:paraId="574A5D3C"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I</w:t>
                  </w:r>
                </w:p>
              </w:tc>
              <w:tc>
                <w:tcPr>
                  <w:tcW w:w="1979" w:type="dxa"/>
                  <w:tcBorders>
                    <w:top w:val="single" w:sz="4" w:space="0" w:color="FFFFFF"/>
                    <w:left w:val="single" w:sz="4" w:space="0" w:color="FFFFFF"/>
                    <w:bottom w:val="single" w:sz="4" w:space="0" w:color="FFFFFF"/>
                  </w:tcBorders>
                  <w:shd w:val="clear" w:color="auto" w:fill="DBE5F1"/>
                  <w:vAlign w:val="center"/>
                </w:tcPr>
                <w:p w14:paraId="5AE7A5A8" w14:textId="77777777" w:rsidR="00600DEE" w:rsidRPr="0045151D" w:rsidRDefault="00641FB5">
                  <w:pPr>
                    <w:spacing w:before="20" w:after="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Planning/Design fees, technical assistance</w:t>
                  </w:r>
                </w:p>
              </w:tc>
              <w:tc>
                <w:tcPr>
                  <w:tcW w:w="66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3CAF63A"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679"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1C54BA88"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690"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7984B45E"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73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308667E"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540" w:type="dxa"/>
                  <w:tcBorders>
                    <w:top w:val="single" w:sz="4" w:space="0" w:color="FFFFFF"/>
                    <w:left w:val="single" w:sz="4" w:space="0" w:color="FFFFFF"/>
                    <w:bottom w:val="single" w:sz="4" w:space="0" w:color="FFFFFF"/>
                    <w:right w:val="single" w:sz="4" w:space="0" w:color="FFFFFF"/>
                  </w:tcBorders>
                  <w:shd w:val="clear" w:color="auto" w:fill="DBE5F1"/>
                </w:tcPr>
                <w:p w14:paraId="2450E2CA"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1038" w:type="dxa"/>
                  <w:gridSpan w:val="2"/>
                  <w:tcBorders>
                    <w:top w:val="single" w:sz="4" w:space="0" w:color="FFFFFF"/>
                    <w:left w:val="single" w:sz="4" w:space="0" w:color="FFFFFF"/>
                    <w:bottom w:val="single" w:sz="4" w:space="0" w:color="FFFFFF"/>
                  </w:tcBorders>
                  <w:shd w:val="clear" w:color="auto" w:fill="DBE5F1"/>
                </w:tcPr>
                <w:p w14:paraId="4E193254" w14:textId="77777777" w:rsidR="00600DEE" w:rsidRPr="0045151D" w:rsidRDefault="00600DEE">
                  <w:pPr>
                    <w:spacing w:before="20" w:after="20"/>
                    <w:jc w:val="right"/>
                    <w:rPr>
                      <w:rFonts w:ascii="Calibri" w:eastAsia="Calibri" w:hAnsi="Calibri" w:cs="Calibri"/>
                      <w:color w:val="4F81BD"/>
                      <w:sz w:val="18"/>
                      <w:szCs w:val="18"/>
                      <w:lang w:val="en-GB"/>
                    </w:rPr>
                  </w:pPr>
                </w:p>
              </w:tc>
            </w:tr>
            <w:tr w:rsidR="00600DEE" w14:paraId="78B0E1A6" w14:textId="77777777" w:rsidTr="00DF6B9D">
              <w:trPr>
                <w:trHeight w:val="232"/>
              </w:trPr>
              <w:tc>
                <w:tcPr>
                  <w:tcW w:w="625" w:type="dxa"/>
                  <w:tcBorders>
                    <w:top w:val="single" w:sz="4" w:space="0" w:color="FFFFFF"/>
                    <w:left w:val="single" w:sz="4" w:space="0" w:color="FFFFFF"/>
                    <w:bottom w:val="single" w:sz="4" w:space="0" w:color="FFFFFF"/>
                  </w:tcBorders>
                  <w:shd w:val="clear" w:color="auto" w:fill="DBE5F1"/>
                  <w:vAlign w:val="center"/>
                </w:tcPr>
                <w:p w14:paraId="741A81AF"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II</w:t>
                  </w:r>
                </w:p>
              </w:tc>
              <w:tc>
                <w:tcPr>
                  <w:tcW w:w="1979" w:type="dxa"/>
                  <w:tcBorders>
                    <w:top w:val="single" w:sz="4" w:space="0" w:color="FFFFFF"/>
                    <w:left w:val="single" w:sz="4" w:space="0" w:color="FFFFFF"/>
                    <w:bottom w:val="single" w:sz="4" w:space="0" w:color="FFFFFF"/>
                  </w:tcBorders>
                  <w:shd w:val="clear" w:color="auto" w:fill="DBE5F1"/>
                  <w:vAlign w:val="center"/>
                </w:tcPr>
                <w:p w14:paraId="37EE0F0F"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Superivision</w:t>
                  </w:r>
                </w:p>
              </w:tc>
              <w:tc>
                <w:tcPr>
                  <w:tcW w:w="66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2C48F49" w14:textId="77777777" w:rsidR="00600DEE" w:rsidRDefault="00600DEE">
                  <w:pPr>
                    <w:spacing w:before="20" w:after="20"/>
                    <w:jc w:val="right"/>
                    <w:rPr>
                      <w:rFonts w:ascii="Calibri" w:eastAsia="Calibri" w:hAnsi="Calibri" w:cs="Calibri"/>
                      <w:color w:val="4F81BD"/>
                      <w:sz w:val="18"/>
                      <w:szCs w:val="18"/>
                    </w:rPr>
                  </w:pPr>
                </w:p>
              </w:tc>
              <w:tc>
                <w:tcPr>
                  <w:tcW w:w="679"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09B9BF63" w14:textId="77777777" w:rsidR="00600DEE" w:rsidRDefault="00600DEE">
                  <w:pPr>
                    <w:spacing w:before="20" w:after="20"/>
                    <w:jc w:val="right"/>
                    <w:rPr>
                      <w:rFonts w:ascii="Calibri" w:eastAsia="Calibri" w:hAnsi="Calibri" w:cs="Calibri"/>
                      <w:color w:val="4F81BD"/>
                      <w:sz w:val="18"/>
                      <w:szCs w:val="18"/>
                    </w:rPr>
                  </w:pPr>
                </w:p>
              </w:tc>
              <w:tc>
                <w:tcPr>
                  <w:tcW w:w="690"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35EFE09A" w14:textId="77777777" w:rsidR="00600DEE" w:rsidRDefault="00600DEE">
                  <w:pPr>
                    <w:spacing w:before="20" w:after="20"/>
                    <w:jc w:val="right"/>
                    <w:rPr>
                      <w:rFonts w:ascii="Calibri" w:eastAsia="Calibri" w:hAnsi="Calibri" w:cs="Calibri"/>
                      <w:color w:val="4F81BD"/>
                      <w:sz w:val="18"/>
                      <w:szCs w:val="18"/>
                    </w:rPr>
                  </w:pPr>
                </w:p>
              </w:tc>
              <w:tc>
                <w:tcPr>
                  <w:tcW w:w="73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E885128" w14:textId="77777777" w:rsidR="00600DEE" w:rsidRDefault="00600DEE">
                  <w:pPr>
                    <w:spacing w:before="20" w:after="20"/>
                    <w:jc w:val="right"/>
                    <w:rPr>
                      <w:rFonts w:ascii="Calibri" w:eastAsia="Calibri" w:hAnsi="Calibri" w:cs="Calibri"/>
                      <w:color w:val="4F81BD"/>
                      <w:sz w:val="18"/>
                      <w:szCs w:val="18"/>
                    </w:rPr>
                  </w:pPr>
                </w:p>
              </w:tc>
              <w:tc>
                <w:tcPr>
                  <w:tcW w:w="540" w:type="dxa"/>
                  <w:tcBorders>
                    <w:top w:val="single" w:sz="4" w:space="0" w:color="FFFFFF"/>
                    <w:left w:val="single" w:sz="4" w:space="0" w:color="FFFFFF"/>
                    <w:bottom w:val="single" w:sz="4" w:space="0" w:color="FFFFFF"/>
                    <w:right w:val="single" w:sz="4" w:space="0" w:color="FFFFFF"/>
                  </w:tcBorders>
                  <w:shd w:val="clear" w:color="auto" w:fill="DBE5F1"/>
                </w:tcPr>
                <w:p w14:paraId="5E9E43DF" w14:textId="77777777" w:rsidR="00600DEE" w:rsidRDefault="00600DEE">
                  <w:pPr>
                    <w:spacing w:before="20" w:after="20"/>
                    <w:jc w:val="right"/>
                    <w:rPr>
                      <w:rFonts w:ascii="Calibri" w:eastAsia="Calibri" w:hAnsi="Calibri" w:cs="Calibri"/>
                      <w:color w:val="4F81BD"/>
                      <w:sz w:val="18"/>
                      <w:szCs w:val="18"/>
                    </w:rPr>
                  </w:pPr>
                </w:p>
              </w:tc>
              <w:tc>
                <w:tcPr>
                  <w:tcW w:w="1038" w:type="dxa"/>
                  <w:gridSpan w:val="2"/>
                  <w:tcBorders>
                    <w:top w:val="single" w:sz="4" w:space="0" w:color="FFFFFF"/>
                    <w:left w:val="single" w:sz="4" w:space="0" w:color="FFFFFF"/>
                    <w:bottom w:val="single" w:sz="4" w:space="0" w:color="FFFFFF"/>
                  </w:tcBorders>
                  <w:shd w:val="clear" w:color="auto" w:fill="DBE5F1"/>
                </w:tcPr>
                <w:p w14:paraId="789EA1C4" w14:textId="77777777" w:rsidR="00600DEE" w:rsidRDefault="00600DEE">
                  <w:pPr>
                    <w:spacing w:before="20" w:after="20"/>
                    <w:jc w:val="right"/>
                    <w:rPr>
                      <w:rFonts w:ascii="Calibri" w:eastAsia="Calibri" w:hAnsi="Calibri" w:cs="Calibri"/>
                      <w:color w:val="4F81BD"/>
                      <w:sz w:val="18"/>
                      <w:szCs w:val="18"/>
                    </w:rPr>
                  </w:pPr>
                </w:p>
              </w:tc>
            </w:tr>
            <w:tr w:rsidR="00600DEE" w14:paraId="3F563B12" w14:textId="77777777" w:rsidTr="00DF6B9D">
              <w:trPr>
                <w:trHeight w:val="232"/>
              </w:trPr>
              <w:tc>
                <w:tcPr>
                  <w:tcW w:w="625" w:type="dxa"/>
                  <w:tcBorders>
                    <w:top w:val="single" w:sz="4" w:space="0" w:color="FFFFFF"/>
                    <w:left w:val="single" w:sz="4" w:space="0" w:color="FFFFFF"/>
                    <w:bottom w:val="single" w:sz="4" w:space="0" w:color="FFFFFF"/>
                  </w:tcBorders>
                  <w:shd w:val="clear" w:color="auto" w:fill="DBE5F1"/>
                  <w:vAlign w:val="center"/>
                </w:tcPr>
                <w:p w14:paraId="34CD8A7A"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III</w:t>
                  </w:r>
                </w:p>
              </w:tc>
              <w:tc>
                <w:tcPr>
                  <w:tcW w:w="1979" w:type="dxa"/>
                  <w:tcBorders>
                    <w:top w:val="single" w:sz="4" w:space="0" w:color="FFFFFF"/>
                    <w:left w:val="single" w:sz="4" w:space="0" w:color="FFFFFF"/>
                    <w:bottom w:val="single" w:sz="4" w:space="0" w:color="FFFFFF"/>
                  </w:tcBorders>
                  <w:shd w:val="clear" w:color="auto" w:fill="DBE5F1"/>
                  <w:vAlign w:val="center"/>
                </w:tcPr>
                <w:p w14:paraId="4C4636D2"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Archeology</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3CB20196"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3F3B588"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787D450"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00E8B37E"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7A3AA59D"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36F064C2" w14:textId="77777777" w:rsidR="00600DEE" w:rsidRDefault="00600DEE">
                  <w:pPr>
                    <w:spacing w:before="20" w:after="20"/>
                    <w:jc w:val="right"/>
                    <w:rPr>
                      <w:rFonts w:ascii="Calibri" w:eastAsia="Calibri" w:hAnsi="Calibri" w:cs="Calibri"/>
                      <w:color w:val="4F81BD"/>
                      <w:sz w:val="18"/>
                      <w:szCs w:val="18"/>
                    </w:rPr>
                  </w:pPr>
                </w:p>
              </w:tc>
            </w:tr>
            <w:tr w:rsidR="00600DEE" w14:paraId="0C8CEAF4" w14:textId="77777777" w:rsidTr="00DF6B9D">
              <w:trPr>
                <w:trHeight w:val="232"/>
              </w:trPr>
              <w:tc>
                <w:tcPr>
                  <w:tcW w:w="625" w:type="dxa"/>
                  <w:tcBorders>
                    <w:top w:val="single" w:sz="4" w:space="0" w:color="FFFFFF"/>
                    <w:left w:val="single" w:sz="4" w:space="0" w:color="FFFFFF"/>
                    <w:bottom w:val="single" w:sz="4" w:space="0" w:color="FFFFFF"/>
                  </w:tcBorders>
                  <w:shd w:val="clear" w:color="auto" w:fill="DBE5F1"/>
                  <w:vAlign w:val="center"/>
                </w:tcPr>
                <w:p w14:paraId="6A24FE26"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IV</w:t>
                  </w:r>
                </w:p>
              </w:tc>
              <w:tc>
                <w:tcPr>
                  <w:tcW w:w="1979" w:type="dxa"/>
                  <w:tcBorders>
                    <w:top w:val="single" w:sz="4" w:space="0" w:color="FFFFFF"/>
                    <w:left w:val="single" w:sz="4" w:space="0" w:color="FFFFFF"/>
                    <w:bottom w:val="single" w:sz="4" w:space="0" w:color="FFFFFF"/>
                  </w:tcBorders>
                  <w:shd w:val="clear" w:color="auto" w:fill="DBE5F1"/>
                  <w:vAlign w:val="center"/>
                </w:tcPr>
                <w:p w14:paraId="2836E520"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Other preparatory work</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5D00D6FD"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4448400"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5388B08B"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3DE99558"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45132A6F"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0B4FB985" w14:textId="77777777" w:rsidR="00600DEE" w:rsidRDefault="00600DEE">
                  <w:pPr>
                    <w:spacing w:before="20" w:after="20"/>
                    <w:jc w:val="right"/>
                    <w:rPr>
                      <w:rFonts w:ascii="Calibri" w:eastAsia="Calibri" w:hAnsi="Calibri" w:cs="Calibri"/>
                      <w:color w:val="4F81BD"/>
                      <w:sz w:val="18"/>
                      <w:szCs w:val="18"/>
                    </w:rPr>
                  </w:pPr>
                </w:p>
              </w:tc>
            </w:tr>
            <w:tr w:rsidR="00600DEE" w14:paraId="225A99AF" w14:textId="77777777" w:rsidTr="00DF6B9D">
              <w:trPr>
                <w:trHeight w:val="232"/>
              </w:trPr>
              <w:tc>
                <w:tcPr>
                  <w:tcW w:w="625" w:type="dxa"/>
                  <w:tcBorders>
                    <w:top w:val="single" w:sz="4" w:space="0" w:color="FFFFFF"/>
                    <w:left w:val="single" w:sz="4" w:space="0" w:color="FFFFFF"/>
                    <w:bottom w:val="single" w:sz="4" w:space="0" w:color="FFFFFF"/>
                  </w:tcBorders>
                  <w:shd w:val="clear" w:color="auto" w:fill="DBE5F1"/>
                  <w:vAlign w:val="center"/>
                </w:tcPr>
                <w:p w14:paraId="151E38A2"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V</w:t>
                  </w:r>
                </w:p>
              </w:tc>
              <w:tc>
                <w:tcPr>
                  <w:tcW w:w="1979" w:type="dxa"/>
                  <w:tcBorders>
                    <w:top w:val="single" w:sz="4" w:space="0" w:color="FFFFFF"/>
                    <w:left w:val="single" w:sz="4" w:space="0" w:color="FFFFFF"/>
                    <w:bottom w:val="single" w:sz="4" w:space="0" w:color="FFFFFF"/>
                  </w:tcBorders>
                  <w:shd w:val="clear" w:color="auto" w:fill="DBE5F1"/>
                  <w:vAlign w:val="center"/>
                </w:tcPr>
                <w:p w14:paraId="436F55D9"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Publicity</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213D4C1D"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79DA5B0"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5EA30C6"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045DDB9F"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1FBF2560"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030999B6" w14:textId="77777777" w:rsidR="00600DEE" w:rsidRDefault="00600DEE">
                  <w:pPr>
                    <w:spacing w:before="20" w:after="20"/>
                    <w:jc w:val="right"/>
                    <w:rPr>
                      <w:rFonts w:ascii="Calibri" w:eastAsia="Calibri" w:hAnsi="Calibri" w:cs="Calibri"/>
                      <w:color w:val="4F81BD"/>
                      <w:sz w:val="18"/>
                      <w:szCs w:val="18"/>
                    </w:rPr>
                  </w:pPr>
                </w:p>
              </w:tc>
            </w:tr>
            <w:tr w:rsidR="00600DEE" w14:paraId="6266CACC" w14:textId="77777777" w:rsidTr="00DF6B9D">
              <w:trPr>
                <w:trHeight w:val="232"/>
              </w:trPr>
              <w:tc>
                <w:tcPr>
                  <w:tcW w:w="625" w:type="dxa"/>
                  <w:tcBorders>
                    <w:top w:val="single" w:sz="4" w:space="0" w:color="FFFFFF"/>
                    <w:left w:val="single" w:sz="4" w:space="0" w:color="FFFFFF"/>
                    <w:bottom w:val="single" w:sz="4" w:space="0" w:color="FFFFFF"/>
                  </w:tcBorders>
                  <w:shd w:val="clear" w:color="auto" w:fill="DBE5F1"/>
                  <w:vAlign w:val="center"/>
                </w:tcPr>
                <w:p w14:paraId="08C69BC2"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VI</w:t>
                  </w:r>
                </w:p>
              </w:tc>
              <w:tc>
                <w:tcPr>
                  <w:tcW w:w="1979" w:type="dxa"/>
                  <w:tcBorders>
                    <w:top w:val="single" w:sz="4" w:space="0" w:color="FFFFFF"/>
                    <w:left w:val="single" w:sz="4" w:space="0" w:color="FFFFFF"/>
                    <w:bottom w:val="single" w:sz="4" w:space="0" w:color="FFFFFF"/>
                  </w:tcBorders>
                  <w:shd w:val="clear" w:color="auto" w:fill="DBE5F1"/>
                  <w:vAlign w:val="center"/>
                </w:tcPr>
                <w:p w14:paraId="4652090A"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Land acquisition</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54319AE0"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E0F5FD7"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EDC741F"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6A5FD23A"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7910FCC5"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1BBDFB84" w14:textId="77777777" w:rsidR="00600DEE" w:rsidRDefault="00600DEE">
                  <w:pPr>
                    <w:spacing w:before="20" w:after="20"/>
                    <w:jc w:val="right"/>
                    <w:rPr>
                      <w:rFonts w:ascii="Calibri" w:eastAsia="Calibri" w:hAnsi="Calibri" w:cs="Calibri"/>
                      <w:color w:val="4F81BD"/>
                      <w:sz w:val="18"/>
                      <w:szCs w:val="18"/>
                    </w:rPr>
                  </w:pPr>
                </w:p>
              </w:tc>
            </w:tr>
            <w:tr w:rsidR="00600DEE" w14:paraId="248FCD09" w14:textId="77777777" w:rsidTr="00D24D31">
              <w:trPr>
                <w:trHeight w:hRule="exact" w:val="340"/>
              </w:trPr>
              <w:tc>
                <w:tcPr>
                  <w:tcW w:w="625" w:type="dxa"/>
                  <w:tcBorders>
                    <w:top w:val="single" w:sz="4" w:space="0" w:color="FFFFFF"/>
                    <w:left w:val="single" w:sz="4" w:space="0" w:color="FFFFFF"/>
                    <w:bottom w:val="single" w:sz="4" w:space="0" w:color="FFFFFF"/>
                  </w:tcBorders>
                  <w:shd w:val="clear" w:color="auto" w:fill="DBE5F1"/>
                  <w:vAlign w:val="center"/>
                </w:tcPr>
                <w:p w14:paraId="1C7ED7C4"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VII</w:t>
                  </w:r>
                </w:p>
              </w:tc>
              <w:tc>
                <w:tcPr>
                  <w:tcW w:w="1979" w:type="dxa"/>
                  <w:tcBorders>
                    <w:top w:val="single" w:sz="4" w:space="0" w:color="FFFFFF"/>
                    <w:left w:val="single" w:sz="4" w:space="0" w:color="FFFFFF"/>
                    <w:bottom w:val="single" w:sz="4" w:space="0" w:color="FFFFFF"/>
                  </w:tcBorders>
                  <w:shd w:val="clear" w:color="auto" w:fill="DBE5F1"/>
                  <w:vAlign w:val="center"/>
                </w:tcPr>
                <w:p w14:paraId="49284402"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Preliminaries</w:t>
                  </w:r>
                </w:p>
                <w:p w14:paraId="28C5D758" w14:textId="77777777" w:rsidR="00600DEE" w:rsidRDefault="00600DEE">
                  <w:pPr>
                    <w:spacing w:before="20" w:after="20"/>
                    <w:rPr>
                      <w:rFonts w:ascii="Calibri" w:eastAsia="Calibri" w:hAnsi="Calibri" w:cs="Calibri"/>
                      <w:color w:val="4F81BD"/>
                      <w:sz w:val="18"/>
                      <w:szCs w:val="18"/>
                    </w:rPr>
                  </w:pPr>
                </w:p>
                <w:p w14:paraId="48E323E9" w14:textId="77777777" w:rsidR="00600DEE" w:rsidRDefault="00600DEE">
                  <w:pPr>
                    <w:spacing w:before="20" w:after="20"/>
                    <w:rPr>
                      <w:rFonts w:ascii="Calibri" w:eastAsia="Calibri" w:hAnsi="Calibri" w:cs="Calibri"/>
                      <w:color w:val="4F81BD"/>
                      <w:sz w:val="18"/>
                      <w:szCs w:val="18"/>
                    </w:rPr>
                  </w:pPr>
                </w:p>
                <w:p w14:paraId="4CE56C6C" w14:textId="77777777" w:rsidR="00600DEE" w:rsidRDefault="00600DEE">
                  <w:pPr>
                    <w:spacing w:before="20" w:after="20"/>
                    <w:rPr>
                      <w:rFonts w:ascii="Calibri" w:eastAsia="Calibri" w:hAnsi="Calibri" w:cs="Calibri"/>
                      <w:color w:val="4F81BD"/>
                      <w:sz w:val="18"/>
                      <w:szCs w:val="18"/>
                    </w:rPr>
                  </w:pP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187D4FB7"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A67E936"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F6A8C45"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5593E9C3"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267BCE9C"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76B1F84E" w14:textId="77777777" w:rsidR="00600DEE" w:rsidRDefault="00600DEE">
                  <w:pPr>
                    <w:spacing w:before="20" w:after="20"/>
                    <w:jc w:val="right"/>
                    <w:rPr>
                      <w:rFonts w:ascii="Calibri" w:eastAsia="Calibri" w:hAnsi="Calibri" w:cs="Calibri"/>
                      <w:color w:val="4F81BD"/>
                      <w:sz w:val="18"/>
                      <w:szCs w:val="18"/>
                    </w:rPr>
                  </w:pPr>
                </w:p>
              </w:tc>
            </w:tr>
            <w:tr w:rsidR="00600DEE" w14:paraId="2AA557B5" w14:textId="77777777" w:rsidTr="00D24D31">
              <w:trPr>
                <w:trHeight w:hRule="exact" w:val="340"/>
              </w:trPr>
              <w:tc>
                <w:tcPr>
                  <w:tcW w:w="625" w:type="dxa"/>
                  <w:vMerge w:val="restart"/>
                  <w:tcBorders>
                    <w:top w:val="single" w:sz="4" w:space="0" w:color="FFFFFF"/>
                    <w:left w:val="single" w:sz="4" w:space="0" w:color="FFFFFF"/>
                  </w:tcBorders>
                  <w:shd w:val="clear" w:color="auto" w:fill="A6A6A6"/>
                  <w:vAlign w:val="center"/>
                </w:tcPr>
                <w:p w14:paraId="3BB9A01F"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Nb.</w:t>
                  </w:r>
                </w:p>
              </w:tc>
              <w:tc>
                <w:tcPr>
                  <w:tcW w:w="1979" w:type="dxa"/>
                  <w:vMerge w:val="restart"/>
                  <w:tcBorders>
                    <w:top w:val="single" w:sz="4" w:space="0" w:color="FFFFFF"/>
                    <w:left w:val="single" w:sz="4" w:space="0" w:color="FFFFFF"/>
                  </w:tcBorders>
                  <w:shd w:val="clear" w:color="auto" w:fill="A6A6A6"/>
                  <w:vAlign w:val="center"/>
                </w:tcPr>
                <w:p w14:paraId="5B409489"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Cost category</w:t>
                  </w:r>
                </w:p>
              </w:tc>
              <w:tc>
                <w:tcPr>
                  <w:tcW w:w="4337" w:type="dxa"/>
                  <w:gridSpan w:val="9"/>
                  <w:tcBorders>
                    <w:top w:val="single" w:sz="4" w:space="0" w:color="FFFFFF"/>
                    <w:left w:val="single" w:sz="4" w:space="0" w:color="FFFFFF"/>
                    <w:bottom w:val="single" w:sz="4" w:space="0" w:color="FFFFFF"/>
                  </w:tcBorders>
                  <w:shd w:val="clear" w:color="auto" w:fill="A6A6A6"/>
                  <w:vAlign w:val="center"/>
                </w:tcPr>
                <w:p w14:paraId="578F2C5A"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Project investment options (PLN ‘000)</w:t>
                  </w:r>
                </w:p>
              </w:tc>
            </w:tr>
            <w:tr w:rsidR="00600DEE" w14:paraId="62CC3248" w14:textId="77777777" w:rsidTr="00DF6B9D">
              <w:trPr>
                <w:trHeight w:val="276"/>
              </w:trPr>
              <w:tc>
                <w:tcPr>
                  <w:tcW w:w="625" w:type="dxa"/>
                  <w:vMerge/>
                  <w:tcBorders>
                    <w:top w:val="single" w:sz="4" w:space="0" w:color="FFFFFF"/>
                    <w:left w:val="single" w:sz="4" w:space="0" w:color="FFFFFF"/>
                  </w:tcBorders>
                  <w:shd w:val="clear" w:color="auto" w:fill="A6A6A6"/>
                  <w:vAlign w:val="center"/>
                </w:tcPr>
                <w:p w14:paraId="24227A85"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979" w:type="dxa"/>
                  <w:vMerge/>
                  <w:tcBorders>
                    <w:top w:val="single" w:sz="4" w:space="0" w:color="FFFFFF"/>
                    <w:left w:val="single" w:sz="4" w:space="0" w:color="FFFFFF"/>
                  </w:tcBorders>
                  <w:shd w:val="clear" w:color="auto" w:fill="A6A6A6"/>
                  <w:vAlign w:val="center"/>
                </w:tcPr>
                <w:p w14:paraId="59C309E5"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339" w:type="dxa"/>
                  <w:gridSpan w:val="3"/>
                  <w:tcBorders>
                    <w:top w:val="single" w:sz="4" w:space="0" w:color="FFFFFF"/>
                    <w:left w:val="single" w:sz="4" w:space="0" w:color="FFFFFF"/>
                    <w:bottom w:val="single" w:sz="4" w:space="0" w:color="FFFFFF"/>
                    <w:right w:val="single" w:sz="4" w:space="0" w:color="FFFFFF"/>
                  </w:tcBorders>
                  <w:shd w:val="clear" w:color="auto" w:fill="A6A6A6"/>
                  <w:vAlign w:val="center"/>
                </w:tcPr>
                <w:p w14:paraId="2A5F7E45"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W1</w:t>
                  </w:r>
                </w:p>
              </w:tc>
              <w:tc>
                <w:tcPr>
                  <w:tcW w:w="1420" w:type="dxa"/>
                  <w:gridSpan w:val="3"/>
                  <w:tcBorders>
                    <w:top w:val="single" w:sz="4" w:space="0" w:color="FFFFFF"/>
                    <w:left w:val="single" w:sz="4" w:space="0" w:color="FFFFFF"/>
                    <w:bottom w:val="single" w:sz="4" w:space="0" w:color="FFFFFF"/>
                    <w:right w:val="single" w:sz="4" w:space="0" w:color="FFFFFF"/>
                  </w:tcBorders>
                  <w:shd w:val="clear" w:color="auto" w:fill="A6A6A6"/>
                  <w:vAlign w:val="center"/>
                </w:tcPr>
                <w:p w14:paraId="2C7BDC02"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W2</w:t>
                  </w:r>
                </w:p>
              </w:tc>
              <w:tc>
                <w:tcPr>
                  <w:tcW w:w="1578" w:type="dxa"/>
                  <w:gridSpan w:val="3"/>
                  <w:tcBorders>
                    <w:top w:val="single" w:sz="4" w:space="0" w:color="FFFFFF"/>
                    <w:left w:val="single" w:sz="4" w:space="0" w:color="FFFFFF"/>
                    <w:bottom w:val="single" w:sz="4" w:space="0" w:color="FFFFFF"/>
                  </w:tcBorders>
                  <w:shd w:val="clear" w:color="auto" w:fill="A6A6A6"/>
                  <w:vAlign w:val="center"/>
                </w:tcPr>
                <w:p w14:paraId="26B40262"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Wn</w:t>
                  </w:r>
                </w:p>
              </w:tc>
            </w:tr>
            <w:tr w:rsidR="00600DEE" w14:paraId="43E371FC" w14:textId="77777777" w:rsidTr="00DF6B9D">
              <w:trPr>
                <w:trHeight w:val="275"/>
              </w:trPr>
              <w:tc>
                <w:tcPr>
                  <w:tcW w:w="625" w:type="dxa"/>
                  <w:vMerge/>
                  <w:tcBorders>
                    <w:top w:val="single" w:sz="4" w:space="0" w:color="FFFFFF"/>
                    <w:left w:val="single" w:sz="4" w:space="0" w:color="FFFFFF"/>
                  </w:tcBorders>
                  <w:shd w:val="clear" w:color="auto" w:fill="A6A6A6"/>
                  <w:vAlign w:val="center"/>
                </w:tcPr>
                <w:p w14:paraId="4EB1D556"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979" w:type="dxa"/>
                  <w:vMerge/>
                  <w:tcBorders>
                    <w:top w:val="single" w:sz="4" w:space="0" w:color="FFFFFF"/>
                    <w:left w:val="single" w:sz="4" w:space="0" w:color="FFFFFF"/>
                  </w:tcBorders>
                  <w:shd w:val="clear" w:color="auto" w:fill="A6A6A6"/>
                  <w:vAlign w:val="center"/>
                </w:tcPr>
                <w:p w14:paraId="175234A3"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A6A6A6"/>
                  <w:vAlign w:val="center"/>
                </w:tcPr>
                <w:p w14:paraId="47BA1660"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b/>
                      <w:color w:val="FFFFFF"/>
                      <w:sz w:val="18"/>
                      <w:szCs w:val="18"/>
                    </w:rPr>
                    <w:t>net</w:t>
                  </w:r>
                </w:p>
              </w:tc>
              <w:tc>
                <w:tcPr>
                  <w:tcW w:w="644"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48F92D74"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b/>
                      <w:color w:val="FFFFFF"/>
                      <w:sz w:val="18"/>
                      <w:szCs w:val="18"/>
                    </w:rPr>
                    <w:t>gross</w:t>
                  </w:r>
                </w:p>
              </w:tc>
              <w:tc>
                <w:tcPr>
                  <w:tcW w:w="683"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1A51870C"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b/>
                      <w:color w:val="FFFFFF"/>
                      <w:sz w:val="18"/>
                      <w:szCs w:val="18"/>
                    </w:rPr>
                    <w:t>net</w:t>
                  </w: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A6A6A6"/>
                  <w:vAlign w:val="center"/>
                </w:tcPr>
                <w:p w14:paraId="44B68AE9"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b/>
                      <w:color w:val="FFFFFF"/>
                      <w:sz w:val="18"/>
                      <w:szCs w:val="18"/>
                    </w:rPr>
                    <w:t>gross</w:t>
                  </w: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A6A6A6"/>
                  <w:vAlign w:val="center"/>
                </w:tcPr>
                <w:p w14:paraId="29FBE549"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b/>
                      <w:color w:val="FFFFFF"/>
                      <w:sz w:val="18"/>
                      <w:szCs w:val="18"/>
                    </w:rPr>
                    <w:t>net</w:t>
                  </w:r>
                </w:p>
              </w:tc>
              <w:tc>
                <w:tcPr>
                  <w:tcW w:w="989" w:type="dxa"/>
                  <w:tcBorders>
                    <w:top w:val="single" w:sz="4" w:space="0" w:color="FFFFFF"/>
                    <w:left w:val="single" w:sz="4" w:space="0" w:color="FFFFFF"/>
                    <w:bottom w:val="single" w:sz="4" w:space="0" w:color="FFFFFF"/>
                  </w:tcBorders>
                  <w:shd w:val="clear" w:color="auto" w:fill="A6A6A6"/>
                  <w:vAlign w:val="center"/>
                </w:tcPr>
                <w:p w14:paraId="3F97F6CA"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b/>
                      <w:color w:val="FFFFFF"/>
                      <w:sz w:val="18"/>
                      <w:szCs w:val="18"/>
                    </w:rPr>
                    <w:t>gross</w:t>
                  </w:r>
                </w:p>
              </w:tc>
            </w:tr>
            <w:tr w:rsidR="00600DEE" w:rsidRPr="007463B9" w14:paraId="4F3ECBF5" w14:textId="77777777" w:rsidTr="00D24D31">
              <w:trPr>
                <w:trHeight w:hRule="exact" w:val="454"/>
              </w:trPr>
              <w:tc>
                <w:tcPr>
                  <w:tcW w:w="625" w:type="dxa"/>
                  <w:tcBorders>
                    <w:top w:val="single" w:sz="4" w:space="0" w:color="FFFFFF"/>
                    <w:left w:val="single" w:sz="4" w:space="0" w:color="FFFFFF"/>
                    <w:bottom w:val="single" w:sz="4" w:space="0" w:color="FFFFFF"/>
                  </w:tcBorders>
                  <w:shd w:val="clear" w:color="auto" w:fill="DBE5F1"/>
                  <w:vAlign w:val="center"/>
                </w:tcPr>
                <w:p w14:paraId="079898C8"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VIII</w:t>
                  </w:r>
                </w:p>
              </w:tc>
              <w:tc>
                <w:tcPr>
                  <w:tcW w:w="1979" w:type="dxa"/>
                  <w:tcBorders>
                    <w:top w:val="single" w:sz="4" w:space="0" w:color="FFFFFF"/>
                    <w:left w:val="single" w:sz="4" w:space="0" w:color="FFFFFF"/>
                    <w:bottom w:val="single" w:sz="4" w:space="0" w:color="FFFFFF"/>
                  </w:tcBorders>
                  <w:shd w:val="clear" w:color="auto" w:fill="DBE5F1"/>
                  <w:vAlign w:val="center"/>
                </w:tcPr>
                <w:p w14:paraId="0429E808" w14:textId="77777777" w:rsidR="00600DEE" w:rsidRPr="0045151D" w:rsidRDefault="00641FB5">
                  <w:pPr>
                    <w:spacing w:before="20" w:after="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Building and construction of which:</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56B7374C"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DD147E2"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0BF8ACE"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7F3CFBA4"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618EB7B0"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989" w:type="dxa"/>
                  <w:tcBorders>
                    <w:top w:val="single" w:sz="4" w:space="0" w:color="FFFFFF"/>
                    <w:left w:val="single" w:sz="4" w:space="0" w:color="FFFFFF"/>
                    <w:bottom w:val="single" w:sz="4" w:space="0" w:color="FFFFFF"/>
                  </w:tcBorders>
                  <w:shd w:val="clear" w:color="auto" w:fill="DBE5F1"/>
                </w:tcPr>
                <w:p w14:paraId="3B29D78B" w14:textId="77777777" w:rsidR="00600DEE" w:rsidRPr="0045151D" w:rsidRDefault="00600DEE">
                  <w:pPr>
                    <w:spacing w:before="20" w:after="20"/>
                    <w:jc w:val="right"/>
                    <w:rPr>
                      <w:rFonts w:ascii="Calibri" w:eastAsia="Calibri" w:hAnsi="Calibri" w:cs="Calibri"/>
                      <w:color w:val="4F81BD"/>
                      <w:sz w:val="18"/>
                      <w:szCs w:val="18"/>
                      <w:lang w:val="en-GB"/>
                    </w:rPr>
                  </w:pPr>
                </w:p>
              </w:tc>
            </w:tr>
            <w:tr w:rsidR="00600DEE" w14:paraId="5B90A875" w14:textId="77777777" w:rsidTr="00D24D31">
              <w:trPr>
                <w:trHeight w:hRule="exact" w:val="454"/>
              </w:trPr>
              <w:tc>
                <w:tcPr>
                  <w:tcW w:w="625" w:type="dxa"/>
                  <w:tcBorders>
                    <w:top w:val="single" w:sz="4" w:space="0" w:color="FFFFFF"/>
                    <w:left w:val="single" w:sz="4" w:space="0" w:color="FFFFFF"/>
                    <w:bottom w:val="single" w:sz="4" w:space="0" w:color="FFFFFF"/>
                  </w:tcBorders>
                  <w:shd w:val="clear" w:color="auto" w:fill="DBE5F1"/>
                  <w:vAlign w:val="center"/>
                </w:tcPr>
                <w:p w14:paraId="37235563" w14:textId="77777777" w:rsidR="00600DEE" w:rsidRPr="0045151D" w:rsidRDefault="00600DEE">
                  <w:pPr>
                    <w:spacing w:before="20" w:after="20"/>
                    <w:jc w:val="center"/>
                    <w:rPr>
                      <w:rFonts w:ascii="Calibri" w:eastAsia="Calibri" w:hAnsi="Calibri" w:cs="Calibri"/>
                      <w:b/>
                      <w:color w:val="4F81BD"/>
                      <w:sz w:val="18"/>
                      <w:szCs w:val="18"/>
                      <w:lang w:val="en-GB"/>
                    </w:rPr>
                  </w:pPr>
                </w:p>
              </w:tc>
              <w:tc>
                <w:tcPr>
                  <w:tcW w:w="1979" w:type="dxa"/>
                  <w:tcBorders>
                    <w:top w:val="single" w:sz="4" w:space="0" w:color="FFFFFF"/>
                    <w:left w:val="single" w:sz="4" w:space="0" w:color="FFFFFF"/>
                    <w:bottom w:val="single" w:sz="4" w:space="0" w:color="FFFFFF"/>
                  </w:tcBorders>
                  <w:shd w:val="clear" w:color="auto" w:fill="DBE5F1"/>
                  <w:vAlign w:val="center"/>
                </w:tcPr>
                <w:p w14:paraId="618F9992"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Preparatory works</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5D035160"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355B9D2"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AC6A758"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620ED70C"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6E5CDFC4"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7C015E6E" w14:textId="77777777" w:rsidR="00600DEE" w:rsidRDefault="00600DEE">
                  <w:pPr>
                    <w:spacing w:before="20" w:after="20"/>
                    <w:jc w:val="right"/>
                    <w:rPr>
                      <w:rFonts w:ascii="Calibri" w:eastAsia="Calibri" w:hAnsi="Calibri" w:cs="Calibri"/>
                      <w:color w:val="4F81BD"/>
                      <w:sz w:val="18"/>
                      <w:szCs w:val="18"/>
                    </w:rPr>
                  </w:pPr>
                </w:p>
              </w:tc>
            </w:tr>
            <w:tr w:rsidR="00600DEE" w14:paraId="07F12860" w14:textId="77777777" w:rsidTr="00D24D31">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579B6C24"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0090808A"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Earthworks</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429FF158"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CFA9431"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413C4DE"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05741A72"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522737D1"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459533CD" w14:textId="77777777" w:rsidR="00600DEE" w:rsidRDefault="00600DEE">
                  <w:pPr>
                    <w:spacing w:before="20" w:after="20"/>
                    <w:jc w:val="right"/>
                    <w:rPr>
                      <w:rFonts w:ascii="Calibri" w:eastAsia="Calibri" w:hAnsi="Calibri" w:cs="Calibri"/>
                      <w:color w:val="4F81BD"/>
                      <w:sz w:val="18"/>
                      <w:szCs w:val="18"/>
                    </w:rPr>
                  </w:pPr>
                </w:p>
              </w:tc>
            </w:tr>
            <w:tr w:rsidR="00600DEE" w14:paraId="3FE2BC4C" w14:textId="77777777" w:rsidTr="00D24D31">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49A6A9BD"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19CAA0B6"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Bridges</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0D8432EC"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3A2422E"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2D1AC44"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60CA601A"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4ED5B683"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77C79D19" w14:textId="77777777" w:rsidR="00600DEE" w:rsidRDefault="00600DEE">
                  <w:pPr>
                    <w:spacing w:before="20" w:after="20"/>
                    <w:jc w:val="right"/>
                    <w:rPr>
                      <w:rFonts w:ascii="Calibri" w:eastAsia="Calibri" w:hAnsi="Calibri" w:cs="Calibri"/>
                      <w:color w:val="4F81BD"/>
                      <w:sz w:val="18"/>
                      <w:szCs w:val="18"/>
                    </w:rPr>
                  </w:pPr>
                </w:p>
              </w:tc>
            </w:tr>
            <w:tr w:rsidR="00600DEE" w14:paraId="421B6290" w14:textId="77777777" w:rsidTr="00D24D31">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785E7EF5"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5C39648E"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Tunnels</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20D376A0"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B7AA633"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5B46D6B5"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47A7B20C"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07665D77"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7D1C4F4E" w14:textId="77777777" w:rsidR="00600DEE" w:rsidRDefault="00600DEE">
                  <w:pPr>
                    <w:spacing w:before="20" w:after="20"/>
                    <w:jc w:val="right"/>
                    <w:rPr>
                      <w:rFonts w:ascii="Calibri" w:eastAsia="Calibri" w:hAnsi="Calibri" w:cs="Calibri"/>
                      <w:color w:val="4F81BD"/>
                      <w:sz w:val="18"/>
                      <w:szCs w:val="18"/>
                    </w:rPr>
                  </w:pPr>
                </w:p>
              </w:tc>
            </w:tr>
            <w:tr w:rsidR="00600DEE" w14:paraId="42E298AD" w14:textId="77777777" w:rsidTr="00D24D31">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2FA118A3"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523AF563"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Retaining walls</w:t>
                  </w:r>
                </w:p>
              </w:tc>
              <w:tc>
                <w:tcPr>
                  <w:tcW w:w="695" w:type="dxa"/>
                  <w:gridSpan w:val="2"/>
                  <w:tcBorders>
                    <w:top w:val="single" w:sz="4" w:space="0" w:color="FFFFFF"/>
                    <w:left w:val="single" w:sz="4" w:space="0" w:color="FFFFFF"/>
                    <w:bottom w:val="single" w:sz="4" w:space="0" w:color="FFFFFF"/>
                    <w:right w:val="single" w:sz="4" w:space="0" w:color="FFFFFF"/>
                  </w:tcBorders>
                  <w:shd w:val="clear" w:color="auto" w:fill="DBE5F1"/>
                  <w:vAlign w:val="center"/>
                </w:tcPr>
                <w:p w14:paraId="3AE4BE71"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46AC8F8"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3FACBCB8"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right w:val="single" w:sz="4" w:space="0" w:color="FFFFFF"/>
                  </w:tcBorders>
                  <w:shd w:val="clear" w:color="auto" w:fill="DBE5F1"/>
                </w:tcPr>
                <w:p w14:paraId="60D0A49A"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right w:val="single" w:sz="4" w:space="0" w:color="FFFFFF"/>
                  </w:tcBorders>
                  <w:shd w:val="clear" w:color="auto" w:fill="DBE5F1"/>
                </w:tcPr>
                <w:p w14:paraId="3F4785E8"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35E8E694" w14:textId="77777777" w:rsidR="00600DEE" w:rsidRDefault="00600DEE">
                  <w:pPr>
                    <w:spacing w:before="20" w:after="20"/>
                    <w:jc w:val="right"/>
                    <w:rPr>
                      <w:rFonts w:ascii="Calibri" w:eastAsia="Calibri" w:hAnsi="Calibri" w:cs="Calibri"/>
                      <w:color w:val="4F81BD"/>
                      <w:sz w:val="18"/>
                      <w:szCs w:val="18"/>
                    </w:rPr>
                  </w:pPr>
                </w:p>
              </w:tc>
            </w:tr>
            <w:tr w:rsidR="00600DEE" w14:paraId="0B186BD6" w14:textId="77777777" w:rsidTr="00D24D31">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0A0807AF"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711B6816"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Subbase</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437517F1"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7E244D71"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51BBE089"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2FA1C49B"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6C004A2B"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622A47FC" w14:textId="77777777" w:rsidR="00600DEE" w:rsidRDefault="00600DEE">
                  <w:pPr>
                    <w:spacing w:before="20" w:after="20"/>
                    <w:jc w:val="right"/>
                    <w:rPr>
                      <w:rFonts w:ascii="Calibri" w:eastAsia="Calibri" w:hAnsi="Calibri" w:cs="Calibri"/>
                      <w:color w:val="4F81BD"/>
                      <w:sz w:val="18"/>
                      <w:szCs w:val="18"/>
                    </w:rPr>
                  </w:pPr>
                </w:p>
              </w:tc>
            </w:tr>
            <w:tr w:rsidR="00600DEE" w14:paraId="5A03D2E2" w14:textId="77777777" w:rsidTr="00D24D31">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42EDA9B0"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3293A093"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Road pavement</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648406DC"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38080F7F"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2847525B"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532F3105"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54785CFD"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28943D63" w14:textId="77777777" w:rsidR="00600DEE" w:rsidRDefault="00600DEE">
                  <w:pPr>
                    <w:spacing w:before="20" w:after="20"/>
                    <w:jc w:val="right"/>
                    <w:rPr>
                      <w:rFonts w:ascii="Calibri" w:eastAsia="Calibri" w:hAnsi="Calibri" w:cs="Calibri"/>
                      <w:color w:val="4F81BD"/>
                      <w:sz w:val="18"/>
                      <w:szCs w:val="18"/>
                    </w:rPr>
                  </w:pPr>
                </w:p>
              </w:tc>
            </w:tr>
            <w:tr w:rsidR="00600DEE" w14:paraId="268BB7E9" w14:textId="77777777" w:rsidTr="00D24D31">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5FBE12B9"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19E12F42"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Drainage</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6EDEA79A"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6ED0BAB9"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58984E1B"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65F9483C"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27550B40"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049D6DD8" w14:textId="77777777" w:rsidR="00600DEE" w:rsidRDefault="00600DEE">
                  <w:pPr>
                    <w:spacing w:before="20" w:after="20"/>
                    <w:jc w:val="right"/>
                    <w:rPr>
                      <w:rFonts w:ascii="Calibri" w:eastAsia="Calibri" w:hAnsi="Calibri" w:cs="Calibri"/>
                      <w:color w:val="4F81BD"/>
                      <w:sz w:val="18"/>
                      <w:szCs w:val="18"/>
                    </w:rPr>
                  </w:pPr>
                </w:p>
              </w:tc>
            </w:tr>
            <w:tr w:rsidR="00600DEE" w14:paraId="5456F654" w14:textId="77777777" w:rsidTr="00D24D31">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591B2136"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00D5FDF8"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Noise barriers</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2C7CD568"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4C13C71B"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2DCA315C"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40D470C9"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30F7AB1C"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286C0DB7" w14:textId="77777777" w:rsidR="00600DEE" w:rsidRDefault="00600DEE">
                  <w:pPr>
                    <w:spacing w:before="20" w:after="20"/>
                    <w:jc w:val="right"/>
                    <w:rPr>
                      <w:rFonts w:ascii="Calibri" w:eastAsia="Calibri" w:hAnsi="Calibri" w:cs="Calibri"/>
                      <w:color w:val="4F81BD"/>
                      <w:sz w:val="18"/>
                      <w:szCs w:val="18"/>
                    </w:rPr>
                  </w:pPr>
                </w:p>
              </w:tc>
            </w:tr>
            <w:tr w:rsidR="00600DEE" w14:paraId="6D2FD6AA" w14:textId="77777777" w:rsidTr="00F132E9">
              <w:trPr>
                <w:trHeight w:hRule="exact" w:val="454"/>
              </w:trPr>
              <w:tc>
                <w:tcPr>
                  <w:tcW w:w="625" w:type="dxa"/>
                  <w:tcBorders>
                    <w:top w:val="single" w:sz="4" w:space="0" w:color="FFFFFF"/>
                    <w:left w:val="single" w:sz="4" w:space="0" w:color="FFFFFF"/>
                    <w:bottom w:val="single" w:sz="4" w:space="0" w:color="FFFFFF"/>
                  </w:tcBorders>
                  <w:shd w:val="clear" w:color="auto" w:fill="DBE5F1"/>
                  <w:vAlign w:val="center"/>
                </w:tcPr>
                <w:p w14:paraId="2734CDFB"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2FCEEB61"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Other environmental measures</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3028AFDF"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23EFCA5E"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41332F25"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63A484B7"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39845E5C"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2624CF42" w14:textId="77777777" w:rsidR="00600DEE" w:rsidRDefault="00600DEE">
                  <w:pPr>
                    <w:spacing w:before="20" w:after="20"/>
                    <w:jc w:val="right"/>
                    <w:rPr>
                      <w:rFonts w:ascii="Calibri" w:eastAsia="Calibri" w:hAnsi="Calibri" w:cs="Calibri"/>
                      <w:color w:val="4F81BD"/>
                      <w:sz w:val="18"/>
                      <w:szCs w:val="18"/>
                    </w:rPr>
                  </w:pPr>
                </w:p>
              </w:tc>
            </w:tr>
            <w:tr w:rsidR="00600DEE" w14:paraId="5CA7EDCE" w14:textId="77777777" w:rsidTr="00F132E9">
              <w:trPr>
                <w:trHeight w:hRule="exact" w:val="454"/>
              </w:trPr>
              <w:tc>
                <w:tcPr>
                  <w:tcW w:w="625" w:type="dxa"/>
                  <w:tcBorders>
                    <w:top w:val="single" w:sz="4" w:space="0" w:color="FFFFFF"/>
                    <w:left w:val="single" w:sz="4" w:space="0" w:color="FFFFFF"/>
                    <w:bottom w:val="single" w:sz="4" w:space="0" w:color="FFFFFF"/>
                  </w:tcBorders>
                  <w:shd w:val="clear" w:color="auto" w:fill="DBE5F1"/>
                  <w:vAlign w:val="center"/>
                </w:tcPr>
                <w:p w14:paraId="5F4B20BB"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60339234"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Finishing works</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357CC0CA"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0DFCCE71"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36887C59"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2D173E1F"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6FB6F24B"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587A0894" w14:textId="77777777" w:rsidR="00600DEE" w:rsidRDefault="00600DEE">
                  <w:pPr>
                    <w:spacing w:before="20" w:after="20"/>
                    <w:jc w:val="right"/>
                    <w:rPr>
                      <w:rFonts w:ascii="Calibri" w:eastAsia="Calibri" w:hAnsi="Calibri" w:cs="Calibri"/>
                      <w:color w:val="4F81BD"/>
                      <w:sz w:val="18"/>
                      <w:szCs w:val="18"/>
                    </w:rPr>
                  </w:pPr>
                </w:p>
              </w:tc>
            </w:tr>
            <w:tr w:rsidR="00600DEE" w14:paraId="30C57939" w14:textId="77777777" w:rsidTr="00F132E9">
              <w:trPr>
                <w:trHeight w:hRule="exact" w:val="454"/>
              </w:trPr>
              <w:tc>
                <w:tcPr>
                  <w:tcW w:w="625" w:type="dxa"/>
                  <w:tcBorders>
                    <w:top w:val="single" w:sz="4" w:space="0" w:color="FFFFFF"/>
                    <w:left w:val="single" w:sz="4" w:space="0" w:color="FFFFFF"/>
                    <w:bottom w:val="single" w:sz="4" w:space="0" w:color="FFFFFF"/>
                  </w:tcBorders>
                  <w:shd w:val="clear" w:color="auto" w:fill="DBE5F1"/>
                  <w:vAlign w:val="center"/>
                </w:tcPr>
                <w:p w14:paraId="315AE216"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06A02F33"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Signalling, lighting, safety equipment</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4A3F7CC3"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00A21864"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658E55BF"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207C5AAE"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5DAF7F6E"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30B87DF9" w14:textId="77777777" w:rsidR="00600DEE" w:rsidRDefault="00600DEE">
                  <w:pPr>
                    <w:spacing w:before="20" w:after="20"/>
                    <w:jc w:val="right"/>
                    <w:rPr>
                      <w:rFonts w:ascii="Calibri" w:eastAsia="Calibri" w:hAnsi="Calibri" w:cs="Calibri"/>
                      <w:color w:val="4F81BD"/>
                      <w:sz w:val="18"/>
                      <w:szCs w:val="18"/>
                    </w:rPr>
                  </w:pPr>
                </w:p>
              </w:tc>
            </w:tr>
            <w:tr w:rsidR="00600DEE" w14:paraId="48866B58" w14:textId="77777777" w:rsidTr="00DF6B9D">
              <w:trPr>
                <w:trHeight w:val="232"/>
              </w:trPr>
              <w:tc>
                <w:tcPr>
                  <w:tcW w:w="625" w:type="dxa"/>
                  <w:tcBorders>
                    <w:top w:val="single" w:sz="4" w:space="0" w:color="FFFFFF"/>
                    <w:left w:val="single" w:sz="4" w:space="0" w:color="FFFFFF"/>
                    <w:bottom w:val="single" w:sz="4" w:space="0" w:color="FFFFFF"/>
                  </w:tcBorders>
                  <w:shd w:val="clear" w:color="auto" w:fill="DBE5F1"/>
                  <w:vAlign w:val="center"/>
                </w:tcPr>
                <w:p w14:paraId="22C8494A"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78B05D97"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Other works</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21037586"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1CC05F56"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1B162EED"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3D12F4EB"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1B4AA567"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19B82594" w14:textId="77777777" w:rsidR="00600DEE" w:rsidRDefault="00600DEE">
                  <w:pPr>
                    <w:spacing w:before="20" w:after="20"/>
                    <w:jc w:val="right"/>
                    <w:rPr>
                      <w:rFonts w:ascii="Calibri" w:eastAsia="Calibri" w:hAnsi="Calibri" w:cs="Calibri"/>
                      <w:color w:val="4F81BD"/>
                      <w:sz w:val="18"/>
                      <w:szCs w:val="18"/>
                    </w:rPr>
                  </w:pPr>
                </w:p>
              </w:tc>
            </w:tr>
            <w:tr w:rsidR="00600DEE" w14:paraId="4A53E036" w14:textId="77777777" w:rsidTr="00F132E9">
              <w:trPr>
                <w:trHeight w:hRule="exact" w:val="454"/>
              </w:trPr>
              <w:tc>
                <w:tcPr>
                  <w:tcW w:w="625" w:type="dxa"/>
                  <w:tcBorders>
                    <w:top w:val="single" w:sz="4" w:space="0" w:color="FFFFFF"/>
                    <w:left w:val="single" w:sz="4" w:space="0" w:color="FFFFFF"/>
                    <w:bottom w:val="single" w:sz="4" w:space="0" w:color="FFFFFF"/>
                  </w:tcBorders>
                  <w:shd w:val="clear" w:color="auto" w:fill="DBE5F1"/>
                  <w:vAlign w:val="center"/>
                </w:tcPr>
                <w:p w14:paraId="67D0DADE"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526976ED"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Realignment of public utilities</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33043ABD"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444E39EE"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08112E11"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1620E40C"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06D957BC"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5B0783B0" w14:textId="77777777" w:rsidR="00600DEE" w:rsidRDefault="00600DEE">
                  <w:pPr>
                    <w:spacing w:before="20" w:after="20"/>
                    <w:jc w:val="right"/>
                    <w:rPr>
                      <w:rFonts w:ascii="Calibri" w:eastAsia="Calibri" w:hAnsi="Calibri" w:cs="Calibri"/>
                      <w:color w:val="4F81BD"/>
                      <w:sz w:val="18"/>
                      <w:szCs w:val="18"/>
                    </w:rPr>
                  </w:pPr>
                </w:p>
              </w:tc>
            </w:tr>
            <w:tr w:rsidR="00600DEE" w14:paraId="4A1E7A97" w14:textId="77777777" w:rsidTr="00F132E9">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0ECD5954"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76E89998"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Vegetation</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54595141"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018F2054"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6AD7F7B3"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7A468F47"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7FF388E8"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3CD81EB3" w14:textId="77777777" w:rsidR="00600DEE" w:rsidRDefault="00600DEE">
                  <w:pPr>
                    <w:spacing w:before="20" w:after="20"/>
                    <w:jc w:val="right"/>
                    <w:rPr>
                      <w:rFonts w:ascii="Calibri" w:eastAsia="Calibri" w:hAnsi="Calibri" w:cs="Calibri"/>
                      <w:color w:val="4F81BD"/>
                      <w:sz w:val="18"/>
                      <w:szCs w:val="18"/>
                    </w:rPr>
                  </w:pPr>
                </w:p>
              </w:tc>
            </w:tr>
            <w:tr w:rsidR="00600DEE" w14:paraId="6B48BC30" w14:textId="77777777" w:rsidTr="00F132E9">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0E51CA3A" w14:textId="77777777" w:rsidR="00600DEE" w:rsidRDefault="00600DEE">
                  <w:pPr>
                    <w:spacing w:before="20" w:after="20"/>
                    <w:jc w:val="center"/>
                    <w:rPr>
                      <w:rFonts w:ascii="Calibri" w:eastAsia="Calibri" w:hAnsi="Calibri" w:cs="Calibri"/>
                      <w:b/>
                      <w:color w:val="4F81BD"/>
                      <w:sz w:val="18"/>
                      <w:szCs w:val="18"/>
                    </w:rPr>
                  </w:pPr>
                </w:p>
              </w:tc>
              <w:tc>
                <w:tcPr>
                  <w:tcW w:w="1979" w:type="dxa"/>
                  <w:tcBorders>
                    <w:top w:val="single" w:sz="4" w:space="0" w:color="FFFFFF"/>
                    <w:left w:val="single" w:sz="4" w:space="0" w:color="FFFFFF"/>
                    <w:bottom w:val="single" w:sz="4" w:space="0" w:color="FFFFFF"/>
                  </w:tcBorders>
                  <w:shd w:val="clear" w:color="auto" w:fill="DBE5F1"/>
                  <w:vAlign w:val="center"/>
                </w:tcPr>
                <w:p w14:paraId="72C7BE9A" w14:textId="77777777" w:rsidR="00600DEE" w:rsidRDefault="00641FB5">
                  <w:pPr>
                    <w:spacing w:before="20" w:after="20"/>
                    <w:jc w:val="right"/>
                    <w:rPr>
                      <w:rFonts w:ascii="Calibri" w:eastAsia="Calibri" w:hAnsi="Calibri" w:cs="Calibri"/>
                      <w:color w:val="4F81BD"/>
                      <w:sz w:val="18"/>
                      <w:szCs w:val="18"/>
                    </w:rPr>
                  </w:pPr>
                  <w:r>
                    <w:rPr>
                      <w:rFonts w:ascii="Calibri" w:eastAsia="Calibri" w:hAnsi="Calibri" w:cs="Calibri"/>
                      <w:color w:val="4F81BD"/>
                      <w:sz w:val="18"/>
                      <w:szCs w:val="18"/>
                    </w:rPr>
                    <w:t>ITS</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73E8083D"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2790F463"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7EFC46EA"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2F396DC1"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49344A92"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761DAB7C" w14:textId="77777777" w:rsidR="00600DEE" w:rsidRDefault="00600DEE">
                  <w:pPr>
                    <w:spacing w:before="20" w:after="20"/>
                    <w:jc w:val="right"/>
                    <w:rPr>
                      <w:rFonts w:ascii="Calibri" w:eastAsia="Calibri" w:hAnsi="Calibri" w:cs="Calibri"/>
                      <w:color w:val="4F81BD"/>
                      <w:sz w:val="18"/>
                      <w:szCs w:val="18"/>
                    </w:rPr>
                  </w:pPr>
                </w:p>
              </w:tc>
            </w:tr>
            <w:tr w:rsidR="00600DEE" w14:paraId="26D3950B" w14:textId="77777777" w:rsidTr="00F132E9">
              <w:trPr>
                <w:trHeight w:hRule="exact" w:val="284"/>
              </w:trPr>
              <w:tc>
                <w:tcPr>
                  <w:tcW w:w="625" w:type="dxa"/>
                  <w:tcBorders>
                    <w:top w:val="single" w:sz="4" w:space="0" w:color="FFFFFF"/>
                    <w:left w:val="single" w:sz="4" w:space="0" w:color="FFFFFF"/>
                    <w:bottom w:val="single" w:sz="4" w:space="0" w:color="FFFFFF"/>
                  </w:tcBorders>
                  <w:shd w:val="clear" w:color="auto" w:fill="DBE5F1"/>
                  <w:vAlign w:val="center"/>
                </w:tcPr>
                <w:p w14:paraId="60687F49"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IX</w:t>
                  </w:r>
                </w:p>
              </w:tc>
              <w:tc>
                <w:tcPr>
                  <w:tcW w:w="1979" w:type="dxa"/>
                  <w:tcBorders>
                    <w:top w:val="single" w:sz="4" w:space="0" w:color="FFFFFF"/>
                    <w:left w:val="single" w:sz="4" w:space="0" w:color="FFFFFF"/>
                    <w:bottom w:val="single" w:sz="4" w:space="0" w:color="FFFFFF"/>
                  </w:tcBorders>
                  <w:shd w:val="clear" w:color="auto" w:fill="DBE5F1"/>
                  <w:vAlign w:val="center"/>
                </w:tcPr>
                <w:p w14:paraId="23E80B7B"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Plant and machinery</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180D401C"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4F611E27"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5BCEAFE8"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233F4D25"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4E7F5391"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05B5B453" w14:textId="77777777" w:rsidR="00600DEE" w:rsidRDefault="00600DEE">
                  <w:pPr>
                    <w:spacing w:before="20" w:after="20"/>
                    <w:jc w:val="right"/>
                    <w:rPr>
                      <w:rFonts w:ascii="Calibri" w:eastAsia="Calibri" w:hAnsi="Calibri" w:cs="Calibri"/>
                      <w:color w:val="4F81BD"/>
                      <w:sz w:val="18"/>
                      <w:szCs w:val="18"/>
                    </w:rPr>
                  </w:pPr>
                </w:p>
              </w:tc>
            </w:tr>
            <w:tr w:rsidR="00600DEE" w:rsidRPr="007463B9" w14:paraId="069D89DF" w14:textId="77777777" w:rsidTr="00F132E9">
              <w:trPr>
                <w:trHeight w:hRule="exact" w:val="454"/>
              </w:trPr>
              <w:tc>
                <w:tcPr>
                  <w:tcW w:w="625" w:type="dxa"/>
                  <w:tcBorders>
                    <w:top w:val="single" w:sz="4" w:space="0" w:color="FFFFFF"/>
                    <w:left w:val="single" w:sz="4" w:space="0" w:color="FFFFFF"/>
                    <w:bottom w:val="single" w:sz="4" w:space="0" w:color="FFFFFF"/>
                  </w:tcBorders>
                  <w:shd w:val="clear" w:color="auto" w:fill="DBE5F1"/>
                  <w:vAlign w:val="center"/>
                </w:tcPr>
                <w:p w14:paraId="1E098603"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X</w:t>
                  </w:r>
                </w:p>
              </w:tc>
              <w:tc>
                <w:tcPr>
                  <w:tcW w:w="1979" w:type="dxa"/>
                  <w:tcBorders>
                    <w:top w:val="single" w:sz="4" w:space="0" w:color="FFFFFF"/>
                    <w:left w:val="single" w:sz="4" w:space="0" w:color="FFFFFF"/>
                    <w:bottom w:val="single" w:sz="4" w:space="0" w:color="FFFFFF"/>
                  </w:tcBorders>
                  <w:shd w:val="clear" w:color="auto" w:fill="DBE5F1"/>
                  <w:vAlign w:val="center"/>
                </w:tcPr>
                <w:p w14:paraId="6E66F1B6" w14:textId="77777777" w:rsidR="00600DEE" w:rsidRPr="0045151D" w:rsidRDefault="00641FB5">
                  <w:pPr>
                    <w:spacing w:before="20" w:after="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Other works not covered by the contract</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7E53BE09"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644" w:type="dxa"/>
                  <w:tcBorders>
                    <w:top w:val="single" w:sz="4" w:space="0" w:color="FFFFFF"/>
                    <w:left w:val="single" w:sz="4" w:space="0" w:color="FFFFFF"/>
                    <w:bottom w:val="single" w:sz="4" w:space="0" w:color="FFFFFF"/>
                  </w:tcBorders>
                  <w:shd w:val="clear" w:color="auto" w:fill="DBE5F1"/>
                  <w:vAlign w:val="center"/>
                </w:tcPr>
                <w:p w14:paraId="6DAE6743"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683" w:type="dxa"/>
                  <w:tcBorders>
                    <w:top w:val="single" w:sz="4" w:space="0" w:color="FFFFFF"/>
                    <w:left w:val="single" w:sz="4" w:space="0" w:color="FFFFFF"/>
                    <w:bottom w:val="single" w:sz="4" w:space="0" w:color="FFFFFF"/>
                  </w:tcBorders>
                  <w:shd w:val="clear" w:color="auto" w:fill="DBE5F1"/>
                  <w:vAlign w:val="center"/>
                </w:tcPr>
                <w:p w14:paraId="56BC6941"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737" w:type="dxa"/>
                  <w:gridSpan w:val="2"/>
                  <w:tcBorders>
                    <w:top w:val="single" w:sz="4" w:space="0" w:color="FFFFFF"/>
                    <w:left w:val="single" w:sz="4" w:space="0" w:color="FFFFFF"/>
                    <w:bottom w:val="single" w:sz="4" w:space="0" w:color="FFFFFF"/>
                  </w:tcBorders>
                  <w:shd w:val="clear" w:color="auto" w:fill="DBE5F1"/>
                </w:tcPr>
                <w:p w14:paraId="151EBC75"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589" w:type="dxa"/>
                  <w:gridSpan w:val="2"/>
                  <w:tcBorders>
                    <w:top w:val="single" w:sz="4" w:space="0" w:color="FFFFFF"/>
                    <w:left w:val="single" w:sz="4" w:space="0" w:color="FFFFFF"/>
                    <w:bottom w:val="single" w:sz="4" w:space="0" w:color="FFFFFF"/>
                  </w:tcBorders>
                  <w:shd w:val="clear" w:color="auto" w:fill="DBE5F1"/>
                </w:tcPr>
                <w:p w14:paraId="57307FD0"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989" w:type="dxa"/>
                  <w:tcBorders>
                    <w:top w:val="single" w:sz="4" w:space="0" w:color="FFFFFF"/>
                    <w:left w:val="single" w:sz="4" w:space="0" w:color="FFFFFF"/>
                    <w:bottom w:val="single" w:sz="4" w:space="0" w:color="FFFFFF"/>
                  </w:tcBorders>
                  <w:shd w:val="clear" w:color="auto" w:fill="DBE5F1"/>
                </w:tcPr>
                <w:p w14:paraId="7AA427F3" w14:textId="77777777" w:rsidR="00600DEE" w:rsidRPr="0045151D" w:rsidRDefault="00600DEE">
                  <w:pPr>
                    <w:spacing w:before="20" w:after="20"/>
                    <w:jc w:val="right"/>
                    <w:rPr>
                      <w:rFonts w:ascii="Calibri" w:eastAsia="Calibri" w:hAnsi="Calibri" w:cs="Calibri"/>
                      <w:color w:val="4F81BD"/>
                      <w:sz w:val="18"/>
                      <w:szCs w:val="18"/>
                      <w:lang w:val="en-GB"/>
                    </w:rPr>
                  </w:pPr>
                </w:p>
              </w:tc>
            </w:tr>
            <w:tr w:rsidR="00600DEE" w14:paraId="2F45A30A" w14:textId="77777777" w:rsidTr="00F132E9">
              <w:trPr>
                <w:trHeight w:hRule="exact" w:val="454"/>
              </w:trPr>
              <w:tc>
                <w:tcPr>
                  <w:tcW w:w="625" w:type="dxa"/>
                  <w:tcBorders>
                    <w:top w:val="single" w:sz="4" w:space="0" w:color="FFFFFF"/>
                    <w:left w:val="single" w:sz="4" w:space="0" w:color="FFFFFF"/>
                    <w:bottom w:val="single" w:sz="4" w:space="0" w:color="FFFFFF"/>
                  </w:tcBorders>
                  <w:shd w:val="clear" w:color="auto" w:fill="DBE5F1"/>
                  <w:vAlign w:val="center"/>
                </w:tcPr>
                <w:p w14:paraId="64BED566"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XI</w:t>
                  </w:r>
                </w:p>
              </w:tc>
              <w:tc>
                <w:tcPr>
                  <w:tcW w:w="1979" w:type="dxa"/>
                  <w:tcBorders>
                    <w:top w:val="single" w:sz="4" w:space="0" w:color="FFFFFF"/>
                    <w:left w:val="single" w:sz="4" w:space="0" w:color="FFFFFF"/>
                    <w:bottom w:val="single" w:sz="4" w:space="0" w:color="FFFFFF"/>
                  </w:tcBorders>
                  <w:shd w:val="clear" w:color="auto" w:fill="DBE5F1"/>
                  <w:vAlign w:val="center"/>
                </w:tcPr>
                <w:p w14:paraId="080D9C66"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Contingencies</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0D35AF94" w14:textId="77777777" w:rsidR="00600DEE" w:rsidRDefault="00600DEE">
                  <w:pPr>
                    <w:spacing w:before="20" w:after="20"/>
                    <w:jc w:val="right"/>
                    <w:rPr>
                      <w:rFonts w:ascii="Calibri" w:eastAsia="Calibri" w:hAnsi="Calibri" w:cs="Calibri"/>
                      <w:color w:val="4F81BD"/>
                      <w:sz w:val="18"/>
                      <w:szCs w:val="18"/>
                    </w:rPr>
                  </w:pPr>
                </w:p>
              </w:tc>
              <w:tc>
                <w:tcPr>
                  <w:tcW w:w="644" w:type="dxa"/>
                  <w:tcBorders>
                    <w:top w:val="single" w:sz="4" w:space="0" w:color="FFFFFF"/>
                    <w:left w:val="single" w:sz="4" w:space="0" w:color="FFFFFF"/>
                    <w:bottom w:val="single" w:sz="4" w:space="0" w:color="FFFFFF"/>
                  </w:tcBorders>
                  <w:shd w:val="clear" w:color="auto" w:fill="DBE5F1"/>
                  <w:vAlign w:val="center"/>
                </w:tcPr>
                <w:p w14:paraId="5F9D6EEB" w14:textId="77777777" w:rsidR="00600DEE" w:rsidRDefault="00600DEE">
                  <w:pPr>
                    <w:spacing w:before="20" w:after="20"/>
                    <w:jc w:val="right"/>
                    <w:rPr>
                      <w:rFonts w:ascii="Calibri" w:eastAsia="Calibri" w:hAnsi="Calibri" w:cs="Calibri"/>
                      <w:color w:val="4F81BD"/>
                      <w:sz w:val="18"/>
                      <w:szCs w:val="18"/>
                    </w:rPr>
                  </w:pPr>
                </w:p>
              </w:tc>
              <w:tc>
                <w:tcPr>
                  <w:tcW w:w="683" w:type="dxa"/>
                  <w:tcBorders>
                    <w:top w:val="single" w:sz="4" w:space="0" w:color="FFFFFF"/>
                    <w:left w:val="single" w:sz="4" w:space="0" w:color="FFFFFF"/>
                    <w:bottom w:val="single" w:sz="4" w:space="0" w:color="FFFFFF"/>
                  </w:tcBorders>
                  <w:shd w:val="clear" w:color="auto" w:fill="DBE5F1"/>
                  <w:vAlign w:val="center"/>
                </w:tcPr>
                <w:p w14:paraId="35B52961" w14:textId="77777777" w:rsidR="00600DEE" w:rsidRDefault="00600DEE">
                  <w:pPr>
                    <w:spacing w:before="20" w:after="20"/>
                    <w:jc w:val="right"/>
                    <w:rPr>
                      <w:rFonts w:ascii="Calibri" w:eastAsia="Calibri" w:hAnsi="Calibri" w:cs="Calibri"/>
                      <w:color w:val="4F81BD"/>
                      <w:sz w:val="18"/>
                      <w:szCs w:val="18"/>
                    </w:rPr>
                  </w:pPr>
                </w:p>
              </w:tc>
              <w:tc>
                <w:tcPr>
                  <w:tcW w:w="737" w:type="dxa"/>
                  <w:gridSpan w:val="2"/>
                  <w:tcBorders>
                    <w:top w:val="single" w:sz="4" w:space="0" w:color="FFFFFF"/>
                    <w:left w:val="single" w:sz="4" w:space="0" w:color="FFFFFF"/>
                    <w:bottom w:val="single" w:sz="4" w:space="0" w:color="FFFFFF"/>
                  </w:tcBorders>
                  <w:shd w:val="clear" w:color="auto" w:fill="DBE5F1"/>
                </w:tcPr>
                <w:p w14:paraId="02013952" w14:textId="77777777" w:rsidR="00600DEE" w:rsidRDefault="00600DEE">
                  <w:pPr>
                    <w:spacing w:before="20" w:after="20"/>
                    <w:jc w:val="right"/>
                    <w:rPr>
                      <w:rFonts w:ascii="Calibri" w:eastAsia="Calibri" w:hAnsi="Calibri" w:cs="Calibri"/>
                      <w:color w:val="4F81BD"/>
                      <w:sz w:val="18"/>
                      <w:szCs w:val="18"/>
                    </w:rPr>
                  </w:pPr>
                </w:p>
              </w:tc>
              <w:tc>
                <w:tcPr>
                  <w:tcW w:w="589" w:type="dxa"/>
                  <w:gridSpan w:val="2"/>
                  <w:tcBorders>
                    <w:top w:val="single" w:sz="4" w:space="0" w:color="FFFFFF"/>
                    <w:left w:val="single" w:sz="4" w:space="0" w:color="FFFFFF"/>
                    <w:bottom w:val="single" w:sz="4" w:space="0" w:color="FFFFFF"/>
                  </w:tcBorders>
                  <w:shd w:val="clear" w:color="auto" w:fill="DBE5F1"/>
                </w:tcPr>
                <w:p w14:paraId="0400B26B" w14:textId="77777777" w:rsidR="00600DEE" w:rsidRDefault="00600DEE">
                  <w:pPr>
                    <w:spacing w:before="20" w:after="20"/>
                    <w:jc w:val="right"/>
                    <w:rPr>
                      <w:rFonts w:ascii="Calibri" w:eastAsia="Calibri" w:hAnsi="Calibri" w:cs="Calibri"/>
                      <w:color w:val="4F81BD"/>
                      <w:sz w:val="18"/>
                      <w:szCs w:val="18"/>
                    </w:rPr>
                  </w:pPr>
                </w:p>
              </w:tc>
              <w:tc>
                <w:tcPr>
                  <w:tcW w:w="989" w:type="dxa"/>
                  <w:tcBorders>
                    <w:top w:val="single" w:sz="4" w:space="0" w:color="FFFFFF"/>
                    <w:left w:val="single" w:sz="4" w:space="0" w:color="FFFFFF"/>
                    <w:bottom w:val="single" w:sz="4" w:space="0" w:color="FFFFFF"/>
                  </w:tcBorders>
                  <w:shd w:val="clear" w:color="auto" w:fill="DBE5F1"/>
                </w:tcPr>
                <w:p w14:paraId="29C96C1F" w14:textId="77777777" w:rsidR="00600DEE" w:rsidRDefault="00600DEE">
                  <w:pPr>
                    <w:spacing w:before="20" w:after="20"/>
                    <w:jc w:val="right"/>
                    <w:rPr>
                      <w:rFonts w:ascii="Calibri" w:eastAsia="Calibri" w:hAnsi="Calibri" w:cs="Calibri"/>
                      <w:color w:val="4F81BD"/>
                      <w:sz w:val="18"/>
                      <w:szCs w:val="18"/>
                    </w:rPr>
                  </w:pPr>
                </w:p>
              </w:tc>
            </w:tr>
            <w:tr w:rsidR="00600DEE" w:rsidRPr="007463B9" w14:paraId="0D254A9E" w14:textId="77777777" w:rsidTr="00F132E9">
              <w:trPr>
                <w:trHeight w:hRule="exact" w:val="680"/>
              </w:trPr>
              <w:tc>
                <w:tcPr>
                  <w:tcW w:w="625" w:type="dxa"/>
                  <w:tcBorders>
                    <w:top w:val="single" w:sz="4" w:space="0" w:color="FFFFFF"/>
                    <w:left w:val="single" w:sz="4" w:space="0" w:color="FFFFFF"/>
                    <w:bottom w:val="single" w:sz="4" w:space="0" w:color="FFFFFF"/>
                  </w:tcBorders>
                  <w:shd w:val="clear" w:color="auto" w:fill="DBE5F1"/>
                  <w:vAlign w:val="center"/>
                </w:tcPr>
                <w:p w14:paraId="1D8C93A9"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XII</w:t>
                  </w:r>
                </w:p>
              </w:tc>
              <w:tc>
                <w:tcPr>
                  <w:tcW w:w="1979" w:type="dxa"/>
                  <w:tcBorders>
                    <w:top w:val="single" w:sz="4" w:space="0" w:color="FFFFFF"/>
                    <w:left w:val="single" w:sz="4" w:space="0" w:color="FFFFFF"/>
                    <w:bottom w:val="single" w:sz="4" w:space="0" w:color="FFFFFF"/>
                  </w:tcBorders>
                  <w:shd w:val="clear" w:color="auto" w:fill="DBE5F1"/>
                  <w:vAlign w:val="center"/>
                </w:tcPr>
                <w:p w14:paraId="35096E22" w14:textId="77777777" w:rsidR="00600DEE" w:rsidRPr="0045151D" w:rsidRDefault="00641FB5">
                  <w:pPr>
                    <w:spacing w:before="20" w:after="20"/>
                    <w:rPr>
                      <w:rFonts w:ascii="Calibri" w:eastAsia="Calibri" w:hAnsi="Calibri" w:cs="Calibri"/>
                      <w:color w:val="4F81BD"/>
                      <w:sz w:val="18"/>
                      <w:szCs w:val="18"/>
                      <w:lang w:val="en-GB"/>
                    </w:rPr>
                  </w:pPr>
                  <w:r w:rsidRPr="0045151D">
                    <w:rPr>
                      <w:rFonts w:ascii="Calibri" w:eastAsia="Calibri" w:hAnsi="Calibri" w:cs="Calibri"/>
                      <w:b/>
                      <w:color w:val="4F81BD"/>
                      <w:sz w:val="18"/>
                      <w:szCs w:val="18"/>
                      <w:lang w:val="en-GB"/>
                    </w:rPr>
                    <w:t>Total investment cost incl. contingencies</w:t>
                  </w:r>
                </w:p>
              </w:tc>
              <w:tc>
                <w:tcPr>
                  <w:tcW w:w="695" w:type="dxa"/>
                  <w:gridSpan w:val="2"/>
                  <w:tcBorders>
                    <w:top w:val="single" w:sz="4" w:space="0" w:color="FFFFFF"/>
                    <w:left w:val="single" w:sz="4" w:space="0" w:color="FFFFFF"/>
                    <w:bottom w:val="single" w:sz="4" w:space="0" w:color="FFFFFF"/>
                  </w:tcBorders>
                  <w:shd w:val="clear" w:color="auto" w:fill="DBE5F1"/>
                  <w:vAlign w:val="center"/>
                </w:tcPr>
                <w:p w14:paraId="45D2E53B"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644" w:type="dxa"/>
                  <w:tcBorders>
                    <w:top w:val="single" w:sz="4" w:space="0" w:color="FFFFFF"/>
                    <w:left w:val="single" w:sz="4" w:space="0" w:color="FFFFFF"/>
                    <w:bottom w:val="single" w:sz="4" w:space="0" w:color="FFFFFF"/>
                  </w:tcBorders>
                  <w:shd w:val="clear" w:color="auto" w:fill="DBE5F1"/>
                  <w:vAlign w:val="center"/>
                </w:tcPr>
                <w:p w14:paraId="46B0E695"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683" w:type="dxa"/>
                  <w:tcBorders>
                    <w:top w:val="single" w:sz="4" w:space="0" w:color="FFFFFF"/>
                    <w:left w:val="single" w:sz="4" w:space="0" w:color="FFFFFF"/>
                    <w:bottom w:val="single" w:sz="4" w:space="0" w:color="FFFFFF"/>
                  </w:tcBorders>
                  <w:shd w:val="clear" w:color="auto" w:fill="DBE5F1"/>
                  <w:vAlign w:val="center"/>
                </w:tcPr>
                <w:p w14:paraId="0B8AB1B5"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737" w:type="dxa"/>
                  <w:gridSpan w:val="2"/>
                  <w:tcBorders>
                    <w:top w:val="single" w:sz="4" w:space="0" w:color="FFFFFF"/>
                    <w:left w:val="single" w:sz="4" w:space="0" w:color="FFFFFF"/>
                    <w:bottom w:val="single" w:sz="4" w:space="0" w:color="FFFFFF"/>
                  </w:tcBorders>
                  <w:shd w:val="clear" w:color="auto" w:fill="DBE5F1"/>
                </w:tcPr>
                <w:p w14:paraId="62D01C7B"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589" w:type="dxa"/>
                  <w:gridSpan w:val="2"/>
                  <w:tcBorders>
                    <w:top w:val="single" w:sz="4" w:space="0" w:color="FFFFFF"/>
                    <w:left w:val="single" w:sz="4" w:space="0" w:color="FFFFFF"/>
                    <w:bottom w:val="single" w:sz="4" w:space="0" w:color="FFFFFF"/>
                  </w:tcBorders>
                  <w:shd w:val="clear" w:color="auto" w:fill="DBE5F1"/>
                </w:tcPr>
                <w:p w14:paraId="64E18F92"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989" w:type="dxa"/>
                  <w:tcBorders>
                    <w:top w:val="single" w:sz="4" w:space="0" w:color="FFFFFF"/>
                    <w:left w:val="single" w:sz="4" w:space="0" w:color="FFFFFF"/>
                    <w:bottom w:val="single" w:sz="4" w:space="0" w:color="FFFFFF"/>
                  </w:tcBorders>
                  <w:shd w:val="clear" w:color="auto" w:fill="DBE5F1"/>
                </w:tcPr>
                <w:p w14:paraId="3C4DBBAA" w14:textId="77777777" w:rsidR="00600DEE" w:rsidRPr="0045151D" w:rsidRDefault="00600DEE">
                  <w:pPr>
                    <w:spacing w:before="20" w:after="20"/>
                    <w:jc w:val="right"/>
                    <w:rPr>
                      <w:rFonts w:ascii="Calibri" w:eastAsia="Calibri" w:hAnsi="Calibri" w:cs="Calibri"/>
                      <w:color w:val="4F81BD"/>
                      <w:sz w:val="18"/>
                      <w:szCs w:val="18"/>
                      <w:lang w:val="en-GB"/>
                    </w:rPr>
                  </w:pPr>
                </w:p>
              </w:tc>
            </w:tr>
            <w:tr w:rsidR="00600DEE" w:rsidRPr="007463B9" w14:paraId="2002939B" w14:textId="77777777" w:rsidTr="00DF6B9D">
              <w:trPr>
                <w:trHeight w:val="232"/>
              </w:trPr>
              <w:tc>
                <w:tcPr>
                  <w:tcW w:w="625" w:type="dxa"/>
                  <w:tcBorders>
                    <w:top w:val="single" w:sz="4" w:space="0" w:color="FFFFFF"/>
                    <w:left w:val="single" w:sz="4" w:space="0" w:color="FFFFFF"/>
                    <w:bottom w:val="single" w:sz="4" w:space="0" w:color="FFFFFF"/>
                  </w:tcBorders>
                  <w:shd w:val="clear" w:color="auto" w:fill="DBE5F1"/>
                  <w:vAlign w:val="center"/>
                </w:tcPr>
                <w:p w14:paraId="6AAC4B6A" w14:textId="77777777" w:rsidR="00600DEE" w:rsidRPr="0045151D" w:rsidRDefault="00641FB5">
                  <w:pPr>
                    <w:spacing w:before="20" w:after="20"/>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XIII</w:t>
                  </w:r>
                </w:p>
              </w:tc>
              <w:tc>
                <w:tcPr>
                  <w:tcW w:w="1979" w:type="dxa"/>
                  <w:tcBorders>
                    <w:top w:val="single" w:sz="4" w:space="0" w:color="FFFFFF"/>
                    <w:left w:val="single" w:sz="4" w:space="0" w:color="FFFFFF"/>
                    <w:bottom w:val="single" w:sz="4" w:space="0" w:color="FFFFFF"/>
                  </w:tcBorders>
                  <w:shd w:val="clear" w:color="auto" w:fill="DBE5F1"/>
                  <w:vAlign w:val="center"/>
                </w:tcPr>
                <w:p w14:paraId="6ED60E4D" w14:textId="77777777" w:rsidR="00600DEE" w:rsidRPr="0045151D" w:rsidRDefault="00641FB5">
                  <w:pPr>
                    <w:spacing w:before="20" w:after="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VAT</w:t>
                  </w:r>
                </w:p>
              </w:tc>
              <w:tc>
                <w:tcPr>
                  <w:tcW w:w="1339" w:type="dxa"/>
                  <w:gridSpan w:val="3"/>
                  <w:tcBorders>
                    <w:top w:val="single" w:sz="4" w:space="0" w:color="FFFFFF"/>
                    <w:left w:val="single" w:sz="4" w:space="0" w:color="FFFFFF"/>
                    <w:bottom w:val="single" w:sz="4" w:space="0" w:color="FFFFFF"/>
                  </w:tcBorders>
                  <w:shd w:val="clear" w:color="auto" w:fill="DBE5F1"/>
                  <w:vAlign w:val="center"/>
                </w:tcPr>
                <w:p w14:paraId="24EF9649"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1420" w:type="dxa"/>
                  <w:gridSpan w:val="3"/>
                  <w:tcBorders>
                    <w:top w:val="single" w:sz="4" w:space="0" w:color="FFFFFF"/>
                    <w:left w:val="single" w:sz="4" w:space="0" w:color="FFFFFF"/>
                    <w:bottom w:val="single" w:sz="4" w:space="0" w:color="FFFFFF"/>
                  </w:tcBorders>
                  <w:shd w:val="clear" w:color="auto" w:fill="DBE5F1"/>
                  <w:vAlign w:val="center"/>
                </w:tcPr>
                <w:p w14:paraId="1665412B" w14:textId="77777777" w:rsidR="00600DEE" w:rsidRPr="0045151D" w:rsidRDefault="00600DEE">
                  <w:pPr>
                    <w:spacing w:before="20" w:after="20"/>
                    <w:jc w:val="right"/>
                    <w:rPr>
                      <w:rFonts w:ascii="Calibri" w:eastAsia="Calibri" w:hAnsi="Calibri" w:cs="Calibri"/>
                      <w:color w:val="4F81BD"/>
                      <w:sz w:val="18"/>
                      <w:szCs w:val="18"/>
                      <w:lang w:val="en-GB"/>
                    </w:rPr>
                  </w:pPr>
                </w:p>
              </w:tc>
              <w:tc>
                <w:tcPr>
                  <w:tcW w:w="1578" w:type="dxa"/>
                  <w:gridSpan w:val="3"/>
                  <w:tcBorders>
                    <w:top w:val="single" w:sz="4" w:space="0" w:color="FFFFFF"/>
                    <w:left w:val="single" w:sz="4" w:space="0" w:color="FFFFFF"/>
                    <w:bottom w:val="single" w:sz="4" w:space="0" w:color="FFFFFF"/>
                  </w:tcBorders>
                  <w:shd w:val="clear" w:color="auto" w:fill="DBE5F1"/>
                </w:tcPr>
                <w:p w14:paraId="4581CF82" w14:textId="77777777" w:rsidR="00600DEE" w:rsidRPr="0045151D" w:rsidRDefault="00600DEE">
                  <w:pPr>
                    <w:spacing w:before="20" w:after="20"/>
                    <w:jc w:val="right"/>
                    <w:rPr>
                      <w:rFonts w:ascii="Calibri" w:eastAsia="Calibri" w:hAnsi="Calibri" w:cs="Calibri"/>
                      <w:color w:val="4F81BD"/>
                      <w:sz w:val="18"/>
                      <w:szCs w:val="18"/>
                      <w:lang w:val="en-GB"/>
                    </w:rPr>
                  </w:pPr>
                </w:p>
              </w:tc>
            </w:tr>
          </w:tbl>
          <w:p w14:paraId="1DE571EF" w14:textId="7A9BA65E" w:rsidR="00600DEE" w:rsidRPr="0045151D" w:rsidRDefault="00641FB5" w:rsidP="000927FA">
            <w:pPr>
              <w:pBdr>
                <w:top w:val="nil"/>
                <w:left w:val="nil"/>
                <w:bottom w:val="nil"/>
                <w:right w:val="nil"/>
                <w:between w:val="nil"/>
              </w:pBdr>
              <w:spacing w:before="24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Costly engineering structures (tunnels, bridges, overpasses, etc.) should be shown separately in the cost statement if deemed apprioprate. Such a breakdown allows a quick comparison between options and highlights major investment costs components. Moreover, in case of similar CBA results, it is easier to compare options in terms of performance of objectives and investment costs.</w:t>
            </w:r>
          </w:p>
          <w:p w14:paraId="0650A263"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statement should present net cost and cost with VAT. The reasons are: different VAT rates applicable to some cost categories; eligibility/non-eligibility of VAT for some Beneficiaries; and the need to convert financial investment costs to accounting prices (see Chapter 2.2.2).</w:t>
            </w:r>
          </w:p>
          <w:p w14:paraId="5E726B28"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an overview, it is recommended to present the total cost of the project for the investment option, as well as the cost per kilometre (see the Table below).</w:t>
            </w:r>
          </w:p>
          <w:p w14:paraId="6685CA66" w14:textId="1FAD2C10" w:rsidR="00600DEE" w:rsidRDefault="00641FB5" w:rsidP="00DF6B9D">
            <w:pPr>
              <w:pBdr>
                <w:top w:val="nil"/>
                <w:left w:val="nil"/>
                <w:bottom w:val="nil"/>
                <w:right w:val="nil"/>
                <w:between w:val="nil"/>
              </w:pBdr>
              <w:spacing w:after="120"/>
              <w:jc w:val="both"/>
              <w:rPr>
                <w:rFonts w:ascii="Calibri" w:eastAsia="Calibri" w:hAnsi="Calibri" w:cs="Calibri"/>
                <w:b/>
                <w:color w:val="4F81BD"/>
                <w:sz w:val="20"/>
                <w:szCs w:val="20"/>
              </w:rPr>
            </w:pPr>
            <w:r>
              <w:rPr>
                <w:rFonts w:ascii="Calibri" w:eastAsia="Calibri" w:hAnsi="Calibri" w:cs="Calibri"/>
                <w:b/>
                <w:color w:val="4F81BD"/>
                <w:sz w:val="20"/>
                <w:szCs w:val="20"/>
              </w:rPr>
              <w:t xml:space="preserve">Table 9. Project costs </w:t>
            </w:r>
          </w:p>
          <w:tbl>
            <w:tblPr>
              <w:tblStyle w:val="aff7"/>
              <w:tblW w:w="6804"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5"/>
              <w:gridCol w:w="2237"/>
              <w:gridCol w:w="2552"/>
            </w:tblGrid>
            <w:tr w:rsidR="00600DEE" w:rsidRPr="007463B9" w14:paraId="373BEBFB" w14:textId="77777777">
              <w:trPr>
                <w:trHeight w:val="269"/>
              </w:trPr>
              <w:tc>
                <w:tcPr>
                  <w:tcW w:w="2015" w:type="dxa"/>
                  <w:tcBorders>
                    <w:top w:val="nil"/>
                    <w:left w:val="nil"/>
                    <w:bottom w:val="nil"/>
                    <w:right w:val="single" w:sz="4" w:space="0" w:color="FFFFFF"/>
                  </w:tcBorders>
                  <w:shd w:val="clear" w:color="auto" w:fill="A6A6A6"/>
                  <w:vAlign w:val="center"/>
                </w:tcPr>
                <w:p w14:paraId="35B2A856"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Specification</w:t>
                  </w:r>
                </w:p>
              </w:tc>
              <w:tc>
                <w:tcPr>
                  <w:tcW w:w="2237" w:type="dxa"/>
                  <w:tcBorders>
                    <w:top w:val="nil"/>
                    <w:left w:val="single" w:sz="4" w:space="0" w:color="FFFFFF"/>
                    <w:bottom w:val="nil"/>
                    <w:right w:val="single" w:sz="4" w:space="0" w:color="FFFFFF"/>
                  </w:tcBorders>
                  <w:shd w:val="clear" w:color="auto" w:fill="A6A6A6"/>
                  <w:vAlign w:val="center"/>
                </w:tcPr>
                <w:p w14:paraId="21F0B9B2"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Cost per km with VAT</w:t>
                  </w:r>
                </w:p>
              </w:tc>
              <w:tc>
                <w:tcPr>
                  <w:tcW w:w="2552" w:type="dxa"/>
                  <w:tcBorders>
                    <w:top w:val="nil"/>
                    <w:left w:val="single" w:sz="4" w:space="0" w:color="FFFFFF"/>
                    <w:bottom w:val="nil"/>
                    <w:right w:val="nil"/>
                  </w:tcBorders>
                  <w:shd w:val="clear" w:color="auto" w:fill="A6A6A6"/>
                  <w:vAlign w:val="center"/>
                </w:tcPr>
                <w:p w14:paraId="2B109BF6"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Cost per km without VAT</w:t>
                  </w:r>
                </w:p>
              </w:tc>
            </w:tr>
            <w:tr w:rsidR="00600DEE" w14:paraId="280E3FF8" w14:textId="77777777">
              <w:trPr>
                <w:trHeight w:val="322"/>
              </w:trPr>
              <w:tc>
                <w:tcPr>
                  <w:tcW w:w="2015" w:type="dxa"/>
                  <w:tcBorders>
                    <w:top w:val="single" w:sz="4" w:space="0" w:color="FFFFFF"/>
                    <w:left w:val="nil"/>
                    <w:bottom w:val="single" w:sz="4" w:space="0" w:color="FFFFFF"/>
                    <w:right w:val="single" w:sz="4" w:space="0" w:color="FFFFFF"/>
                  </w:tcBorders>
                  <w:shd w:val="clear" w:color="auto" w:fill="DBE5F1"/>
                  <w:vAlign w:val="center"/>
                </w:tcPr>
                <w:p w14:paraId="10D8DE31" w14:textId="77777777" w:rsidR="00600DEE" w:rsidRDefault="00641FB5">
                  <w:pPr>
                    <w:ind w:right="-20"/>
                    <w:rPr>
                      <w:rFonts w:ascii="Calibri" w:eastAsia="Calibri" w:hAnsi="Calibri" w:cs="Calibri"/>
                      <w:color w:val="4F81BD"/>
                      <w:sz w:val="18"/>
                      <w:szCs w:val="18"/>
                    </w:rPr>
                  </w:pPr>
                  <w:r>
                    <w:rPr>
                      <w:rFonts w:ascii="Calibri" w:eastAsia="Calibri" w:hAnsi="Calibri" w:cs="Calibri"/>
                      <w:color w:val="4F81BD"/>
                      <w:sz w:val="18"/>
                      <w:szCs w:val="18"/>
                    </w:rPr>
                    <w:t>Without land acquisition</w:t>
                  </w:r>
                </w:p>
              </w:tc>
              <w:tc>
                <w:tcPr>
                  <w:tcW w:w="2237" w:type="dxa"/>
                  <w:tcBorders>
                    <w:top w:val="single" w:sz="4" w:space="0" w:color="FFFFFF"/>
                    <w:left w:val="single" w:sz="4" w:space="0" w:color="FFFFFF"/>
                    <w:bottom w:val="single" w:sz="4" w:space="0" w:color="FFFFFF"/>
                    <w:right w:val="single" w:sz="4" w:space="0" w:color="FFFFFF"/>
                  </w:tcBorders>
                  <w:shd w:val="clear" w:color="auto" w:fill="DBE5F1"/>
                </w:tcPr>
                <w:p w14:paraId="6AD0C7C1" w14:textId="77777777" w:rsidR="00600DEE" w:rsidRDefault="00600DEE">
                  <w:pPr>
                    <w:ind w:right="952"/>
                    <w:jc w:val="center"/>
                    <w:rPr>
                      <w:rFonts w:ascii="Calibri" w:eastAsia="Calibri" w:hAnsi="Calibri" w:cs="Calibri"/>
                      <w:color w:val="4F81BD"/>
                      <w:sz w:val="18"/>
                      <w:szCs w:val="18"/>
                    </w:rPr>
                  </w:pPr>
                </w:p>
              </w:tc>
              <w:tc>
                <w:tcPr>
                  <w:tcW w:w="2552" w:type="dxa"/>
                  <w:tcBorders>
                    <w:top w:val="single" w:sz="4" w:space="0" w:color="FFFFFF"/>
                    <w:left w:val="single" w:sz="4" w:space="0" w:color="FFFFFF"/>
                    <w:bottom w:val="single" w:sz="4" w:space="0" w:color="FFFFFF"/>
                    <w:right w:val="nil"/>
                  </w:tcBorders>
                  <w:shd w:val="clear" w:color="auto" w:fill="DBE5F1"/>
                </w:tcPr>
                <w:p w14:paraId="668C1BAA" w14:textId="77777777" w:rsidR="00600DEE" w:rsidRDefault="00600DEE">
                  <w:pPr>
                    <w:ind w:right="904"/>
                    <w:jc w:val="center"/>
                    <w:rPr>
                      <w:rFonts w:ascii="Calibri" w:eastAsia="Calibri" w:hAnsi="Calibri" w:cs="Calibri"/>
                      <w:color w:val="4F81BD"/>
                      <w:sz w:val="18"/>
                      <w:szCs w:val="18"/>
                    </w:rPr>
                  </w:pPr>
                </w:p>
              </w:tc>
            </w:tr>
            <w:tr w:rsidR="00600DEE" w:rsidRPr="007463B9" w14:paraId="21B3E542" w14:textId="77777777" w:rsidTr="000927FA">
              <w:trPr>
                <w:trHeight w:hRule="exact" w:val="680"/>
              </w:trPr>
              <w:tc>
                <w:tcPr>
                  <w:tcW w:w="2015" w:type="dxa"/>
                  <w:tcBorders>
                    <w:top w:val="single" w:sz="4" w:space="0" w:color="FFFFFF"/>
                    <w:left w:val="nil"/>
                    <w:bottom w:val="nil"/>
                    <w:right w:val="single" w:sz="4" w:space="0" w:color="FFFFFF"/>
                  </w:tcBorders>
                  <w:shd w:val="clear" w:color="auto" w:fill="DBE5F1"/>
                </w:tcPr>
                <w:p w14:paraId="45B8E68F" w14:textId="77777777" w:rsidR="00600DEE" w:rsidRPr="0045151D" w:rsidRDefault="00641FB5">
                  <w:pPr>
                    <w:spacing w:before="4"/>
                    <w:rPr>
                      <w:rFonts w:ascii="Calibri" w:eastAsia="Calibri" w:hAnsi="Calibri" w:cs="Calibri"/>
                      <w:color w:val="4F81BD"/>
                      <w:sz w:val="12"/>
                      <w:szCs w:val="12"/>
                      <w:lang w:val="en-GB"/>
                    </w:rPr>
                  </w:pPr>
                  <w:r w:rsidRPr="0045151D">
                    <w:rPr>
                      <w:rFonts w:ascii="Calibri" w:eastAsia="Calibri" w:hAnsi="Calibri" w:cs="Calibri"/>
                      <w:color w:val="4F81BD"/>
                      <w:sz w:val="18"/>
                      <w:szCs w:val="18"/>
                      <w:lang w:val="en-GB"/>
                    </w:rPr>
                    <w:t>Without land acquisition and without structures</w:t>
                  </w:r>
                </w:p>
              </w:tc>
              <w:tc>
                <w:tcPr>
                  <w:tcW w:w="2237" w:type="dxa"/>
                  <w:tcBorders>
                    <w:top w:val="single" w:sz="4" w:space="0" w:color="FFFFFF"/>
                    <w:left w:val="single" w:sz="4" w:space="0" w:color="FFFFFF"/>
                    <w:bottom w:val="nil"/>
                    <w:right w:val="single" w:sz="4" w:space="0" w:color="FFFFFF"/>
                  </w:tcBorders>
                  <w:shd w:val="clear" w:color="auto" w:fill="DBE5F1"/>
                </w:tcPr>
                <w:p w14:paraId="6171D124" w14:textId="77777777" w:rsidR="00600DEE" w:rsidRPr="0045151D" w:rsidRDefault="00600DEE">
                  <w:pPr>
                    <w:ind w:right="952"/>
                    <w:jc w:val="center"/>
                    <w:rPr>
                      <w:rFonts w:ascii="Calibri" w:eastAsia="Calibri" w:hAnsi="Calibri" w:cs="Calibri"/>
                      <w:color w:val="4F81BD"/>
                      <w:sz w:val="18"/>
                      <w:szCs w:val="18"/>
                      <w:lang w:val="en-GB"/>
                    </w:rPr>
                  </w:pPr>
                </w:p>
              </w:tc>
              <w:tc>
                <w:tcPr>
                  <w:tcW w:w="2552" w:type="dxa"/>
                  <w:tcBorders>
                    <w:top w:val="single" w:sz="4" w:space="0" w:color="FFFFFF"/>
                    <w:left w:val="single" w:sz="4" w:space="0" w:color="FFFFFF"/>
                    <w:bottom w:val="nil"/>
                    <w:right w:val="nil"/>
                  </w:tcBorders>
                  <w:shd w:val="clear" w:color="auto" w:fill="DBE5F1"/>
                </w:tcPr>
                <w:p w14:paraId="66714012" w14:textId="77777777" w:rsidR="00600DEE" w:rsidRPr="0045151D" w:rsidRDefault="00600DEE">
                  <w:pPr>
                    <w:ind w:right="904"/>
                    <w:jc w:val="center"/>
                    <w:rPr>
                      <w:rFonts w:ascii="Calibri" w:eastAsia="Calibri" w:hAnsi="Calibri" w:cs="Calibri"/>
                      <w:color w:val="4F81BD"/>
                      <w:sz w:val="18"/>
                      <w:szCs w:val="18"/>
                      <w:lang w:val="en-GB"/>
                    </w:rPr>
                  </w:pPr>
                </w:p>
              </w:tc>
            </w:tr>
          </w:tbl>
          <w:p w14:paraId="0D119B66"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Capital expenditures for the purposes of the CBA should be spread into individual years of the analysis, according to the financial schedule of expenses. The situation where very small expenditures at the beginning of the investment preparation and implementation are shown for several years in the CBA simulation model should be avoided. In such cases, it is recommended to integrate all smaller amounts to the costs in the first year of the analysis. In the case of expenditures incurred before the first year of the analysis, as a matter of principle, such expenditures should not be indexed and should be disclosed in nominal value in the first year of the analysis.</w:t>
            </w:r>
          </w:p>
          <w:p w14:paraId="0D6ECBFA" w14:textId="47DD3A47" w:rsidR="00DF6B9D" w:rsidRPr="0045151D" w:rsidRDefault="00DF6B9D">
            <w:pPr>
              <w:pBdr>
                <w:top w:val="nil"/>
                <w:left w:val="nil"/>
                <w:bottom w:val="nil"/>
                <w:right w:val="nil"/>
                <w:between w:val="nil"/>
              </w:pBdr>
              <w:spacing w:before="120" w:after="120"/>
              <w:jc w:val="both"/>
              <w:rPr>
                <w:rFonts w:ascii="Calibri" w:eastAsia="Calibri" w:hAnsi="Calibri" w:cs="Calibri"/>
                <w:color w:val="000000"/>
                <w:sz w:val="20"/>
                <w:szCs w:val="20"/>
                <w:lang w:val="en-GB"/>
              </w:rPr>
            </w:pPr>
          </w:p>
        </w:tc>
      </w:tr>
    </w:tbl>
    <w:p w14:paraId="3D4704D0" w14:textId="55A7D535" w:rsidR="00600DEE" w:rsidRDefault="00641FB5" w:rsidP="00D5736B">
      <w:pPr>
        <w:pStyle w:val="Nagwek3"/>
        <w:numPr>
          <w:ilvl w:val="2"/>
          <w:numId w:val="17"/>
        </w:numPr>
        <w:ind w:left="0" w:firstLine="0"/>
        <w:rPr>
          <w:rFonts w:ascii="Calibri" w:eastAsia="Calibri" w:hAnsi="Calibri" w:cs="Calibri"/>
          <w:color w:val="4F81BD"/>
        </w:rPr>
      </w:pPr>
      <w:bookmarkStart w:id="52" w:name="_Toc95377981"/>
      <w:r>
        <w:rPr>
          <w:rFonts w:ascii="Calibri" w:eastAsia="Calibri" w:hAnsi="Calibri" w:cs="Calibri"/>
          <w:color w:val="4F81BD"/>
        </w:rPr>
        <w:t>Oszacowanie wydatków na eksploatację i utrzymanie</w:t>
      </w:r>
      <w:r>
        <w:rPr>
          <w:rFonts w:ascii="Calibri" w:eastAsia="Calibri" w:hAnsi="Calibri" w:cs="Calibri"/>
          <w:color w:val="4F81BD"/>
        </w:rPr>
        <w:tab/>
        <w:t xml:space="preserve">         </w:t>
      </w:r>
      <w:r>
        <w:rPr>
          <w:rFonts w:ascii="Calibri" w:eastAsia="Calibri" w:hAnsi="Calibri" w:cs="Calibri"/>
          <w:i/>
          <w:color w:val="4F81BD"/>
        </w:rPr>
        <w:t>1.9.2.</w:t>
      </w:r>
      <w:r>
        <w:rPr>
          <w:rFonts w:ascii="Calibri" w:eastAsia="Calibri" w:hAnsi="Calibri" w:cs="Calibri"/>
          <w:color w:val="4F81BD"/>
        </w:rPr>
        <w:t xml:space="preserve">   </w:t>
      </w:r>
      <w:r>
        <w:rPr>
          <w:rFonts w:ascii="Calibri" w:eastAsia="Calibri" w:hAnsi="Calibri" w:cs="Calibri"/>
          <w:i/>
          <w:color w:val="4F81BD"/>
        </w:rPr>
        <w:t>Estimation of operating and maintenance (O&amp;M) expenditures</w:t>
      </w:r>
      <w:bookmarkEnd w:id="52"/>
    </w:p>
    <w:tbl>
      <w:tblPr>
        <w:tblStyle w:val="aff8"/>
        <w:tblW w:w="14571" w:type="dxa"/>
        <w:tblLayout w:type="fixed"/>
        <w:tblLook w:val="0400" w:firstRow="0" w:lastRow="0" w:firstColumn="0" w:lastColumn="0" w:noHBand="0" w:noVBand="1"/>
      </w:tblPr>
      <w:tblGrid>
        <w:gridCol w:w="7367"/>
        <w:gridCol w:w="7204"/>
      </w:tblGrid>
      <w:tr w:rsidR="00600DEE" w:rsidRPr="007463B9" w14:paraId="508F77BF" w14:textId="77777777">
        <w:tc>
          <w:tcPr>
            <w:tcW w:w="7367" w:type="dxa"/>
            <w:tcBorders>
              <w:right w:val="single" w:sz="4" w:space="0" w:color="000000"/>
            </w:tcBorders>
            <w:tcMar>
              <w:left w:w="284" w:type="dxa"/>
              <w:right w:w="284" w:type="dxa"/>
            </w:tcMar>
          </w:tcPr>
          <w:p w14:paraId="68907F65"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Dane wejściowe dotyczące kosztów eksploatacji i utrzymania należy zawsze przygotować zarówno dla W0, jak i dla wszystkich wariantów inwestycyjnych (Wn). </w:t>
            </w:r>
          </w:p>
          <w:p w14:paraId="07F0C8F8" w14:textId="77777777" w:rsidR="00B802AC" w:rsidRPr="00371A33" w:rsidRDefault="00B802AC" w:rsidP="00B802AC">
            <w:pPr>
              <w:pStyle w:val="anxnormalZnak"/>
              <w:spacing w:after="120"/>
              <w:ind w:left="0"/>
              <w:rPr>
                <w:rFonts w:asciiTheme="minorHAnsi" w:hAnsiTheme="minorHAnsi" w:cstheme="minorHAnsi"/>
                <w:spacing w:val="-3"/>
              </w:rPr>
            </w:pPr>
            <w:bookmarkStart w:id="53" w:name="_heading=h.3fwokq0" w:colFirst="0" w:colLast="0"/>
            <w:bookmarkEnd w:id="53"/>
            <w:r w:rsidRPr="00371A33">
              <w:rPr>
                <w:rFonts w:asciiTheme="minorHAnsi" w:hAnsiTheme="minorHAnsi" w:cstheme="minorHAnsi"/>
                <w:spacing w:val="-3"/>
              </w:rPr>
              <w:t>Przy stosowaniu metody przyrostowej w AKK dla nowego projektu budowy drogi, zakłada się, że różnica w wydatkach na utrzymanie i eksploatację (zdyskontowanych) między W0 i Wn dla istniejącej sieci drogowej jest znikoma (jednak w szczególnych przypadkach konieczności przeanalizowania wpływu zmian kosztów utrzymania i eksploatacji, analiza może zostać uszczegółowiona). Dlatego też jedynie wydatki na utrzymanie i eksploatację dla nowej inwestycji drogowej uwzględniane są w obliczeniach od pierwszego pełnego roku eksploatacji inwestycji.</w:t>
            </w:r>
          </w:p>
          <w:p w14:paraId="3B5A8C50" w14:textId="77777777" w:rsidR="00B802AC" w:rsidRDefault="00B802AC" w:rsidP="00B802AC">
            <w:pPr>
              <w:pStyle w:val="anxnormalZnak"/>
              <w:spacing w:after="120"/>
              <w:ind w:left="0"/>
              <w:rPr>
                <w:rFonts w:asciiTheme="minorHAnsi" w:hAnsiTheme="minorHAnsi" w:cstheme="minorHAnsi"/>
                <w:spacing w:val="-3"/>
              </w:rPr>
            </w:pPr>
            <w:r w:rsidRPr="000E52FF">
              <w:rPr>
                <w:rFonts w:asciiTheme="minorHAnsi" w:hAnsiTheme="minorHAnsi" w:cstheme="minorHAnsi"/>
                <w:spacing w:val="-3"/>
              </w:rPr>
              <w:t>W przypadku realizacji nowej drogi, wykorzystującej całkowicie lub częściowo przebieg drogi istniejącej wydatki na utrzymanie i eksploatację należy oszacować oddzielnie dla wariantu istniejącego (W0) i wariantu inwestycyjnego (Wn). W przypadku przebudowy/rozbudowy drogi bez zmiany parametrów drogi, wydatki są identyczne dla obydwu wariantów. W przypadku przebudowy/rozbudowy drogi ze zmianą parametrów koszty należy oszacować oddzielnie dla wariantu W0 i wariantu Wn. W przypadku przeprowadzenia rozbudowy/budowy/przebudowy odcinka drogi, prowadzonej pod ruchem koszty eksploatacji i utrzymania powinny obejmować również okres realizacji inwestycji dla W0 i Wn.</w:t>
            </w:r>
          </w:p>
          <w:p w14:paraId="70BA27B8" w14:textId="3092AF5D" w:rsidR="00DF6B9D"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przypadku każdej analizy ważne jest sprawdzenie, nawet jeśli dane źródłowe są zagregowane w kosztach eksploatacji i utrzymania ogółem, czy uwzględniono wszystkie następujące elementy kosztowe:</w:t>
            </w:r>
          </w:p>
          <w:p w14:paraId="0F3AE5E1" w14:textId="77777777" w:rsidR="00600DEE" w:rsidRDefault="00641FB5" w:rsidP="00D5736B">
            <w:pPr>
              <w:numPr>
                <w:ilvl w:val="0"/>
                <w:numId w:val="54"/>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Bieżące roczne koszty eksploatacji i utrzymania, w tym:</w:t>
            </w:r>
          </w:p>
          <w:p w14:paraId="61919FA9" w14:textId="77777777" w:rsidR="00600DEE" w:rsidRDefault="00641FB5" w:rsidP="00D5736B">
            <w:pPr>
              <w:numPr>
                <w:ilvl w:val="1"/>
                <w:numId w:val="54"/>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bieżące utrzymanie całoroczne, w tym utrzymanie zimowe,</w:t>
            </w:r>
          </w:p>
          <w:p w14:paraId="2AA6F5B4" w14:textId="77777777" w:rsidR="00600DEE" w:rsidRDefault="00641FB5" w:rsidP="00D5736B">
            <w:pPr>
              <w:numPr>
                <w:ilvl w:val="1"/>
                <w:numId w:val="54"/>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koszty ogólne prowadzenia działalności (budynki, administracja itp.),</w:t>
            </w:r>
          </w:p>
          <w:p w14:paraId="622CD607" w14:textId="77777777" w:rsidR="00600DEE" w:rsidRDefault="00641FB5" w:rsidP="00D5736B">
            <w:pPr>
              <w:numPr>
                <w:ilvl w:val="1"/>
                <w:numId w:val="54"/>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zarządzanie ruchem.</w:t>
            </w:r>
          </w:p>
          <w:p w14:paraId="6D1BAA00" w14:textId="77777777" w:rsidR="00600DEE" w:rsidRDefault="00641FB5" w:rsidP="00D5736B">
            <w:pPr>
              <w:numPr>
                <w:ilvl w:val="0"/>
                <w:numId w:val="54"/>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Koszty eksploatacji systemu poboru opłat: </w:t>
            </w:r>
          </w:p>
          <w:p w14:paraId="5955AB93" w14:textId="747AE196" w:rsidR="00600DEE" w:rsidRDefault="00497CC7" w:rsidP="00D5736B">
            <w:pPr>
              <w:numPr>
                <w:ilvl w:val="1"/>
                <w:numId w:val="54"/>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sidRPr="00497CC7">
              <w:rPr>
                <w:rFonts w:asciiTheme="minorHAnsi" w:hAnsiTheme="minorHAnsi"/>
                <w:sz w:val="20"/>
                <w:szCs w:val="20"/>
                <w:lang w:eastAsia="en-US"/>
              </w:rPr>
              <w:t>utrzymanie elektronicznego systemu poboru opłat,</w:t>
            </w:r>
          </w:p>
          <w:p w14:paraId="46A3FDB2" w14:textId="77777777" w:rsidR="00600DEE" w:rsidRDefault="00641FB5" w:rsidP="00D5736B">
            <w:pPr>
              <w:numPr>
                <w:ilvl w:val="0"/>
                <w:numId w:val="54"/>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Koszt okresowych prac utrzymaniowych: </w:t>
            </w:r>
          </w:p>
          <w:p w14:paraId="1C486098" w14:textId="77777777" w:rsidR="00600DEE" w:rsidRDefault="00641FB5" w:rsidP="00D5736B">
            <w:pPr>
              <w:numPr>
                <w:ilvl w:val="1"/>
                <w:numId w:val="54"/>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remont okresowy (odnowa),</w:t>
            </w:r>
          </w:p>
          <w:p w14:paraId="1FAE7346" w14:textId="77777777" w:rsidR="00600DEE" w:rsidRDefault="00641FB5" w:rsidP="00D5736B">
            <w:pPr>
              <w:numPr>
                <w:ilvl w:val="1"/>
                <w:numId w:val="54"/>
              </w:numPr>
              <w:pBdr>
                <w:top w:val="nil"/>
                <w:left w:val="nil"/>
                <w:bottom w:val="nil"/>
                <w:right w:val="nil"/>
                <w:between w:val="nil"/>
              </w:pBdr>
              <w:spacing w:before="120" w:after="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remont cząstkowy i naprawa.</w:t>
            </w:r>
          </w:p>
          <w:p w14:paraId="028905EC"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Całoroczne bieżące utrzymanie obejmuje wszystkie koszty prac, służących zapewnieniu bezpieczeństwa infrastruktury drogi pod względem technicznym i jej dostępności do codziennej eksploatacji, a także zapobieganiu jej degradacji. Utrzymanie zimowe i inne prace związane z sezonowością (np. koszenie, malowanie, sprzątanie, itp.) stanowią także część tych kosztów.  </w:t>
            </w:r>
          </w:p>
          <w:p w14:paraId="5DB4D8C5"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Okresowe prace remontowe dotyczą wszelkich zabiegów, których celem jest przywrócenie pierwotnych parametrów użytkowych drogi. Koszty okresowego utrzymania obejmują zwykle wymianę nawierzchni, konserwację elementów obiektów mostowych (łożyska, izolacja, itd.) lub zasadnicze zabiegi utrzymaniowe dotyczące pozostałej infrastruktury towarzyszącej. </w:t>
            </w:r>
          </w:p>
          <w:p w14:paraId="7DECD395"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Przy obliczaniu kosztów eksploatacji i utrzymania w przypadku W0 nie należy wprost ekstrapolować kosztów historycznych (szczególnie, jeśli były sztucznie zaniżone ze względu na limity wydatków), lecz powinno się uwzględnić wiek i stan infrastruktury oraz prawdopodobne zwiększenie częstotliwości i kosztów okresowych prac remontowych w okresie odniesienia.</w:t>
            </w:r>
          </w:p>
          <w:p w14:paraId="64ED77C0" w14:textId="77777777" w:rsidR="00B802AC" w:rsidRPr="00371A33" w:rsidRDefault="00B802AC" w:rsidP="00B802AC">
            <w:pPr>
              <w:pStyle w:val="anxnormalZnak"/>
              <w:spacing w:after="120"/>
              <w:ind w:left="0"/>
              <w:rPr>
                <w:rFonts w:asciiTheme="minorHAnsi" w:hAnsiTheme="minorHAnsi"/>
                <w:spacing w:val="-3"/>
              </w:rPr>
            </w:pPr>
            <w:r w:rsidRPr="000E52FF">
              <w:rPr>
                <w:rFonts w:asciiTheme="minorHAnsi" w:hAnsiTheme="minorHAnsi"/>
                <w:spacing w:val="-3"/>
              </w:rPr>
              <w:t>Koszty jednostkowe eksploatacji i utrzymania będą różne dla różnych kategorii dróg. Koszty jednostkowe bieżącego utrzymania przy tej samej kategorii drogi będą identyczne dla W0 i wariantów inwestycyjnych. Koszty jednostkowe okresowych prac remontowych również będą zbliżone do tych dla sieci istniejącej i dróg projektowanych, różnić się będą tylko harmonogramem wykonywania poszczególnych typó</w:t>
            </w:r>
            <w:r w:rsidRPr="00371A33">
              <w:rPr>
                <w:rFonts w:asciiTheme="minorHAnsi" w:hAnsiTheme="minorHAnsi"/>
                <w:spacing w:val="-3"/>
              </w:rPr>
              <w:t>w robót. W przypadku istniejącej sieci częściej wystąpią koszty remontów cząstkowych i okresowych, z uwagi na postępujący proces degradacji. Jak wspomniano powyżej, dla każdego nowego projektu drogowego różnica w wydatkach na utrzymanie i eksploatację między W0 i Wn dla istniejącej sieci drogowej jest pomijalna (chyba, że inwestor zamierza ją wykorzystać do innych celów).</w:t>
            </w:r>
          </w:p>
          <w:p w14:paraId="0517EDC6" w14:textId="77777777" w:rsidR="00B802AC" w:rsidRDefault="00B802AC" w:rsidP="00B802AC">
            <w:pPr>
              <w:pStyle w:val="anxnormalZnak"/>
              <w:spacing w:after="120"/>
              <w:ind w:left="0"/>
              <w:rPr>
                <w:rFonts w:asciiTheme="minorHAnsi" w:hAnsiTheme="minorHAnsi"/>
                <w:spacing w:val="-3"/>
              </w:rPr>
            </w:pPr>
            <w:r w:rsidRPr="00371A33">
              <w:rPr>
                <w:rFonts w:asciiTheme="minorHAnsi" w:hAnsiTheme="minorHAnsi"/>
                <w:spacing w:val="-3"/>
              </w:rPr>
              <w:t>Dla projektów drogowych, dla których wdrożono całoroczne bieżące oraz prewencyjne utrzymanie, obejmujące niezbędne remonty cząstkowe, zaleca się wykorzystanie scenariusza utrzymania i cen jednostkowych z załącznika A przedstawiających średni jednostkowy koszt eksploatacji i utrzymania dla różnych klas dróg w Polsce. Zakłada się coroczne alokacje na eksploatację i utrzymanie na podstawie tych uśrednionych wymogów. Przy takich założeniach, całościowa wymiana/ odnowa nawierzchni dla nowej lub remontowanej drogi, powinna zostać przeprowadzona po upływie 10 lat od momentu oddania do użytku. W całym okresie analizy, wynoszącym 25 lat, należy zaplanować dwukrotną wymianę nawierzchni (w 10 i 20 roku po oddaniu drogi do użytkowania). Zakładając takie podejście do utrzymania, nie będą potrzebne bardziej kosztowne pełne remonty. Jest to podejście konserwatywne, zakładające uwzględnienie w kosztach jednostkowych zaproponowanych w załączniku A, wykonywanie pewnych prac eliminujących ewentualne strukturalne problemy w niższych warstwach podbudowy lub wady konstrukcyjnych obiektów. Zakłada się, że wszystkie inne niezbędne okresowe czynności utrzymaniowe elementów wyposażenia drogi, oprócz nawierzchni (np. urządzenia zabezpieczające, sygnalizacyjne, ekrany akustyczne, urządzenia ochrony środowiska itp.), wraz z odpowiednimi kosztami ogólnymi, uwzględnione są w kosztach utrzymania okresowego. Pomimo, że terminy tych okresowych prac są różne dla poszczególnych elementów ze względu na różne cykle utrzymania, proponuje się, aby przyjąć średnie okresowe koszty utrzymania tych elementów zgodnie z załącznikiem A w 10 i 20 roku eksploatowanej infrastruktury dla danego okresu analizy.</w:t>
            </w:r>
          </w:p>
          <w:p w14:paraId="0209836D" w14:textId="77777777" w:rsidR="00B802AC" w:rsidRPr="00A9003B" w:rsidRDefault="00B802AC" w:rsidP="00B802AC">
            <w:pPr>
              <w:pStyle w:val="anxnormalZnak"/>
              <w:spacing w:after="120"/>
              <w:ind w:left="0"/>
              <w:rPr>
                <w:rFonts w:asciiTheme="minorHAnsi" w:hAnsiTheme="minorHAnsi" w:cstheme="minorHAnsi"/>
                <w:spacing w:val="-3"/>
              </w:rPr>
            </w:pPr>
            <w:r w:rsidRPr="00A812BC">
              <w:rPr>
                <w:rFonts w:asciiTheme="minorHAnsi" w:hAnsiTheme="minorHAnsi" w:cstheme="minorHAnsi"/>
                <w:spacing w:val="-3"/>
              </w:rPr>
              <w:t xml:space="preserve">Jeżeli dla danego projektu dostępne są szczegółowe </w:t>
            </w:r>
            <w:r w:rsidRPr="00E806EA">
              <w:rPr>
                <w:rFonts w:asciiTheme="minorHAnsi" w:hAnsiTheme="minorHAnsi" w:cstheme="minorHAnsi"/>
                <w:spacing w:val="-3"/>
              </w:rPr>
              <w:t xml:space="preserve">dane dotyczące kosztów </w:t>
            </w:r>
            <w:r w:rsidRPr="00823F0C">
              <w:rPr>
                <w:rFonts w:asciiTheme="minorHAnsi" w:hAnsiTheme="minorHAnsi" w:cstheme="minorHAnsi"/>
                <w:spacing w:val="-3"/>
              </w:rPr>
              <w:t xml:space="preserve">eksploatacji i utrzymania </w:t>
            </w:r>
            <w:r w:rsidRPr="00A9003B">
              <w:rPr>
                <w:rFonts w:asciiTheme="minorHAnsi" w:hAnsiTheme="minorHAnsi" w:cstheme="minorHAnsi"/>
                <w:spacing w:val="-3"/>
              </w:rPr>
              <w:t>(tzn. powyższe podejście utrzymaniowe a także koszty z załącznika A nie są zastosowane), to należy przedstawić użyte koszty w rozbiciu na koszty jednostkowe na km dla poszczególnych składników co może być użyteczne do celów szybkiego porównania wariantów inwestycyjnych projektu.</w:t>
            </w:r>
          </w:p>
          <w:p w14:paraId="42038C71" w14:textId="77777777" w:rsidR="00B802AC" w:rsidRPr="00731E4E" w:rsidRDefault="00B802AC" w:rsidP="00B802AC">
            <w:pPr>
              <w:pStyle w:val="anxnormalZnak"/>
              <w:spacing w:after="120"/>
              <w:ind w:left="0"/>
              <w:rPr>
                <w:rFonts w:asciiTheme="minorHAnsi" w:hAnsiTheme="minorHAnsi"/>
                <w:spacing w:val="-3"/>
              </w:rPr>
            </w:pPr>
            <w:r w:rsidRPr="00257D85">
              <w:rPr>
                <w:rFonts w:asciiTheme="minorHAnsi" w:hAnsiTheme="minorHAnsi"/>
                <w:spacing w:val="-3"/>
              </w:rPr>
              <w:t xml:space="preserve">Dla dużych obiektów inżynierskich (na przykład długie obiekty mostowe, tunele) o kosztach utrzymania znacząco wyższych od ryczałtowych kosztów na km przedstawionych w załączniku A, koszty utrzymania </w:t>
            </w:r>
            <w:r>
              <w:rPr>
                <w:rFonts w:asciiTheme="minorHAnsi" w:hAnsiTheme="minorHAnsi"/>
                <w:spacing w:val="-3"/>
              </w:rPr>
              <w:t xml:space="preserve">można </w:t>
            </w:r>
            <w:r w:rsidRPr="00257D85">
              <w:rPr>
                <w:rFonts w:asciiTheme="minorHAnsi" w:hAnsiTheme="minorHAnsi"/>
                <w:spacing w:val="-3"/>
              </w:rPr>
              <w:t>wyodrębnić</w:t>
            </w:r>
            <w:r>
              <w:rPr>
                <w:rFonts w:asciiTheme="minorHAnsi" w:hAnsiTheme="minorHAnsi"/>
                <w:spacing w:val="-3"/>
              </w:rPr>
              <w:t xml:space="preserve"> jeżeli wykonujący analizę uzna to za stosowne</w:t>
            </w:r>
            <w:r w:rsidRPr="00257D85">
              <w:rPr>
                <w:rFonts w:asciiTheme="minorHAnsi" w:hAnsiTheme="minorHAnsi"/>
                <w:spacing w:val="-3"/>
              </w:rPr>
              <w:t>.</w:t>
            </w:r>
            <w:r w:rsidRPr="00731E4E">
              <w:rPr>
                <w:rFonts w:asciiTheme="minorHAnsi" w:hAnsiTheme="minorHAnsi"/>
                <w:spacing w:val="-3"/>
              </w:rPr>
              <w:t xml:space="preserve"> </w:t>
            </w:r>
          </w:p>
          <w:p w14:paraId="1D2FAC76" w14:textId="77777777" w:rsidR="00B802AC" w:rsidRPr="00731E4E" w:rsidRDefault="00B802AC" w:rsidP="00B802AC">
            <w:pPr>
              <w:pStyle w:val="anxnormalZnak"/>
              <w:spacing w:after="120"/>
              <w:ind w:left="0"/>
              <w:rPr>
                <w:rFonts w:asciiTheme="minorHAnsi" w:hAnsiTheme="minorHAnsi"/>
                <w:spacing w:val="-3"/>
              </w:rPr>
            </w:pPr>
            <w:r w:rsidRPr="00731E4E">
              <w:rPr>
                <w:rFonts w:asciiTheme="minorHAnsi" w:hAnsiTheme="minorHAnsi"/>
                <w:spacing w:val="-3"/>
              </w:rPr>
              <w:t>Koszty związane</w:t>
            </w:r>
            <w:r>
              <w:rPr>
                <w:rFonts w:asciiTheme="minorHAnsi" w:hAnsiTheme="minorHAnsi"/>
                <w:spacing w:val="-3"/>
              </w:rPr>
              <w:t xml:space="preserve"> z </w:t>
            </w:r>
            <w:r w:rsidRPr="00731E4E">
              <w:rPr>
                <w:rFonts w:asciiTheme="minorHAnsi" w:hAnsiTheme="minorHAnsi"/>
                <w:spacing w:val="-3"/>
              </w:rPr>
              <w:t>poborem opłat (jeśli dotyczą) również powinny być włączone do kosztów eksploatacji</w:t>
            </w:r>
            <w:r>
              <w:rPr>
                <w:rFonts w:asciiTheme="minorHAnsi" w:hAnsiTheme="minorHAnsi"/>
                <w:spacing w:val="-3"/>
              </w:rPr>
              <w:t xml:space="preserve"> i </w:t>
            </w:r>
            <w:r w:rsidRPr="00731E4E">
              <w:rPr>
                <w:rFonts w:asciiTheme="minorHAnsi" w:hAnsiTheme="minorHAnsi"/>
                <w:spacing w:val="-3"/>
              </w:rPr>
              <w:t>utrzymania wraz</w:t>
            </w:r>
            <w:r>
              <w:rPr>
                <w:rFonts w:asciiTheme="minorHAnsi" w:hAnsiTheme="minorHAnsi"/>
                <w:spacing w:val="-3"/>
              </w:rPr>
              <w:t xml:space="preserve"> z </w:t>
            </w:r>
            <w:r w:rsidRPr="00731E4E">
              <w:rPr>
                <w:rFonts w:asciiTheme="minorHAnsi" w:hAnsiTheme="minorHAnsi"/>
                <w:spacing w:val="-3"/>
              </w:rPr>
              <w:t>informacją</w:t>
            </w:r>
            <w:r>
              <w:rPr>
                <w:rFonts w:asciiTheme="minorHAnsi" w:hAnsiTheme="minorHAnsi"/>
                <w:spacing w:val="-3"/>
              </w:rPr>
              <w:t xml:space="preserve"> o </w:t>
            </w:r>
            <w:r w:rsidRPr="00731E4E">
              <w:rPr>
                <w:rFonts w:asciiTheme="minorHAnsi" w:hAnsiTheme="minorHAnsi"/>
                <w:spacing w:val="-3"/>
              </w:rPr>
              <w:t>przyjętych kosztach jednostkowych (załącznik A, proponowane koszty jednostkowe).</w:t>
            </w:r>
          </w:p>
          <w:p w14:paraId="2A3FB660" w14:textId="48F7FA71" w:rsidR="00DF6B9D" w:rsidRPr="00B802AC" w:rsidRDefault="00B802AC" w:rsidP="00B802AC">
            <w:pPr>
              <w:pStyle w:val="anxnormalZnak"/>
              <w:pBdr>
                <w:top w:val="nil"/>
                <w:left w:val="nil"/>
                <w:bottom w:val="nil"/>
                <w:right w:val="nil"/>
                <w:between w:val="nil"/>
              </w:pBdr>
              <w:spacing w:after="120"/>
              <w:ind w:left="0"/>
              <w:rPr>
                <w:rFonts w:asciiTheme="minorHAnsi" w:hAnsiTheme="minorHAnsi"/>
                <w:spacing w:val="-3"/>
              </w:rPr>
            </w:pPr>
            <w:r w:rsidRPr="00731E4E">
              <w:rPr>
                <w:rFonts w:asciiTheme="minorHAnsi" w:hAnsiTheme="minorHAnsi"/>
                <w:spacing w:val="-3"/>
              </w:rPr>
              <w:t>Poniższa tabela zawiera zalecany schemat podziału kosztów eksploatacji</w:t>
            </w:r>
            <w:r>
              <w:rPr>
                <w:rFonts w:asciiTheme="minorHAnsi" w:hAnsiTheme="minorHAnsi"/>
                <w:spacing w:val="-3"/>
              </w:rPr>
              <w:t xml:space="preserve"> i </w:t>
            </w:r>
            <w:r w:rsidRPr="00731E4E">
              <w:rPr>
                <w:rFonts w:asciiTheme="minorHAnsi" w:hAnsiTheme="minorHAnsi"/>
                <w:spacing w:val="-3"/>
              </w:rPr>
              <w:t>utrzymania.</w:t>
            </w:r>
          </w:p>
          <w:p w14:paraId="72D77DCF" w14:textId="13B3D39F" w:rsidR="00DF6B9D" w:rsidRDefault="00DF6B9D" w:rsidP="00505091">
            <w:pPr>
              <w:pBdr>
                <w:top w:val="nil"/>
                <w:left w:val="nil"/>
                <w:bottom w:val="nil"/>
                <w:right w:val="nil"/>
                <w:between w:val="nil"/>
              </w:pBdr>
              <w:spacing w:before="120" w:after="120"/>
              <w:jc w:val="both"/>
              <w:rPr>
                <w:rFonts w:ascii="Calibri" w:eastAsia="Calibri" w:hAnsi="Calibri" w:cs="Calibri"/>
                <w:color w:val="000000"/>
                <w:sz w:val="20"/>
                <w:szCs w:val="20"/>
              </w:rPr>
            </w:pPr>
          </w:p>
        </w:tc>
        <w:tc>
          <w:tcPr>
            <w:tcW w:w="7204" w:type="dxa"/>
            <w:tcBorders>
              <w:left w:val="single" w:sz="4" w:space="0" w:color="000000"/>
            </w:tcBorders>
            <w:tcMar>
              <w:left w:w="284" w:type="dxa"/>
              <w:right w:w="284" w:type="dxa"/>
            </w:tcMar>
          </w:tcPr>
          <w:p w14:paraId="1A616CDD" w14:textId="77777777" w:rsidR="00B802AC" w:rsidRPr="000E52FF" w:rsidRDefault="00B802AC" w:rsidP="00B802AC">
            <w:pPr>
              <w:pStyle w:val="anxnormalZnak"/>
              <w:spacing w:after="120"/>
              <w:ind w:left="0"/>
              <w:rPr>
                <w:rFonts w:asciiTheme="minorHAnsi" w:hAnsiTheme="minorHAnsi"/>
                <w:spacing w:val="-3"/>
                <w:lang w:val="en-GB"/>
              </w:rPr>
            </w:pPr>
            <w:r w:rsidRPr="000E52FF">
              <w:rPr>
                <w:rFonts w:asciiTheme="minorHAnsi" w:hAnsiTheme="minorHAnsi"/>
                <w:spacing w:val="-3"/>
                <w:lang w:val="en-GB"/>
              </w:rPr>
              <w:t xml:space="preserve">Inputs related to operating and maintenance expenditures should always be prepared for W0, as well as for all investments options (Wn). </w:t>
            </w:r>
          </w:p>
          <w:p w14:paraId="269A2956" w14:textId="77777777" w:rsidR="00B802AC" w:rsidRPr="000E52FF" w:rsidRDefault="00B802AC" w:rsidP="00B802AC">
            <w:pPr>
              <w:pStyle w:val="anxnormalZnak"/>
              <w:spacing w:after="120"/>
              <w:ind w:left="0"/>
              <w:rPr>
                <w:rFonts w:asciiTheme="minorHAnsi" w:hAnsiTheme="minorHAnsi" w:cstheme="minorHAnsi"/>
                <w:spacing w:val="-3"/>
                <w:lang w:val="en-GB"/>
              </w:rPr>
            </w:pPr>
            <w:r w:rsidRPr="000E52FF">
              <w:rPr>
                <w:rFonts w:asciiTheme="minorHAnsi" w:hAnsiTheme="minorHAnsi" w:cstheme="minorHAnsi"/>
                <w:spacing w:val="-3"/>
                <w:lang w:val="en-GB"/>
              </w:rPr>
              <w:t xml:space="preserve">When applying the incremental approach for CBA of any new road construction project, it is considered that the difference of maintenance and operating expenditures between W0 and Wn for the existing road network (in discounted terms) is negligible (however in case of a specific need to analyse impact of O&amp;M cost changes the analysis can be more detailed). Therefore, only the maintenance and operating expenditures of the new road project investment are included in the analysis calculations starting from the first full year of the operation. </w:t>
            </w:r>
          </w:p>
          <w:p w14:paraId="033093EC" w14:textId="77777777" w:rsidR="00B802AC" w:rsidRPr="000E52FF" w:rsidRDefault="00B802AC" w:rsidP="00B802AC">
            <w:pPr>
              <w:pStyle w:val="anxnormalZnak"/>
              <w:spacing w:after="120"/>
              <w:ind w:left="0"/>
              <w:rPr>
                <w:rFonts w:asciiTheme="minorHAnsi" w:hAnsiTheme="minorHAnsi" w:cstheme="minorHAnsi"/>
                <w:spacing w:val="-3"/>
                <w:lang w:val="en-GB"/>
              </w:rPr>
            </w:pPr>
            <w:r w:rsidRPr="000E52FF">
              <w:rPr>
                <w:rFonts w:asciiTheme="minorHAnsi" w:hAnsiTheme="minorHAnsi" w:cstheme="minorHAnsi"/>
                <w:spacing w:val="-3"/>
                <w:lang w:val="en-GB"/>
              </w:rPr>
              <w:t>If a new road is built, using the existing road in full or in part, the maintenance and operation expenses should be estimated separately for the without the project scenario (W0) and the investment option (Wn). In the case of reconstruction / extension of the road without changing road parameters, those costs are identical for both W0 and Wn. In the case of reconstruction / extension of the road with a change of parameters, the costs should be estimated separately for W0 and Wn. In case of an extension / construction/ reconstruction of a road section with works conducted under traffic, the operating and maintenance costs should also cover the investment implementation period for W0 and Wn.</w:t>
            </w:r>
          </w:p>
          <w:p w14:paraId="79A789BD" w14:textId="77777777" w:rsidR="00B802AC" w:rsidRPr="000E52FF" w:rsidRDefault="00B802AC" w:rsidP="00B802AC">
            <w:pPr>
              <w:pStyle w:val="anxnormalZnak"/>
              <w:spacing w:after="120"/>
              <w:ind w:left="0"/>
              <w:rPr>
                <w:rFonts w:asciiTheme="minorHAnsi" w:hAnsiTheme="minorHAnsi" w:cstheme="minorHAnsi"/>
                <w:spacing w:val="-3"/>
                <w:lang w:val="en-GB"/>
              </w:rPr>
            </w:pPr>
            <w:r w:rsidRPr="000E52FF">
              <w:rPr>
                <w:rFonts w:asciiTheme="minorHAnsi" w:hAnsiTheme="minorHAnsi" w:cstheme="minorHAnsi"/>
                <w:spacing w:val="-3"/>
                <w:lang w:val="en-GB"/>
              </w:rPr>
              <w:t>For any analysis, it is important to check –even if the source data is aggregated into total operation and maintenance costs – that at least all of the following cost items have been included:</w:t>
            </w:r>
          </w:p>
          <w:p w14:paraId="0ECFC913" w14:textId="77777777" w:rsidR="00600DEE" w:rsidRPr="0045151D" w:rsidRDefault="00641FB5" w:rsidP="00D5736B">
            <w:pPr>
              <w:numPr>
                <w:ilvl w:val="1"/>
                <w:numId w:val="82"/>
              </w:numPr>
              <w:pBdr>
                <w:top w:val="nil"/>
                <w:left w:val="nil"/>
                <w:bottom w:val="nil"/>
                <w:right w:val="nil"/>
                <w:between w:val="nil"/>
              </w:pBdr>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 of regular yearly maintenance and operation, including:</w:t>
            </w:r>
          </w:p>
          <w:p w14:paraId="5461A9E1" w14:textId="77777777" w:rsidR="00600DEE" w:rsidRPr="0045151D" w:rsidRDefault="00641FB5" w:rsidP="00D5736B">
            <w:pPr>
              <w:numPr>
                <w:ilvl w:val="2"/>
                <w:numId w:val="83"/>
              </w:numPr>
              <w:pBdr>
                <w:top w:val="nil"/>
                <w:left w:val="nil"/>
                <w:bottom w:val="nil"/>
                <w:right w:val="nil"/>
                <w:between w:val="nil"/>
              </w:pBdr>
              <w:spacing w:before="120"/>
              <w:ind w:left="795" w:hanging="36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all-year-round routine and preventive maintenance, including winter maintenance,</w:t>
            </w:r>
          </w:p>
          <w:p w14:paraId="41BEFD9F" w14:textId="77777777" w:rsidR="00600DEE" w:rsidRPr="0045151D" w:rsidRDefault="00641FB5" w:rsidP="00D5736B">
            <w:pPr>
              <w:numPr>
                <w:ilvl w:val="2"/>
                <w:numId w:val="83"/>
              </w:numPr>
              <w:pBdr>
                <w:top w:val="nil"/>
                <w:left w:val="nil"/>
                <w:bottom w:val="nil"/>
                <w:right w:val="nil"/>
                <w:between w:val="nil"/>
              </w:pBdr>
              <w:spacing w:before="120"/>
              <w:ind w:left="795" w:hanging="36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company overheads (buildings, administration, etc.),</w:t>
            </w:r>
          </w:p>
          <w:p w14:paraId="57149148" w14:textId="77777777" w:rsidR="00600DEE" w:rsidRDefault="00641FB5" w:rsidP="00D5736B">
            <w:pPr>
              <w:numPr>
                <w:ilvl w:val="2"/>
                <w:numId w:val="83"/>
              </w:numPr>
              <w:pBdr>
                <w:top w:val="nil"/>
                <w:left w:val="nil"/>
                <w:bottom w:val="nil"/>
                <w:right w:val="nil"/>
                <w:between w:val="nil"/>
              </w:pBdr>
              <w:spacing w:before="120"/>
              <w:ind w:left="795" w:hanging="369"/>
              <w:jc w:val="both"/>
              <w:rPr>
                <w:rFonts w:ascii="Calibri" w:eastAsia="Calibri" w:hAnsi="Calibri" w:cs="Calibri"/>
                <w:color w:val="000000"/>
                <w:sz w:val="20"/>
                <w:szCs w:val="20"/>
              </w:rPr>
            </w:pPr>
            <w:r>
              <w:rPr>
                <w:rFonts w:ascii="Calibri" w:eastAsia="Calibri" w:hAnsi="Calibri" w:cs="Calibri"/>
                <w:color w:val="000000"/>
                <w:sz w:val="20"/>
                <w:szCs w:val="20"/>
              </w:rPr>
              <w:t>traffic management,</w:t>
            </w:r>
          </w:p>
          <w:p w14:paraId="4B164CCD" w14:textId="77777777" w:rsidR="00600DEE" w:rsidRPr="0045151D" w:rsidRDefault="00641FB5" w:rsidP="00D5736B">
            <w:pPr>
              <w:numPr>
                <w:ilvl w:val="1"/>
                <w:numId w:val="82"/>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Toll collecting system operation costs: </w:t>
            </w:r>
          </w:p>
          <w:p w14:paraId="318D1F8D" w14:textId="40560964" w:rsidR="00600DEE" w:rsidRPr="0045151D" w:rsidRDefault="00497CC7" w:rsidP="00D5736B">
            <w:pPr>
              <w:numPr>
                <w:ilvl w:val="2"/>
                <w:numId w:val="83"/>
              </w:numPr>
              <w:pBdr>
                <w:top w:val="nil"/>
                <w:left w:val="nil"/>
                <w:bottom w:val="nil"/>
                <w:right w:val="nil"/>
                <w:between w:val="nil"/>
              </w:pBdr>
              <w:spacing w:before="120"/>
              <w:ind w:left="795" w:hanging="369"/>
              <w:jc w:val="both"/>
              <w:rPr>
                <w:rFonts w:ascii="Calibri" w:eastAsia="Calibri" w:hAnsi="Calibri" w:cs="Calibri"/>
                <w:color w:val="000000"/>
                <w:sz w:val="20"/>
                <w:szCs w:val="20"/>
                <w:lang w:val="en-GB"/>
              </w:rPr>
            </w:pPr>
            <w:r>
              <w:rPr>
                <w:rFonts w:ascii="Calibri" w:eastAsia="Calibri" w:hAnsi="Calibri" w:cs="Calibri"/>
                <w:color w:val="000000"/>
                <w:sz w:val="20"/>
                <w:szCs w:val="20"/>
                <w:lang w:val="en-GB"/>
              </w:rPr>
              <w:t xml:space="preserve">maintenance </w:t>
            </w:r>
            <w:r w:rsidRPr="00497CC7">
              <w:rPr>
                <w:rFonts w:asciiTheme="minorHAnsi" w:hAnsiTheme="minorHAnsi"/>
                <w:sz w:val="20"/>
                <w:szCs w:val="20"/>
                <w:lang w:val="en-GB" w:eastAsia="en-US"/>
              </w:rPr>
              <w:t>of electronic tolling system</w:t>
            </w:r>
            <w:r w:rsidR="00641FB5" w:rsidRPr="00497CC7">
              <w:rPr>
                <w:rFonts w:ascii="Calibri" w:eastAsia="Calibri" w:hAnsi="Calibri" w:cs="Calibri"/>
                <w:color w:val="000000"/>
                <w:sz w:val="20"/>
                <w:szCs w:val="20"/>
                <w:lang w:val="en-GB"/>
              </w:rPr>
              <w:t xml:space="preserve">, </w:t>
            </w:r>
          </w:p>
          <w:p w14:paraId="0E003E37" w14:textId="77777777" w:rsidR="00600DEE" w:rsidRDefault="00641FB5" w:rsidP="00D5736B">
            <w:pPr>
              <w:numPr>
                <w:ilvl w:val="1"/>
                <w:numId w:val="82"/>
              </w:numPr>
              <w:pBdr>
                <w:top w:val="nil"/>
                <w:left w:val="nil"/>
                <w:bottom w:val="nil"/>
                <w:right w:val="nil"/>
                <w:between w:val="nil"/>
              </w:pBdr>
              <w:spacing w:before="120"/>
              <w:ind w:left="795" w:hanging="795"/>
              <w:jc w:val="both"/>
              <w:rPr>
                <w:rFonts w:ascii="Calibri" w:eastAsia="Calibri" w:hAnsi="Calibri" w:cs="Calibri"/>
                <w:color w:val="000000"/>
                <w:sz w:val="20"/>
                <w:szCs w:val="20"/>
              </w:rPr>
            </w:pPr>
            <w:r>
              <w:rPr>
                <w:rFonts w:ascii="Calibri" w:eastAsia="Calibri" w:hAnsi="Calibri" w:cs="Calibri"/>
                <w:color w:val="000000"/>
                <w:sz w:val="20"/>
                <w:szCs w:val="20"/>
              </w:rPr>
              <w:t>Cost of periodic maintenance:</w:t>
            </w:r>
          </w:p>
          <w:p w14:paraId="3A5F7D3A" w14:textId="77777777" w:rsidR="00600DEE" w:rsidRDefault="00641FB5" w:rsidP="00D5736B">
            <w:pPr>
              <w:numPr>
                <w:ilvl w:val="2"/>
                <w:numId w:val="83"/>
              </w:numPr>
              <w:pBdr>
                <w:top w:val="nil"/>
                <w:left w:val="nil"/>
                <w:bottom w:val="nil"/>
                <w:right w:val="nil"/>
                <w:between w:val="nil"/>
              </w:pBdr>
              <w:spacing w:before="120"/>
              <w:ind w:left="795" w:hanging="369"/>
              <w:jc w:val="both"/>
              <w:rPr>
                <w:rFonts w:ascii="Calibri" w:eastAsia="Calibri" w:hAnsi="Calibri" w:cs="Calibri"/>
                <w:color w:val="000000"/>
                <w:sz w:val="20"/>
                <w:szCs w:val="20"/>
              </w:rPr>
            </w:pPr>
            <w:r>
              <w:rPr>
                <w:rFonts w:ascii="Calibri" w:eastAsia="Calibri" w:hAnsi="Calibri" w:cs="Calibri"/>
                <w:color w:val="000000"/>
                <w:sz w:val="20"/>
                <w:szCs w:val="20"/>
              </w:rPr>
              <w:t>periodic repair (renovation),</w:t>
            </w:r>
          </w:p>
          <w:p w14:paraId="7C53EB37" w14:textId="77777777" w:rsidR="00600DEE" w:rsidRDefault="00641FB5" w:rsidP="00D5736B">
            <w:pPr>
              <w:numPr>
                <w:ilvl w:val="2"/>
                <w:numId w:val="83"/>
              </w:numPr>
              <w:pBdr>
                <w:top w:val="nil"/>
                <w:left w:val="nil"/>
                <w:bottom w:val="nil"/>
                <w:right w:val="nil"/>
                <w:between w:val="nil"/>
              </w:pBdr>
              <w:spacing w:before="120"/>
              <w:ind w:left="795" w:hanging="369"/>
              <w:jc w:val="both"/>
              <w:rPr>
                <w:rFonts w:ascii="Calibri" w:eastAsia="Calibri" w:hAnsi="Calibri" w:cs="Calibri"/>
                <w:color w:val="000000"/>
                <w:sz w:val="20"/>
                <w:szCs w:val="20"/>
              </w:rPr>
            </w:pPr>
            <w:r>
              <w:rPr>
                <w:rFonts w:ascii="Calibri" w:eastAsia="Calibri" w:hAnsi="Calibri" w:cs="Calibri"/>
                <w:color w:val="000000"/>
                <w:sz w:val="20"/>
                <w:szCs w:val="20"/>
              </w:rPr>
              <w:t>partial repairs and rehabilitation.</w:t>
            </w:r>
          </w:p>
          <w:p w14:paraId="3A739252"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Routine maintenance includes the cost of all-year-round work required to keep the infrastructure technically safe and ready for day-to-day operation as well as to prevent deterioration of the road assets. Winter maintenance and any other seasonal activities (e.g. grass cutting, painting, cleaning) are also included. </w:t>
            </w:r>
          </w:p>
          <w:p w14:paraId="7EC118A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Periodic maintenance includes all activities intended to restore the original operating parameters of the road. The periodic maintenance costs will usually include items, such as pavement resurfacing, equipment maintenance on bridges (joints, waterproofing, etc.) or heavy interventions on other assets.</w:t>
            </w:r>
          </w:p>
          <w:p w14:paraId="50DB6F5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the calculation of the O&amp;M costs for W0 avoid simple extrapolation of historic costs (in particular, if these have been artificially low due to spending constraints), instead consider the age and condition of the infrastructure and the likely increase in frequency and expense of periodic heavy maintenance over the reference period.</w:t>
            </w:r>
          </w:p>
          <w:p w14:paraId="0D4C6C0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Unit maintenance costs will be different depending on the road class. Unit costs of routine road maintenance for the same road category will be the same for W0 and for investment options. Unit costs of periodic repairs will also be similar as those for the existing network, the difference being schedules of different types of work. Partial and periodic repair costs will occur more frequently for the existing network, due to the progressive degradation process. As stated above, for any new road construction, the difference of O&amp;M expenditures between W0 and Wn for the existing road network over the analysis period is considered negligible (unless needed by project promoter for other purposes). </w:t>
            </w:r>
          </w:p>
          <w:p w14:paraId="47D9EEB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road projects, implementing a current annual and preventive maintenance, including the necessary periodic interventions, it is recommended to use the maintenance scenario and unit prices from Appendix A which represent an average of operation and maintenance requirements for the different road classes in Poland. A yearly routine O&amp;M allocation on the basis of average operation and maintenance requirements is foreseen. Under these conditions, full-width pavement replacement/renewal for the new or renewed road section should be carried out after 10 years. Over the whole analysis period of 25 years, 2 pavement overlays should be planned (in years 10 and 20</w:t>
            </w:r>
            <w:r w:rsidRPr="0045151D">
              <w:rPr>
                <w:rFonts w:ascii="Calibri" w:eastAsia="Calibri" w:hAnsi="Calibri" w:cs="Calibri"/>
                <w:color w:val="000000"/>
                <w:sz w:val="20"/>
                <w:szCs w:val="20"/>
                <w:vertAlign w:val="superscript"/>
                <w:lang w:val="en-GB"/>
              </w:rPr>
              <w:t xml:space="preserve"> </w:t>
            </w:r>
            <w:r w:rsidRPr="0045151D">
              <w:rPr>
                <w:rFonts w:ascii="Calibri" w:eastAsia="Calibri" w:hAnsi="Calibri" w:cs="Calibri"/>
                <w:color w:val="000000"/>
                <w:sz w:val="20"/>
                <w:szCs w:val="20"/>
                <w:lang w:val="en-GB"/>
              </w:rPr>
              <w:t>after the road entering into operation). Considering such maintenance approach, more expensive full section reconstruction should not be required. As this is a conservative approach, a certain amount of reconstruction has been included in the periodic maintenance costs proposed in Appendix A for possible structural problems appearing in the lower layers and/or due to construction defects. All required periodic treatments of the road infrastructure assets, other than pavement (e.g. safety devices, signalization, noise screens, environmental measures, etc.), and also related overheads costs, are included in those periodic maintenance costs. Even though the timing of those road assets periodic works is different due to different maintenance cycles, it is  proposed to schedule the global average periodic maintenance costs from Appendix A in the 10</w:t>
            </w:r>
            <w:r w:rsidRPr="0045151D">
              <w:rPr>
                <w:rFonts w:ascii="Calibri" w:eastAsia="Calibri" w:hAnsi="Calibri" w:cs="Calibri"/>
                <w:color w:val="000000"/>
                <w:sz w:val="20"/>
                <w:szCs w:val="20"/>
                <w:vertAlign w:val="superscript"/>
                <w:lang w:val="en-GB"/>
              </w:rPr>
              <w:t>th</w:t>
            </w:r>
            <w:r w:rsidRPr="0045151D">
              <w:rPr>
                <w:rFonts w:ascii="Calibri" w:eastAsia="Calibri" w:hAnsi="Calibri" w:cs="Calibri"/>
                <w:color w:val="000000"/>
                <w:sz w:val="20"/>
                <w:szCs w:val="20"/>
                <w:lang w:val="en-GB"/>
              </w:rPr>
              <w:t xml:space="preserve"> and 20</w:t>
            </w:r>
            <w:r w:rsidRPr="0045151D">
              <w:rPr>
                <w:rFonts w:ascii="Calibri" w:eastAsia="Calibri" w:hAnsi="Calibri" w:cs="Calibri"/>
                <w:color w:val="000000"/>
                <w:sz w:val="20"/>
                <w:szCs w:val="20"/>
                <w:vertAlign w:val="superscript"/>
                <w:lang w:val="en-GB"/>
              </w:rPr>
              <w:t>th</w:t>
            </w:r>
            <w:r w:rsidRPr="0045151D">
              <w:rPr>
                <w:rFonts w:ascii="Calibri" w:eastAsia="Calibri" w:hAnsi="Calibri" w:cs="Calibri"/>
                <w:color w:val="000000"/>
                <w:sz w:val="20"/>
                <w:szCs w:val="20"/>
                <w:lang w:val="en-GB"/>
              </w:rPr>
              <w:t xml:space="preserve"> year after the infrastructure entering into operation for the given analysis period. </w:t>
            </w:r>
          </w:p>
          <w:p w14:paraId="0EA79A9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If project specific and justified O&amp;M costs data is available (i.e. the above proposed maintenance approach and values included in Appendix A are not used), the specific operation and maintenance costs should be presented in unit cost per km and in particular components in order to facilitate a quick comparison between project investment options. </w:t>
            </w:r>
          </w:p>
          <w:p w14:paraId="4EE2E1A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Large engineering structures (e.g. long bridges, tunnels) with maintenance costs significantly higher compared with O&amp;M lump sum per km proposed in Appenddix A can be shown separately, if relevant and deemed apprioprate. </w:t>
            </w:r>
          </w:p>
          <w:p w14:paraId="70F7D07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Costs for tolling operations (where applicable) should also be included in the calculation of the total O&amp;M costs, including information on the assumed unit costs (see in Appendix A, proposed unit costs).</w:t>
            </w:r>
          </w:p>
          <w:p w14:paraId="6E04FDF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Table below includes a recommended layout for O&amp;M costs breakdown.</w:t>
            </w:r>
          </w:p>
        </w:tc>
      </w:tr>
    </w:tbl>
    <w:p w14:paraId="2AF1A8D7"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10. Szacunek kosztów eksploatacji i utrzymania w rozbiciu na główne elementy kosztowe (niezdyskontowane)</w:t>
      </w:r>
    </w:p>
    <w:tbl>
      <w:tblPr>
        <w:tblStyle w:val="aff9"/>
        <w:tblW w:w="14567" w:type="dxa"/>
        <w:tblLayout w:type="fixed"/>
        <w:tblLook w:val="0000" w:firstRow="0" w:lastRow="0" w:firstColumn="0" w:lastColumn="0" w:noHBand="0" w:noVBand="0"/>
      </w:tblPr>
      <w:tblGrid>
        <w:gridCol w:w="897"/>
        <w:gridCol w:w="1884"/>
        <w:gridCol w:w="1789"/>
        <w:gridCol w:w="1357"/>
        <w:gridCol w:w="1524"/>
        <w:gridCol w:w="1648"/>
        <w:gridCol w:w="1789"/>
        <w:gridCol w:w="1609"/>
        <w:gridCol w:w="2070"/>
      </w:tblGrid>
      <w:tr w:rsidR="00600DEE" w14:paraId="5601388A" w14:textId="77777777">
        <w:trPr>
          <w:trHeight w:val="1307"/>
        </w:trPr>
        <w:tc>
          <w:tcPr>
            <w:tcW w:w="897" w:type="dxa"/>
            <w:tcBorders>
              <w:top w:val="single" w:sz="4" w:space="0" w:color="FFFFFF"/>
              <w:left w:val="single" w:sz="4" w:space="0" w:color="FFFFFF"/>
              <w:bottom w:val="single" w:sz="4" w:space="0" w:color="FFFFFF"/>
            </w:tcBorders>
            <w:shd w:val="clear" w:color="auto" w:fill="A6A6A6"/>
            <w:vAlign w:val="center"/>
          </w:tcPr>
          <w:p w14:paraId="13E6FA67" w14:textId="77777777" w:rsidR="00600DEE" w:rsidRDefault="00641FB5">
            <w:pPr>
              <w:spacing w:before="20" w:after="20"/>
              <w:ind w:left="34" w:hanging="34"/>
              <w:jc w:val="center"/>
              <w:rPr>
                <w:rFonts w:ascii="Calibri" w:eastAsia="Calibri" w:hAnsi="Calibri" w:cs="Calibri"/>
                <w:b/>
                <w:color w:val="FFFFFF"/>
                <w:sz w:val="16"/>
                <w:szCs w:val="16"/>
              </w:rPr>
            </w:pPr>
            <w:r>
              <w:rPr>
                <w:rFonts w:ascii="Calibri" w:eastAsia="Calibri" w:hAnsi="Calibri" w:cs="Calibri"/>
                <w:b/>
                <w:color w:val="FFFFFF"/>
                <w:sz w:val="16"/>
                <w:szCs w:val="16"/>
              </w:rPr>
              <w:t>Lata</w:t>
            </w:r>
          </w:p>
        </w:tc>
        <w:tc>
          <w:tcPr>
            <w:tcW w:w="1884" w:type="dxa"/>
            <w:tcBorders>
              <w:top w:val="single" w:sz="4" w:space="0" w:color="FFFFFF"/>
              <w:left w:val="single" w:sz="4" w:space="0" w:color="FFFFFF"/>
              <w:bottom w:val="single" w:sz="4" w:space="0" w:color="FFFFFF"/>
            </w:tcBorders>
            <w:shd w:val="clear" w:color="auto" w:fill="A6A6A6"/>
            <w:vAlign w:val="center"/>
          </w:tcPr>
          <w:p w14:paraId="1F210109" w14:textId="77777777" w:rsidR="00600DEE" w:rsidRDefault="00641FB5">
            <w:pPr>
              <w:spacing w:before="20" w:after="20"/>
              <w:ind w:left="34" w:hanging="34"/>
              <w:jc w:val="center"/>
              <w:rPr>
                <w:rFonts w:ascii="Calibri" w:eastAsia="Calibri" w:hAnsi="Calibri" w:cs="Calibri"/>
                <w:b/>
                <w:color w:val="FFFFFF"/>
                <w:sz w:val="16"/>
                <w:szCs w:val="16"/>
              </w:rPr>
            </w:pPr>
            <w:r>
              <w:rPr>
                <w:rFonts w:ascii="Calibri" w:eastAsia="Calibri" w:hAnsi="Calibri" w:cs="Calibri"/>
                <w:b/>
                <w:color w:val="FFFFFF"/>
                <w:sz w:val="16"/>
                <w:szCs w:val="16"/>
              </w:rPr>
              <w:t>Bieżące utrzymanie i eksploatacja infrastruktury drogowej (z VAT)</w:t>
            </w:r>
          </w:p>
          <w:p w14:paraId="503171E9" w14:textId="77777777" w:rsidR="00600DEE" w:rsidRDefault="00600DEE">
            <w:pPr>
              <w:spacing w:before="20" w:after="20"/>
              <w:ind w:left="34" w:hanging="34"/>
              <w:jc w:val="center"/>
              <w:rPr>
                <w:rFonts w:ascii="Calibri" w:eastAsia="Calibri" w:hAnsi="Calibri" w:cs="Calibri"/>
                <w:b/>
                <w:color w:val="FFFFFF"/>
                <w:sz w:val="16"/>
                <w:szCs w:val="16"/>
              </w:rPr>
            </w:pPr>
          </w:p>
        </w:tc>
        <w:tc>
          <w:tcPr>
            <w:tcW w:w="1789" w:type="dxa"/>
            <w:tcBorders>
              <w:top w:val="single" w:sz="4" w:space="0" w:color="FFFFFF"/>
              <w:left w:val="single" w:sz="4" w:space="0" w:color="FFFFFF"/>
              <w:bottom w:val="single" w:sz="4" w:space="0" w:color="FFFFFF"/>
            </w:tcBorders>
            <w:shd w:val="clear" w:color="auto" w:fill="A6A6A6"/>
            <w:vAlign w:val="center"/>
          </w:tcPr>
          <w:p w14:paraId="13EBE7F7" w14:textId="77777777" w:rsidR="00600DEE" w:rsidRDefault="00641FB5">
            <w:pPr>
              <w:spacing w:before="20" w:after="20"/>
              <w:ind w:left="34" w:hanging="34"/>
              <w:jc w:val="center"/>
              <w:rPr>
                <w:rFonts w:ascii="Calibri" w:eastAsia="Calibri" w:hAnsi="Calibri" w:cs="Calibri"/>
                <w:b/>
                <w:color w:val="FFFFFF"/>
                <w:sz w:val="16"/>
                <w:szCs w:val="16"/>
              </w:rPr>
            </w:pPr>
            <w:r>
              <w:rPr>
                <w:rFonts w:ascii="Calibri" w:eastAsia="Calibri" w:hAnsi="Calibri" w:cs="Calibri"/>
                <w:b/>
                <w:color w:val="FFFFFF"/>
                <w:sz w:val="16"/>
                <w:szCs w:val="16"/>
              </w:rPr>
              <w:t>Okresowe utrzymanie infrastruktury drogowej  (z VAT)</w:t>
            </w:r>
          </w:p>
        </w:tc>
        <w:tc>
          <w:tcPr>
            <w:tcW w:w="1357" w:type="dxa"/>
            <w:tcBorders>
              <w:top w:val="single" w:sz="4" w:space="0" w:color="FFFFFF"/>
              <w:left w:val="single" w:sz="4" w:space="0" w:color="FFFFFF"/>
              <w:bottom w:val="single" w:sz="4" w:space="0" w:color="FFFFFF"/>
            </w:tcBorders>
            <w:shd w:val="clear" w:color="auto" w:fill="A6A6A6"/>
            <w:vAlign w:val="center"/>
          </w:tcPr>
          <w:p w14:paraId="5C2EACEB" w14:textId="77777777" w:rsidR="00600DEE" w:rsidRDefault="00641FB5">
            <w:pPr>
              <w:spacing w:before="20" w:after="20"/>
              <w:ind w:left="34" w:hanging="34"/>
              <w:jc w:val="center"/>
              <w:rPr>
                <w:rFonts w:ascii="Calibri" w:eastAsia="Calibri" w:hAnsi="Calibri" w:cs="Calibri"/>
                <w:b/>
                <w:color w:val="FFFFFF"/>
                <w:sz w:val="16"/>
                <w:szCs w:val="16"/>
              </w:rPr>
            </w:pPr>
            <w:r>
              <w:rPr>
                <w:rFonts w:ascii="Calibri" w:eastAsia="Calibri" w:hAnsi="Calibri" w:cs="Calibri"/>
                <w:b/>
                <w:color w:val="FFFFFF"/>
                <w:sz w:val="16"/>
                <w:szCs w:val="16"/>
              </w:rPr>
              <w:t>System poboru opłat*(z VAT)</w:t>
            </w:r>
          </w:p>
        </w:tc>
        <w:tc>
          <w:tcPr>
            <w:tcW w:w="1524"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05ACAA70" w14:textId="77777777" w:rsidR="00600DEE" w:rsidRDefault="00641FB5">
            <w:pPr>
              <w:spacing w:before="20" w:after="20"/>
              <w:ind w:left="34" w:hanging="34"/>
              <w:jc w:val="center"/>
              <w:rPr>
                <w:rFonts w:ascii="Calibri" w:eastAsia="Calibri" w:hAnsi="Calibri" w:cs="Calibri"/>
                <w:b/>
                <w:color w:val="FFFFFF"/>
                <w:sz w:val="16"/>
                <w:szCs w:val="16"/>
              </w:rPr>
            </w:pPr>
            <w:r>
              <w:rPr>
                <w:rFonts w:ascii="Calibri" w:eastAsia="Calibri" w:hAnsi="Calibri" w:cs="Calibri"/>
                <w:b/>
                <w:color w:val="FFFFFF"/>
                <w:sz w:val="16"/>
                <w:szCs w:val="16"/>
              </w:rPr>
              <w:t>Inne (określić) (z VAT)</w:t>
            </w:r>
          </w:p>
        </w:tc>
        <w:tc>
          <w:tcPr>
            <w:tcW w:w="1648" w:type="dxa"/>
            <w:tcBorders>
              <w:top w:val="single" w:sz="4" w:space="0" w:color="FFFFFF"/>
              <w:left w:val="single" w:sz="4" w:space="0" w:color="FFFFFF"/>
              <w:bottom w:val="single" w:sz="4" w:space="0" w:color="FFFFFF"/>
            </w:tcBorders>
            <w:shd w:val="clear" w:color="auto" w:fill="A6A6A6"/>
            <w:vAlign w:val="center"/>
          </w:tcPr>
          <w:p w14:paraId="4C132FDA" w14:textId="77777777" w:rsidR="00600DEE" w:rsidRDefault="00641FB5">
            <w:pPr>
              <w:spacing w:before="20" w:after="20"/>
              <w:ind w:left="34" w:hanging="34"/>
              <w:jc w:val="center"/>
              <w:rPr>
                <w:rFonts w:ascii="Calibri" w:eastAsia="Calibri" w:hAnsi="Calibri" w:cs="Calibri"/>
                <w:b/>
                <w:color w:val="FFFFFF"/>
                <w:sz w:val="16"/>
                <w:szCs w:val="16"/>
              </w:rPr>
            </w:pPr>
            <w:r>
              <w:rPr>
                <w:rFonts w:ascii="Calibri" w:eastAsia="Calibri" w:hAnsi="Calibri" w:cs="Calibri"/>
                <w:b/>
                <w:color w:val="FFFFFF"/>
                <w:sz w:val="16"/>
                <w:szCs w:val="16"/>
              </w:rPr>
              <w:t>Bieżące utrzymanie i eksploatacja infrastruktury drogowej (bez VAT)</w:t>
            </w:r>
          </w:p>
          <w:p w14:paraId="171F9BA2" w14:textId="77777777" w:rsidR="00600DEE" w:rsidRDefault="00600DEE">
            <w:pPr>
              <w:spacing w:before="20" w:after="20"/>
              <w:ind w:left="34" w:hanging="34"/>
              <w:jc w:val="center"/>
              <w:rPr>
                <w:rFonts w:ascii="Calibri" w:eastAsia="Calibri" w:hAnsi="Calibri" w:cs="Calibri"/>
                <w:b/>
                <w:color w:val="FFFFFF"/>
                <w:sz w:val="16"/>
                <w:szCs w:val="16"/>
              </w:rPr>
            </w:pPr>
          </w:p>
        </w:tc>
        <w:tc>
          <w:tcPr>
            <w:tcW w:w="1789" w:type="dxa"/>
            <w:tcBorders>
              <w:top w:val="single" w:sz="4" w:space="0" w:color="FFFFFF"/>
              <w:left w:val="single" w:sz="4" w:space="0" w:color="FFFFFF"/>
              <w:bottom w:val="single" w:sz="4" w:space="0" w:color="FFFFFF"/>
            </w:tcBorders>
            <w:shd w:val="clear" w:color="auto" w:fill="A6A6A6"/>
            <w:vAlign w:val="center"/>
          </w:tcPr>
          <w:p w14:paraId="32A25CBC" w14:textId="77777777" w:rsidR="00600DEE" w:rsidRDefault="00641FB5">
            <w:pPr>
              <w:spacing w:before="20" w:after="20"/>
              <w:ind w:left="34" w:hanging="34"/>
              <w:jc w:val="center"/>
              <w:rPr>
                <w:rFonts w:ascii="Calibri" w:eastAsia="Calibri" w:hAnsi="Calibri" w:cs="Calibri"/>
                <w:b/>
                <w:color w:val="FFFFFF"/>
                <w:sz w:val="16"/>
                <w:szCs w:val="16"/>
              </w:rPr>
            </w:pPr>
            <w:r>
              <w:rPr>
                <w:rFonts w:ascii="Calibri" w:eastAsia="Calibri" w:hAnsi="Calibri" w:cs="Calibri"/>
                <w:b/>
                <w:color w:val="FFFFFF"/>
                <w:sz w:val="16"/>
                <w:szCs w:val="16"/>
              </w:rPr>
              <w:t>Okresowe utrzymanie infrastruktury drogowej (bez VAT)</w:t>
            </w:r>
          </w:p>
        </w:tc>
        <w:tc>
          <w:tcPr>
            <w:tcW w:w="1609"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19CC6BB2" w14:textId="77777777" w:rsidR="00600DEE" w:rsidRDefault="00641FB5">
            <w:pPr>
              <w:spacing w:before="20" w:after="20"/>
              <w:ind w:left="34" w:hanging="34"/>
              <w:jc w:val="center"/>
              <w:rPr>
                <w:rFonts w:ascii="Calibri" w:eastAsia="Calibri" w:hAnsi="Calibri" w:cs="Calibri"/>
                <w:b/>
                <w:color w:val="FFFFFF"/>
                <w:sz w:val="16"/>
                <w:szCs w:val="16"/>
              </w:rPr>
            </w:pPr>
            <w:r>
              <w:rPr>
                <w:rFonts w:ascii="Calibri" w:eastAsia="Calibri" w:hAnsi="Calibri" w:cs="Calibri"/>
                <w:b/>
                <w:color w:val="FFFFFF"/>
                <w:sz w:val="16"/>
                <w:szCs w:val="16"/>
              </w:rPr>
              <w:t>System poboru opłat* (bez VAT)</w:t>
            </w:r>
          </w:p>
          <w:p w14:paraId="524C4582" w14:textId="77777777" w:rsidR="00600DEE" w:rsidRDefault="00600DEE">
            <w:pPr>
              <w:spacing w:before="20" w:after="20"/>
              <w:ind w:left="34" w:hanging="34"/>
              <w:jc w:val="center"/>
              <w:rPr>
                <w:rFonts w:ascii="Calibri" w:eastAsia="Calibri" w:hAnsi="Calibri" w:cs="Calibri"/>
                <w:b/>
                <w:color w:val="FFFFFF"/>
                <w:sz w:val="16"/>
                <w:szCs w:val="16"/>
              </w:rPr>
            </w:pPr>
          </w:p>
        </w:tc>
        <w:tc>
          <w:tcPr>
            <w:tcW w:w="207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3136EC2" w14:textId="77777777" w:rsidR="00600DEE" w:rsidRDefault="00641FB5">
            <w:pPr>
              <w:spacing w:before="20" w:after="20"/>
              <w:ind w:left="34" w:hanging="34"/>
              <w:jc w:val="center"/>
              <w:rPr>
                <w:rFonts w:ascii="Calibri" w:eastAsia="Calibri" w:hAnsi="Calibri" w:cs="Calibri"/>
                <w:b/>
                <w:color w:val="FFFFFF"/>
                <w:sz w:val="16"/>
                <w:szCs w:val="16"/>
              </w:rPr>
            </w:pPr>
            <w:r>
              <w:rPr>
                <w:rFonts w:ascii="Calibri" w:eastAsia="Calibri" w:hAnsi="Calibri" w:cs="Calibri"/>
                <w:b/>
                <w:color w:val="FFFFFF"/>
                <w:sz w:val="16"/>
                <w:szCs w:val="16"/>
              </w:rPr>
              <w:t>Inne (określić) (bez VAT)</w:t>
            </w:r>
          </w:p>
          <w:p w14:paraId="2B8CDCD9" w14:textId="77777777" w:rsidR="00600DEE" w:rsidRDefault="00600DEE">
            <w:pPr>
              <w:spacing w:before="20" w:after="20"/>
              <w:ind w:left="34" w:hanging="34"/>
              <w:jc w:val="center"/>
              <w:rPr>
                <w:rFonts w:ascii="Calibri" w:eastAsia="Calibri" w:hAnsi="Calibri" w:cs="Calibri"/>
                <w:b/>
                <w:color w:val="FFFFFF"/>
                <w:sz w:val="16"/>
                <w:szCs w:val="16"/>
              </w:rPr>
            </w:pPr>
          </w:p>
        </w:tc>
      </w:tr>
      <w:tr w:rsidR="00600DEE" w14:paraId="1BEE5C1A" w14:textId="77777777">
        <w:trPr>
          <w:trHeight w:val="388"/>
        </w:trPr>
        <w:tc>
          <w:tcPr>
            <w:tcW w:w="897" w:type="dxa"/>
            <w:tcBorders>
              <w:top w:val="single" w:sz="4" w:space="0" w:color="FFFFFF"/>
              <w:left w:val="single" w:sz="4" w:space="0" w:color="FFFFFF"/>
              <w:bottom w:val="single" w:sz="4" w:space="0" w:color="FFFFFF"/>
            </w:tcBorders>
            <w:shd w:val="clear" w:color="auto" w:fill="DBE5F1"/>
            <w:vAlign w:val="center"/>
          </w:tcPr>
          <w:p w14:paraId="07E2D975" w14:textId="77777777" w:rsidR="00600DEE" w:rsidRDefault="00641FB5">
            <w:pPr>
              <w:spacing w:before="20" w:after="20"/>
              <w:ind w:left="34" w:hanging="34"/>
              <w:jc w:val="center"/>
              <w:rPr>
                <w:rFonts w:ascii="Calibri" w:eastAsia="Calibri" w:hAnsi="Calibri" w:cs="Calibri"/>
                <w:b/>
                <w:color w:val="4F81BD"/>
                <w:sz w:val="14"/>
                <w:szCs w:val="14"/>
              </w:rPr>
            </w:pPr>
            <w:r>
              <w:rPr>
                <w:rFonts w:ascii="Calibri" w:eastAsia="Calibri" w:hAnsi="Calibri" w:cs="Calibri"/>
                <w:b/>
                <w:color w:val="4F81BD"/>
                <w:sz w:val="14"/>
                <w:szCs w:val="14"/>
              </w:rPr>
              <w:t>1</w:t>
            </w:r>
          </w:p>
        </w:tc>
        <w:tc>
          <w:tcPr>
            <w:tcW w:w="1884" w:type="dxa"/>
            <w:tcBorders>
              <w:top w:val="single" w:sz="4" w:space="0" w:color="FFFFFF"/>
              <w:left w:val="single" w:sz="4" w:space="0" w:color="FFFFFF"/>
              <w:bottom w:val="single" w:sz="4" w:space="0" w:color="FFFFFF"/>
            </w:tcBorders>
            <w:shd w:val="clear" w:color="auto" w:fill="DBE5F1"/>
            <w:vAlign w:val="center"/>
          </w:tcPr>
          <w:p w14:paraId="24BD1062"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042A3FE5" w14:textId="77777777" w:rsidR="00600DEE" w:rsidRDefault="00600DEE">
            <w:pPr>
              <w:spacing w:before="20" w:after="20"/>
              <w:ind w:left="34" w:hanging="34"/>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63E1E1D2" w14:textId="77777777" w:rsidR="00600DEE" w:rsidRDefault="00600DEE">
            <w:pPr>
              <w:spacing w:before="20" w:after="20"/>
              <w:ind w:left="34" w:hanging="34"/>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BA126E1" w14:textId="77777777" w:rsidR="00600DEE" w:rsidRDefault="00600DEE">
            <w:pPr>
              <w:spacing w:before="20" w:after="20"/>
              <w:ind w:left="34" w:hanging="34"/>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205D6DAB"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3B44EA33" w14:textId="77777777" w:rsidR="00600DEE" w:rsidRDefault="00600DEE">
            <w:pPr>
              <w:spacing w:before="20" w:after="20"/>
              <w:ind w:left="34" w:hanging="34"/>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5DD97F64"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c>
          <w:tcPr>
            <w:tcW w:w="207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BF90980"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r>
      <w:tr w:rsidR="00600DEE" w14:paraId="470AD6E2" w14:textId="77777777">
        <w:trPr>
          <w:trHeight w:val="173"/>
        </w:trPr>
        <w:tc>
          <w:tcPr>
            <w:tcW w:w="897" w:type="dxa"/>
            <w:tcBorders>
              <w:top w:val="single" w:sz="4" w:space="0" w:color="FFFFFF"/>
              <w:left w:val="single" w:sz="4" w:space="0" w:color="FFFFFF"/>
              <w:bottom w:val="single" w:sz="4" w:space="0" w:color="FFFFFF"/>
            </w:tcBorders>
            <w:shd w:val="clear" w:color="auto" w:fill="DBE5F1"/>
            <w:vAlign w:val="center"/>
          </w:tcPr>
          <w:p w14:paraId="22501ACD" w14:textId="77777777" w:rsidR="00600DEE" w:rsidRDefault="00641FB5">
            <w:pPr>
              <w:spacing w:before="20" w:after="20"/>
              <w:ind w:left="34" w:hanging="34"/>
              <w:jc w:val="center"/>
              <w:rPr>
                <w:rFonts w:ascii="Calibri" w:eastAsia="Calibri" w:hAnsi="Calibri" w:cs="Calibri"/>
                <w:b/>
                <w:color w:val="4F81BD"/>
                <w:sz w:val="14"/>
                <w:szCs w:val="14"/>
              </w:rPr>
            </w:pPr>
            <w:r>
              <w:rPr>
                <w:rFonts w:ascii="Calibri" w:eastAsia="Calibri" w:hAnsi="Calibri" w:cs="Calibri"/>
                <w:b/>
                <w:color w:val="4F81BD"/>
                <w:sz w:val="14"/>
                <w:szCs w:val="14"/>
              </w:rPr>
              <w:t>2</w:t>
            </w:r>
          </w:p>
        </w:tc>
        <w:tc>
          <w:tcPr>
            <w:tcW w:w="1884" w:type="dxa"/>
            <w:tcBorders>
              <w:top w:val="single" w:sz="4" w:space="0" w:color="FFFFFF"/>
              <w:left w:val="single" w:sz="4" w:space="0" w:color="FFFFFF"/>
              <w:bottom w:val="single" w:sz="4" w:space="0" w:color="FFFFFF"/>
            </w:tcBorders>
            <w:shd w:val="clear" w:color="auto" w:fill="DBE5F1"/>
            <w:vAlign w:val="center"/>
          </w:tcPr>
          <w:p w14:paraId="7620FDA4"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6AAF6E3E" w14:textId="77777777" w:rsidR="00600DEE" w:rsidRDefault="00600DEE">
            <w:pPr>
              <w:spacing w:before="20" w:after="20"/>
              <w:ind w:left="34" w:hanging="34"/>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67252F7D" w14:textId="77777777" w:rsidR="00600DEE" w:rsidRDefault="00600DEE">
            <w:pPr>
              <w:spacing w:before="20" w:after="20"/>
              <w:ind w:left="34" w:hanging="34"/>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89BCEFD" w14:textId="77777777" w:rsidR="00600DEE" w:rsidRDefault="00600DEE">
            <w:pPr>
              <w:spacing w:before="20" w:after="20"/>
              <w:ind w:left="34" w:hanging="34"/>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2C608E10"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0F36C09A" w14:textId="77777777" w:rsidR="00600DEE" w:rsidRDefault="00600DEE">
            <w:pPr>
              <w:spacing w:before="20" w:after="20"/>
              <w:ind w:left="34" w:hanging="34"/>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2877DAE"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c>
          <w:tcPr>
            <w:tcW w:w="207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2ED5CB7"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r>
      <w:tr w:rsidR="00600DEE" w14:paraId="5FDBEF9D" w14:textId="77777777">
        <w:trPr>
          <w:trHeight w:val="173"/>
        </w:trPr>
        <w:tc>
          <w:tcPr>
            <w:tcW w:w="897" w:type="dxa"/>
            <w:tcBorders>
              <w:top w:val="single" w:sz="4" w:space="0" w:color="FFFFFF"/>
              <w:left w:val="single" w:sz="4" w:space="0" w:color="FFFFFF"/>
              <w:bottom w:val="single" w:sz="4" w:space="0" w:color="FFFFFF"/>
            </w:tcBorders>
            <w:shd w:val="clear" w:color="auto" w:fill="DBE5F1"/>
            <w:vAlign w:val="center"/>
          </w:tcPr>
          <w:p w14:paraId="05E2865B" w14:textId="77777777" w:rsidR="00600DEE" w:rsidRDefault="00641FB5">
            <w:pPr>
              <w:spacing w:before="20" w:after="20"/>
              <w:ind w:left="34" w:hanging="34"/>
              <w:jc w:val="center"/>
              <w:rPr>
                <w:rFonts w:ascii="Calibri" w:eastAsia="Calibri" w:hAnsi="Calibri" w:cs="Calibri"/>
                <w:b/>
                <w:color w:val="4F81BD"/>
                <w:sz w:val="14"/>
                <w:szCs w:val="14"/>
              </w:rPr>
            </w:pPr>
            <w:r>
              <w:rPr>
                <w:rFonts w:ascii="Calibri" w:eastAsia="Calibri" w:hAnsi="Calibri" w:cs="Calibri"/>
                <w:b/>
                <w:color w:val="4F81BD"/>
                <w:sz w:val="14"/>
                <w:szCs w:val="14"/>
              </w:rPr>
              <w:t>3</w:t>
            </w:r>
          </w:p>
        </w:tc>
        <w:tc>
          <w:tcPr>
            <w:tcW w:w="1884" w:type="dxa"/>
            <w:tcBorders>
              <w:top w:val="single" w:sz="4" w:space="0" w:color="FFFFFF"/>
              <w:left w:val="single" w:sz="4" w:space="0" w:color="FFFFFF"/>
              <w:bottom w:val="single" w:sz="4" w:space="0" w:color="FFFFFF"/>
            </w:tcBorders>
            <w:shd w:val="clear" w:color="auto" w:fill="DBE5F1"/>
            <w:vAlign w:val="center"/>
          </w:tcPr>
          <w:p w14:paraId="5E48F3E6"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2FC1AA27" w14:textId="77777777" w:rsidR="00600DEE" w:rsidRDefault="00600DEE">
            <w:pPr>
              <w:spacing w:before="20" w:after="20"/>
              <w:ind w:left="34" w:hanging="34"/>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33A96DB7" w14:textId="77777777" w:rsidR="00600DEE" w:rsidRDefault="00600DEE">
            <w:pPr>
              <w:spacing w:before="20" w:after="20"/>
              <w:ind w:left="34" w:hanging="34"/>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5E2CD44" w14:textId="77777777" w:rsidR="00600DEE" w:rsidRDefault="00600DEE">
            <w:pPr>
              <w:spacing w:before="20" w:after="20"/>
              <w:ind w:left="34" w:hanging="34"/>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68E95DA0"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5BB9BE9B" w14:textId="77777777" w:rsidR="00600DEE" w:rsidRDefault="00600DEE">
            <w:pPr>
              <w:spacing w:before="20" w:after="20"/>
              <w:ind w:left="34" w:hanging="34"/>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FD22755"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c>
          <w:tcPr>
            <w:tcW w:w="207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3C3BDEB7"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r>
      <w:tr w:rsidR="00600DEE" w14:paraId="71080DE6" w14:textId="77777777">
        <w:trPr>
          <w:trHeight w:val="173"/>
        </w:trPr>
        <w:tc>
          <w:tcPr>
            <w:tcW w:w="897" w:type="dxa"/>
            <w:tcBorders>
              <w:top w:val="single" w:sz="4" w:space="0" w:color="FFFFFF"/>
              <w:left w:val="single" w:sz="4" w:space="0" w:color="FFFFFF"/>
              <w:bottom w:val="single" w:sz="4" w:space="0" w:color="FFFFFF"/>
            </w:tcBorders>
            <w:shd w:val="clear" w:color="auto" w:fill="DBE5F1"/>
            <w:vAlign w:val="center"/>
          </w:tcPr>
          <w:p w14:paraId="138451C6" w14:textId="77777777" w:rsidR="00600DEE" w:rsidRDefault="00641FB5">
            <w:pPr>
              <w:spacing w:before="20" w:after="20"/>
              <w:ind w:left="34" w:hanging="34"/>
              <w:jc w:val="center"/>
              <w:rPr>
                <w:rFonts w:ascii="Calibri" w:eastAsia="Calibri" w:hAnsi="Calibri" w:cs="Calibri"/>
                <w:b/>
                <w:color w:val="4F81BD"/>
                <w:sz w:val="14"/>
                <w:szCs w:val="14"/>
              </w:rPr>
            </w:pPr>
            <w:r>
              <w:rPr>
                <w:rFonts w:ascii="Calibri" w:eastAsia="Calibri" w:hAnsi="Calibri" w:cs="Calibri"/>
                <w:b/>
                <w:color w:val="4F81BD"/>
                <w:sz w:val="14"/>
                <w:szCs w:val="14"/>
              </w:rPr>
              <w:t>…</w:t>
            </w:r>
          </w:p>
        </w:tc>
        <w:tc>
          <w:tcPr>
            <w:tcW w:w="1884" w:type="dxa"/>
            <w:tcBorders>
              <w:top w:val="single" w:sz="4" w:space="0" w:color="FFFFFF"/>
              <w:left w:val="single" w:sz="4" w:space="0" w:color="FFFFFF"/>
              <w:bottom w:val="single" w:sz="4" w:space="0" w:color="FFFFFF"/>
            </w:tcBorders>
            <w:shd w:val="clear" w:color="auto" w:fill="DBE5F1"/>
            <w:vAlign w:val="center"/>
          </w:tcPr>
          <w:p w14:paraId="5641D672"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36CCB220" w14:textId="77777777" w:rsidR="00600DEE" w:rsidRDefault="00641FB5">
            <w:pPr>
              <w:spacing w:before="20" w:after="20"/>
              <w:ind w:left="34" w:hanging="34"/>
              <w:jc w:val="center"/>
              <w:rPr>
                <w:rFonts w:ascii="Calibri" w:eastAsia="Calibri" w:hAnsi="Calibri" w:cs="Calibri"/>
                <w:color w:val="4F81BD"/>
                <w:sz w:val="14"/>
                <w:szCs w:val="14"/>
              </w:rPr>
            </w:pPr>
            <w:r>
              <w:rPr>
                <w:rFonts w:ascii="Calibri" w:eastAsia="Calibri" w:hAnsi="Calibri" w:cs="Calibri"/>
                <w:i/>
                <w:color w:val="4F81BD"/>
                <w:sz w:val="14"/>
                <w:szCs w:val="14"/>
              </w:rPr>
              <w:t xml:space="preserve"> (*) proponowane w 10 i 20 roku eksploatacji  projektu</w:t>
            </w:r>
          </w:p>
        </w:tc>
        <w:tc>
          <w:tcPr>
            <w:tcW w:w="1357" w:type="dxa"/>
            <w:tcBorders>
              <w:top w:val="single" w:sz="4" w:space="0" w:color="FFFFFF"/>
              <w:left w:val="single" w:sz="4" w:space="0" w:color="FFFFFF"/>
              <w:bottom w:val="single" w:sz="4" w:space="0" w:color="FFFFFF"/>
            </w:tcBorders>
            <w:shd w:val="clear" w:color="auto" w:fill="DBE5F1"/>
            <w:vAlign w:val="center"/>
          </w:tcPr>
          <w:p w14:paraId="65DA3FE1" w14:textId="77777777" w:rsidR="00600DEE" w:rsidRDefault="00600DEE">
            <w:pPr>
              <w:spacing w:before="20" w:after="20"/>
              <w:ind w:left="34" w:hanging="34"/>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0D174CE" w14:textId="77777777" w:rsidR="00600DEE" w:rsidRDefault="00600DEE">
            <w:pPr>
              <w:spacing w:before="20" w:after="20"/>
              <w:ind w:left="34" w:hanging="34"/>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7E7AC30C"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469996C0" w14:textId="77777777" w:rsidR="00600DEE" w:rsidRDefault="00641FB5">
            <w:pPr>
              <w:spacing w:before="20" w:after="20"/>
              <w:ind w:left="34" w:hanging="34"/>
              <w:jc w:val="center"/>
              <w:rPr>
                <w:rFonts w:ascii="Calibri" w:eastAsia="Calibri" w:hAnsi="Calibri" w:cs="Calibri"/>
                <w:color w:val="4F81BD"/>
                <w:sz w:val="14"/>
                <w:szCs w:val="14"/>
              </w:rPr>
            </w:pPr>
            <w:r>
              <w:rPr>
                <w:rFonts w:ascii="Calibri" w:eastAsia="Calibri" w:hAnsi="Calibri" w:cs="Calibri"/>
                <w:i/>
                <w:color w:val="4F81BD"/>
                <w:sz w:val="14"/>
                <w:szCs w:val="14"/>
              </w:rPr>
              <w:t>(*) proponowane w 10 i 20 roku eksploatacji  projektu</w:t>
            </w: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D391EA4"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c>
          <w:tcPr>
            <w:tcW w:w="207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35939B7"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r>
      <w:tr w:rsidR="00600DEE" w14:paraId="16067D7F" w14:textId="77777777">
        <w:trPr>
          <w:trHeight w:val="306"/>
        </w:trPr>
        <w:tc>
          <w:tcPr>
            <w:tcW w:w="897" w:type="dxa"/>
            <w:tcBorders>
              <w:top w:val="single" w:sz="4" w:space="0" w:color="FFFFFF"/>
              <w:left w:val="single" w:sz="4" w:space="0" w:color="FFFFFF"/>
              <w:bottom w:val="single" w:sz="4" w:space="0" w:color="FFFFFF"/>
            </w:tcBorders>
            <w:shd w:val="clear" w:color="auto" w:fill="DBE5F1"/>
            <w:vAlign w:val="center"/>
          </w:tcPr>
          <w:p w14:paraId="5D0A2A63" w14:textId="77777777" w:rsidR="00600DEE" w:rsidRDefault="00641FB5">
            <w:pPr>
              <w:spacing w:before="20" w:after="20"/>
              <w:ind w:left="34" w:hanging="34"/>
              <w:jc w:val="center"/>
              <w:rPr>
                <w:rFonts w:ascii="Calibri" w:eastAsia="Calibri" w:hAnsi="Calibri" w:cs="Calibri"/>
                <w:b/>
                <w:color w:val="4F81BD"/>
                <w:sz w:val="14"/>
                <w:szCs w:val="14"/>
              </w:rPr>
            </w:pPr>
            <w:r>
              <w:rPr>
                <w:rFonts w:ascii="Calibri" w:eastAsia="Calibri" w:hAnsi="Calibri" w:cs="Calibri"/>
                <w:b/>
                <w:color w:val="4F81BD"/>
                <w:sz w:val="14"/>
                <w:szCs w:val="14"/>
              </w:rPr>
              <w:t>25</w:t>
            </w:r>
          </w:p>
        </w:tc>
        <w:tc>
          <w:tcPr>
            <w:tcW w:w="1884" w:type="dxa"/>
            <w:tcBorders>
              <w:top w:val="single" w:sz="4" w:space="0" w:color="FFFFFF"/>
              <w:left w:val="single" w:sz="4" w:space="0" w:color="FFFFFF"/>
              <w:bottom w:val="single" w:sz="4" w:space="0" w:color="FFFFFF"/>
            </w:tcBorders>
            <w:shd w:val="clear" w:color="auto" w:fill="DBE5F1"/>
            <w:vAlign w:val="center"/>
          </w:tcPr>
          <w:p w14:paraId="6A08FF4A"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7636A63A" w14:textId="77777777" w:rsidR="00600DEE" w:rsidRDefault="00600DEE">
            <w:pPr>
              <w:spacing w:before="20" w:after="20"/>
              <w:ind w:left="34" w:hanging="34"/>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2993F1F0" w14:textId="77777777" w:rsidR="00600DEE" w:rsidRDefault="00600DEE">
            <w:pPr>
              <w:spacing w:before="20" w:after="20"/>
              <w:ind w:left="34" w:hanging="34"/>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BB54933" w14:textId="77777777" w:rsidR="00600DEE" w:rsidRDefault="00600DEE">
            <w:pPr>
              <w:spacing w:before="20" w:after="20"/>
              <w:ind w:left="34" w:hanging="34"/>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64C5E82A"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17688DC5" w14:textId="77777777" w:rsidR="00600DEE" w:rsidRDefault="00600DEE">
            <w:pPr>
              <w:spacing w:before="20" w:after="20"/>
              <w:ind w:left="34" w:hanging="34"/>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113715F"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c>
          <w:tcPr>
            <w:tcW w:w="207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1F102D6"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r>
      <w:tr w:rsidR="00600DEE" w14:paraId="531A3599" w14:textId="77777777">
        <w:trPr>
          <w:trHeight w:val="257"/>
        </w:trPr>
        <w:tc>
          <w:tcPr>
            <w:tcW w:w="897" w:type="dxa"/>
            <w:tcBorders>
              <w:top w:val="single" w:sz="4" w:space="0" w:color="FFFFFF"/>
              <w:left w:val="single" w:sz="4" w:space="0" w:color="FFFFFF"/>
              <w:bottom w:val="single" w:sz="4" w:space="0" w:color="FFFFFF"/>
            </w:tcBorders>
            <w:shd w:val="clear" w:color="auto" w:fill="DBE5F1"/>
            <w:vAlign w:val="center"/>
          </w:tcPr>
          <w:p w14:paraId="12093BFF" w14:textId="77777777" w:rsidR="00600DEE" w:rsidRDefault="00641FB5">
            <w:pPr>
              <w:spacing w:before="20" w:after="20"/>
              <w:ind w:left="34" w:hanging="34"/>
              <w:jc w:val="center"/>
              <w:rPr>
                <w:rFonts w:ascii="Calibri" w:eastAsia="Calibri" w:hAnsi="Calibri" w:cs="Calibri"/>
                <w:b/>
                <w:color w:val="4F81BD"/>
                <w:sz w:val="14"/>
                <w:szCs w:val="14"/>
              </w:rPr>
            </w:pPr>
            <w:r>
              <w:rPr>
                <w:rFonts w:ascii="Calibri" w:eastAsia="Calibri" w:hAnsi="Calibri" w:cs="Calibri"/>
                <w:b/>
                <w:color w:val="4F81BD"/>
                <w:sz w:val="14"/>
                <w:szCs w:val="14"/>
              </w:rPr>
              <w:t>Raz.</w:t>
            </w:r>
          </w:p>
        </w:tc>
        <w:tc>
          <w:tcPr>
            <w:tcW w:w="1884" w:type="dxa"/>
            <w:tcBorders>
              <w:top w:val="single" w:sz="4" w:space="0" w:color="FFFFFF"/>
              <w:left w:val="single" w:sz="4" w:space="0" w:color="FFFFFF"/>
              <w:bottom w:val="single" w:sz="4" w:space="0" w:color="FFFFFF"/>
            </w:tcBorders>
            <w:shd w:val="clear" w:color="auto" w:fill="DBE5F1"/>
            <w:vAlign w:val="center"/>
          </w:tcPr>
          <w:p w14:paraId="074F5B5D"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0A70BB55" w14:textId="77777777" w:rsidR="00600DEE" w:rsidRDefault="00600DEE">
            <w:pPr>
              <w:spacing w:before="20" w:after="20"/>
              <w:ind w:left="34" w:hanging="34"/>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21CF565E" w14:textId="77777777" w:rsidR="00600DEE" w:rsidRDefault="00600DEE">
            <w:pPr>
              <w:spacing w:before="20" w:after="20"/>
              <w:ind w:left="34" w:hanging="34"/>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A310740" w14:textId="77777777" w:rsidR="00600DEE" w:rsidRDefault="00600DEE">
            <w:pPr>
              <w:spacing w:before="20" w:after="20"/>
              <w:ind w:left="34" w:hanging="34"/>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35EFF772" w14:textId="77777777" w:rsidR="00600DEE" w:rsidRDefault="00600DEE">
            <w:pPr>
              <w:spacing w:before="20" w:after="20"/>
              <w:ind w:left="34" w:hanging="34"/>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51F4980B" w14:textId="77777777" w:rsidR="00600DEE" w:rsidRDefault="00600DEE">
            <w:pPr>
              <w:spacing w:before="20" w:after="20"/>
              <w:ind w:left="34" w:hanging="34"/>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F79D0B6"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c>
          <w:tcPr>
            <w:tcW w:w="207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F48B37A" w14:textId="77777777" w:rsidR="00600DEE" w:rsidRDefault="00600DEE">
            <w:pPr>
              <w:pBdr>
                <w:top w:val="nil"/>
                <w:left w:val="nil"/>
                <w:bottom w:val="nil"/>
                <w:right w:val="nil"/>
                <w:between w:val="nil"/>
              </w:pBdr>
              <w:spacing w:before="120" w:after="120"/>
              <w:ind w:left="34" w:hanging="34"/>
              <w:jc w:val="center"/>
              <w:rPr>
                <w:rFonts w:ascii="Calibri" w:eastAsia="Calibri" w:hAnsi="Calibri" w:cs="Calibri"/>
                <w:color w:val="4F81BD"/>
                <w:sz w:val="14"/>
                <w:szCs w:val="14"/>
              </w:rPr>
            </w:pPr>
          </w:p>
        </w:tc>
      </w:tr>
    </w:tbl>
    <w:p w14:paraId="2F87062D"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10. O&amp;M cost estimation breakdown into main cost elements (not discounted)</w:t>
      </w:r>
    </w:p>
    <w:tbl>
      <w:tblPr>
        <w:tblStyle w:val="affa"/>
        <w:tblW w:w="14601" w:type="dxa"/>
        <w:tblInd w:w="108" w:type="dxa"/>
        <w:tblLayout w:type="fixed"/>
        <w:tblLook w:val="0000" w:firstRow="0" w:lastRow="0" w:firstColumn="0" w:lastColumn="0" w:noHBand="0" w:noVBand="0"/>
      </w:tblPr>
      <w:tblGrid>
        <w:gridCol w:w="897"/>
        <w:gridCol w:w="1884"/>
        <w:gridCol w:w="1789"/>
        <w:gridCol w:w="1357"/>
        <w:gridCol w:w="1524"/>
        <w:gridCol w:w="1648"/>
        <w:gridCol w:w="1789"/>
        <w:gridCol w:w="1609"/>
        <w:gridCol w:w="2104"/>
      </w:tblGrid>
      <w:tr w:rsidR="00600DEE" w14:paraId="64F4997C" w14:textId="77777777">
        <w:trPr>
          <w:trHeight w:val="1307"/>
        </w:trPr>
        <w:tc>
          <w:tcPr>
            <w:tcW w:w="897" w:type="dxa"/>
            <w:tcBorders>
              <w:top w:val="single" w:sz="4" w:space="0" w:color="FFFFFF"/>
              <w:left w:val="single" w:sz="4" w:space="0" w:color="FFFFFF"/>
              <w:bottom w:val="single" w:sz="4" w:space="0" w:color="FFFFFF"/>
            </w:tcBorders>
            <w:shd w:val="clear" w:color="auto" w:fill="A6A6A6"/>
            <w:vAlign w:val="center"/>
          </w:tcPr>
          <w:p w14:paraId="6A04ACC9" w14:textId="77777777" w:rsidR="00600DEE" w:rsidRDefault="00641FB5">
            <w:pPr>
              <w:spacing w:before="20" w:after="20"/>
              <w:jc w:val="center"/>
              <w:rPr>
                <w:rFonts w:ascii="Calibri" w:eastAsia="Calibri" w:hAnsi="Calibri" w:cs="Calibri"/>
                <w:b/>
                <w:color w:val="FFFFFF"/>
                <w:sz w:val="16"/>
                <w:szCs w:val="16"/>
              </w:rPr>
            </w:pPr>
            <w:r>
              <w:rPr>
                <w:rFonts w:ascii="Calibri" w:eastAsia="Calibri" w:hAnsi="Calibri" w:cs="Calibri"/>
                <w:b/>
                <w:color w:val="FFFFFF"/>
                <w:sz w:val="16"/>
                <w:szCs w:val="16"/>
              </w:rPr>
              <w:t>Year</w:t>
            </w:r>
          </w:p>
        </w:tc>
        <w:tc>
          <w:tcPr>
            <w:tcW w:w="1884" w:type="dxa"/>
            <w:tcBorders>
              <w:top w:val="single" w:sz="4" w:space="0" w:color="FFFFFF"/>
              <w:left w:val="single" w:sz="4" w:space="0" w:color="FFFFFF"/>
              <w:bottom w:val="single" w:sz="4" w:space="0" w:color="FFFFFF"/>
            </w:tcBorders>
            <w:shd w:val="clear" w:color="auto" w:fill="A6A6A6"/>
            <w:vAlign w:val="center"/>
          </w:tcPr>
          <w:p w14:paraId="50657CF3" w14:textId="77777777" w:rsidR="00600DEE" w:rsidRDefault="00641FB5">
            <w:pPr>
              <w:spacing w:before="20" w:after="20"/>
              <w:jc w:val="center"/>
              <w:rPr>
                <w:rFonts w:ascii="Calibri" w:eastAsia="Calibri" w:hAnsi="Calibri" w:cs="Calibri"/>
                <w:b/>
                <w:color w:val="FFFFFF"/>
                <w:sz w:val="16"/>
                <w:szCs w:val="16"/>
              </w:rPr>
            </w:pPr>
            <w:r>
              <w:rPr>
                <w:rFonts w:ascii="Calibri" w:eastAsia="Calibri" w:hAnsi="Calibri" w:cs="Calibri"/>
                <w:b/>
                <w:color w:val="FFFFFF"/>
                <w:sz w:val="16"/>
                <w:szCs w:val="16"/>
              </w:rPr>
              <w:t>Routine road infrastructure O&amp;M  (incl. VAT)</w:t>
            </w:r>
          </w:p>
        </w:tc>
        <w:tc>
          <w:tcPr>
            <w:tcW w:w="1789" w:type="dxa"/>
            <w:tcBorders>
              <w:top w:val="single" w:sz="4" w:space="0" w:color="FFFFFF"/>
              <w:left w:val="single" w:sz="4" w:space="0" w:color="FFFFFF"/>
              <w:bottom w:val="single" w:sz="4" w:space="0" w:color="FFFFFF"/>
            </w:tcBorders>
            <w:shd w:val="clear" w:color="auto" w:fill="A6A6A6"/>
            <w:vAlign w:val="center"/>
          </w:tcPr>
          <w:p w14:paraId="60775FA0" w14:textId="77777777" w:rsidR="00600DEE" w:rsidRDefault="00641FB5">
            <w:pPr>
              <w:spacing w:before="20" w:after="20"/>
              <w:jc w:val="center"/>
              <w:rPr>
                <w:rFonts w:ascii="Calibri" w:eastAsia="Calibri" w:hAnsi="Calibri" w:cs="Calibri"/>
                <w:b/>
                <w:color w:val="FFFFFF"/>
                <w:sz w:val="16"/>
                <w:szCs w:val="16"/>
              </w:rPr>
            </w:pPr>
            <w:r>
              <w:rPr>
                <w:rFonts w:ascii="Calibri" w:eastAsia="Calibri" w:hAnsi="Calibri" w:cs="Calibri"/>
                <w:b/>
                <w:color w:val="FFFFFF"/>
                <w:sz w:val="16"/>
                <w:szCs w:val="16"/>
              </w:rPr>
              <w:t>Periodic road  infrastructure maintenance (incl. VAT)</w:t>
            </w:r>
          </w:p>
        </w:tc>
        <w:tc>
          <w:tcPr>
            <w:tcW w:w="1357" w:type="dxa"/>
            <w:tcBorders>
              <w:top w:val="single" w:sz="4" w:space="0" w:color="FFFFFF"/>
              <w:left w:val="single" w:sz="4" w:space="0" w:color="FFFFFF"/>
              <w:bottom w:val="single" w:sz="4" w:space="0" w:color="FFFFFF"/>
            </w:tcBorders>
            <w:shd w:val="clear" w:color="auto" w:fill="A6A6A6"/>
            <w:vAlign w:val="center"/>
          </w:tcPr>
          <w:p w14:paraId="5E9C65CC" w14:textId="77777777" w:rsidR="00600DEE" w:rsidRPr="0045151D" w:rsidRDefault="00641FB5">
            <w:pPr>
              <w:spacing w:before="20" w:after="20"/>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Toll collection system* (incl. VAT)</w:t>
            </w:r>
          </w:p>
        </w:tc>
        <w:tc>
          <w:tcPr>
            <w:tcW w:w="1524"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30FA39CC" w14:textId="77777777" w:rsidR="00600DEE" w:rsidRDefault="00641FB5">
            <w:pPr>
              <w:spacing w:before="20" w:after="20"/>
              <w:jc w:val="center"/>
              <w:rPr>
                <w:rFonts w:ascii="Calibri" w:eastAsia="Calibri" w:hAnsi="Calibri" w:cs="Calibri"/>
                <w:b/>
                <w:color w:val="FFFFFF"/>
                <w:sz w:val="16"/>
                <w:szCs w:val="16"/>
              </w:rPr>
            </w:pPr>
            <w:r>
              <w:rPr>
                <w:rFonts w:ascii="Calibri" w:eastAsia="Calibri" w:hAnsi="Calibri" w:cs="Calibri"/>
                <w:b/>
                <w:color w:val="FFFFFF"/>
                <w:sz w:val="16"/>
                <w:szCs w:val="16"/>
              </w:rPr>
              <w:t>Other (specify) (incl. VAT)</w:t>
            </w:r>
          </w:p>
        </w:tc>
        <w:tc>
          <w:tcPr>
            <w:tcW w:w="1648" w:type="dxa"/>
            <w:tcBorders>
              <w:top w:val="single" w:sz="4" w:space="0" w:color="FFFFFF"/>
              <w:left w:val="single" w:sz="4" w:space="0" w:color="FFFFFF"/>
              <w:bottom w:val="single" w:sz="4" w:space="0" w:color="FFFFFF"/>
            </w:tcBorders>
            <w:shd w:val="clear" w:color="auto" w:fill="A6A6A6"/>
            <w:vAlign w:val="center"/>
          </w:tcPr>
          <w:p w14:paraId="0A88162A" w14:textId="77777777" w:rsidR="00600DEE" w:rsidRDefault="00641FB5">
            <w:pPr>
              <w:spacing w:before="20" w:after="20"/>
              <w:jc w:val="center"/>
              <w:rPr>
                <w:rFonts w:ascii="Calibri" w:eastAsia="Calibri" w:hAnsi="Calibri" w:cs="Calibri"/>
                <w:b/>
                <w:color w:val="FFFFFF"/>
                <w:sz w:val="16"/>
                <w:szCs w:val="16"/>
              </w:rPr>
            </w:pPr>
            <w:r>
              <w:rPr>
                <w:rFonts w:ascii="Calibri" w:eastAsia="Calibri" w:hAnsi="Calibri" w:cs="Calibri"/>
                <w:b/>
                <w:color w:val="FFFFFF"/>
                <w:sz w:val="16"/>
                <w:szCs w:val="16"/>
              </w:rPr>
              <w:t>Routine road  infrastructure O&amp;M</w:t>
            </w:r>
          </w:p>
          <w:p w14:paraId="21C6EE93" w14:textId="77777777" w:rsidR="00600DEE" w:rsidRDefault="00641FB5">
            <w:pPr>
              <w:spacing w:before="20" w:after="20"/>
              <w:ind w:left="438" w:hanging="438"/>
              <w:jc w:val="center"/>
              <w:rPr>
                <w:rFonts w:ascii="Calibri" w:eastAsia="Calibri" w:hAnsi="Calibri" w:cs="Calibri"/>
                <w:b/>
                <w:color w:val="FFFFFF"/>
                <w:sz w:val="16"/>
                <w:szCs w:val="16"/>
              </w:rPr>
            </w:pPr>
            <w:r>
              <w:rPr>
                <w:rFonts w:ascii="Calibri" w:eastAsia="Calibri" w:hAnsi="Calibri" w:cs="Calibri"/>
                <w:b/>
                <w:color w:val="FFFFFF"/>
                <w:sz w:val="16"/>
                <w:szCs w:val="16"/>
              </w:rPr>
              <w:t>(excl. VAT)</w:t>
            </w:r>
          </w:p>
        </w:tc>
        <w:tc>
          <w:tcPr>
            <w:tcW w:w="1789" w:type="dxa"/>
            <w:tcBorders>
              <w:top w:val="single" w:sz="4" w:space="0" w:color="FFFFFF"/>
              <w:left w:val="single" w:sz="4" w:space="0" w:color="FFFFFF"/>
              <w:bottom w:val="single" w:sz="4" w:space="0" w:color="FFFFFF"/>
            </w:tcBorders>
            <w:shd w:val="clear" w:color="auto" w:fill="A6A6A6"/>
            <w:vAlign w:val="center"/>
          </w:tcPr>
          <w:p w14:paraId="67BB4269" w14:textId="77777777" w:rsidR="00600DEE" w:rsidRDefault="00641FB5">
            <w:pPr>
              <w:spacing w:before="20" w:after="20"/>
              <w:jc w:val="center"/>
              <w:rPr>
                <w:rFonts w:ascii="Calibri" w:eastAsia="Calibri" w:hAnsi="Calibri" w:cs="Calibri"/>
                <w:b/>
                <w:color w:val="FFFFFF"/>
                <w:sz w:val="16"/>
                <w:szCs w:val="16"/>
              </w:rPr>
            </w:pPr>
            <w:r>
              <w:rPr>
                <w:rFonts w:ascii="Calibri" w:eastAsia="Calibri" w:hAnsi="Calibri" w:cs="Calibri"/>
                <w:b/>
                <w:color w:val="FFFFFF"/>
                <w:sz w:val="16"/>
                <w:szCs w:val="16"/>
              </w:rPr>
              <w:t>Periodic road  infrastructure maintenance</w:t>
            </w:r>
          </w:p>
          <w:p w14:paraId="15EF9B27" w14:textId="77777777" w:rsidR="00600DEE" w:rsidRDefault="00641FB5">
            <w:pPr>
              <w:spacing w:before="20" w:after="20"/>
              <w:ind w:left="438" w:hanging="438"/>
              <w:jc w:val="center"/>
              <w:rPr>
                <w:rFonts w:ascii="Calibri" w:eastAsia="Calibri" w:hAnsi="Calibri" w:cs="Calibri"/>
                <w:b/>
                <w:color w:val="FFFFFF"/>
                <w:sz w:val="16"/>
                <w:szCs w:val="16"/>
              </w:rPr>
            </w:pPr>
            <w:r>
              <w:rPr>
                <w:rFonts w:ascii="Calibri" w:eastAsia="Calibri" w:hAnsi="Calibri" w:cs="Calibri"/>
                <w:b/>
                <w:color w:val="FFFFFF"/>
                <w:sz w:val="16"/>
                <w:szCs w:val="16"/>
              </w:rPr>
              <w:t>(excl. VAT)</w:t>
            </w:r>
          </w:p>
        </w:tc>
        <w:tc>
          <w:tcPr>
            <w:tcW w:w="1609"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241FD4F4" w14:textId="77777777" w:rsidR="00600DEE" w:rsidRDefault="00641FB5">
            <w:pPr>
              <w:spacing w:before="20" w:after="20"/>
              <w:jc w:val="center"/>
              <w:rPr>
                <w:rFonts w:ascii="Calibri" w:eastAsia="Calibri" w:hAnsi="Calibri" w:cs="Calibri"/>
                <w:b/>
                <w:color w:val="FFFFFF"/>
                <w:sz w:val="16"/>
                <w:szCs w:val="16"/>
              </w:rPr>
            </w:pPr>
            <w:r>
              <w:rPr>
                <w:rFonts w:ascii="Calibri" w:eastAsia="Calibri" w:hAnsi="Calibri" w:cs="Calibri"/>
                <w:b/>
                <w:color w:val="FFFFFF"/>
                <w:sz w:val="16"/>
                <w:szCs w:val="16"/>
              </w:rPr>
              <w:t>Toll collection system* (excl. VAT)</w:t>
            </w:r>
          </w:p>
        </w:tc>
        <w:tc>
          <w:tcPr>
            <w:tcW w:w="2104"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74394770" w14:textId="77777777" w:rsidR="00600DEE" w:rsidRDefault="00641FB5">
            <w:pPr>
              <w:spacing w:before="20" w:after="20"/>
              <w:jc w:val="center"/>
              <w:rPr>
                <w:rFonts w:ascii="Calibri" w:eastAsia="Calibri" w:hAnsi="Calibri" w:cs="Calibri"/>
                <w:b/>
                <w:color w:val="FFFFFF"/>
                <w:sz w:val="16"/>
                <w:szCs w:val="16"/>
              </w:rPr>
            </w:pPr>
            <w:r>
              <w:rPr>
                <w:rFonts w:ascii="Calibri" w:eastAsia="Calibri" w:hAnsi="Calibri" w:cs="Calibri"/>
                <w:b/>
                <w:color w:val="FFFFFF"/>
                <w:sz w:val="16"/>
                <w:szCs w:val="16"/>
              </w:rPr>
              <w:t>Other (specify)</w:t>
            </w:r>
          </w:p>
          <w:p w14:paraId="547699BC" w14:textId="77777777" w:rsidR="00600DEE" w:rsidRDefault="00641FB5">
            <w:pPr>
              <w:spacing w:before="20" w:after="20"/>
              <w:ind w:left="438" w:hanging="438"/>
              <w:jc w:val="center"/>
              <w:rPr>
                <w:rFonts w:ascii="Calibri" w:eastAsia="Calibri" w:hAnsi="Calibri" w:cs="Calibri"/>
                <w:b/>
                <w:color w:val="FFFFFF"/>
                <w:sz w:val="16"/>
                <w:szCs w:val="16"/>
              </w:rPr>
            </w:pPr>
            <w:r>
              <w:rPr>
                <w:rFonts w:ascii="Calibri" w:eastAsia="Calibri" w:hAnsi="Calibri" w:cs="Calibri"/>
                <w:b/>
                <w:color w:val="FFFFFF"/>
                <w:sz w:val="16"/>
                <w:szCs w:val="16"/>
              </w:rPr>
              <w:t>(excl. VAT)</w:t>
            </w:r>
          </w:p>
        </w:tc>
      </w:tr>
      <w:tr w:rsidR="00600DEE" w14:paraId="37977F0F" w14:textId="77777777">
        <w:trPr>
          <w:trHeight w:val="173"/>
        </w:trPr>
        <w:tc>
          <w:tcPr>
            <w:tcW w:w="897" w:type="dxa"/>
            <w:tcBorders>
              <w:top w:val="single" w:sz="4" w:space="0" w:color="FFFFFF"/>
              <w:left w:val="single" w:sz="4" w:space="0" w:color="FFFFFF"/>
              <w:bottom w:val="single" w:sz="4" w:space="0" w:color="FFFFFF"/>
            </w:tcBorders>
            <w:shd w:val="clear" w:color="auto" w:fill="DBE5F1"/>
            <w:vAlign w:val="center"/>
          </w:tcPr>
          <w:p w14:paraId="16B1223C" w14:textId="77777777" w:rsidR="00600DEE" w:rsidRDefault="00641FB5">
            <w:pPr>
              <w:spacing w:before="20" w:after="20"/>
              <w:ind w:left="438" w:hanging="438"/>
              <w:jc w:val="center"/>
              <w:rPr>
                <w:rFonts w:ascii="Calibri" w:eastAsia="Calibri" w:hAnsi="Calibri" w:cs="Calibri"/>
                <w:b/>
                <w:color w:val="4F81BD"/>
                <w:sz w:val="14"/>
                <w:szCs w:val="14"/>
              </w:rPr>
            </w:pPr>
            <w:r>
              <w:rPr>
                <w:rFonts w:ascii="Calibri" w:eastAsia="Calibri" w:hAnsi="Calibri" w:cs="Calibri"/>
                <w:b/>
                <w:color w:val="4F81BD"/>
                <w:sz w:val="14"/>
                <w:szCs w:val="14"/>
              </w:rPr>
              <w:t>1</w:t>
            </w:r>
          </w:p>
        </w:tc>
        <w:tc>
          <w:tcPr>
            <w:tcW w:w="1884" w:type="dxa"/>
            <w:tcBorders>
              <w:top w:val="single" w:sz="4" w:space="0" w:color="FFFFFF"/>
              <w:left w:val="single" w:sz="4" w:space="0" w:color="FFFFFF"/>
              <w:bottom w:val="single" w:sz="4" w:space="0" w:color="FFFFFF"/>
            </w:tcBorders>
            <w:shd w:val="clear" w:color="auto" w:fill="DBE5F1"/>
            <w:vAlign w:val="center"/>
          </w:tcPr>
          <w:p w14:paraId="247B18C3"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2171B6D3" w14:textId="77777777" w:rsidR="00600DEE" w:rsidRDefault="00600DEE">
            <w:pPr>
              <w:spacing w:before="20" w:after="20"/>
              <w:ind w:left="438" w:hanging="438"/>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227F8928" w14:textId="77777777" w:rsidR="00600DEE" w:rsidRDefault="00600DEE">
            <w:pPr>
              <w:spacing w:before="20" w:after="20"/>
              <w:ind w:left="438" w:hanging="438"/>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1BD8878" w14:textId="77777777" w:rsidR="00600DEE" w:rsidRDefault="00600DEE">
            <w:pPr>
              <w:spacing w:before="20" w:after="20"/>
              <w:ind w:left="438" w:hanging="438"/>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2F291B44"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5707D7F8" w14:textId="77777777" w:rsidR="00600DEE" w:rsidRDefault="00600DEE">
            <w:pPr>
              <w:spacing w:before="20" w:after="20"/>
              <w:ind w:left="438" w:hanging="438"/>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2F51DE2"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c>
          <w:tcPr>
            <w:tcW w:w="210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0884A4E"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r>
      <w:tr w:rsidR="00600DEE" w14:paraId="058CCA65" w14:textId="77777777">
        <w:trPr>
          <w:trHeight w:val="173"/>
        </w:trPr>
        <w:tc>
          <w:tcPr>
            <w:tcW w:w="897" w:type="dxa"/>
            <w:tcBorders>
              <w:top w:val="single" w:sz="4" w:space="0" w:color="FFFFFF"/>
              <w:left w:val="single" w:sz="4" w:space="0" w:color="FFFFFF"/>
              <w:bottom w:val="single" w:sz="4" w:space="0" w:color="FFFFFF"/>
            </w:tcBorders>
            <w:shd w:val="clear" w:color="auto" w:fill="DBE5F1"/>
            <w:vAlign w:val="center"/>
          </w:tcPr>
          <w:p w14:paraId="49F22B81" w14:textId="77777777" w:rsidR="00600DEE" w:rsidRDefault="00641FB5">
            <w:pPr>
              <w:spacing w:before="20" w:after="20"/>
              <w:ind w:left="438" w:hanging="438"/>
              <w:jc w:val="center"/>
              <w:rPr>
                <w:rFonts w:ascii="Calibri" w:eastAsia="Calibri" w:hAnsi="Calibri" w:cs="Calibri"/>
                <w:b/>
                <w:color w:val="4F81BD"/>
                <w:sz w:val="14"/>
                <w:szCs w:val="14"/>
              </w:rPr>
            </w:pPr>
            <w:r>
              <w:rPr>
                <w:rFonts w:ascii="Calibri" w:eastAsia="Calibri" w:hAnsi="Calibri" w:cs="Calibri"/>
                <w:b/>
                <w:color w:val="4F81BD"/>
                <w:sz w:val="14"/>
                <w:szCs w:val="14"/>
              </w:rPr>
              <w:t>2</w:t>
            </w:r>
          </w:p>
        </w:tc>
        <w:tc>
          <w:tcPr>
            <w:tcW w:w="1884" w:type="dxa"/>
            <w:tcBorders>
              <w:top w:val="single" w:sz="4" w:space="0" w:color="FFFFFF"/>
              <w:left w:val="single" w:sz="4" w:space="0" w:color="FFFFFF"/>
              <w:bottom w:val="single" w:sz="4" w:space="0" w:color="FFFFFF"/>
            </w:tcBorders>
            <w:shd w:val="clear" w:color="auto" w:fill="DBE5F1"/>
            <w:vAlign w:val="center"/>
          </w:tcPr>
          <w:p w14:paraId="6A7BD185"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2B21DD78" w14:textId="77777777" w:rsidR="00600DEE" w:rsidRDefault="00600DEE">
            <w:pPr>
              <w:spacing w:before="20" w:after="20"/>
              <w:ind w:left="438" w:hanging="438"/>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4D3A0BA0" w14:textId="77777777" w:rsidR="00600DEE" w:rsidRDefault="00600DEE">
            <w:pPr>
              <w:spacing w:before="20" w:after="20"/>
              <w:ind w:left="438" w:hanging="438"/>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6DCDA75" w14:textId="77777777" w:rsidR="00600DEE" w:rsidRDefault="00600DEE">
            <w:pPr>
              <w:spacing w:before="20" w:after="20"/>
              <w:ind w:left="438" w:hanging="438"/>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21B59279"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4DC0E8E0" w14:textId="77777777" w:rsidR="00600DEE" w:rsidRDefault="00600DEE">
            <w:pPr>
              <w:spacing w:before="20" w:after="20"/>
              <w:ind w:left="438" w:hanging="438"/>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CB2A6B3"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c>
          <w:tcPr>
            <w:tcW w:w="210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CB20C3F"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r>
      <w:tr w:rsidR="00600DEE" w14:paraId="163A90D3" w14:textId="77777777">
        <w:trPr>
          <w:trHeight w:val="173"/>
        </w:trPr>
        <w:tc>
          <w:tcPr>
            <w:tcW w:w="897" w:type="dxa"/>
            <w:tcBorders>
              <w:top w:val="single" w:sz="4" w:space="0" w:color="FFFFFF"/>
              <w:left w:val="single" w:sz="4" w:space="0" w:color="FFFFFF"/>
              <w:bottom w:val="single" w:sz="4" w:space="0" w:color="FFFFFF"/>
            </w:tcBorders>
            <w:shd w:val="clear" w:color="auto" w:fill="DBE5F1"/>
            <w:vAlign w:val="center"/>
          </w:tcPr>
          <w:p w14:paraId="053D41C3" w14:textId="77777777" w:rsidR="00600DEE" w:rsidRDefault="00641FB5">
            <w:pPr>
              <w:spacing w:before="20" w:after="20"/>
              <w:ind w:left="438" w:hanging="438"/>
              <w:jc w:val="center"/>
              <w:rPr>
                <w:rFonts w:ascii="Calibri" w:eastAsia="Calibri" w:hAnsi="Calibri" w:cs="Calibri"/>
                <w:b/>
                <w:color w:val="4F81BD"/>
                <w:sz w:val="14"/>
                <w:szCs w:val="14"/>
              </w:rPr>
            </w:pPr>
            <w:r>
              <w:rPr>
                <w:rFonts w:ascii="Calibri" w:eastAsia="Calibri" w:hAnsi="Calibri" w:cs="Calibri"/>
                <w:b/>
                <w:color w:val="4F81BD"/>
                <w:sz w:val="14"/>
                <w:szCs w:val="14"/>
              </w:rPr>
              <w:t>3</w:t>
            </w:r>
          </w:p>
        </w:tc>
        <w:tc>
          <w:tcPr>
            <w:tcW w:w="1884" w:type="dxa"/>
            <w:tcBorders>
              <w:top w:val="single" w:sz="4" w:space="0" w:color="FFFFFF"/>
              <w:left w:val="single" w:sz="4" w:space="0" w:color="FFFFFF"/>
              <w:bottom w:val="single" w:sz="4" w:space="0" w:color="FFFFFF"/>
            </w:tcBorders>
            <w:shd w:val="clear" w:color="auto" w:fill="DBE5F1"/>
            <w:vAlign w:val="center"/>
          </w:tcPr>
          <w:p w14:paraId="1A108ABE"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07A757A5" w14:textId="77777777" w:rsidR="00600DEE" w:rsidRDefault="00600DEE">
            <w:pPr>
              <w:spacing w:before="20" w:after="20"/>
              <w:ind w:left="438" w:hanging="438"/>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39DA0665" w14:textId="77777777" w:rsidR="00600DEE" w:rsidRDefault="00600DEE">
            <w:pPr>
              <w:spacing w:before="20" w:after="20"/>
              <w:ind w:left="438" w:hanging="438"/>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C342608" w14:textId="77777777" w:rsidR="00600DEE" w:rsidRDefault="00600DEE">
            <w:pPr>
              <w:spacing w:before="20" w:after="20"/>
              <w:ind w:left="438" w:hanging="438"/>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77A3FCD6"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6927885D" w14:textId="77777777" w:rsidR="00600DEE" w:rsidRDefault="00600DEE">
            <w:pPr>
              <w:spacing w:before="20" w:after="20"/>
              <w:ind w:left="438" w:hanging="438"/>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CA743E8"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c>
          <w:tcPr>
            <w:tcW w:w="210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7E4F93E"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r>
      <w:tr w:rsidR="00600DEE" w:rsidRPr="007463B9" w14:paraId="0C26AA11" w14:textId="77777777">
        <w:trPr>
          <w:trHeight w:val="173"/>
        </w:trPr>
        <w:tc>
          <w:tcPr>
            <w:tcW w:w="897" w:type="dxa"/>
            <w:tcBorders>
              <w:top w:val="single" w:sz="4" w:space="0" w:color="FFFFFF"/>
              <w:left w:val="single" w:sz="4" w:space="0" w:color="FFFFFF"/>
              <w:bottom w:val="single" w:sz="4" w:space="0" w:color="FFFFFF"/>
            </w:tcBorders>
            <w:shd w:val="clear" w:color="auto" w:fill="DBE5F1"/>
            <w:vAlign w:val="center"/>
          </w:tcPr>
          <w:p w14:paraId="5FD2A533" w14:textId="77777777" w:rsidR="00600DEE" w:rsidRDefault="00641FB5">
            <w:pPr>
              <w:spacing w:before="20" w:after="20"/>
              <w:ind w:left="438" w:hanging="438"/>
              <w:jc w:val="center"/>
              <w:rPr>
                <w:rFonts w:ascii="Calibri" w:eastAsia="Calibri" w:hAnsi="Calibri" w:cs="Calibri"/>
                <w:b/>
                <w:color w:val="4F81BD"/>
                <w:sz w:val="14"/>
                <w:szCs w:val="14"/>
              </w:rPr>
            </w:pPr>
            <w:r>
              <w:rPr>
                <w:rFonts w:ascii="Calibri" w:eastAsia="Calibri" w:hAnsi="Calibri" w:cs="Calibri"/>
                <w:b/>
                <w:color w:val="4F81BD"/>
                <w:sz w:val="14"/>
                <w:szCs w:val="14"/>
              </w:rPr>
              <w:t>…</w:t>
            </w:r>
          </w:p>
        </w:tc>
        <w:tc>
          <w:tcPr>
            <w:tcW w:w="1884" w:type="dxa"/>
            <w:tcBorders>
              <w:top w:val="single" w:sz="4" w:space="0" w:color="FFFFFF"/>
              <w:left w:val="single" w:sz="4" w:space="0" w:color="FFFFFF"/>
              <w:bottom w:val="single" w:sz="4" w:space="0" w:color="FFFFFF"/>
            </w:tcBorders>
            <w:shd w:val="clear" w:color="auto" w:fill="DBE5F1"/>
            <w:vAlign w:val="center"/>
          </w:tcPr>
          <w:p w14:paraId="2F18785C"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58CE2B4D" w14:textId="77777777" w:rsidR="00600DEE" w:rsidRPr="0045151D" w:rsidRDefault="00641FB5">
            <w:pPr>
              <w:spacing w:before="20" w:after="20"/>
              <w:jc w:val="center"/>
              <w:rPr>
                <w:rFonts w:ascii="Calibri" w:eastAsia="Calibri" w:hAnsi="Calibri" w:cs="Calibri"/>
                <w:i/>
                <w:color w:val="4F81BD"/>
                <w:sz w:val="14"/>
                <w:szCs w:val="14"/>
                <w:lang w:val="en-GB"/>
              </w:rPr>
            </w:pPr>
            <w:r w:rsidRPr="0045151D">
              <w:rPr>
                <w:rFonts w:ascii="Calibri" w:eastAsia="Calibri" w:hAnsi="Calibri" w:cs="Calibri"/>
                <w:i/>
                <w:color w:val="4F81BD"/>
                <w:sz w:val="14"/>
                <w:szCs w:val="14"/>
                <w:lang w:val="en-GB"/>
              </w:rPr>
              <w:t>(*) Proposed in years 10 and 20 of project operation</w:t>
            </w:r>
          </w:p>
        </w:tc>
        <w:tc>
          <w:tcPr>
            <w:tcW w:w="1357" w:type="dxa"/>
            <w:tcBorders>
              <w:top w:val="single" w:sz="4" w:space="0" w:color="FFFFFF"/>
              <w:left w:val="single" w:sz="4" w:space="0" w:color="FFFFFF"/>
              <w:bottom w:val="single" w:sz="4" w:space="0" w:color="FFFFFF"/>
            </w:tcBorders>
            <w:shd w:val="clear" w:color="auto" w:fill="DBE5F1"/>
            <w:vAlign w:val="center"/>
          </w:tcPr>
          <w:p w14:paraId="7860068E" w14:textId="77777777" w:rsidR="00600DEE" w:rsidRPr="0045151D" w:rsidRDefault="00600DEE">
            <w:pPr>
              <w:spacing w:before="20" w:after="20"/>
              <w:ind w:left="438" w:hanging="438"/>
              <w:jc w:val="center"/>
              <w:rPr>
                <w:rFonts w:ascii="Calibri" w:eastAsia="Calibri" w:hAnsi="Calibri" w:cs="Calibri"/>
                <w:color w:val="4F81BD"/>
                <w:sz w:val="14"/>
                <w:szCs w:val="14"/>
                <w:lang w:val="en-GB"/>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6E870C5" w14:textId="77777777" w:rsidR="00600DEE" w:rsidRPr="0045151D" w:rsidRDefault="00600DEE">
            <w:pPr>
              <w:spacing w:before="20" w:after="20"/>
              <w:ind w:left="438" w:hanging="438"/>
              <w:jc w:val="center"/>
              <w:rPr>
                <w:rFonts w:ascii="Calibri" w:eastAsia="Calibri" w:hAnsi="Calibri" w:cs="Calibri"/>
                <w:color w:val="4F81BD"/>
                <w:sz w:val="14"/>
                <w:szCs w:val="14"/>
                <w:lang w:val="en-GB"/>
              </w:rPr>
            </w:pPr>
          </w:p>
        </w:tc>
        <w:tc>
          <w:tcPr>
            <w:tcW w:w="1648" w:type="dxa"/>
            <w:tcBorders>
              <w:top w:val="single" w:sz="4" w:space="0" w:color="FFFFFF"/>
              <w:left w:val="single" w:sz="4" w:space="0" w:color="FFFFFF"/>
              <w:bottom w:val="single" w:sz="4" w:space="0" w:color="FFFFFF"/>
            </w:tcBorders>
            <w:shd w:val="clear" w:color="auto" w:fill="DBE5F1"/>
            <w:vAlign w:val="center"/>
          </w:tcPr>
          <w:p w14:paraId="6E3B00B8" w14:textId="77777777" w:rsidR="00600DEE" w:rsidRPr="0045151D" w:rsidRDefault="00600DEE">
            <w:pPr>
              <w:spacing w:before="20" w:after="20"/>
              <w:ind w:left="438" w:hanging="438"/>
              <w:jc w:val="center"/>
              <w:rPr>
                <w:rFonts w:ascii="Calibri" w:eastAsia="Calibri" w:hAnsi="Calibri" w:cs="Calibri"/>
                <w:color w:val="4F81BD"/>
                <w:sz w:val="14"/>
                <w:szCs w:val="14"/>
                <w:lang w:val="en-GB"/>
              </w:rPr>
            </w:pPr>
          </w:p>
        </w:tc>
        <w:tc>
          <w:tcPr>
            <w:tcW w:w="1789" w:type="dxa"/>
            <w:tcBorders>
              <w:top w:val="single" w:sz="4" w:space="0" w:color="FFFFFF"/>
              <w:left w:val="single" w:sz="4" w:space="0" w:color="FFFFFF"/>
              <w:bottom w:val="single" w:sz="4" w:space="0" w:color="FFFFFF"/>
            </w:tcBorders>
            <w:shd w:val="clear" w:color="auto" w:fill="DBE5F1"/>
            <w:vAlign w:val="center"/>
          </w:tcPr>
          <w:p w14:paraId="689773CC" w14:textId="77777777" w:rsidR="00600DEE" w:rsidRPr="0045151D" w:rsidRDefault="00641FB5">
            <w:pPr>
              <w:spacing w:before="20" w:after="20"/>
              <w:jc w:val="center"/>
              <w:rPr>
                <w:rFonts w:ascii="Calibri" w:eastAsia="Calibri" w:hAnsi="Calibri" w:cs="Calibri"/>
                <w:color w:val="4F81BD"/>
                <w:sz w:val="14"/>
                <w:szCs w:val="14"/>
                <w:lang w:val="en-GB"/>
              </w:rPr>
            </w:pPr>
            <w:r w:rsidRPr="0045151D">
              <w:rPr>
                <w:rFonts w:ascii="Calibri" w:eastAsia="Calibri" w:hAnsi="Calibri" w:cs="Calibri"/>
                <w:i/>
                <w:color w:val="4F81BD"/>
                <w:sz w:val="14"/>
                <w:szCs w:val="14"/>
                <w:lang w:val="en-GB"/>
              </w:rPr>
              <w:t>(*) Proposed in years 10 and 20 of project operation</w:t>
            </w: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5425B1D" w14:textId="77777777" w:rsidR="00600DEE" w:rsidRPr="0045151D"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lang w:val="en-GB"/>
              </w:rPr>
            </w:pPr>
          </w:p>
        </w:tc>
        <w:tc>
          <w:tcPr>
            <w:tcW w:w="210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DAE20A2" w14:textId="77777777" w:rsidR="00600DEE" w:rsidRPr="0045151D"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lang w:val="en-GB"/>
              </w:rPr>
            </w:pPr>
          </w:p>
        </w:tc>
      </w:tr>
      <w:tr w:rsidR="00600DEE" w14:paraId="52F83686" w14:textId="77777777">
        <w:trPr>
          <w:trHeight w:val="173"/>
        </w:trPr>
        <w:tc>
          <w:tcPr>
            <w:tcW w:w="897" w:type="dxa"/>
            <w:tcBorders>
              <w:top w:val="single" w:sz="4" w:space="0" w:color="FFFFFF"/>
              <w:left w:val="single" w:sz="4" w:space="0" w:color="FFFFFF"/>
              <w:bottom w:val="single" w:sz="4" w:space="0" w:color="FFFFFF"/>
            </w:tcBorders>
            <w:shd w:val="clear" w:color="auto" w:fill="DBE5F1"/>
            <w:vAlign w:val="center"/>
          </w:tcPr>
          <w:p w14:paraId="4256FF07" w14:textId="77777777" w:rsidR="00600DEE" w:rsidRDefault="00641FB5">
            <w:pPr>
              <w:spacing w:before="20" w:after="20"/>
              <w:ind w:left="438" w:hanging="438"/>
              <w:jc w:val="center"/>
              <w:rPr>
                <w:rFonts w:ascii="Calibri" w:eastAsia="Calibri" w:hAnsi="Calibri" w:cs="Calibri"/>
                <w:b/>
                <w:color w:val="4F81BD"/>
                <w:sz w:val="14"/>
                <w:szCs w:val="14"/>
              </w:rPr>
            </w:pPr>
            <w:r>
              <w:rPr>
                <w:rFonts w:ascii="Calibri" w:eastAsia="Calibri" w:hAnsi="Calibri" w:cs="Calibri"/>
                <w:b/>
                <w:color w:val="4F81BD"/>
                <w:sz w:val="14"/>
                <w:szCs w:val="14"/>
              </w:rPr>
              <w:t>25</w:t>
            </w:r>
          </w:p>
        </w:tc>
        <w:tc>
          <w:tcPr>
            <w:tcW w:w="1884" w:type="dxa"/>
            <w:tcBorders>
              <w:top w:val="single" w:sz="4" w:space="0" w:color="FFFFFF"/>
              <w:left w:val="single" w:sz="4" w:space="0" w:color="FFFFFF"/>
              <w:bottom w:val="single" w:sz="4" w:space="0" w:color="FFFFFF"/>
            </w:tcBorders>
            <w:shd w:val="clear" w:color="auto" w:fill="DBE5F1"/>
            <w:vAlign w:val="center"/>
          </w:tcPr>
          <w:p w14:paraId="1E8299DE"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1355A9D3" w14:textId="77777777" w:rsidR="00600DEE" w:rsidRDefault="00600DEE">
            <w:pPr>
              <w:spacing w:before="20" w:after="20"/>
              <w:ind w:left="438" w:hanging="438"/>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5860C4C4" w14:textId="77777777" w:rsidR="00600DEE" w:rsidRDefault="00600DEE">
            <w:pPr>
              <w:spacing w:before="20" w:after="20"/>
              <w:ind w:left="438" w:hanging="438"/>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3696720" w14:textId="77777777" w:rsidR="00600DEE" w:rsidRDefault="00600DEE">
            <w:pPr>
              <w:spacing w:before="20" w:after="20"/>
              <w:ind w:left="438" w:hanging="438"/>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4DA5FAE2"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73969C25" w14:textId="77777777" w:rsidR="00600DEE" w:rsidRDefault="00600DEE">
            <w:pPr>
              <w:spacing w:before="20" w:after="20"/>
              <w:ind w:left="438" w:hanging="438"/>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3F134CB"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c>
          <w:tcPr>
            <w:tcW w:w="210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7834B9B"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r>
      <w:tr w:rsidR="00600DEE" w14:paraId="255E86F3" w14:textId="77777777">
        <w:trPr>
          <w:trHeight w:val="173"/>
        </w:trPr>
        <w:tc>
          <w:tcPr>
            <w:tcW w:w="897" w:type="dxa"/>
            <w:tcBorders>
              <w:top w:val="single" w:sz="4" w:space="0" w:color="FFFFFF"/>
              <w:left w:val="single" w:sz="4" w:space="0" w:color="FFFFFF"/>
              <w:bottom w:val="single" w:sz="4" w:space="0" w:color="FFFFFF"/>
            </w:tcBorders>
            <w:shd w:val="clear" w:color="auto" w:fill="DBE5F1"/>
            <w:vAlign w:val="center"/>
          </w:tcPr>
          <w:p w14:paraId="17509BE2" w14:textId="77777777" w:rsidR="00600DEE" w:rsidRDefault="00641FB5">
            <w:pPr>
              <w:spacing w:before="20" w:after="20"/>
              <w:ind w:left="438" w:hanging="438"/>
              <w:jc w:val="center"/>
              <w:rPr>
                <w:rFonts w:ascii="Calibri" w:eastAsia="Calibri" w:hAnsi="Calibri" w:cs="Calibri"/>
                <w:b/>
                <w:color w:val="4F81BD"/>
                <w:sz w:val="14"/>
                <w:szCs w:val="14"/>
              </w:rPr>
            </w:pPr>
            <w:r>
              <w:rPr>
                <w:rFonts w:ascii="Calibri" w:eastAsia="Calibri" w:hAnsi="Calibri" w:cs="Calibri"/>
                <w:b/>
                <w:color w:val="4F81BD"/>
                <w:sz w:val="14"/>
                <w:szCs w:val="14"/>
              </w:rPr>
              <w:t>Raz.</w:t>
            </w:r>
          </w:p>
        </w:tc>
        <w:tc>
          <w:tcPr>
            <w:tcW w:w="1884" w:type="dxa"/>
            <w:tcBorders>
              <w:top w:val="single" w:sz="4" w:space="0" w:color="FFFFFF"/>
              <w:left w:val="single" w:sz="4" w:space="0" w:color="FFFFFF"/>
              <w:bottom w:val="single" w:sz="4" w:space="0" w:color="FFFFFF"/>
            </w:tcBorders>
            <w:shd w:val="clear" w:color="auto" w:fill="DBE5F1"/>
            <w:vAlign w:val="center"/>
          </w:tcPr>
          <w:p w14:paraId="0A78E17B"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5A6EDDE2" w14:textId="77777777" w:rsidR="00600DEE" w:rsidRDefault="00600DEE">
            <w:pPr>
              <w:spacing w:before="20" w:after="20"/>
              <w:ind w:left="438" w:hanging="438"/>
              <w:jc w:val="center"/>
              <w:rPr>
                <w:rFonts w:ascii="Calibri" w:eastAsia="Calibri" w:hAnsi="Calibri" w:cs="Calibri"/>
                <w:color w:val="4F81BD"/>
                <w:sz w:val="14"/>
                <w:szCs w:val="14"/>
              </w:rPr>
            </w:pPr>
          </w:p>
        </w:tc>
        <w:tc>
          <w:tcPr>
            <w:tcW w:w="1357" w:type="dxa"/>
            <w:tcBorders>
              <w:top w:val="single" w:sz="4" w:space="0" w:color="FFFFFF"/>
              <w:left w:val="single" w:sz="4" w:space="0" w:color="FFFFFF"/>
              <w:bottom w:val="single" w:sz="4" w:space="0" w:color="FFFFFF"/>
            </w:tcBorders>
            <w:shd w:val="clear" w:color="auto" w:fill="DBE5F1"/>
            <w:vAlign w:val="center"/>
          </w:tcPr>
          <w:p w14:paraId="6A431BC3" w14:textId="77777777" w:rsidR="00600DEE" w:rsidRDefault="00600DEE">
            <w:pPr>
              <w:spacing w:before="20" w:after="20"/>
              <w:ind w:left="438" w:hanging="438"/>
              <w:jc w:val="center"/>
              <w:rPr>
                <w:rFonts w:ascii="Calibri" w:eastAsia="Calibri" w:hAnsi="Calibri" w:cs="Calibri"/>
                <w:color w:val="4F81BD"/>
                <w:sz w:val="14"/>
                <w:szCs w:val="14"/>
              </w:rPr>
            </w:pPr>
          </w:p>
        </w:tc>
        <w:tc>
          <w:tcPr>
            <w:tcW w:w="152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B8D00ED" w14:textId="77777777" w:rsidR="00600DEE" w:rsidRDefault="00600DEE">
            <w:pPr>
              <w:spacing w:before="20" w:after="20"/>
              <w:ind w:left="438" w:hanging="438"/>
              <w:jc w:val="center"/>
              <w:rPr>
                <w:rFonts w:ascii="Calibri" w:eastAsia="Calibri" w:hAnsi="Calibri" w:cs="Calibri"/>
                <w:color w:val="4F81BD"/>
                <w:sz w:val="14"/>
                <w:szCs w:val="14"/>
              </w:rPr>
            </w:pPr>
          </w:p>
        </w:tc>
        <w:tc>
          <w:tcPr>
            <w:tcW w:w="1648" w:type="dxa"/>
            <w:tcBorders>
              <w:top w:val="single" w:sz="4" w:space="0" w:color="FFFFFF"/>
              <w:left w:val="single" w:sz="4" w:space="0" w:color="FFFFFF"/>
              <w:bottom w:val="single" w:sz="4" w:space="0" w:color="FFFFFF"/>
            </w:tcBorders>
            <w:shd w:val="clear" w:color="auto" w:fill="DBE5F1"/>
            <w:vAlign w:val="center"/>
          </w:tcPr>
          <w:p w14:paraId="5B694BF4" w14:textId="77777777" w:rsidR="00600DEE" w:rsidRDefault="00600DEE">
            <w:pPr>
              <w:spacing w:before="20" w:after="20"/>
              <w:ind w:left="438" w:hanging="438"/>
              <w:jc w:val="center"/>
              <w:rPr>
                <w:rFonts w:ascii="Calibri" w:eastAsia="Calibri" w:hAnsi="Calibri" w:cs="Calibri"/>
                <w:color w:val="4F81BD"/>
                <w:sz w:val="14"/>
                <w:szCs w:val="14"/>
              </w:rPr>
            </w:pPr>
          </w:p>
        </w:tc>
        <w:tc>
          <w:tcPr>
            <w:tcW w:w="1789" w:type="dxa"/>
            <w:tcBorders>
              <w:top w:val="single" w:sz="4" w:space="0" w:color="FFFFFF"/>
              <w:left w:val="single" w:sz="4" w:space="0" w:color="FFFFFF"/>
              <w:bottom w:val="single" w:sz="4" w:space="0" w:color="FFFFFF"/>
            </w:tcBorders>
            <w:shd w:val="clear" w:color="auto" w:fill="DBE5F1"/>
            <w:vAlign w:val="center"/>
          </w:tcPr>
          <w:p w14:paraId="7193B0E5" w14:textId="77777777" w:rsidR="00600DEE" w:rsidRDefault="00600DEE">
            <w:pPr>
              <w:spacing w:before="20" w:after="20"/>
              <w:ind w:left="438" w:hanging="438"/>
              <w:jc w:val="center"/>
              <w:rPr>
                <w:rFonts w:ascii="Calibri" w:eastAsia="Calibri" w:hAnsi="Calibri" w:cs="Calibri"/>
                <w:color w:val="4F81BD"/>
                <w:sz w:val="14"/>
                <w:szCs w:val="14"/>
              </w:rPr>
            </w:pPr>
          </w:p>
        </w:tc>
        <w:tc>
          <w:tcPr>
            <w:tcW w:w="160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9F6388D"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c>
          <w:tcPr>
            <w:tcW w:w="210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5E460B4" w14:textId="77777777" w:rsidR="00600DEE" w:rsidRDefault="00600DEE">
            <w:pPr>
              <w:pBdr>
                <w:top w:val="nil"/>
                <w:left w:val="nil"/>
                <w:bottom w:val="nil"/>
                <w:right w:val="nil"/>
                <w:between w:val="nil"/>
              </w:pBdr>
              <w:spacing w:before="120" w:after="120"/>
              <w:ind w:left="438" w:hanging="438"/>
              <w:jc w:val="center"/>
              <w:rPr>
                <w:rFonts w:ascii="Calibri" w:eastAsia="Calibri" w:hAnsi="Calibri" w:cs="Calibri"/>
                <w:color w:val="4F81BD"/>
                <w:sz w:val="14"/>
                <w:szCs w:val="14"/>
              </w:rPr>
            </w:pPr>
          </w:p>
        </w:tc>
      </w:tr>
    </w:tbl>
    <w:p w14:paraId="366BDC8A" w14:textId="77777777" w:rsidR="00600DEE" w:rsidRDefault="00641FB5">
      <w:pPr>
        <w:spacing w:before="120"/>
        <w:ind w:right="170"/>
        <w:rPr>
          <w:rFonts w:ascii="Calibri" w:eastAsia="Calibri" w:hAnsi="Calibri" w:cs="Calibri"/>
          <w:i/>
          <w:sz w:val="16"/>
          <w:szCs w:val="16"/>
        </w:rPr>
      </w:pPr>
      <w:r>
        <w:rPr>
          <w:rFonts w:ascii="Calibri" w:eastAsia="Calibri" w:hAnsi="Calibri" w:cs="Calibri"/>
          <w:i/>
          <w:sz w:val="16"/>
          <w:szCs w:val="16"/>
        </w:rPr>
        <w:t>*tylko dla inwestycji generujących przychody/</w:t>
      </w:r>
      <w:r>
        <w:rPr>
          <w:rFonts w:ascii="Calibri" w:eastAsia="Calibri" w:hAnsi="Calibri" w:cs="Calibri"/>
          <w:sz w:val="16"/>
          <w:szCs w:val="16"/>
        </w:rPr>
        <w:t xml:space="preserve">  •</w:t>
      </w:r>
      <w:r>
        <w:rPr>
          <w:rFonts w:ascii="Calibri" w:eastAsia="Calibri" w:hAnsi="Calibri" w:cs="Calibri"/>
          <w:i/>
          <w:sz w:val="16"/>
          <w:szCs w:val="16"/>
        </w:rPr>
        <w:t>only for revenue-generating investments</w:t>
      </w:r>
    </w:p>
    <w:tbl>
      <w:tblPr>
        <w:tblStyle w:val="affb"/>
        <w:tblW w:w="14571" w:type="dxa"/>
        <w:tblLayout w:type="fixed"/>
        <w:tblLook w:val="0400" w:firstRow="0" w:lastRow="0" w:firstColumn="0" w:lastColumn="0" w:noHBand="0" w:noVBand="1"/>
      </w:tblPr>
      <w:tblGrid>
        <w:gridCol w:w="7367"/>
        <w:gridCol w:w="7204"/>
      </w:tblGrid>
      <w:tr w:rsidR="00600DEE" w:rsidRPr="007463B9" w14:paraId="7C502BC9" w14:textId="77777777">
        <w:trPr>
          <w:trHeight w:val="4340"/>
        </w:trPr>
        <w:tc>
          <w:tcPr>
            <w:tcW w:w="7367" w:type="dxa"/>
            <w:tcBorders>
              <w:right w:val="single" w:sz="4" w:space="0" w:color="000000"/>
            </w:tcBorders>
            <w:tcMar>
              <w:left w:w="284" w:type="dxa"/>
              <w:right w:w="284" w:type="dxa"/>
            </w:tcMar>
          </w:tcPr>
          <w:p w14:paraId="62F85FD0" w14:textId="7BA873DC" w:rsidR="00600DEE" w:rsidRDefault="00641FB5">
            <w:pPr>
              <w:pBdr>
                <w:top w:val="nil"/>
                <w:left w:val="nil"/>
                <w:bottom w:val="nil"/>
                <w:right w:val="nil"/>
                <w:between w:val="nil"/>
              </w:pBdr>
              <w:spacing w:before="120"/>
              <w:ind w:left="-195"/>
              <w:jc w:val="both"/>
              <w:rPr>
                <w:rFonts w:ascii="Calibri" w:eastAsia="Calibri" w:hAnsi="Calibri" w:cs="Calibri"/>
                <w:color w:val="000000"/>
                <w:sz w:val="20"/>
                <w:szCs w:val="20"/>
              </w:rPr>
            </w:pPr>
            <w:r>
              <w:rPr>
                <w:rFonts w:ascii="Calibri" w:eastAsia="Calibri" w:hAnsi="Calibri" w:cs="Calibri"/>
                <w:color w:val="000000"/>
                <w:sz w:val="20"/>
                <w:szCs w:val="20"/>
              </w:rPr>
              <w:t xml:space="preserve">Zaproponowane jednostkowe koszty eksploatacji i utrzymania infrastruktury drogowej, w cenach netto, znajdują się w załączniku A – Jednostkowe koszty ekonomiczne i finansowe. Zaproponowane koszty powinny być wykorzystywane jedynie dla celów kalkulacji analizy kosztów i korzyści. Zostały one zaproponowane w oparciu o dane i informacje uzyskanie z GDDKiA na podstawie kontraktów zawieranych w formule ‘‘Utrzymaj standard’’ (do oszacowania kosztów bieżącej eksploatacji i utrzymania), a także kontraktów remontowych (do oszacowania kosztów okresowych prac utrzymaniowych). </w:t>
            </w:r>
            <w:r>
              <w:rPr>
                <w:rFonts w:ascii="Calibri" w:eastAsia="Calibri" w:hAnsi="Calibri" w:cs="Calibri"/>
                <w:b/>
                <w:color w:val="000000"/>
                <w:sz w:val="20"/>
                <w:szCs w:val="20"/>
              </w:rPr>
              <w:t>Koszty jednostkowe zostały oszacowane i wyliczone na kilometr bieżący w dwóch podstawowych grupach: bieżące utrzymanie i okresowe zabiegi utrzymaniowe, a</w:t>
            </w:r>
            <w:r w:rsidR="00B802AC">
              <w:rPr>
                <w:rFonts w:ascii="Calibri" w:eastAsia="Calibri" w:hAnsi="Calibri" w:cs="Calibri"/>
                <w:b/>
                <w:color w:val="000000"/>
                <w:sz w:val="20"/>
                <w:szCs w:val="20"/>
              </w:rPr>
              <w:t xml:space="preserve"> ponadto </w:t>
            </w:r>
            <w:r>
              <w:rPr>
                <w:rFonts w:ascii="Calibri" w:eastAsia="Calibri" w:hAnsi="Calibri" w:cs="Calibri"/>
                <w:b/>
                <w:color w:val="000000"/>
                <w:sz w:val="20"/>
                <w:szCs w:val="20"/>
              </w:rPr>
              <w:t>zróżnicowane w zależności od typu drogi. Przyjęto, że te ryczałtowe koszty obejmują wszystkie dodatkowe zabiegi utrzymaniowe związane z dodatkowymi elementami wyposażenia drogi (tj. chodnikami, obiektami, ekranami akustycznymi, odwodnieniem, urządzeniami BRD, koszty ogólne, itd.).</w:t>
            </w:r>
            <w:r>
              <w:rPr>
                <w:rFonts w:ascii="Calibri" w:eastAsia="Calibri" w:hAnsi="Calibri" w:cs="Calibri"/>
                <w:color w:val="000000"/>
                <w:sz w:val="20"/>
                <w:szCs w:val="20"/>
              </w:rPr>
              <w:t xml:space="preserve"> Zakłada się, że powyższe koszty będą stałe w czasie w ujęciu realnym, ewentualny wzrost nominalny z tytułu kosztów pracy oraz kosztów energii będzie rekompensowany wzrostem wydajności (np. z tytułu stosowania nowych technologii). W przypadku niestandardowych obiektów, zaleca się przeprowadzenie szczegółowych analiz w celu określenia kosztów eksploatacji i utrzymania dla poszczególnych przypadków. W razie potrzeby, proponowany sposób obliczeń dla celów analizy AKK znajduje się w załączniku A.</w:t>
            </w:r>
          </w:p>
        </w:tc>
        <w:tc>
          <w:tcPr>
            <w:tcW w:w="7204" w:type="dxa"/>
            <w:tcBorders>
              <w:left w:val="single" w:sz="4" w:space="0" w:color="000000"/>
            </w:tcBorders>
            <w:tcMar>
              <w:left w:w="284" w:type="dxa"/>
              <w:right w:w="284" w:type="dxa"/>
            </w:tcMar>
          </w:tcPr>
          <w:p w14:paraId="6D80ABE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proposed unit maintenance costs for road infrastructure are presented in net prices in Appendix A – Unit economic and financial costs. These proposed costs should only be considered for CBA purposes calculation. They are mainly based on data gathered from GDDKiA corresponding to costs incurred on “Keep up standard” contracts (for estimating routine operation and maintenance costs) and on rehabilitation contracts (for calculating periodic maintenance costs). </w:t>
            </w:r>
            <w:r w:rsidRPr="0045151D">
              <w:rPr>
                <w:rFonts w:ascii="Calibri" w:eastAsia="Calibri" w:hAnsi="Calibri" w:cs="Calibri"/>
                <w:b/>
                <w:color w:val="000000"/>
                <w:sz w:val="20"/>
                <w:szCs w:val="20"/>
                <w:lang w:val="en-GB"/>
              </w:rPr>
              <w:t>Unit costs per kilometre were estimated and presented in two basic groups: routine maintenance and periodic maintenance, and differentiated by road type. These values are an average global cost estimation including all required maintenance works for all road infrastructure assets (e.g. pavements, structures, noise screens, drainage, safety, overheads, etc.).</w:t>
            </w:r>
            <w:r w:rsidRPr="0045151D">
              <w:rPr>
                <w:rFonts w:ascii="Calibri" w:eastAsia="Calibri" w:hAnsi="Calibri" w:cs="Calibri"/>
                <w:color w:val="000000"/>
                <w:sz w:val="20"/>
                <w:szCs w:val="20"/>
                <w:lang w:val="en-GB"/>
              </w:rPr>
              <w:t xml:space="preserve">  Additionally, these prices are assumed to be constant over the time in real terms: possible nominal increase due to higher wages or energy costs will be compensated by the increased efficiency (e.g. due to new technologies). In case of extraordinary structures, it is recommended to conduct a particular analysis, case by case, to estimate the respective O&amp;M costs. In Appendix A, a calculation proposal, as ultimate case, is provided for CBA purposes.</w:t>
            </w:r>
          </w:p>
        </w:tc>
      </w:tr>
    </w:tbl>
    <w:p w14:paraId="2AACC0EC" w14:textId="74453F10" w:rsidR="00600DEE" w:rsidRPr="0045151D" w:rsidRDefault="00641FB5" w:rsidP="00D5736B">
      <w:pPr>
        <w:pStyle w:val="Nagwek2"/>
        <w:numPr>
          <w:ilvl w:val="1"/>
          <w:numId w:val="17"/>
        </w:numPr>
        <w:ind w:left="0" w:firstLine="0"/>
        <w:rPr>
          <w:rFonts w:ascii="Calibri" w:eastAsia="Calibri" w:hAnsi="Calibri" w:cs="Calibri"/>
          <w:i/>
          <w:color w:val="4F81BD"/>
          <w:lang w:val="pl-PL"/>
        </w:rPr>
      </w:pPr>
      <w:bookmarkStart w:id="54" w:name="_Toc95377982"/>
      <w:r w:rsidRPr="0045151D">
        <w:rPr>
          <w:rFonts w:ascii="Calibri" w:eastAsia="Calibri" w:hAnsi="Calibri" w:cs="Calibri"/>
          <w:color w:val="4F81BD"/>
          <w:lang w:val="pl-PL"/>
        </w:rPr>
        <w:t>Dane wejściowe do projekcji przychodów</w:t>
      </w:r>
      <w:r w:rsidRPr="0045151D">
        <w:rPr>
          <w:rFonts w:ascii="Calibri" w:eastAsia="Calibri" w:hAnsi="Calibri" w:cs="Calibri"/>
          <w:color w:val="4F81BD"/>
          <w:lang w:val="pl-PL"/>
        </w:rPr>
        <w:tab/>
        <w:t xml:space="preserve">        </w:t>
      </w:r>
      <w:r w:rsidRPr="0045151D">
        <w:rPr>
          <w:rFonts w:ascii="Calibri" w:eastAsia="Calibri" w:hAnsi="Calibri" w:cs="Calibri"/>
          <w:i/>
          <w:color w:val="4F81BD"/>
          <w:lang w:val="pl-PL"/>
        </w:rPr>
        <w:t>1.10   Revenue projection inputs</w:t>
      </w:r>
      <w:bookmarkEnd w:id="54"/>
    </w:p>
    <w:tbl>
      <w:tblPr>
        <w:tblStyle w:val="affc"/>
        <w:tblW w:w="14885" w:type="dxa"/>
        <w:tblBorders>
          <w:top w:val="nil"/>
          <w:left w:val="nil"/>
          <w:bottom w:val="nil"/>
          <w:right w:val="nil"/>
          <w:insideH w:val="nil"/>
          <w:insideV w:val="single" w:sz="4" w:space="0" w:color="FFFFFF"/>
        </w:tblBorders>
        <w:tblLayout w:type="fixed"/>
        <w:tblLook w:val="0400" w:firstRow="0" w:lastRow="0" w:firstColumn="0" w:lastColumn="0" w:noHBand="0" w:noVBand="1"/>
      </w:tblPr>
      <w:tblGrid>
        <w:gridCol w:w="7655"/>
        <w:gridCol w:w="7230"/>
      </w:tblGrid>
      <w:tr w:rsidR="00600DEE" w:rsidRPr="007463B9" w14:paraId="1FE82D36" w14:textId="77777777" w:rsidTr="00B802AC">
        <w:trPr>
          <w:trHeight w:val="5318"/>
        </w:trPr>
        <w:tc>
          <w:tcPr>
            <w:tcW w:w="7655" w:type="dxa"/>
            <w:tcBorders>
              <w:right w:val="single" w:sz="4" w:space="0" w:color="auto"/>
            </w:tcBorders>
            <w:tcMar>
              <w:left w:w="284" w:type="dxa"/>
              <w:right w:w="284" w:type="dxa"/>
            </w:tcMar>
          </w:tcPr>
          <w:tbl>
            <w:tblPr>
              <w:tblStyle w:val="affd"/>
              <w:tblW w:w="6804" w:type="dxa"/>
              <w:tblBorders>
                <w:insideH w:val="single" w:sz="4" w:space="0" w:color="000000"/>
                <w:insideV w:val="single" w:sz="4" w:space="0" w:color="000000"/>
              </w:tblBorders>
              <w:tblLayout w:type="fixed"/>
              <w:tblLook w:val="0400" w:firstRow="0" w:lastRow="0" w:firstColumn="0" w:lastColumn="0" w:noHBand="0" w:noVBand="1"/>
            </w:tblPr>
            <w:tblGrid>
              <w:gridCol w:w="6804"/>
            </w:tblGrid>
            <w:tr w:rsidR="00600DEE" w14:paraId="7A262BE7" w14:textId="77777777" w:rsidTr="000927FA">
              <w:trPr>
                <w:trHeight w:hRule="exact" w:val="1134"/>
              </w:trPr>
              <w:tc>
                <w:tcPr>
                  <w:tcW w:w="6804" w:type="dxa"/>
                  <w:shd w:val="clear" w:color="auto" w:fill="DBE5F1"/>
                  <w:vAlign w:val="center"/>
                </w:tcPr>
                <w:p w14:paraId="6B56C08F" w14:textId="77777777" w:rsidR="00600DEE" w:rsidRDefault="00641FB5">
                  <w:pPr>
                    <w:spacing w:before="120" w:after="120" w:line="276" w:lineRule="auto"/>
                    <w:ind w:right="170"/>
                    <w:jc w:val="both"/>
                    <w:rPr>
                      <w:rFonts w:ascii="Calibri" w:eastAsia="Calibri" w:hAnsi="Calibri" w:cs="Calibri"/>
                      <w:sz w:val="20"/>
                      <w:szCs w:val="20"/>
                    </w:rPr>
                  </w:pPr>
                  <w:r>
                    <w:rPr>
                      <w:rFonts w:ascii="Calibri" w:eastAsia="Calibri" w:hAnsi="Calibri" w:cs="Calibri"/>
                      <w:sz w:val="20"/>
                      <w:szCs w:val="20"/>
                    </w:rPr>
                    <w:t>W przypadku dróg płatnych przychody do celów ustalenia dofinansowania obejmują tylko bezpośrednie opłaty pobierane od użytkowników tj. myto za przejazd oraz opłaty za dzierżawę MOP (Miejsce Obsługi Podróżnych).</w:t>
                  </w:r>
                </w:p>
              </w:tc>
            </w:tr>
          </w:tbl>
          <w:p w14:paraId="256F23CC"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Analizę przychodów z systemu poboru opłat należy wykonać przez wyliczenie przychodów zgodnie ze stawkami opłat dla poszczególnych kategorii pojazdów (kategorii opłat zgodnie z odpowiednim rozporządzeniem Ministra właściwego dla spraw transportu).</w:t>
            </w:r>
          </w:p>
          <w:p w14:paraId="33BD0BB9"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Stawki opłat za przejazd do analizy przychodów należy przyjąć w cenach stałych bez uwzględniania inflacji. (Uwaga: te same stawki powinny być wykorzystywane w modelu rozkładu ruchu na sieć.)</w:t>
            </w:r>
          </w:p>
          <w:p w14:paraId="76777E0A"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Uwzględnianie przychodów jest istotne na kilku etapach oceny projektu drogowego, na przykład:</w:t>
            </w:r>
          </w:p>
          <w:p w14:paraId="612B2A8F" w14:textId="7116F5C9" w:rsidR="00600DEE" w:rsidRDefault="00641FB5" w:rsidP="00D5736B">
            <w:pPr>
              <w:numPr>
                <w:ilvl w:val="0"/>
                <w:numId w:val="54"/>
              </w:numPr>
              <w:pBdr>
                <w:top w:val="nil"/>
                <w:left w:val="nil"/>
                <w:bottom w:val="nil"/>
                <w:right w:val="nil"/>
                <w:between w:val="nil"/>
              </w:pBdr>
              <w:spacing w:before="120" w:after="120"/>
              <w:ind w:left="850" w:hanging="850"/>
              <w:jc w:val="both"/>
              <w:rPr>
                <w:rFonts w:ascii="Calibri" w:eastAsia="Calibri" w:hAnsi="Calibri" w:cs="Calibri"/>
                <w:color w:val="000000"/>
                <w:sz w:val="20"/>
                <w:szCs w:val="20"/>
              </w:rPr>
            </w:pPr>
            <w:r>
              <w:rPr>
                <w:rFonts w:ascii="Calibri" w:eastAsia="Calibri" w:hAnsi="Calibri" w:cs="Calibri"/>
                <w:color w:val="000000"/>
                <w:sz w:val="20"/>
                <w:szCs w:val="20"/>
              </w:rPr>
              <w:t>w analizie finansowej do okreś</w:t>
            </w:r>
            <w:r w:rsidR="00B802AC">
              <w:rPr>
                <w:rFonts w:ascii="Calibri" w:eastAsia="Calibri" w:hAnsi="Calibri" w:cs="Calibri"/>
                <w:color w:val="000000"/>
                <w:sz w:val="20"/>
                <w:szCs w:val="20"/>
              </w:rPr>
              <w:t xml:space="preserve">lenia zdyskontowanego dochodu, </w:t>
            </w:r>
            <w:r>
              <w:rPr>
                <w:rFonts w:ascii="Calibri" w:eastAsia="Calibri" w:hAnsi="Calibri" w:cs="Calibri"/>
                <w:color w:val="000000"/>
                <w:sz w:val="20"/>
                <w:szCs w:val="20"/>
              </w:rPr>
              <w:t>gdy konieczne jest policzenie luki finansowej i kwoty dofinansowania,</w:t>
            </w:r>
          </w:p>
          <w:p w14:paraId="500CA390" w14:textId="77777777" w:rsidR="00600DEE" w:rsidRDefault="00641FB5" w:rsidP="00D5736B">
            <w:pPr>
              <w:numPr>
                <w:ilvl w:val="0"/>
                <w:numId w:val="54"/>
              </w:numPr>
              <w:pBdr>
                <w:top w:val="nil"/>
                <w:left w:val="nil"/>
                <w:bottom w:val="nil"/>
                <w:right w:val="nil"/>
                <w:between w:val="nil"/>
              </w:pBdr>
              <w:spacing w:before="120" w:after="120"/>
              <w:ind w:left="850" w:hanging="850"/>
              <w:jc w:val="both"/>
              <w:rPr>
                <w:rFonts w:ascii="Calibri" w:eastAsia="Calibri" w:hAnsi="Calibri" w:cs="Calibri"/>
                <w:color w:val="000000"/>
                <w:sz w:val="20"/>
                <w:szCs w:val="20"/>
              </w:rPr>
            </w:pPr>
            <w:r>
              <w:rPr>
                <w:rFonts w:ascii="Calibri" w:eastAsia="Calibri" w:hAnsi="Calibri" w:cs="Calibri"/>
                <w:color w:val="000000"/>
                <w:sz w:val="20"/>
                <w:szCs w:val="20"/>
              </w:rPr>
              <w:t>w analizie ekonomicznej przychody (dotyczące dróg płatnych) nie są brane pod uwagę,</w:t>
            </w:r>
          </w:p>
          <w:p w14:paraId="0FEBAF92" w14:textId="77777777" w:rsidR="00600DEE" w:rsidRDefault="00641FB5" w:rsidP="00D5736B">
            <w:pPr>
              <w:numPr>
                <w:ilvl w:val="0"/>
                <w:numId w:val="54"/>
              </w:numPr>
              <w:pBdr>
                <w:top w:val="nil"/>
                <w:left w:val="nil"/>
                <w:bottom w:val="nil"/>
                <w:right w:val="nil"/>
                <w:between w:val="nil"/>
              </w:pBdr>
              <w:spacing w:before="120" w:after="120"/>
              <w:ind w:left="850" w:hanging="850"/>
              <w:jc w:val="both"/>
              <w:rPr>
                <w:rFonts w:ascii="Calibri" w:eastAsia="Calibri" w:hAnsi="Calibri" w:cs="Calibri"/>
                <w:color w:val="000000"/>
                <w:sz w:val="20"/>
                <w:szCs w:val="20"/>
              </w:rPr>
            </w:pPr>
            <w:r>
              <w:rPr>
                <w:rFonts w:ascii="Calibri" w:eastAsia="Calibri" w:hAnsi="Calibri" w:cs="Calibri"/>
                <w:color w:val="000000"/>
                <w:sz w:val="20"/>
                <w:szCs w:val="20"/>
              </w:rPr>
              <w:t>w ocenie trwałości finansowej inwestycji.</w:t>
            </w:r>
          </w:p>
          <w:p w14:paraId="5FBB28DD"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11. Wymagane dane wejściowe do analizy przychodów</w:t>
            </w:r>
          </w:p>
          <w:tbl>
            <w:tblPr>
              <w:tblStyle w:val="affe"/>
              <w:tblW w:w="7088" w:type="dxa"/>
              <w:tblBorders>
                <w:insideH w:val="single" w:sz="4" w:space="0" w:color="000000"/>
                <w:insideV w:val="single" w:sz="4" w:space="0" w:color="000000"/>
              </w:tblBorders>
              <w:tblLayout w:type="fixed"/>
              <w:tblLook w:val="0400" w:firstRow="0" w:lastRow="0" w:firstColumn="0" w:lastColumn="0" w:noHBand="0" w:noVBand="1"/>
            </w:tblPr>
            <w:tblGrid>
              <w:gridCol w:w="7088"/>
            </w:tblGrid>
            <w:tr w:rsidR="00600DEE" w:rsidRPr="000927FA" w14:paraId="6592EE43" w14:textId="77777777" w:rsidTr="000927FA">
              <w:trPr>
                <w:trHeight w:hRule="exact" w:val="1701"/>
              </w:trPr>
              <w:tc>
                <w:tcPr>
                  <w:tcW w:w="7088" w:type="dxa"/>
                  <w:shd w:val="clear" w:color="auto" w:fill="DBE5F1"/>
                  <w:vAlign w:val="center"/>
                </w:tcPr>
                <w:p w14:paraId="2A1B824C" w14:textId="77777777" w:rsidR="00600DEE" w:rsidRPr="00B802AC" w:rsidRDefault="00641FB5">
                  <w:pPr>
                    <w:numPr>
                      <w:ilvl w:val="0"/>
                      <w:numId w:val="3"/>
                    </w:numPr>
                    <w:spacing w:line="276" w:lineRule="auto"/>
                    <w:ind w:left="742" w:right="170" w:hanging="742"/>
                    <w:jc w:val="both"/>
                    <w:rPr>
                      <w:rFonts w:ascii="Calibri" w:eastAsia="Calibri" w:hAnsi="Calibri" w:cs="Calibri"/>
                      <w:bCs/>
                      <w:color w:val="4F81BD"/>
                      <w:sz w:val="20"/>
                      <w:szCs w:val="20"/>
                    </w:rPr>
                  </w:pPr>
                  <w:r w:rsidRPr="00B802AC">
                    <w:rPr>
                      <w:rFonts w:ascii="Calibri" w:eastAsia="Calibri" w:hAnsi="Calibri" w:cs="Calibri"/>
                      <w:bCs/>
                      <w:color w:val="4F81BD"/>
                      <w:sz w:val="20"/>
                      <w:szCs w:val="20"/>
                    </w:rPr>
                    <w:t>Sposób poboru opłat (zależny od odległości/ryczałt, system zamknięty/ otwarty, itp.)</w:t>
                  </w:r>
                </w:p>
                <w:p w14:paraId="7C62798B" w14:textId="77777777" w:rsidR="00600DEE" w:rsidRPr="00B802AC" w:rsidRDefault="00641FB5">
                  <w:pPr>
                    <w:numPr>
                      <w:ilvl w:val="0"/>
                      <w:numId w:val="3"/>
                    </w:numPr>
                    <w:spacing w:line="276" w:lineRule="auto"/>
                    <w:ind w:left="742" w:right="170" w:hanging="742"/>
                    <w:jc w:val="both"/>
                    <w:rPr>
                      <w:rFonts w:ascii="Calibri" w:eastAsia="Calibri" w:hAnsi="Calibri" w:cs="Calibri"/>
                      <w:bCs/>
                      <w:color w:val="4F81BD"/>
                      <w:sz w:val="20"/>
                      <w:szCs w:val="20"/>
                    </w:rPr>
                  </w:pPr>
                  <w:r w:rsidRPr="00B802AC">
                    <w:rPr>
                      <w:rFonts w:ascii="Calibri" w:eastAsia="Calibri" w:hAnsi="Calibri" w:cs="Calibri"/>
                      <w:bCs/>
                      <w:color w:val="4F81BD"/>
                      <w:sz w:val="20"/>
                      <w:szCs w:val="20"/>
                    </w:rPr>
                    <w:t>Poziom stawek opłat za km według kategorii opłat (a także odpowiednio uśredniony).</w:t>
                  </w:r>
                </w:p>
                <w:p w14:paraId="68DDC4D3" w14:textId="77777777" w:rsidR="00600DEE" w:rsidRPr="00B802AC" w:rsidRDefault="00641FB5">
                  <w:pPr>
                    <w:numPr>
                      <w:ilvl w:val="0"/>
                      <w:numId w:val="3"/>
                    </w:numPr>
                    <w:spacing w:line="276" w:lineRule="auto"/>
                    <w:ind w:left="742" w:right="170" w:hanging="742"/>
                    <w:jc w:val="both"/>
                    <w:rPr>
                      <w:rFonts w:ascii="Calibri" w:eastAsia="Calibri" w:hAnsi="Calibri" w:cs="Calibri"/>
                      <w:bCs/>
                      <w:color w:val="4F81BD"/>
                      <w:sz w:val="20"/>
                      <w:szCs w:val="20"/>
                    </w:rPr>
                  </w:pPr>
                  <w:r w:rsidRPr="00B802AC">
                    <w:rPr>
                      <w:rFonts w:ascii="Calibri" w:eastAsia="Calibri" w:hAnsi="Calibri" w:cs="Calibri"/>
                      <w:bCs/>
                      <w:color w:val="4F81BD"/>
                      <w:sz w:val="20"/>
                      <w:szCs w:val="20"/>
                    </w:rPr>
                    <w:t>Prace przewozowe według kategorii pojazdów.</w:t>
                  </w:r>
                </w:p>
                <w:p w14:paraId="1ED4D242" w14:textId="77777777" w:rsidR="00600DEE" w:rsidRPr="000927FA" w:rsidRDefault="00641FB5">
                  <w:pPr>
                    <w:numPr>
                      <w:ilvl w:val="0"/>
                      <w:numId w:val="3"/>
                    </w:numPr>
                    <w:spacing w:line="276" w:lineRule="auto"/>
                    <w:ind w:left="742" w:right="170" w:hanging="742"/>
                    <w:jc w:val="both"/>
                    <w:rPr>
                      <w:rFonts w:ascii="Calibri" w:eastAsia="Calibri" w:hAnsi="Calibri" w:cs="Calibri"/>
                      <w:b/>
                      <w:bCs/>
                      <w:color w:val="323299"/>
                      <w:sz w:val="20"/>
                      <w:szCs w:val="20"/>
                    </w:rPr>
                  </w:pPr>
                  <w:r w:rsidRPr="00B802AC">
                    <w:rPr>
                      <w:rFonts w:ascii="Calibri" w:eastAsia="Calibri" w:hAnsi="Calibri" w:cs="Calibri"/>
                      <w:bCs/>
                      <w:color w:val="4F81BD"/>
                      <w:sz w:val="20"/>
                      <w:szCs w:val="20"/>
                    </w:rPr>
                    <w:t>Inne przychody (np. opłaty za dzierżawę MOP).</w:t>
                  </w:r>
                </w:p>
              </w:tc>
            </w:tr>
          </w:tbl>
          <w:p w14:paraId="50CB7AB2" w14:textId="77777777" w:rsidR="00600DEE" w:rsidRPr="000927FA" w:rsidRDefault="00641FB5">
            <w:pPr>
              <w:pBdr>
                <w:top w:val="nil"/>
                <w:left w:val="nil"/>
                <w:bottom w:val="nil"/>
                <w:right w:val="nil"/>
                <w:between w:val="nil"/>
              </w:pBdr>
              <w:spacing w:before="120" w:after="0"/>
              <w:jc w:val="both"/>
              <w:rPr>
                <w:rFonts w:ascii="Calibri" w:eastAsia="Calibri" w:hAnsi="Calibri" w:cs="Calibri"/>
                <w:b/>
                <w:bCs/>
                <w:color w:val="000000"/>
                <w:sz w:val="20"/>
                <w:szCs w:val="20"/>
              </w:rPr>
            </w:pPr>
            <w:r w:rsidRPr="000927FA">
              <w:rPr>
                <w:rFonts w:ascii="Calibri" w:eastAsia="Calibri" w:hAnsi="Calibri" w:cs="Calibri"/>
                <w:b/>
                <w:bCs/>
                <w:i/>
                <w:color w:val="000000"/>
                <w:sz w:val="16"/>
                <w:szCs w:val="16"/>
              </w:rPr>
              <w:t>Źródło: opracowanie własne.</w:t>
            </w:r>
          </w:p>
          <w:p w14:paraId="292EF042"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Należy zaznaczyć, że polityka kształtowania stawek i zróżnicowania pomiędzy różnymi kategoriami pojazdów powinna być przejrzysta i powszechnie dostępna. </w:t>
            </w:r>
          </w:p>
          <w:p w14:paraId="08C3D58B"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Stawki opłat elektronicznych (ETC) na drogach krajowych stosuje się obecnie dla następujących kategorii pojazdów, z uwzględnieniem różnych poziomów opłat za przejazd w zależności od kategorii emisji spalin (klasy EURO):</w:t>
            </w:r>
          </w:p>
          <w:p w14:paraId="5BE3E67F" w14:textId="77777777" w:rsidR="00600DEE" w:rsidRDefault="00641FB5" w:rsidP="00D5736B">
            <w:pPr>
              <w:numPr>
                <w:ilvl w:val="0"/>
                <w:numId w:val="54"/>
              </w:numPr>
              <w:pBdr>
                <w:top w:val="nil"/>
                <w:left w:val="nil"/>
                <w:bottom w:val="nil"/>
                <w:right w:val="nil"/>
                <w:between w:val="nil"/>
              </w:pBdr>
              <w:spacing w:before="120" w:after="120"/>
              <w:ind w:left="709" w:hanging="709"/>
              <w:jc w:val="both"/>
              <w:rPr>
                <w:rFonts w:ascii="Calibri" w:eastAsia="Calibri" w:hAnsi="Calibri" w:cs="Calibri"/>
                <w:color w:val="000000"/>
                <w:sz w:val="20"/>
                <w:szCs w:val="20"/>
              </w:rPr>
            </w:pPr>
            <w:r>
              <w:rPr>
                <w:rFonts w:ascii="Calibri" w:eastAsia="Calibri" w:hAnsi="Calibri" w:cs="Calibri"/>
                <w:color w:val="000000"/>
                <w:sz w:val="20"/>
                <w:szCs w:val="20"/>
              </w:rPr>
              <w:t>pojazdy o dopuszczalnej masie całkowitej powyżej 3,5 tony i poniżej 12 ton,</w:t>
            </w:r>
          </w:p>
          <w:p w14:paraId="510E8E65" w14:textId="77777777" w:rsidR="00600DEE" w:rsidRDefault="00641FB5" w:rsidP="00D5736B">
            <w:pPr>
              <w:numPr>
                <w:ilvl w:val="0"/>
                <w:numId w:val="54"/>
              </w:numPr>
              <w:pBdr>
                <w:top w:val="nil"/>
                <w:left w:val="nil"/>
                <w:bottom w:val="nil"/>
                <w:right w:val="nil"/>
                <w:between w:val="nil"/>
              </w:pBdr>
              <w:spacing w:before="120" w:after="120"/>
              <w:ind w:left="709" w:hanging="709"/>
              <w:jc w:val="both"/>
              <w:rPr>
                <w:rFonts w:ascii="Calibri" w:eastAsia="Calibri" w:hAnsi="Calibri" w:cs="Calibri"/>
                <w:color w:val="000000"/>
                <w:sz w:val="20"/>
                <w:szCs w:val="20"/>
              </w:rPr>
            </w:pPr>
            <w:r>
              <w:rPr>
                <w:rFonts w:ascii="Calibri" w:eastAsia="Calibri" w:hAnsi="Calibri" w:cs="Calibri"/>
                <w:color w:val="000000"/>
                <w:sz w:val="20"/>
                <w:szCs w:val="20"/>
              </w:rPr>
              <w:t>pojazdy o dopuszczalnej masie całkowitej, co najmniej 12 ton,</w:t>
            </w:r>
          </w:p>
          <w:p w14:paraId="3679A6FD" w14:textId="77777777" w:rsidR="00600DEE" w:rsidRDefault="00641FB5" w:rsidP="00D5736B">
            <w:pPr>
              <w:numPr>
                <w:ilvl w:val="0"/>
                <w:numId w:val="54"/>
              </w:numPr>
              <w:pBdr>
                <w:top w:val="nil"/>
                <w:left w:val="nil"/>
                <w:bottom w:val="nil"/>
                <w:right w:val="nil"/>
                <w:between w:val="nil"/>
              </w:pBdr>
              <w:spacing w:before="120" w:after="120"/>
              <w:ind w:left="709" w:hanging="709"/>
              <w:jc w:val="both"/>
              <w:rPr>
                <w:rFonts w:ascii="Calibri" w:eastAsia="Calibri" w:hAnsi="Calibri" w:cs="Calibri"/>
                <w:color w:val="000000"/>
                <w:sz w:val="20"/>
                <w:szCs w:val="20"/>
              </w:rPr>
            </w:pPr>
            <w:r>
              <w:rPr>
                <w:rFonts w:ascii="Calibri" w:eastAsia="Calibri" w:hAnsi="Calibri" w:cs="Calibri"/>
                <w:color w:val="000000"/>
                <w:sz w:val="20"/>
                <w:szCs w:val="20"/>
              </w:rPr>
              <w:t>autobusy niezależnie od ich dopuszczalnej masy całkowitej.</w:t>
            </w:r>
          </w:p>
          <w:p w14:paraId="7407F9C5"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Przypisanie kategorii pojazdów systemu ETC do kategorii pojazdów uwzględnianych w prognozie wspomniane powyżej powinno być następujące: SC (samochody ciężarowe bez przyczep) – pierwsza kategoria ETC opisana powyżej, SCp (samochody ciężarowe z przyczepami) – druga kategoria i A (autobusy), – trzecia.</w:t>
            </w:r>
          </w:p>
          <w:p w14:paraId="7105EDCE"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Dopuszcza się także podział na inne kategorie pojazdów przy przedstawianiu wyników prognozy, na przykład:</w:t>
            </w:r>
          </w:p>
          <w:p w14:paraId="0B80DFC4" w14:textId="77777777" w:rsidR="00600DEE" w:rsidRDefault="00641FB5" w:rsidP="00D5736B">
            <w:pPr>
              <w:numPr>
                <w:ilvl w:val="0"/>
                <w:numId w:val="54"/>
              </w:numPr>
              <w:pBdr>
                <w:top w:val="nil"/>
                <w:left w:val="nil"/>
                <w:bottom w:val="nil"/>
                <w:right w:val="nil"/>
                <w:between w:val="nil"/>
              </w:pBdr>
              <w:spacing w:before="120" w:after="120"/>
              <w:ind w:left="709" w:hanging="709"/>
              <w:jc w:val="both"/>
              <w:rPr>
                <w:rFonts w:ascii="Calibri" w:eastAsia="Calibri" w:hAnsi="Calibri" w:cs="Calibri"/>
                <w:color w:val="000000"/>
                <w:sz w:val="20"/>
                <w:szCs w:val="20"/>
              </w:rPr>
            </w:pPr>
            <w:r>
              <w:rPr>
                <w:rFonts w:ascii="Calibri" w:eastAsia="Calibri" w:hAnsi="Calibri" w:cs="Calibri"/>
                <w:b/>
                <w:color w:val="000000"/>
                <w:sz w:val="20"/>
                <w:szCs w:val="20"/>
              </w:rPr>
              <w:t>LV</w:t>
            </w:r>
            <w:r>
              <w:rPr>
                <w:rFonts w:ascii="Calibri" w:eastAsia="Calibri" w:hAnsi="Calibri" w:cs="Calibri"/>
                <w:color w:val="000000"/>
                <w:sz w:val="20"/>
                <w:szCs w:val="20"/>
              </w:rPr>
              <w:t xml:space="preserve"> – samochody lekkie, masa całkowita &lt; 3,5 tony</w:t>
            </w:r>
          </w:p>
          <w:p w14:paraId="6A151347" w14:textId="77777777" w:rsidR="00600DEE" w:rsidRDefault="00641FB5" w:rsidP="00D5736B">
            <w:pPr>
              <w:numPr>
                <w:ilvl w:val="0"/>
                <w:numId w:val="54"/>
              </w:numPr>
              <w:pBdr>
                <w:top w:val="nil"/>
                <w:left w:val="nil"/>
                <w:bottom w:val="nil"/>
                <w:right w:val="nil"/>
                <w:between w:val="nil"/>
              </w:pBdr>
              <w:spacing w:before="120" w:after="120"/>
              <w:ind w:left="709" w:hanging="709"/>
              <w:jc w:val="both"/>
              <w:rPr>
                <w:rFonts w:ascii="Calibri" w:eastAsia="Calibri" w:hAnsi="Calibri" w:cs="Calibri"/>
                <w:color w:val="000000"/>
                <w:sz w:val="20"/>
                <w:szCs w:val="20"/>
              </w:rPr>
            </w:pPr>
            <w:r>
              <w:rPr>
                <w:rFonts w:ascii="Calibri" w:eastAsia="Calibri" w:hAnsi="Calibri" w:cs="Calibri"/>
                <w:b/>
                <w:color w:val="000000"/>
                <w:sz w:val="20"/>
                <w:szCs w:val="20"/>
              </w:rPr>
              <w:t xml:space="preserve">HGV </w:t>
            </w:r>
            <w:r>
              <w:rPr>
                <w:rFonts w:ascii="Calibri" w:eastAsia="Calibri" w:hAnsi="Calibri" w:cs="Calibri"/>
                <w:color w:val="000000"/>
                <w:sz w:val="20"/>
                <w:szCs w:val="20"/>
              </w:rPr>
              <w:t xml:space="preserve"> – samochody ciężkie, masa całkowita &gt; 3,5 tony (w tym autobusy);</w:t>
            </w:r>
          </w:p>
          <w:p w14:paraId="45918A05"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HGV obejmuje wszystkie wspomniane powyżej kategorie pojazdów objętych opłatami ETC.</w:t>
            </w:r>
          </w:p>
          <w:p w14:paraId="7B68CBFD" w14:textId="77777777" w:rsidR="00600DEE" w:rsidRDefault="00600DEE">
            <w:pPr>
              <w:pBdr>
                <w:top w:val="nil"/>
                <w:left w:val="nil"/>
                <w:bottom w:val="nil"/>
                <w:right w:val="nil"/>
                <w:between w:val="nil"/>
              </w:pBdr>
              <w:spacing w:before="120" w:after="120"/>
              <w:jc w:val="both"/>
              <w:rPr>
                <w:rFonts w:ascii="Calibri" w:eastAsia="Calibri" w:hAnsi="Calibri" w:cs="Calibri"/>
                <w:color w:val="000000"/>
                <w:sz w:val="20"/>
                <w:szCs w:val="20"/>
              </w:rPr>
            </w:pPr>
          </w:p>
          <w:tbl>
            <w:tblPr>
              <w:tblStyle w:val="afff"/>
              <w:tblW w:w="7088" w:type="dxa"/>
              <w:tblBorders>
                <w:insideH w:val="single" w:sz="4" w:space="0" w:color="000000"/>
                <w:insideV w:val="single" w:sz="4" w:space="0" w:color="000000"/>
              </w:tblBorders>
              <w:tblLayout w:type="fixed"/>
              <w:tblLook w:val="0400" w:firstRow="0" w:lastRow="0" w:firstColumn="0" w:lastColumn="0" w:noHBand="0" w:noVBand="1"/>
            </w:tblPr>
            <w:tblGrid>
              <w:gridCol w:w="7088"/>
            </w:tblGrid>
            <w:tr w:rsidR="00600DEE" w:rsidRPr="007463B9" w14:paraId="0CC11C53" w14:textId="77777777">
              <w:trPr>
                <w:trHeight w:val="297"/>
              </w:trPr>
              <w:tc>
                <w:tcPr>
                  <w:tcW w:w="7088" w:type="dxa"/>
                  <w:shd w:val="clear" w:color="auto" w:fill="DBE5F1"/>
                </w:tcPr>
                <w:p w14:paraId="7E669182" w14:textId="77777777" w:rsidR="00600DEE" w:rsidRDefault="00641FB5">
                  <w:pPr>
                    <w:ind w:right="170"/>
                    <w:jc w:val="center"/>
                    <w:rPr>
                      <w:rFonts w:ascii="Calibri" w:eastAsia="Calibri" w:hAnsi="Calibri" w:cs="Calibri"/>
                      <w:b/>
                      <w:color w:val="4F81BD"/>
                      <w:sz w:val="20"/>
                      <w:szCs w:val="20"/>
                    </w:rPr>
                  </w:pPr>
                  <w:r>
                    <w:rPr>
                      <w:rFonts w:ascii="Calibri" w:eastAsia="Calibri" w:hAnsi="Calibri" w:cs="Calibri"/>
                      <w:b/>
                      <w:color w:val="4F81BD"/>
                      <w:sz w:val="20"/>
                      <w:szCs w:val="20"/>
                    </w:rPr>
                    <w:t>Polityka opłat w sektorze dróg i zasada zanieczyszczający płaci</w:t>
                  </w:r>
                </w:p>
                <w:p w14:paraId="3FE917F2" w14:textId="77777777" w:rsidR="00600DEE" w:rsidRDefault="00600DEE">
                  <w:pPr>
                    <w:ind w:right="170"/>
                    <w:jc w:val="both"/>
                    <w:rPr>
                      <w:rFonts w:ascii="Calibri" w:eastAsia="Calibri" w:hAnsi="Calibri" w:cs="Calibri"/>
                      <w:color w:val="4F81BD"/>
                      <w:sz w:val="20"/>
                      <w:szCs w:val="20"/>
                    </w:rPr>
                  </w:pPr>
                </w:p>
                <w:p w14:paraId="6C487228" w14:textId="77777777" w:rsidR="00600DEE" w:rsidRDefault="00641FB5">
                  <w:pPr>
                    <w:spacing w:after="120"/>
                    <w:ind w:right="170"/>
                    <w:jc w:val="both"/>
                    <w:rPr>
                      <w:rFonts w:ascii="Calibri" w:eastAsia="Calibri" w:hAnsi="Calibri" w:cs="Calibri"/>
                      <w:color w:val="4F81BD"/>
                      <w:sz w:val="18"/>
                      <w:szCs w:val="18"/>
                    </w:rPr>
                  </w:pPr>
                  <w:r>
                    <w:rPr>
                      <w:rFonts w:ascii="Calibri" w:eastAsia="Calibri" w:hAnsi="Calibri" w:cs="Calibri"/>
                      <w:color w:val="4F81BD"/>
                      <w:sz w:val="18"/>
                      <w:szCs w:val="18"/>
                    </w:rPr>
                    <w:t xml:space="preserve">Beneficjent powinien opisać, w jakim stopniu projekt respektuje zasadę „zanieczyszczający płaci” (bez względu na to, jakie na nim samym spoczywają obowiązki w tym zakresie). Jeśli zasada ta polegająca na zapobieganiu i korygowaniu szkód w środowisku jest przestrzegana od początku, na etapie projektu budowlanego (w tym w ramach procedury OOŚ), to zasada „zanieczyszczający płaci” będzie realizowana poprzez opłaty lub koszty ponoszone przez użytkowników w fazie eksploatacji projektu. </w:t>
                  </w:r>
                </w:p>
                <w:p w14:paraId="3250612B" w14:textId="77777777" w:rsidR="00600DEE" w:rsidRDefault="00641FB5">
                  <w:pPr>
                    <w:spacing w:before="120"/>
                    <w:ind w:right="170"/>
                    <w:jc w:val="both"/>
                    <w:rPr>
                      <w:rFonts w:ascii="Calibri" w:eastAsia="Calibri" w:hAnsi="Calibri" w:cs="Calibri"/>
                      <w:color w:val="4F81BD"/>
                      <w:sz w:val="18"/>
                      <w:szCs w:val="18"/>
                    </w:rPr>
                  </w:pPr>
                  <w:r>
                    <w:rPr>
                      <w:rFonts w:ascii="Calibri" w:eastAsia="Calibri" w:hAnsi="Calibri" w:cs="Calibri"/>
                      <w:color w:val="4F81BD"/>
                      <w:sz w:val="18"/>
                      <w:szCs w:val="18"/>
                    </w:rPr>
                    <w:t xml:space="preserve">Zasada „zanieczyszczający płaci” może być rozumiana jako systemy cenowe obejmujące zewnętrzne koszty środowiskowe, a także koszty zużycia i eksploatacji infrastruktury, </w:t>
                  </w:r>
                  <w:r>
                    <w:rPr>
                      <w:rFonts w:ascii="Calibri" w:eastAsia="Calibri" w:hAnsi="Calibri" w:cs="Calibri"/>
                      <w:color w:val="4F81BD"/>
                      <w:sz w:val="18"/>
                      <w:szCs w:val="18"/>
                    </w:rPr>
                    <w:br/>
                    <w:t>w zależności od funkcjonujących systemów krajowych i „zasad sprawiedliwości powiązanych ze względną zamożnością danego państwa członkowskiego lub regionu” (WE, 2013). Koszty środowiskowe transportu są najlepiej zinternalizowane za pomocą narzędzi takich, jak opodatkowanie paliwa, podczas gdy koszty związane z korzystaniem z infrastruktury na niektórych drogach najskuteczniej są odzyskiwane przez opłaty zależne od przebytych odległości (myto) lub opłaty czasowe (winiety). Ponadto, w niektórych krajach raz w roku lub przy zakupie pojazdu, nakładane są podatki samochodowe lub drogowe.</w:t>
                  </w:r>
                </w:p>
                <w:p w14:paraId="50AC732E" w14:textId="77777777" w:rsidR="00600DEE" w:rsidRDefault="00641FB5">
                  <w:pPr>
                    <w:spacing w:before="120"/>
                    <w:ind w:right="170"/>
                    <w:jc w:val="both"/>
                    <w:rPr>
                      <w:rFonts w:ascii="Calibri" w:eastAsia="Calibri" w:hAnsi="Calibri" w:cs="Calibri"/>
                      <w:color w:val="4F81BD"/>
                      <w:sz w:val="18"/>
                      <w:szCs w:val="18"/>
                    </w:rPr>
                  </w:pPr>
                  <w:r>
                    <w:rPr>
                      <w:rFonts w:ascii="Calibri" w:eastAsia="Calibri" w:hAnsi="Calibri" w:cs="Calibri"/>
                      <w:color w:val="4F81BD"/>
                      <w:sz w:val="18"/>
                      <w:szCs w:val="18"/>
                    </w:rPr>
                    <w:t>Zgodnie z prawodawstwem UE, pobieranie opłat w przypadku transportu drogowego jest dobrowolne. Tylko niektóre drogi TEN-T i autostrady są przedmiotem opłat uzależnionych od przebytej odległości, podczas gdy inne są objęte systemem winiet czasowych, a jeszcze inne są wolne od jakichkolwiek opłat. Nakładanie opłat drogowych od pojazdów ciężarowych (HGV) na sieci TEN-T i autostrad jest regulowane na poziomie UE (przepisy mające zastosowanie w Polsce), podczas gdy obecnie nie istnieją ramy legislacyjne dla samochodów osobowych, dostawczych i motocykli.</w:t>
                  </w:r>
                </w:p>
                <w:p w14:paraId="02CB8D46" w14:textId="77777777" w:rsidR="00600DEE" w:rsidRDefault="00641FB5">
                  <w:pPr>
                    <w:spacing w:before="120"/>
                    <w:ind w:right="170"/>
                    <w:jc w:val="both"/>
                    <w:rPr>
                      <w:rFonts w:ascii="Calibri" w:eastAsia="Calibri" w:hAnsi="Calibri" w:cs="Calibri"/>
                      <w:color w:val="4F81BD"/>
                      <w:sz w:val="20"/>
                      <w:szCs w:val="20"/>
                    </w:rPr>
                  </w:pPr>
                  <w:r>
                    <w:rPr>
                      <w:rFonts w:ascii="Calibri" w:eastAsia="Calibri" w:hAnsi="Calibri" w:cs="Calibri"/>
                      <w:color w:val="4F81BD"/>
                      <w:sz w:val="18"/>
                      <w:szCs w:val="18"/>
                    </w:rPr>
                    <w:t>Podsumowując, w związku z powyższym, Beneficjent powinien wyjaśnić stosowanie zasady „zanieczyszczający płaci” w ramach systemu nakładania opłat za użytkowanie projektu (tj. internalizacji kosztów zewnętrznych oraz kosztów zużycia) i / lub opisać istniejące narzędzia na poziomie krajowym umożliwiające zwrot głównych kosztów zewnętrznych dla projektów finansowanych z UE, jak również związane z projektem aspekty stabilności finansowej przedsięwzięcia.</w:t>
                  </w:r>
                </w:p>
                <w:p w14:paraId="55F75693" w14:textId="77777777" w:rsidR="00600DEE" w:rsidRPr="0045151D" w:rsidRDefault="00641FB5">
                  <w:pPr>
                    <w:spacing w:before="120"/>
                    <w:ind w:right="170"/>
                    <w:jc w:val="both"/>
                    <w:rPr>
                      <w:rFonts w:ascii="Calibri" w:eastAsia="Calibri" w:hAnsi="Calibri" w:cs="Calibri"/>
                      <w:color w:val="4F81BD"/>
                      <w:sz w:val="20"/>
                      <w:szCs w:val="20"/>
                      <w:lang w:val="en-GB"/>
                    </w:rPr>
                  </w:pPr>
                  <w:r w:rsidRPr="0045151D">
                    <w:rPr>
                      <w:rFonts w:ascii="Calibri" w:eastAsia="Calibri" w:hAnsi="Calibri" w:cs="Calibri"/>
                      <w:color w:val="4F81BD"/>
                      <w:sz w:val="16"/>
                      <w:szCs w:val="16"/>
                      <w:lang w:val="en-GB"/>
                    </w:rPr>
                    <w:t>Źródła: European Commission (2012), Background document for the public consultation on the charging of the use of road infrastructure, DG for Mobility and Transport and European Commission (2013), Assessing the projects on the ESFRI roadmap’ a high level expert group report, DG for Research and Innovation.</w:t>
                  </w:r>
                </w:p>
              </w:tc>
            </w:tr>
          </w:tbl>
          <w:p w14:paraId="67685B3D" w14:textId="77777777" w:rsidR="00600DEE" w:rsidRPr="0045151D" w:rsidRDefault="00600DEE">
            <w:pPr>
              <w:pBdr>
                <w:top w:val="nil"/>
                <w:left w:val="nil"/>
                <w:bottom w:val="nil"/>
                <w:right w:val="nil"/>
                <w:between w:val="nil"/>
              </w:pBdr>
              <w:spacing w:before="120" w:after="120"/>
              <w:jc w:val="both"/>
              <w:rPr>
                <w:rFonts w:ascii="Calibri" w:eastAsia="Calibri" w:hAnsi="Calibri" w:cs="Calibri"/>
                <w:color w:val="000000"/>
                <w:sz w:val="20"/>
                <w:szCs w:val="20"/>
                <w:lang w:val="en-GB"/>
              </w:rPr>
            </w:pPr>
          </w:p>
        </w:tc>
        <w:tc>
          <w:tcPr>
            <w:tcW w:w="7230" w:type="dxa"/>
            <w:tcBorders>
              <w:left w:val="single" w:sz="4" w:space="0" w:color="auto"/>
            </w:tcBorders>
            <w:tcMar>
              <w:left w:w="284" w:type="dxa"/>
              <w:right w:w="284" w:type="dxa"/>
            </w:tcMar>
          </w:tcPr>
          <w:tbl>
            <w:tblPr>
              <w:tblStyle w:val="afff0"/>
              <w:tblW w:w="6929" w:type="dxa"/>
              <w:tblBorders>
                <w:insideH w:val="single" w:sz="4" w:space="0" w:color="000000"/>
                <w:insideV w:val="single" w:sz="4" w:space="0" w:color="000000"/>
              </w:tblBorders>
              <w:tblLayout w:type="fixed"/>
              <w:tblLook w:val="0400" w:firstRow="0" w:lastRow="0" w:firstColumn="0" w:lastColumn="0" w:noHBand="0" w:noVBand="1"/>
            </w:tblPr>
            <w:tblGrid>
              <w:gridCol w:w="6929"/>
            </w:tblGrid>
            <w:tr w:rsidR="00600DEE" w:rsidRPr="007463B9" w14:paraId="0654212D" w14:textId="77777777" w:rsidTr="000927FA">
              <w:trPr>
                <w:trHeight w:hRule="exact" w:val="1134"/>
              </w:trPr>
              <w:tc>
                <w:tcPr>
                  <w:tcW w:w="6929" w:type="dxa"/>
                  <w:shd w:val="clear" w:color="auto" w:fill="DBE5F1"/>
                  <w:vAlign w:val="center"/>
                </w:tcPr>
                <w:p w14:paraId="5C460C56" w14:textId="77777777" w:rsidR="00600DEE" w:rsidRPr="0045151D" w:rsidRDefault="00641FB5" w:rsidP="00DA7241">
                  <w:pPr>
                    <w:spacing w:before="120" w:line="276" w:lineRule="auto"/>
                    <w:ind w:right="89"/>
                    <w:jc w:val="both"/>
                    <w:rPr>
                      <w:rFonts w:ascii="Calibri" w:eastAsia="Calibri" w:hAnsi="Calibri" w:cs="Calibri"/>
                      <w:sz w:val="20"/>
                      <w:szCs w:val="20"/>
                      <w:lang w:val="en-GB"/>
                    </w:rPr>
                  </w:pPr>
                  <w:r w:rsidRPr="0045151D">
                    <w:rPr>
                      <w:rFonts w:ascii="Calibri" w:eastAsia="Calibri" w:hAnsi="Calibri" w:cs="Calibri"/>
                      <w:sz w:val="20"/>
                      <w:szCs w:val="20"/>
                      <w:lang w:val="en-GB"/>
                    </w:rPr>
                    <w:t>For the purpose of co-funding calculation in toll road projects, revenues will basically include direct payments made by users, i.e. tolls and service area rents.</w:t>
                  </w:r>
                </w:p>
              </w:tc>
            </w:tr>
          </w:tbl>
          <w:p w14:paraId="64897E55" w14:textId="77777777" w:rsidR="00600DEE" w:rsidRPr="0045151D" w:rsidRDefault="00641FB5">
            <w:pPr>
              <w:pBdr>
                <w:top w:val="nil"/>
                <w:left w:val="nil"/>
                <w:bottom w:val="nil"/>
                <w:right w:val="nil"/>
                <w:between w:val="nil"/>
              </w:pBdr>
              <w:spacing w:before="120" w:after="0"/>
              <w:ind w:right="-2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toll system revenues analysis should be made by evaluating the revenues considering different toll levels for individual vehicle categories (toll categories, in accordance with the respective regulation of the competent Minister).</w:t>
            </w:r>
          </w:p>
          <w:p w14:paraId="09C06B8F" w14:textId="77777777" w:rsidR="00600DEE" w:rsidRPr="0045151D" w:rsidRDefault="00641FB5">
            <w:pPr>
              <w:pBdr>
                <w:top w:val="nil"/>
                <w:left w:val="nil"/>
                <w:bottom w:val="nil"/>
                <w:right w:val="nil"/>
                <w:between w:val="nil"/>
              </w:pBdr>
              <w:spacing w:before="120" w:after="0"/>
              <w:ind w:right="-2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Toll rates and revenue analyses should be prepared in constant prices without inflation. (NB: the same rates should be used in the network traffic distribution model.)</w:t>
            </w:r>
          </w:p>
          <w:p w14:paraId="35EAF6E9" w14:textId="77777777" w:rsidR="00600DEE" w:rsidRPr="0045151D" w:rsidRDefault="00641FB5">
            <w:pPr>
              <w:pBdr>
                <w:top w:val="nil"/>
                <w:left w:val="nil"/>
                <w:bottom w:val="nil"/>
                <w:right w:val="nil"/>
                <w:between w:val="nil"/>
              </w:pBdr>
              <w:spacing w:before="120" w:after="0"/>
              <w:ind w:right="-2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Revenues will be taken into account at several stages of road project appraisal, for example:</w:t>
            </w:r>
          </w:p>
          <w:p w14:paraId="120F17B2" w14:textId="77777777" w:rsidR="00600DEE" w:rsidRPr="0045151D" w:rsidRDefault="00641FB5" w:rsidP="00D5736B">
            <w:pPr>
              <w:numPr>
                <w:ilvl w:val="0"/>
                <w:numId w:val="82"/>
              </w:numPr>
              <w:pBdr>
                <w:top w:val="nil"/>
                <w:left w:val="nil"/>
                <w:bottom w:val="nil"/>
                <w:right w:val="nil"/>
                <w:between w:val="nil"/>
              </w:pBdr>
              <w:spacing w:before="120" w:after="0"/>
              <w:ind w:left="884" w:right="-284" w:hanging="8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financial analysis to calculate the discounted net revenue, when calculation of financing gap  and co-financing amount is considered,</w:t>
            </w:r>
          </w:p>
          <w:p w14:paraId="680CD357" w14:textId="77777777" w:rsidR="00600DEE" w:rsidRPr="0045151D" w:rsidRDefault="00641FB5" w:rsidP="00D5736B">
            <w:pPr>
              <w:numPr>
                <w:ilvl w:val="0"/>
                <w:numId w:val="82"/>
              </w:numPr>
              <w:pBdr>
                <w:top w:val="nil"/>
                <w:left w:val="nil"/>
                <w:bottom w:val="nil"/>
                <w:right w:val="nil"/>
                <w:between w:val="nil"/>
              </w:pBdr>
              <w:spacing w:before="120" w:after="0"/>
              <w:ind w:left="884" w:right="-284" w:hanging="8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economic analysis revenues (for toll roads) are not considered,</w:t>
            </w:r>
          </w:p>
          <w:p w14:paraId="4F149BFA" w14:textId="77777777" w:rsidR="00600DEE" w:rsidRPr="0045151D" w:rsidRDefault="00641FB5" w:rsidP="00D5736B">
            <w:pPr>
              <w:numPr>
                <w:ilvl w:val="0"/>
                <w:numId w:val="82"/>
              </w:numPr>
              <w:pBdr>
                <w:top w:val="nil"/>
                <w:left w:val="nil"/>
                <w:bottom w:val="nil"/>
                <w:right w:val="nil"/>
                <w:between w:val="nil"/>
              </w:pBdr>
              <w:spacing w:before="120" w:after="0"/>
              <w:ind w:left="884" w:right="-284" w:hanging="8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financial sustainability assessment.</w:t>
            </w:r>
          </w:p>
          <w:p w14:paraId="64B0AAD2" w14:textId="77777777" w:rsidR="00600DEE" w:rsidRPr="0045151D" w:rsidRDefault="00600DEE">
            <w:pPr>
              <w:pBdr>
                <w:top w:val="nil"/>
                <w:left w:val="nil"/>
                <w:bottom w:val="nil"/>
                <w:right w:val="nil"/>
                <w:between w:val="nil"/>
              </w:pBdr>
              <w:spacing w:before="120" w:after="0"/>
              <w:ind w:left="567"/>
              <w:jc w:val="both"/>
              <w:rPr>
                <w:rFonts w:ascii="Calibri" w:eastAsia="Calibri" w:hAnsi="Calibri" w:cs="Calibri"/>
                <w:color w:val="000000"/>
                <w:sz w:val="20"/>
                <w:szCs w:val="20"/>
                <w:lang w:val="en-GB"/>
              </w:rPr>
            </w:pPr>
          </w:p>
          <w:p w14:paraId="65744F46" w14:textId="77777777" w:rsidR="00600DEE" w:rsidRPr="0045151D" w:rsidRDefault="00600DEE" w:rsidP="00DF6B9D">
            <w:pPr>
              <w:pBdr>
                <w:top w:val="nil"/>
                <w:left w:val="nil"/>
                <w:bottom w:val="nil"/>
                <w:right w:val="nil"/>
                <w:between w:val="nil"/>
              </w:pBdr>
              <w:spacing w:before="0" w:after="240"/>
              <w:jc w:val="both"/>
              <w:rPr>
                <w:rFonts w:ascii="Calibri" w:eastAsia="Calibri" w:hAnsi="Calibri" w:cs="Calibri"/>
                <w:b/>
                <w:color w:val="4F81BD"/>
                <w:sz w:val="20"/>
                <w:szCs w:val="20"/>
                <w:lang w:val="en-GB"/>
              </w:rPr>
            </w:pPr>
          </w:p>
          <w:p w14:paraId="3A12101D" w14:textId="77777777" w:rsidR="00600DEE" w:rsidRPr="0045151D" w:rsidRDefault="00641FB5">
            <w:pPr>
              <w:pBdr>
                <w:top w:val="nil"/>
                <w:left w:val="nil"/>
                <w:bottom w:val="nil"/>
                <w:right w:val="nil"/>
                <w:between w:val="nil"/>
              </w:pBdr>
              <w:spacing w:before="0" w:after="12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11. Required inputs for revenues analysis</w:t>
            </w:r>
          </w:p>
          <w:tbl>
            <w:tblPr>
              <w:tblStyle w:val="afff1"/>
              <w:tblW w:w="7022" w:type="dxa"/>
              <w:tblBorders>
                <w:insideH w:val="single" w:sz="4" w:space="0" w:color="000000"/>
                <w:insideV w:val="single" w:sz="4" w:space="0" w:color="000000"/>
              </w:tblBorders>
              <w:tblLayout w:type="fixed"/>
              <w:tblLook w:val="0400" w:firstRow="0" w:lastRow="0" w:firstColumn="0" w:lastColumn="0" w:noHBand="0" w:noVBand="1"/>
            </w:tblPr>
            <w:tblGrid>
              <w:gridCol w:w="7022"/>
            </w:tblGrid>
            <w:tr w:rsidR="00600DEE" w:rsidRPr="007463B9" w14:paraId="6EA88595" w14:textId="77777777" w:rsidTr="000927FA">
              <w:trPr>
                <w:trHeight w:hRule="exact" w:val="1701"/>
              </w:trPr>
              <w:tc>
                <w:tcPr>
                  <w:tcW w:w="7022" w:type="dxa"/>
                  <w:shd w:val="clear" w:color="auto" w:fill="DBE5F1"/>
                  <w:vAlign w:val="center"/>
                </w:tcPr>
                <w:p w14:paraId="620100A6" w14:textId="77777777" w:rsidR="00600DEE" w:rsidRPr="0045151D" w:rsidRDefault="00641FB5">
                  <w:pPr>
                    <w:numPr>
                      <w:ilvl w:val="0"/>
                      <w:numId w:val="3"/>
                    </w:numPr>
                    <w:spacing w:line="276" w:lineRule="auto"/>
                    <w:ind w:left="754" w:right="170" w:hanging="754"/>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Toll collection system (km based/lump sum, open/closed system, etc.)</w:t>
                  </w:r>
                </w:p>
                <w:p w14:paraId="5B82D185" w14:textId="77777777" w:rsidR="00600DEE" w:rsidRPr="0045151D" w:rsidRDefault="00641FB5">
                  <w:pPr>
                    <w:numPr>
                      <w:ilvl w:val="0"/>
                      <w:numId w:val="3"/>
                    </w:numPr>
                    <w:spacing w:line="276" w:lineRule="auto"/>
                    <w:ind w:left="754" w:right="170" w:hanging="754"/>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Toll rates per km in each toll category (and adequate average).</w:t>
                  </w:r>
                </w:p>
                <w:p w14:paraId="44ACC6C3" w14:textId="77777777" w:rsidR="00600DEE" w:rsidRPr="0045151D" w:rsidRDefault="00641FB5">
                  <w:pPr>
                    <w:numPr>
                      <w:ilvl w:val="0"/>
                      <w:numId w:val="3"/>
                    </w:numPr>
                    <w:spacing w:line="276" w:lineRule="auto"/>
                    <w:ind w:left="754" w:right="170" w:hanging="754"/>
                    <w:jc w:val="both"/>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Transport work per vehicle category.</w:t>
                  </w:r>
                </w:p>
                <w:p w14:paraId="335212D0" w14:textId="77777777" w:rsidR="00600DEE" w:rsidRPr="0045151D" w:rsidRDefault="00641FB5">
                  <w:pPr>
                    <w:numPr>
                      <w:ilvl w:val="0"/>
                      <w:numId w:val="3"/>
                    </w:numPr>
                    <w:spacing w:line="276" w:lineRule="auto"/>
                    <w:ind w:left="754" w:right="170" w:hanging="754"/>
                    <w:jc w:val="both"/>
                    <w:rPr>
                      <w:rFonts w:ascii="Calibri" w:eastAsia="Calibri" w:hAnsi="Calibri" w:cs="Calibri"/>
                      <w:color w:val="323299"/>
                      <w:sz w:val="20"/>
                      <w:szCs w:val="20"/>
                      <w:lang w:val="en-GB"/>
                    </w:rPr>
                  </w:pPr>
                  <w:r w:rsidRPr="0045151D">
                    <w:rPr>
                      <w:rFonts w:ascii="Calibri" w:eastAsia="Calibri" w:hAnsi="Calibri" w:cs="Calibri"/>
                      <w:color w:val="4F81BD"/>
                      <w:sz w:val="20"/>
                      <w:szCs w:val="20"/>
                      <w:lang w:val="en-GB"/>
                    </w:rPr>
                    <w:t>Other revenues (e.g. service area rent).</w:t>
                  </w:r>
                </w:p>
              </w:tc>
            </w:tr>
          </w:tbl>
          <w:p w14:paraId="5219A508" w14:textId="77777777" w:rsidR="00600DEE" w:rsidRPr="0045151D" w:rsidRDefault="00641FB5">
            <w:pPr>
              <w:pBdr>
                <w:top w:val="nil"/>
                <w:left w:val="nil"/>
                <w:bottom w:val="nil"/>
                <w:right w:val="nil"/>
                <w:between w:val="nil"/>
              </w:pBdr>
              <w:spacing w:before="120" w:after="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3CDD0025" w14:textId="77777777" w:rsidR="00600DEE" w:rsidRPr="0045151D" w:rsidRDefault="00641FB5">
            <w:pPr>
              <w:pBdr>
                <w:top w:val="nil"/>
                <w:left w:val="nil"/>
                <w:bottom w:val="nil"/>
                <w:right w:val="nil"/>
                <w:between w:val="nil"/>
              </w:pBdr>
              <w:tabs>
                <w:tab w:val="left" w:pos="0"/>
              </w:tabs>
              <w:spacing w:before="120" w:after="0"/>
              <w:ind w:right="-2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NB: policies of tolling and of differentiating vehicle categories should be transparent and publicly available. </w:t>
            </w:r>
          </w:p>
          <w:p w14:paraId="055B55ED" w14:textId="77777777" w:rsidR="00600DEE" w:rsidRPr="0045151D" w:rsidRDefault="00641FB5">
            <w:pPr>
              <w:pBdr>
                <w:top w:val="nil"/>
                <w:left w:val="nil"/>
                <w:bottom w:val="nil"/>
                <w:right w:val="nil"/>
                <w:between w:val="nil"/>
              </w:pBdr>
              <w:tabs>
                <w:tab w:val="left" w:pos="0"/>
              </w:tabs>
              <w:spacing w:before="120" w:after="0"/>
              <w:ind w:right="-2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Electronic Toll Collection (ETC) rates on national roads apply currently to the following categories of vehicles (fees differ depending on exhaust emission limits, EURO class):</w:t>
            </w:r>
          </w:p>
          <w:p w14:paraId="1BFC0758" w14:textId="77777777" w:rsidR="00600DEE" w:rsidRPr="0045151D" w:rsidRDefault="00641FB5" w:rsidP="00D5736B">
            <w:pPr>
              <w:numPr>
                <w:ilvl w:val="1"/>
                <w:numId w:val="82"/>
              </w:numPr>
              <w:pBdr>
                <w:top w:val="nil"/>
                <w:left w:val="nil"/>
                <w:bottom w:val="nil"/>
                <w:right w:val="nil"/>
                <w:between w:val="nil"/>
              </w:pBdr>
              <w:tabs>
                <w:tab w:val="left" w:pos="6662"/>
              </w:tabs>
              <w:spacing w:before="120" w:after="0"/>
              <w:ind w:left="884" w:hanging="8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vehicles with gross weight over 3.5 tonnes and less than 12 tonnes,</w:t>
            </w:r>
          </w:p>
          <w:p w14:paraId="2EB26ED2" w14:textId="77777777" w:rsidR="00600DEE" w:rsidRPr="0045151D" w:rsidRDefault="00641FB5" w:rsidP="00D5736B">
            <w:pPr>
              <w:numPr>
                <w:ilvl w:val="1"/>
                <w:numId w:val="82"/>
              </w:numPr>
              <w:pBdr>
                <w:top w:val="nil"/>
                <w:left w:val="nil"/>
                <w:bottom w:val="nil"/>
                <w:right w:val="nil"/>
                <w:between w:val="nil"/>
              </w:pBdr>
              <w:tabs>
                <w:tab w:val="left" w:pos="6662"/>
              </w:tabs>
              <w:spacing w:before="120" w:after="0"/>
              <w:ind w:left="884" w:hanging="884"/>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vehicles with gross weight of at least 12 tonnes,</w:t>
            </w:r>
          </w:p>
          <w:p w14:paraId="0E523C71" w14:textId="77777777" w:rsidR="00600DEE" w:rsidRPr="0045151D" w:rsidRDefault="00641FB5" w:rsidP="00D5736B">
            <w:pPr>
              <w:numPr>
                <w:ilvl w:val="1"/>
                <w:numId w:val="82"/>
              </w:numPr>
              <w:pBdr>
                <w:top w:val="nil"/>
                <w:left w:val="nil"/>
                <w:bottom w:val="nil"/>
                <w:right w:val="nil"/>
                <w:between w:val="nil"/>
              </w:pBdr>
              <w:tabs>
                <w:tab w:val="left" w:pos="6662"/>
              </w:tabs>
              <w:spacing w:before="120" w:after="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buses regardless of their gross weight.</w:t>
            </w:r>
          </w:p>
          <w:p w14:paraId="03E57FD7" w14:textId="77777777" w:rsidR="00600DEE" w:rsidRPr="0045151D" w:rsidRDefault="00641FB5">
            <w:pPr>
              <w:tabs>
                <w:tab w:val="left" w:pos="0"/>
              </w:tabs>
              <w:spacing w:after="120"/>
              <w:ind w:right="-284"/>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The relation between ETC vehicle categories and the traffic forecast categories mentioned above should be as follows: SC (trucks without trailers) corresponds to the first category above, SCp (trucks with trailers) to the second one and A (buses) to the third one. </w:t>
            </w:r>
          </w:p>
          <w:p w14:paraId="166604D8" w14:textId="77777777" w:rsidR="00600DEE" w:rsidRPr="0045151D" w:rsidRDefault="00641FB5">
            <w:pPr>
              <w:tabs>
                <w:tab w:val="left" w:pos="0"/>
              </w:tabs>
              <w:ind w:right="-284"/>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As regards the vehicle categories, other categories can alternatively be used on forecast outputs, e.g.: </w:t>
            </w:r>
          </w:p>
          <w:p w14:paraId="62D48C9C" w14:textId="77777777" w:rsidR="00600DEE" w:rsidRPr="0045151D" w:rsidRDefault="00641FB5" w:rsidP="00D5736B">
            <w:pPr>
              <w:numPr>
                <w:ilvl w:val="1"/>
                <w:numId w:val="82"/>
              </w:numPr>
              <w:pBdr>
                <w:top w:val="nil"/>
                <w:left w:val="nil"/>
                <w:bottom w:val="nil"/>
                <w:right w:val="nil"/>
                <w:between w:val="nil"/>
              </w:pBdr>
              <w:tabs>
                <w:tab w:val="left" w:pos="0"/>
              </w:tabs>
              <w:spacing w:before="120" w:after="0"/>
              <w:ind w:left="884" w:right="-284" w:hanging="884"/>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LV</w:t>
            </w:r>
            <w:r w:rsidRPr="0045151D">
              <w:rPr>
                <w:rFonts w:ascii="Calibri" w:eastAsia="Calibri" w:hAnsi="Calibri" w:cs="Calibri"/>
                <w:color w:val="000000"/>
                <w:sz w:val="20"/>
                <w:szCs w:val="20"/>
                <w:lang w:val="en-GB"/>
              </w:rPr>
              <w:t xml:space="preserve"> – light vehicles, gross weight &lt; 3,5 tons</w:t>
            </w:r>
          </w:p>
          <w:p w14:paraId="0F233B14" w14:textId="77777777" w:rsidR="00600DEE" w:rsidRPr="0045151D" w:rsidRDefault="00641FB5" w:rsidP="00D5736B">
            <w:pPr>
              <w:numPr>
                <w:ilvl w:val="1"/>
                <w:numId w:val="82"/>
              </w:numPr>
              <w:pBdr>
                <w:top w:val="nil"/>
                <w:left w:val="nil"/>
                <w:bottom w:val="nil"/>
                <w:right w:val="nil"/>
                <w:between w:val="nil"/>
              </w:pBdr>
              <w:tabs>
                <w:tab w:val="left" w:pos="0"/>
              </w:tabs>
              <w:spacing w:before="120" w:after="120"/>
              <w:ind w:left="885" w:right="-284" w:hanging="885"/>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HGV </w:t>
            </w:r>
            <w:r w:rsidRPr="0045151D">
              <w:rPr>
                <w:rFonts w:ascii="Calibri" w:eastAsia="Calibri" w:hAnsi="Calibri" w:cs="Calibri"/>
                <w:color w:val="000000"/>
                <w:sz w:val="20"/>
                <w:szCs w:val="20"/>
                <w:lang w:val="en-GB"/>
              </w:rPr>
              <w:t>– heavy vehicles, gross weight &gt; 3,5 tons (incl. buses);</w:t>
            </w:r>
          </w:p>
          <w:p w14:paraId="559E3226" w14:textId="77777777" w:rsidR="00600DEE" w:rsidRPr="0045151D" w:rsidRDefault="00641FB5">
            <w:pPr>
              <w:tabs>
                <w:tab w:val="left" w:pos="0"/>
              </w:tabs>
              <w:ind w:right="-284"/>
              <w:jc w:val="both"/>
              <w:rPr>
                <w:rFonts w:ascii="Calibri" w:eastAsia="Calibri" w:hAnsi="Calibri" w:cs="Calibri"/>
                <w:sz w:val="20"/>
                <w:szCs w:val="20"/>
                <w:lang w:val="en-GB"/>
              </w:rPr>
            </w:pPr>
            <w:r w:rsidRPr="0045151D">
              <w:rPr>
                <w:rFonts w:ascii="Calibri" w:eastAsia="Calibri" w:hAnsi="Calibri" w:cs="Calibri"/>
                <w:sz w:val="20"/>
                <w:szCs w:val="20"/>
                <w:lang w:val="en-GB"/>
              </w:rPr>
              <w:t>HGV category includes all above mentioned ETC vehicle categories.</w:t>
            </w:r>
          </w:p>
          <w:p w14:paraId="30F6CB60" w14:textId="77777777" w:rsidR="00600DEE" w:rsidRPr="0045151D" w:rsidRDefault="00600DEE">
            <w:pPr>
              <w:tabs>
                <w:tab w:val="left" w:pos="0"/>
              </w:tabs>
              <w:ind w:right="-284"/>
              <w:jc w:val="both"/>
              <w:rPr>
                <w:rFonts w:ascii="Calibri" w:eastAsia="Calibri" w:hAnsi="Calibri" w:cs="Calibri"/>
                <w:sz w:val="20"/>
                <w:szCs w:val="20"/>
                <w:lang w:val="en-GB"/>
              </w:rPr>
            </w:pPr>
          </w:p>
          <w:p w14:paraId="06E4E71D" w14:textId="77777777" w:rsidR="00600DEE" w:rsidRPr="0045151D" w:rsidRDefault="00600DEE">
            <w:pPr>
              <w:tabs>
                <w:tab w:val="left" w:pos="0"/>
              </w:tabs>
              <w:ind w:right="-284"/>
              <w:jc w:val="both"/>
              <w:rPr>
                <w:rFonts w:ascii="Calibri" w:eastAsia="Calibri" w:hAnsi="Calibri" w:cs="Calibri"/>
                <w:sz w:val="20"/>
                <w:szCs w:val="20"/>
                <w:lang w:val="en-GB"/>
              </w:rPr>
            </w:pPr>
          </w:p>
          <w:p w14:paraId="1682F0B8" w14:textId="0A377907" w:rsidR="00600DEE" w:rsidRPr="0045151D" w:rsidRDefault="00600DEE">
            <w:pPr>
              <w:tabs>
                <w:tab w:val="left" w:pos="0"/>
              </w:tabs>
              <w:ind w:right="-284"/>
              <w:jc w:val="both"/>
              <w:rPr>
                <w:rFonts w:ascii="Calibri" w:eastAsia="Calibri" w:hAnsi="Calibri" w:cs="Calibri"/>
                <w:sz w:val="20"/>
                <w:szCs w:val="20"/>
                <w:lang w:val="en-GB"/>
              </w:rPr>
            </w:pPr>
          </w:p>
          <w:tbl>
            <w:tblPr>
              <w:tblStyle w:val="afff2"/>
              <w:tblW w:w="6946" w:type="dxa"/>
              <w:tblBorders>
                <w:insideH w:val="single" w:sz="4" w:space="0" w:color="000000"/>
                <w:insideV w:val="single" w:sz="4" w:space="0" w:color="000000"/>
              </w:tblBorders>
              <w:tblLayout w:type="fixed"/>
              <w:tblLook w:val="0400" w:firstRow="0" w:lastRow="0" w:firstColumn="0" w:lastColumn="0" w:noHBand="0" w:noVBand="1"/>
            </w:tblPr>
            <w:tblGrid>
              <w:gridCol w:w="6946"/>
            </w:tblGrid>
            <w:tr w:rsidR="00600DEE" w:rsidRPr="007463B9" w14:paraId="55623E4B" w14:textId="77777777">
              <w:trPr>
                <w:trHeight w:val="977"/>
              </w:trPr>
              <w:tc>
                <w:tcPr>
                  <w:tcW w:w="6946" w:type="dxa"/>
                  <w:shd w:val="clear" w:color="auto" w:fill="DBE5F1"/>
                </w:tcPr>
                <w:p w14:paraId="5E27F669" w14:textId="77777777" w:rsidR="00600DEE" w:rsidRPr="0045151D" w:rsidRDefault="00641FB5">
                  <w:pPr>
                    <w:ind w:right="170"/>
                    <w:jc w:val="center"/>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Road pricing policies and Polluter Pays Principle</w:t>
                  </w:r>
                </w:p>
                <w:p w14:paraId="3E2515A0" w14:textId="77777777" w:rsidR="00600DEE" w:rsidRPr="0045151D" w:rsidRDefault="00641FB5">
                  <w:pPr>
                    <w:pBdr>
                      <w:top w:val="nil"/>
                      <w:left w:val="nil"/>
                      <w:bottom w:val="nil"/>
                      <w:right w:val="nil"/>
                      <w:between w:val="nil"/>
                    </w:pBdr>
                    <w:spacing w:before="120" w:after="120"/>
                    <w:ind w:right="26"/>
                    <w:jc w:val="both"/>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The Beneficiary shall describe to which extent the project respects the ‘polluter pays’ principle (irrespective of its formal obligations in this area). If the principle of preventive action and correction of environmental damage at source is implemented at the project design stage (including through the EIA procedure), the ‘polluter pays’ is applied through user-fees and charges when the project becomes fully operational. </w:t>
                  </w:r>
                </w:p>
                <w:p w14:paraId="2FBB8227" w14:textId="77777777" w:rsidR="00600DEE" w:rsidRPr="0045151D" w:rsidRDefault="00641FB5">
                  <w:pPr>
                    <w:pBdr>
                      <w:top w:val="nil"/>
                      <w:left w:val="nil"/>
                      <w:bottom w:val="nil"/>
                      <w:right w:val="nil"/>
                      <w:between w:val="nil"/>
                    </w:pBdr>
                    <w:spacing w:before="120" w:after="120"/>
                    <w:ind w:right="26"/>
                    <w:jc w:val="both"/>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The ‘polluter pays’ principle can be understood as pricing systems covering environmental external costs, and maybe also wear and tear and infrastructure costs, depending on the national systems and “considerations of equity linked to the relative prosperity of the Member State or region concerned” (EC, 2013). Transport environmental costs are best internalized through tools such as fuel taxes while costs associated with the use of infrastructure of some roads are best recovered through alternatives ways such as distance-based charges (tolls) or time-based charges (vignettes). Also, in some countries, vehicle and road taxes are applied annually or upon the purchase of vehicles.</w:t>
                  </w:r>
                </w:p>
                <w:p w14:paraId="477CE2A4" w14:textId="77777777" w:rsidR="00600DEE" w:rsidRPr="0045151D" w:rsidRDefault="00641FB5">
                  <w:pPr>
                    <w:pBdr>
                      <w:top w:val="nil"/>
                      <w:left w:val="nil"/>
                      <w:bottom w:val="nil"/>
                      <w:right w:val="nil"/>
                      <w:between w:val="nil"/>
                    </w:pBdr>
                    <w:spacing w:before="120" w:after="120"/>
                    <w:ind w:right="26"/>
                    <w:jc w:val="both"/>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For road transport, pricing is voluntary according to the EU legislation. Only some TEN-T roads and motorways are subject to distance-based tolls, whereas others are subject to time-based vignettes, and yet others are exempt from tolls and vignettes. Road charging of heavy goods’ vehicles (HGVs) on the TEN-T and motorway network is regulated at the EU level (being currently applied in Poland), while no legislative framework exists for cars, vans and motorbikes at the moment.</w:t>
                  </w:r>
                </w:p>
                <w:p w14:paraId="1D0F8A91" w14:textId="77777777" w:rsidR="00600DEE" w:rsidRPr="0045151D" w:rsidRDefault="00641FB5">
                  <w:pPr>
                    <w:pBdr>
                      <w:top w:val="nil"/>
                      <w:left w:val="nil"/>
                      <w:bottom w:val="nil"/>
                      <w:right w:val="nil"/>
                      <w:between w:val="nil"/>
                    </w:pBdr>
                    <w:spacing w:before="120" w:after="120"/>
                    <w:ind w:right="26"/>
                    <w:jc w:val="both"/>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In conclusion, the Beneficiary shall explain, considering the above, the ‘polluter pays’ principle application on the project pricing systems (i.e. internalization of main external costs, wear and tear) and/or describing the existing tools at the national level to recover EU funded projects main external costs as well as the related project financial sustainability aspects.</w:t>
                  </w:r>
                </w:p>
                <w:p w14:paraId="6B5D46B3" w14:textId="77777777" w:rsidR="00600DEE" w:rsidRPr="0045151D" w:rsidRDefault="00641FB5">
                  <w:pPr>
                    <w:jc w:val="both"/>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Sources: European Commission (2012), Background document for the public consultation on the charging of the use of road infrastructure, DG for Mobility and Transport and European Commission (2013), Assessing the projects on the ESFRI roadmap’ a high level expert group report, DG for Research and Innovation.</w:t>
                  </w:r>
                </w:p>
                <w:p w14:paraId="43B83264" w14:textId="77777777" w:rsidR="000927FA" w:rsidRPr="0045151D" w:rsidRDefault="000927FA">
                  <w:pPr>
                    <w:jc w:val="both"/>
                    <w:rPr>
                      <w:rFonts w:ascii="Calibri" w:eastAsia="Calibri" w:hAnsi="Calibri" w:cs="Calibri"/>
                      <w:color w:val="4F81BD"/>
                      <w:sz w:val="16"/>
                      <w:szCs w:val="16"/>
                      <w:lang w:val="en-GB"/>
                    </w:rPr>
                  </w:pPr>
                </w:p>
                <w:p w14:paraId="0D9CB65D" w14:textId="77777777" w:rsidR="000927FA" w:rsidRPr="0045151D" w:rsidRDefault="000927FA">
                  <w:pPr>
                    <w:jc w:val="both"/>
                    <w:rPr>
                      <w:rFonts w:ascii="Calibri" w:eastAsia="Calibri" w:hAnsi="Calibri" w:cs="Calibri"/>
                      <w:color w:val="4F81BD"/>
                      <w:sz w:val="16"/>
                      <w:szCs w:val="16"/>
                      <w:lang w:val="en-GB"/>
                    </w:rPr>
                  </w:pPr>
                </w:p>
                <w:p w14:paraId="7843A01C" w14:textId="0C7207AA" w:rsidR="000927FA" w:rsidRPr="0045151D" w:rsidRDefault="000927FA">
                  <w:pPr>
                    <w:jc w:val="both"/>
                    <w:rPr>
                      <w:rFonts w:ascii="Calibri" w:eastAsia="Calibri" w:hAnsi="Calibri" w:cs="Calibri"/>
                      <w:i/>
                      <w:color w:val="4F81BD"/>
                      <w:sz w:val="20"/>
                      <w:szCs w:val="20"/>
                      <w:lang w:val="en-GB"/>
                    </w:rPr>
                  </w:pPr>
                </w:p>
              </w:tc>
            </w:tr>
          </w:tbl>
          <w:p w14:paraId="34FCA148" w14:textId="77777777" w:rsidR="00600DEE" w:rsidRPr="0045151D" w:rsidRDefault="00600DEE">
            <w:pPr>
              <w:jc w:val="both"/>
              <w:rPr>
                <w:rFonts w:ascii="Calibri" w:eastAsia="Calibri" w:hAnsi="Calibri" w:cs="Calibri"/>
                <w:sz w:val="20"/>
                <w:szCs w:val="20"/>
                <w:lang w:val="en-GB"/>
              </w:rPr>
            </w:pPr>
          </w:p>
          <w:p w14:paraId="36B38453" w14:textId="77777777" w:rsidR="00600DEE" w:rsidRPr="0045151D" w:rsidRDefault="00600DEE">
            <w:pPr>
              <w:rPr>
                <w:rFonts w:ascii="Calibri" w:eastAsia="Calibri" w:hAnsi="Calibri" w:cs="Calibri"/>
                <w:sz w:val="20"/>
                <w:szCs w:val="20"/>
                <w:lang w:val="en-GB"/>
              </w:rPr>
            </w:pPr>
          </w:p>
        </w:tc>
      </w:tr>
    </w:tbl>
    <w:p w14:paraId="291B27EA" w14:textId="0FA76AEB" w:rsidR="00600DEE" w:rsidRDefault="00641FB5" w:rsidP="00D5736B">
      <w:pPr>
        <w:pStyle w:val="Nagwek2"/>
        <w:numPr>
          <w:ilvl w:val="1"/>
          <w:numId w:val="17"/>
        </w:numPr>
        <w:ind w:left="0" w:firstLine="0"/>
        <w:rPr>
          <w:rFonts w:ascii="Calibri" w:eastAsia="Calibri" w:hAnsi="Calibri" w:cs="Calibri"/>
          <w:color w:val="4F81BD"/>
        </w:rPr>
      </w:pPr>
      <w:bookmarkStart w:id="55" w:name="_Toc95377983"/>
      <w:r>
        <w:rPr>
          <w:rFonts w:ascii="Calibri" w:eastAsia="Calibri" w:hAnsi="Calibri" w:cs="Calibri"/>
          <w:color w:val="4F81BD"/>
        </w:rPr>
        <w:t>Wartość rezydualna</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sidR="00DF6B9D">
        <w:rPr>
          <w:rFonts w:ascii="Calibri" w:eastAsia="Calibri" w:hAnsi="Calibri" w:cs="Calibri"/>
          <w:color w:val="4F81BD"/>
        </w:rPr>
        <w:tab/>
      </w:r>
      <w:r w:rsidR="00DF6B9D">
        <w:rPr>
          <w:rFonts w:ascii="Calibri" w:eastAsia="Calibri" w:hAnsi="Calibri" w:cs="Calibri"/>
          <w:color w:val="4F81BD"/>
        </w:rPr>
        <w:tab/>
      </w:r>
      <w:r>
        <w:rPr>
          <w:rFonts w:ascii="Calibri" w:eastAsia="Calibri" w:hAnsi="Calibri" w:cs="Calibri"/>
          <w:color w:val="4F81BD"/>
        </w:rPr>
        <w:t xml:space="preserve"> </w:t>
      </w:r>
      <w:r>
        <w:rPr>
          <w:rFonts w:ascii="Calibri" w:eastAsia="Calibri" w:hAnsi="Calibri" w:cs="Calibri"/>
          <w:i/>
          <w:color w:val="4F81BD"/>
        </w:rPr>
        <w:t>1.11   Residual value</w:t>
      </w:r>
      <w:bookmarkEnd w:id="55"/>
    </w:p>
    <w:tbl>
      <w:tblPr>
        <w:tblStyle w:val="afff3"/>
        <w:tblW w:w="14571" w:type="dxa"/>
        <w:tblLayout w:type="fixed"/>
        <w:tblLook w:val="0400" w:firstRow="0" w:lastRow="0" w:firstColumn="0" w:lastColumn="0" w:noHBand="0" w:noVBand="1"/>
      </w:tblPr>
      <w:tblGrid>
        <w:gridCol w:w="7370"/>
        <w:gridCol w:w="7201"/>
      </w:tblGrid>
      <w:tr w:rsidR="00600DEE" w:rsidRPr="007463B9" w14:paraId="45717485" w14:textId="77777777">
        <w:tc>
          <w:tcPr>
            <w:tcW w:w="7370" w:type="dxa"/>
            <w:tcBorders>
              <w:right w:val="single" w:sz="4" w:space="0" w:color="000000"/>
            </w:tcBorders>
            <w:tcMar>
              <w:left w:w="284" w:type="dxa"/>
              <w:right w:w="284" w:type="dxa"/>
            </w:tcMar>
          </w:tcPr>
          <w:p w14:paraId="11D717CC" w14:textId="091E631C"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Wartość rezydualna projektu musi być uwzględniona w rachunku kosztów inwestycyjnych w ostatnim roku analizy. Wartość rezydualna odzwierciedla zdolność do generowania przychodów netto w przyszłości przez środki trwałe, których </w:t>
            </w:r>
            <w:r w:rsidR="00DA7241">
              <w:rPr>
                <w:rFonts w:ascii="Calibri" w:eastAsia="Calibri" w:hAnsi="Calibri" w:cs="Calibri"/>
                <w:color w:val="000000"/>
                <w:sz w:val="20"/>
                <w:szCs w:val="20"/>
              </w:rPr>
              <w:t>użyteczn</w:t>
            </w:r>
            <w:r>
              <w:rPr>
                <w:rFonts w:ascii="Calibri" w:eastAsia="Calibri" w:hAnsi="Calibri" w:cs="Calibri"/>
                <w:color w:val="000000"/>
                <w:sz w:val="20"/>
                <w:szCs w:val="20"/>
              </w:rPr>
              <w:t>ość ekonomiczna nie jest jeszcze całkowicie wyczerpana. Wartość rezydualna będzie zerowa lub znikoma, jeśli został wybrany horyzont czasowy równy okresowi życia ekonomicznego aktywów. Z drugiej strony, gdy cykl życia projektu przekracza horyzont czasowy, wartość odzysku środka trwałego lub wszelkich pozostałych zdolności do generowania dochodu w przyszłości powinna zostać wyliczona. Innymi słowy, wartość rezydualna może być zdefiniowana jako teoretyczna wartość „upłynnienia”.</w:t>
            </w:r>
          </w:p>
          <w:p w14:paraId="03B8B42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Ekonomiczna wartość rezydualna </w:t>
            </w:r>
            <w:r>
              <w:rPr>
                <w:rFonts w:ascii="Calibri" w:eastAsia="Calibri" w:hAnsi="Calibri" w:cs="Calibri"/>
                <w:color w:val="000000"/>
                <w:sz w:val="20"/>
                <w:szCs w:val="20"/>
              </w:rPr>
              <w:t>może mieć istotne znaczenie dla przedsięwzięć infrastrukturalnych, w których okres ekonomicznej użyteczności najtrwalszego elementu inwestycji znacznie przekracza horyzont czasowy analizy kosztów i korzyści, w związku z czym można spodziewać się, że taki składnik majątku będzie generował korzyści również po zakończeniu okresu odniesienia.</w:t>
            </w:r>
          </w:p>
          <w:p w14:paraId="5FE3AA6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Ekonomiczna wartość rezydualna może być wyliczana według jednej z poniższych metod:</w:t>
            </w:r>
          </w:p>
          <w:p w14:paraId="3C0D561C" w14:textId="77777777" w:rsidR="00600DEE" w:rsidRDefault="00641FB5" w:rsidP="00D5736B">
            <w:pPr>
              <w:numPr>
                <w:ilvl w:val="0"/>
                <w:numId w:val="5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metoda rekomendowana: poprzez wyliczenie wartości bieżącej korzyści ekonomicznych, po potrąceniu kosztów ekonomicznych w pozostałych latach życia projektu (podejście zalecane, gdy finansowa wartość rezydualna obliczona została w oparciu o  wartość bieżącą netto przyszłych przepływów pieniężnych). Formuła obliczeniowa jest analogiczna, ale zamiast przepływów finansowych uwzględnia się analogiczne przepływy ekonomiczne,</w:t>
            </w:r>
          </w:p>
          <w:p w14:paraId="66AD5373" w14:textId="77777777" w:rsidR="00600DEE" w:rsidRDefault="00641FB5" w:rsidP="00D5736B">
            <w:pPr>
              <w:numPr>
                <w:ilvl w:val="0"/>
                <w:numId w:val="5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poprzez zastosowanie współczynnika konwersji kosztów inwestycji (patrz podrozdział 2.2.2) do wartości rezydualnej z analizy finansowej liczonej metodą odpisów amortyzacyjnych.</w:t>
            </w:r>
          </w:p>
          <w:p w14:paraId="22675678" w14:textId="62FA2AF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Zastosowanie pierwszej metody w projektach transportowych, w których aktywa zazwyczaj mają bardzo długą trwałość, spowodować może, że wartość rezydualna znacznie zaburzy wyniki analizy (wartość rezydualna stanowiłaby znaczną część korzyści projektu i rzutowałaby na jego uzasadnienie społeczno-ekonomiczne). </w:t>
            </w:r>
            <w:r w:rsidR="00DA7241" w:rsidRPr="00DA7241">
              <w:rPr>
                <w:rFonts w:asciiTheme="minorHAnsi" w:hAnsiTheme="minorHAnsi"/>
                <w:sz w:val="20"/>
                <w:szCs w:val="20"/>
              </w:rPr>
              <w:t>Należy unikać sytuacji, w której wartość rezydualna stanowi znaczną część korzyści płynących z projektu, do tego stopnia, że społeczno-ekonomiczne uzasadnienie projektu opiera się głównie na wartości rezydualnej.</w:t>
            </w:r>
            <w:r w:rsidR="00DA7241" w:rsidRPr="000D5E71">
              <w:rPr>
                <w:rFonts w:asciiTheme="minorHAnsi" w:hAnsiTheme="minorHAnsi"/>
              </w:rPr>
              <w:t xml:space="preserve"> </w:t>
            </w:r>
            <w:r>
              <w:rPr>
                <w:rFonts w:ascii="Calibri" w:eastAsia="Calibri" w:hAnsi="Calibri" w:cs="Calibri"/>
                <w:color w:val="000000"/>
                <w:sz w:val="20"/>
                <w:szCs w:val="20"/>
              </w:rPr>
              <w:t xml:space="preserve">W rzeczywistości, jak </w:t>
            </w:r>
            <w:r w:rsidR="00DA7241">
              <w:rPr>
                <w:rFonts w:ascii="Calibri" w:eastAsia="Calibri" w:hAnsi="Calibri" w:cs="Calibri"/>
                <w:color w:val="000000"/>
                <w:sz w:val="20"/>
                <w:szCs w:val="20"/>
              </w:rPr>
              <w:t>przedstawiono</w:t>
            </w:r>
            <w:r>
              <w:rPr>
                <w:rFonts w:ascii="Calibri" w:eastAsia="Calibri" w:hAnsi="Calibri" w:cs="Calibri"/>
                <w:color w:val="000000"/>
                <w:sz w:val="20"/>
                <w:szCs w:val="20"/>
              </w:rPr>
              <w:t xml:space="preserve"> w przewodniku AKK UE, uzasadnienie społeczno-ekonomiczne powinno zależeć przede wszystkim od korzyści uzyskanych w okresie </w:t>
            </w:r>
            <w:r w:rsidR="00DA7241">
              <w:rPr>
                <w:rFonts w:ascii="Calibri" w:eastAsia="Calibri" w:hAnsi="Calibri" w:cs="Calibri"/>
                <w:color w:val="000000"/>
                <w:sz w:val="20"/>
                <w:szCs w:val="20"/>
              </w:rPr>
              <w:t>odniesienia</w:t>
            </w:r>
            <w:r>
              <w:rPr>
                <w:rFonts w:ascii="Calibri" w:eastAsia="Calibri" w:hAnsi="Calibri" w:cs="Calibri"/>
                <w:color w:val="000000"/>
                <w:sz w:val="20"/>
                <w:szCs w:val="20"/>
              </w:rPr>
              <w:t xml:space="preserve"> (a wartość rezydualna powinna wpływać nieznacznie).</w:t>
            </w:r>
          </w:p>
          <w:p w14:paraId="716CFE73"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color w:val="000000"/>
                <w:sz w:val="20"/>
                <w:szCs w:val="20"/>
              </w:rPr>
              <w:t>W celu obliczenia wartości rezydualnej metodą odpisów amortyzacyjnych, zaleca się, aby wziąć pod uwagę przeciętny okres fizycznej trwałości projektu, określony jako średnia ważona komponentów inwestycyjnych projektu w normalnych warunkach eksploatacji i utrzymania. Proponowane średnie okresy trwałości aktywów infrastruktury drogowej przedstawiono poniżej (Tabela 12). Przykładowe wyliczenie trwałości aktywów projektu drogowego znajduje się w załączniku A.</w:t>
            </w:r>
          </w:p>
          <w:p w14:paraId="7D6A7F34" w14:textId="557B19B1"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Finansowa wartość rezydualna, </w:t>
            </w:r>
            <w:r>
              <w:rPr>
                <w:rFonts w:ascii="Calibri" w:eastAsia="Calibri" w:hAnsi="Calibri" w:cs="Calibri"/>
                <w:color w:val="000000"/>
                <w:sz w:val="20"/>
                <w:szCs w:val="20"/>
              </w:rPr>
              <w:t>dla projektów generujących przychody (drogi płatne), rekomenduje się, że powinna zostać wyliczona w oparciu o metodę dochodową, która zakłada zdolność projektu do generowania wpływów po okresie objętym analizą. Finansową wartość rezydualną oblicza się poprzez określenie wartości bieżącej finansowych przepływów w pozostałych latach życia projektu (np. jako średni okres dla nowej drogi proponowane jest 40 lat, lub alternatywnie można wyliczyć średni ważony okres żywo</w:t>
            </w:r>
            <w:r w:rsidR="00DA7241">
              <w:rPr>
                <w:rFonts w:ascii="Calibri" w:eastAsia="Calibri" w:hAnsi="Calibri" w:cs="Calibri"/>
                <w:color w:val="000000"/>
                <w:sz w:val="20"/>
                <w:szCs w:val="20"/>
              </w:rPr>
              <w:t>tności tak jak przedstawiono w T</w:t>
            </w:r>
            <w:r>
              <w:rPr>
                <w:rFonts w:ascii="Calibri" w:eastAsia="Calibri" w:hAnsi="Calibri" w:cs="Calibri"/>
                <w:color w:val="000000"/>
                <w:sz w:val="20"/>
                <w:szCs w:val="20"/>
              </w:rPr>
              <w:t xml:space="preserve">abeli 12). Liczbę pozostałych lat eksploatacji należy obliczyć jako średni okres eksploatacji nowej infrastruktury (np. 40 lat lub inny w stosownych przypadkach) plus okres procesu inwestycyjnego (np. 2 lata lub inny w stosownych przypadkach) minus okres odniesienia (25 lat). Liczby podano jedynie jako przykład, a parametry przy obliczaniu wartości rezydualnej należy dostosować do rzeczywistych okoliczności danego projektu. Do jej obliczenia wykorzystywane są reprezentatywne przepływy (przychody i nakłady utrzymaniowe) z ostatniego roku objętego analizą, tj. takie, które nie są zaburzone zdarzeniami jednorazowymi (np. większymi remontami). Jeśli wielkości przepływów z ostatniego roku nie są reprezentatywne, należy wziąć pod uwagę uśrednione wartości z całego lub odpowiednio wybranego okresu analizy tak, aby zapewnić ich reprezentatywność. </w:t>
            </w:r>
          </w:p>
          <w:p w14:paraId="799EF0C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Obliczenie wartości rezydualnej zgodnie z powyższym podejściem ilustruje poniższy wzór:</w:t>
            </w:r>
          </w:p>
          <w:p w14:paraId="61885BCF" w14:textId="77777777" w:rsidR="00600DEE" w:rsidRDefault="00641FB5">
            <w:pPr>
              <w:pBdr>
                <w:top w:val="nil"/>
                <w:left w:val="nil"/>
                <w:bottom w:val="nil"/>
                <w:right w:val="nil"/>
                <w:between w:val="nil"/>
              </w:pBdr>
              <w:spacing w:before="120"/>
              <w:jc w:val="center"/>
              <w:rPr>
                <w:rFonts w:ascii="Calibri" w:eastAsia="Calibri" w:hAnsi="Calibri" w:cs="Calibri"/>
                <w:color w:val="000000"/>
                <w:sz w:val="20"/>
                <w:szCs w:val="20"/>
              </w:rPr>
            </w:pPr>
            <w:r>
              <w:rPr>
                <w:rFonts w:ascii="Calibri" w:eastAsia="Calibri" w:hAnsi="Calibri" w:cs="Calibri"/>
                <w:color w:val="000000"/>
                <w:sz w:val="36"/>
                <w:szCs w:val="36"/>
                <w:vertAlign w:val="subscript"/>
              </w:rPr>
              <w:object w:dxaOrig="2175" w:dyaOrig="1238" w14:anchorId="251572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4pt;height:61.7pt" o:ole="">
                  <v:imagedata r:id="rId105" o:title=""/>
                </v:shape>
                <o:OLEObject Type="Embed" ProgID="Equation.3" ShapeID="_x0000_i1025" DrawAspect="Content" ObjectID="_1747568772" r:id="rId106"/>
              </w:object>
            </w:r>
          </w:p>
          <w:p w14:paraId="4736F9B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gdzie:</w:t>
            </w:r>
          </w:p>
          <w:p w14:paraId="23173322" w14:textId="146C3E48"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R – wartość rezydualna </w:t>
            </w:r>
            <w:r w:rsidR="00DA7241">
              <w:rPr>
                <w:rFonts w:ascii="Calibri" w:eastAsia="Calibri" w:hAnsi="Calibri" w:cs="Calibri"/>
                <w:color w:val="000000"/>
                <w:sz w:val="20"/>
                <w:szCs w:val="20"/>
              </w:rPr>
              <w:t>na koniec</w:t>
            </w:r>
            <w:r>
              <w:rPr>
                <w:rFonts w:ascii="Calibri" w:eastAsia="Calibri" w:hAnsi="Calibri" w:cs="Calibri"/>
                <w:color w:val="000000"/>
                <w:sz w:val="20"/>
                <w:szCs w:val="20"/>
              </w:rPr>
              <w:t xml:space="preserve"> okresu odniesienia (zdyskontowana),</w:t>
            </w:r>
          </w:p>
          <w:p w14:paraId="4C115BAB"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PO – przychody operacyjne z ostatniego roku okresu odniesienia (jeżeli nie są reprezentatywne, należy przyjąć uśrednione wartości),</w:t>
            </w:r>
          </w:p>
          <w:p w14:paraId="50F6916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KO – koszty operacyjne z ostatniego roku okresu odniesienia (jeżeli nie są reprezentatywne, należy wziąć uśrednione wartości), </w:t>
            </w:r>
          </w:p>
          <w:p w14:paraId="1E35E86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i  – stopa dyskontowa,</w:t>
            </w:r>
          </w:p>
          <w:p w14:paraId="152271A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n – rok z okresu od ostatniego roku odniesienia (25) + 1 do końca ostatniego roku pozostałego zakładanego okresu eksploatacji (np. 40 lat cyklu życia projektu od momentu oddania do eksploatacji), </w:t>
            </w:r>
          </w:p>
          <w:p w14:paraId="656F7F51"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t – całkowity uśredniony okres żywotności projektu (tj. po uwzględnieniu pozostałych lat żywotności projektu); proponowana wartość: 40 lat.</w:t>
            </w:r>
          </w:p>
          <w:p w14:paraId="01742A3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Wartość rezydualna nie jest uwzględniana w obliczeniach jeśli jest ujemna (wtedy należy przyjąć wartość =0). Wartość rezydualna jest ujmowana w analizie finansowej w ostatnim roku analizy i musi być zdyskontowana w celu wyliczenia wskaźników finansowych projektu.</w:t>
            </w:r>
          </w:p>
          <w:p w14:paraId="6084F12C" w14:textId="3DA392F5"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Inne metody wyliczania wartości rezydualnej także mogą być stosowane, na przykład na podstawie amortyzacji (tzw. metoda odpisów amortyzacyjnych) z uwzględnieniem okresów trwałości aktywów infrastruktury drogowej (Tabela 12) oraz z uwzględnieniem kosztów wymiany tych aktywów w okresie referencyjnym.</w:t>
            </w:r>
          </w:p>
          <w:p w14:paraId="672519B9" w14:textId="77777777" w:rsidR="00600DEE" w:rsidRDefault="00641FB5" w:rsidP="00427449">
            <w:pPr>
              <w:pBdr>
                <w:top w:val="nil"/>
                <w:left w:val="nil"/>
                <w:bottom w:val="nil"/>
                <w:right w:val="nil"/>
                <w:between w:val="nil"/>
              </w:pBdr>
              <w:spacing w:before="24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12. Średnie okresy trwałości aktywów infrastruktury drogowej</w:t>
            </w:r>
          </w:p>
          <w:tbl>
            <w:tblPr>
              <w:tblStyle w:val="afff4"/>
              <w:tblW w:w="6792" w:type="dxa"/>
              <w:tblBorders>
                <w:insideH w:val="single" w:sz="4" w:space="0" w:color="FFFFFF"/>
                <w:insideV w:val="single" w:sz="4" w:space="0" w:color="FFFFFF"/>
              </w:tblBorders>
              <w:tblLayout w:type="fixed"/>
              <w:tblLook w:val="0400" w:firstRow="0" w:lastRow="0" w:firstColumn="0" w:lastColumn="0" w:noHBand="0" w:noVBand="1"/>
            </w:tblPr>
            <w:tblGrid>
              <w:gridCol w:w="1924"/>
              <w:gridCol w:w="1926"/>
              <w:gridCol w:w="2942"/>
            </w:tblGrid>
            <w:tr w:rsidR="00600DEE" w14:paraId="08193275" w14:textId="77777777" w:rsidTr="00B802AC">
              <w:trPr>
                <w:trHeight w:val="202"/>
              </w:trPr>
              <w:tc>
                <w:tcPr>
                  <w:tcW w:w="1924" w:type="dxa"/>
                  <w:vMerge w:val="restart"/>
                  <w:tcBorders>
                    <w:top w:val="nil"/>
                    <w:bottom w:val="single" w:sz="4" w:space="0" w:color="FFFFFF"/>
                  </w:tcBorders>
                  <w:shd w:val="clear" w:color="auto" w:fill="A6A6A6"/>
                  <w:vAlign w:val="center"/>
                </w:tcPr>
                <w:p w14:paraId="1558B35D" w14:textId="77777777" w:rsidR="00600DEE" w:rsidRDefault="00641FB5">
                  <w:pPr>
                    <w:ind w:right="170"/>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Trwałość aktywów </w:t>
                  </w:r>
                </w:p>
              </w:tc>
              <w:tc>
                <w:tcPr>
                  <w:tcW w:w="1926" w:type="dxa"/>
                  <w:tcBorders>
                    <w:top w:val="nil"/>
                    <w:bottom w:val="single" w:sz="4" w:space="0" w:color="FFFFFF"/>
                  </w:tcBorders>
                  <w:shd w:val="clear" w:color="auto" w:fill="A6A6A6"/>
                  <w:vAlign w:val="center"/>
                </w:tcPr>
                <w:p w14:paraId="06E5B282" w14:textId="77777777" w:rsidR="00600DEE" w:rsidRDefault="00641FB5">
                  <w:pPr>
                    <w:ind w:right="170"/>
                    <w:jc w:val="center"/>
                    <w:rPr>
                      <w:rFonts w:ascii="Calibri" w:eastAsia="Calibri" w:hAnsi="Calibri" w:cs="Calibri"/>
                      <w:b/>
                      <w:color w:val="FFFFFF"/>
                      <w:sz w:val="18"/>
                      <w:szCs w:val="18"/>
                    </w:rPr>
                  </w:pPr>
                  <w:r>
                    <w:rPr>
                      <w:rFonts w:ascii="Calibri" w:eastAsia="Calibri" w:hAnsi="Calibri" w:cs="Calibri"/>
                      <w:b/>
                      <w:color w:val="FFFFFF"/>
                      <w:sz w:val="18"/>
                      <w:szCs w:val="18"/>
                    </w:rPr>
                    <w:t>Nowobudowane</w:t>
                  </w:r>
                </w:p>
              </w:tc>
              <w:tc>
                <w:tcPr>
                  <w:tcW w:w="2942" w:type="dxa"/>
                  <w:tcBorders>
                    <w:top w:val="nil"/>
                    <w:bottom w:val="single" w:sz="4" w:space="0" w:color="FFFFFF"/>
                  </w:tcBorders>
                  <w:shd w:val="clear" w:color="auto" w:fill="A6A6A6"/>
                  <w:vAlign w:val="center"/>
                </w:tcPr>
                <w:p w14:paraId="34FDCFC9" w14:textId="77777777" w:rsidR="00600DEE" w:rsidRDefault="00641FB5">
                  <w:pPr>
                    <w:ind w:right="170"/>
                    <w:jc w:val="center"/>
                    <w:rPr>
                      <w:rFonts w:ascii="Calibri" w:eastAsia="Calibri" w:hAnsi="Calibri" w:cs="Calibri"/>
                      <w:b/>
                      <w:color w:val="FFFFFF"/>
                      <w:sz w:val="18"/>
                      <w:szCs w:val="18"/>
                    </w:rPr>
                  </w:pPr>
                  <w:r>
                    <w:rPr>
                      <w:rFonts w:ascii="Calibri" w:eastAsia="Calibri" w:hAnsi="Calibri" w:cs="Calibri"/>
                      <w:b/>
                      <w:color w:val="FFFFFF"/>
                      <w:sz w:val="18"/>
                      <w:szCs w:val="18"/>
                    </w:rPr>
                    <w:t>Remontowane</w:t>
                  </w:r>
                </w:p>
              </w:tc>
            </w:tr>
            <w:tr w:rsidR="00600DEE" w14:paraId="2E50A9C8" w14:textId="77777777" w:rsidTr="00B802AC">
              <w:trPr>
                <w:trHeight w:val="202"/>
              </w:trPr>
              <w:tc>
                <w:tcPr>
                  <w:tcW w:w="1924" w:type="dxa"/>
                  <w:vMerge/>
                  <w:tcBorders>
                    <w:top w:val="nil"/>
                    <w:bottom w:val="single" w:sz="4" w:space="0" w:color="FFFFFF"/>
                  </w:tcBorders>
                  <w:shd w:val="clear" w:color="auto" w:fill="A6A6A6"/>
                  <w:vAlign w:val="center"/>
                </w:tcPr>
                <w:p w14:paraId="49B15D36"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926" w:type="dxa"/>
                  <w:tcBorders>
                    <w:top w:val="single" w:sz="4" w:space="0" w:color="FFFFFF"/>
                    <w:bottom w:val="single" w:sz="4" w:space="0" w:color="FFFFFF"/>
                  </w:tcBorders>
                  <w:shd w:val="clear" w:color="auto" w:fill="A6A6A6"/>
                  <w:vAlign w:val="center"/>
                </w:tcPr>
                <w:p w14:paraId="3451CEFD" w14:textId="77777777" w:rsidR="00600DEE" w:rsidRDefault="00641FB5">
                  <w:pPr>
                    <w:ind w:right="170"/>
                    <w:jc w:val="center"/>
                    <w:rPr>
                      <w:rFonts w:ascii="Calibri" w:eastAsia="Calibri" w:hAnsi="Calibri" w:cs="Calibri"/>
                      <w:b/>
                      <w:color w:val="FFFFFF"/>
                      <w:sz w:val="18"/>
                      <w:szCs w:val="18"/>
                    </w:rPr>
                  </w:pPr>
                  <w:r>
                    <w:rPr>
                      <w:rFonts w:ascii="Calibri" w:eastAsia="Calibri" w:hAnsi="Calibri" w:cs="Calibri"/>
                      <w:b/>
                      <w:color w:val="FFFFFF"/>
                      <w:sz w:val="18"/>
                      <w:szCs w:val="18"/>
                    </w:rPr>
                    <w:t>Lata</w:t>
                  </w:r>
                </w:p>
              </w:tc>
              <w:tc>
                <w:tcPr>
                  <w:tcW w:w="2942" w:type="dxa"/>
                  <w:tcBorders>
                    <w:top w:val="single" w:sz="4" w:space="0" w:color="FFFFFF"/>
                    <w:bottom w:val="single" w:sz="4" w:space="0" w:color="FFFFFF"/>
                  </w:tcBorders>
                  <w:shd w:val="clear" w:color="auto" w:fill="A6A6A6"/>
                  <w:vAlign w:val="center"/>
                </w:tcPr>
                <w:p w14:paraId="417E88BE" w14:textId="77777777" w:rsidR="00600DEE" w:rsidRDefault="00641FB5">
                  <w:pPr>
                    <w:ind w:right="170"/>
                    <w:jc w:val="center"/>
                    <w:rPr>
                      <w:rFonts w:ascii="Calibri" w:eastAsia="Calibri" w:hAnsi="Calibri" w:cs="Calibri"/>
                      <w:b/>
                      <w:color w:val="FFFFFF"/>
                      <w:sz w:val="18"/>
                      <w:szCs w:val="18"/>
                    </w:rPr>
                  </w:pPr>
                  <w:r>
                    <w:rPr>
                      <w:rFonts w:ascii="Calibri" w:eastAsia="Calibri" w:hAnsi="Calibri" w:cs="Calibri"/>
                      <w:b/>
                      <w:color w:val="FFFFFF"/>
                      <w:sz w:val="18"/>
                      <w:szCs w:val="18"/>
                    </w:rPr>
                    <w:t>Lata</w:t>
                  </w:r>
                </w:p>
              </w:tc>
            </w:tr>
            <w:tr w:rsidR="00600DEE" w14:paraId="064BF7FF" w14:textId="77777777" w:rsidTr="00B802AC">
              <w:trPr>
                <w:trHeight w:val="230"/>
              </w:trPr>
              <w:tc>
                <w:tcPr>
                  <w:tcW w:w="1924" w:type="dxa"/>
                  <w:tcBorders>
                    <w:top w:val="single" w:sz="4" w:space="0" w:color="FFFFFF"/>
                  </w:tcBorders>
                  <w:shd w:val="clear" w:color="auto" w:fill="DBE5F1"/>
                  <w:vAlign w:val="center"/>
                </w:tcPr>
                <w:p w14:paraId="678E1F71"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Tunele</w:t>
                  </w:r>
                </w:p>
              </w:tc>
              <w:tc>
                <w:tcPr>
                  <w:tcW w:w="1926" w:type="dxa"/>
                  <w:tcBorders>
                    <w:top w:val="single" w:sz="4" w:space="0" w:color="FFFFFF"/>
                  </w:tcBorders>
                  <w:shd w:val="clear" w:color="auto" w:fill="DBE5F1"/>
                  <w:vAlign w:val="center"/>
                </w:tcPr>
                <w:p w14:paraId="52591E52"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75</w:t>
                  </w:r>
                </w:p>
              </w:tc>
              <w:tc>
                <w:tcPr>
                  <w:tcW w:w="2942" w:type="dxa"/>
                  <w:tcBorders>
                    <w:top w:val="single" w:sz="4" w:space="0" w:color="FFFFFF"/>
                  </w:tcBorders>
                  <w:shd w:val="clear" w:color="auto" w:fill="DBE5F1"/>
                  <w:vAlign w:val="center"/>
                </w:tcPr>
                <w:p w14:paraId="3FED1BB0"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33</w:t>
                  </w:r>
                </w:p>
              </w:tc>
            </w:tr>
            <w:tr w:rsidR="00600DEE" w14:paraId="33931782" w14:textId="77777777" w:rsidTr="00B802AC">
              <w:trPr>
                <w:trHeight w:val="243"/>
              </w:trPr>
              <w:tc>
                <w:tcPr>
                  <w:tcW w:w="1924" w:type="dxa"/>
                  <w:shd w:val="clear" w:color="auto" w:fill="DBE5F1"/>
                  <w:vAlign w:val="center"/>
                </w:tcPr>
                <w:p w14:paraId="2B75A8EF"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Obiekty mostowe</w:t>
                  </w:r>
                </w:p>
              </w:tc>
              <w:tc>
                <w:tcPr>
                  <w:tcW w:w="1926" w:type="dxa"/>
                  <w:shd w:val="clear" w:color="auto" w:fill="DBE5F1"/>
                  <w:vAlign w:val="center"/>
                </w:tcPr>
                <w:p w14:paraId="5BDEB49C"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75</w:t>
                  </w:r>
                </w:p>
              </w:tc>
              <w:tc>
                <w:tcPr>
                  <w:tcW w:w="2942" w:type="dxa"/>
                  <w:shd w:val="clear" w:color="auto" w:fill="DBE5F1"/>
                  <w:vAlign w:val="center"/>
                </w:tcPr>
                <w:p w14:paraId="09C3B212"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33</w:t>
                  </w:r>
                </w:p>
              </w:tc>
            </w:tr>
            <w:tr w:rsidR="00600DEE" w14:paraId="602A1EDD" w14:textId="77777777" w:rsidTr="00B802AC">
              <w:trPr>
                <w:trHeight w:val="243"/>
              </w:trPr>
              <w:tc>
                <w:tcPr>
                  <w:tcW w:w="1924" w:type="dxa"/>
                  <w:shd w:val="clear" w:color="auto" w:fill="DBE5F1"/>
                  <w:vAlign w:val="center"/>
                </w:tcPr>
                <w:p w14:paraId="2CF9AE32"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Ściany oporowe</w:t>
                  </w:r>
                </w:p>
              </w:tc>
              <w:tc>
                <w:tcPr>
                  <w:tcW w:w="1926" w:type="dxa"/>
                  <w:shd w:val="clear" w:color="auto" w:fill="DBE5F1"/>
                  <w:vAlign w:val="center"/>
                </w:tcPr>
                <w:p w14:paraId="019C7116"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60</w:t>
                  </w:r>
                </w:p>
              </w:tc>
              <w:tc>
                <w:tcPr>
                  <w:tcW w:w="2942" w:type="dxa"/>
                  <w:shd w:val="clear" w:color="auto" w:fill="DBE5F1"/>
                  <w:vAlign w:val="center"/>
                </w:tcPr>
                <w:p w14:paraId="69AAFFF4"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20</w:t>
                  </w:r>
                </w:p>
              </w:tc>
            </w:tr>
            <w:tr w:rsidR="00600DEE" w14:paraId="7D54E9BE" w14:textId="77777777" w:rsidTr="00B802AC">
              <w:trPr>
                <w:trHeight w:val="243"/>
              </w:trPr>
              <w:tc>
                <w:tcPr>
                  <w:tcW w:w="1924" w:type="dxa"/>
                  <w:shd w:val="clear" w:color="auto" w:fill="DBE5F1"/>
                  <w:vAlign w:val="center"/>
                </w:tcPr>
                <w:p w14:paraId="4AEEE6D1"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Roboty ziemne</w:t>
                  </w:r>
                </w:p>
              </w:tc>
              <w:tc>
                <w:tcPr>
                  <w:tcW w:w="1926" w:type="dxa"/>
                  <w:shd w:val="clear" w:color="auto" w:fill="DBE5F1"/>
                  <w:vAlign w:val="center"/>
                </w:tcPr>
                <w:p w14:paraId="4A19B44B"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40</w:t>
                  </w:r>
                </w:p>
              </w:tc>
              <w:tc>
                <w:tcPr>
                  <w:tcW w:w="2942" w:type="dxa"/>
                  <w:shd w:val="clear" w:color="auto" w:fill="DBE5F1"/>
                  <w:vAlign w:val="center"/>
                </w:tcPr>
                <w:p w14:paraId="57268F51"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15</w:t>
                  </w:r>
                </w:p>
              </w:tc>
            </w:tr>
            <w:tr w:rsidR="00600DEE" w14:paraId="57750B00" w14:textId="77777777" w:rsidTr="00B802AC">
              <w:trPr>
                <w:trHeight w:val="243"/>
              </w:trPr>
              <w:tc>
                <w:tcPr>
                  <w:tcW w:w="1924" w:type="dxa"/>
                  <w:shd w:val="clear" w:color="auto" w:fill="DBE5F1"/>
                  <w:vAlign w:val="center"/>
                </w:tcPr>
                <w:p w14:paraId="3D981DA0"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Ściany akustyczne</w:t>
                  </w:r>
                </w:p>
              </w:tc>
              <w:tc>
                <w:tcPr>
                  <w:tcW w:w="1926" w:type="dxa"/>
                  <w:shd w:val="clear" w:color="auto" w:fill="DBE5F1"/>
                  <w:vAlign w:val="center"/>
                </w:tcPr>
                <w:p w14:paraId="0FB569DB"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25</w:t>
                  </w:r>
                </w:p>
              </w:tc>
              <w:tc>
                <w:tcPr>
                  <w:tcW w:w="2942" w:type="dxa"/>
                  <w:shd w:val="clear" w:color="auto" w:fill="DBE5F1"/>
                  <w:vAlign w:val="center"/>
                </w:tcPr>
                <w:p w14:paraId="3DAAAB29"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15</w:t>
                  </w:r>
                </w:p>
              </w:tc>
            </w:tr>
            <w:tr w:rsidR="00600DEE" w14:paraId="6255E6EE" w14:textId="77777777" w:rsidTr="00B802AC">
              <w:trPr>
                <w:trHeight w:hRule="exact" w:val="508"/>
              </w:trPr>
              <w:tc>
                <w:tcPr>
                  <w:tcW w:w="1924" w:type="dxa"/>
                  <w:shd w:val="clear" w:color="auto" w:fill="DBE5F1"/>
                  <w:vAlign w:val="center"/>
                </w:tcPr>
                <w:p w14:paraId="4033E74D"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Nawierzchnia drogi: beton</w:t>
                  </w:r>
                </w:p>
              </w:tc>
              <w:tc>
                <w:tcPr>
                  <w:tcW w:w="1926" w:type="dxa"/>
                  <w:shd w:val="clear" w:color="auto" w:fill="DBE5F1"/>
                  <w:vAlign w:val="center"/>
                </w:tcPr>
                <w:p w14:paraId="223D48D2"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33</w:t>
                  </w:r>
                </w:p>
              </w:tc>
              <w:tc>
                <w:tcPr>
                  <w:tcW w:w="2942" w:type="dxa"/>
                  <w:shd w:val="clear" w:color="auto" w:fill="DBE5F1"/>
                  <w:vAlign w:val="center"/>
                </w:tcPr>
                <w:p w14:paraId="241F5D95"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23</w:t>
                  </w:r>
                </w:p>
              </w:tc>
            </w:tr>
            <w:tr w:rsidR="00600DEE" w14:paraId="0F6CAE5B" w14:textId="77777777" w:rsidTr="00B802AC">
              <w:trPr>
                <w:trHeight w:hRule="exact" w:val="508"/>
              </w:trPr>
              <w:tc>
                <w:tcPr>
                  <w:tcW w:w="1924" w:type="dxa"/>
                  <w:shd w:val="clear" w:color="auto" w:fill="DBE5F1"/>
                  <w:vAlign w:val="center"/>
                </w:tcPr>
                <w:p w14:paraId="14893572"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Nawierzchnia drogi: asfalt</w:t>
                  </w:r>
                </w:p>
              </w:tc>
              <w:tc>
                <w:tcPr>
                  <w:tcW w:w="1926" w:type="dxa"/>
                  <w:shd w:val="clear" w:color="auto" w:fill="DBE5F1"/>
                  <w:vAlign w:val="center"/>
                </w:tcPr>
                <w:p w14:paraId="6ED408FD"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20</w:t>
                  </w:r>
                </w:p>
              </w:tc>
              <w:tc>
                <w:tcPr>
                  <w:tcW w:w="2942" w:type="dxa"/>
                  <w:shd w:val="clear" w:color="auto" w:fill="DBE5F1"/>
                  <w:vAlign w:val="center"/>
                </w:tcPr>
                <w:p w14:paraId="5769C30D"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15</w:t>
                  </w:r>
                </w:p>
              </w:tc>
            </w:tr>
            <w:tr w:rsidR="00600DEE" w14:paraId="624DEC65" w14:textId="77777777" w:rsidTr="00B802AC">
              <w:trPr>
                <w:trHeight w:val="243"/>
              </w:trPr>
              <w:tc>
                <w:tcPr>
                  <w:tcW w:w="1924" w:type="dxa"/>
                  <w:shd w:val="clear" w:color="auto" w:fill="DBE5F1"/>
                  <w:vAlign w:val="center"/>
                </w:tcPr>
                <w:p w14:paraId="57698A5C"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Sprzęt utrzymaniowy</w:t>
                  </w:r>
                </w:p>
              </w:tc>
              <w:tc>
                <w:tcPr>
                  <w:tcW w:w="1926" w:type="dxa"/>
                  <w:shd w:val="clear" w:color="auto" w:fill="DBE5F1"/>
                  <w:vAlign w:val="center"/>
                </w:tcPr>
                <w:p w14:paraId="06EDD932"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15</w:t>
                  </w:r>
                </w:p>
              </w:tc>
              <w:tc>
                <w:tcPr>
                  <w:tcW w:w="2942" w:type="dxa"/>
                  <w:shd w:val="clear" w:color="auto" w:fill="DBE5F1"/>
                  <w:vAlign w:val="center"/>
                </w:tcPr>
                <w:p w14:paraId="6DB20A9C"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10</w:t>
                  </w:r>
                </w:p>
              </w:tc>
            </w:tr>
            <w:tr w:rsidR="00600DEE" w14:paraId="4FFCB514" w14:textId="77777777" w:rsidTr="00B802AC">
              <w:trPr>
                <w:trHeight w:hRule="exact" w:val="508"/>
              </w:trPr>
              <w:tc>
                <w:tcPr>
                  <w:tcW w:w="1924" w:type="dxa"/>
                  <w:shd w:val="clear" w:color="auto" w:fill="DBE5F1"/>
                  <w:vAlign w:val="center"/>
                </w:tcPr>
                <w:p w14:paraId="6272C3EB"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Sprzęt do łączności</w:t>
                  </w:r>
                </w:p>
              </w:tc>
              <w:tc>
                <w:tcPr>
                  <w:tcW w:w="1926" w:type="dxa"/>
                  <w:shd w:val="clear" w:color="auto" w:fill="DBE5F1"/>
                  <w:vAlign w:val="center"/>
                </w:tcPr>
                <w:p w14:paraId="67D2F76B"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10</w:t>
                  </w:r>
                </w:p>
              </w:tc>
              <w:tc>
                <w:tcPr>
                  <w:tcW w:w="2942" w:type="dxa"/>
                  <w:shd w:val="clear" w:color="auto" w:fill="DBE5F1"/>
                  <w:vAlign w:val="center"/>
                </w:tcPr>
                <w:p w14:paraId="236AB70A"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5</w:t>
                  </w:r>
                </w:p>
              </w:tc>
            </w:tr>
            <w:tr w:rsidR="00600DEE" w14:paraId="7199F4DF" w14:textId="77777777" w:rsidTr="00B802AC">
              <w:trPr>
                <w:trHeight w:val="40"/>
              </w:trPr>
              <w:tc>
                <w:tcPr>
                  <w:tcW w:w="1924" w:type="dxa"/>
                  <w:shd w:val="clear" w:color="auto" w:fill="DBE5F1"/>
                  <w:vAlign w:val="center"/>
                </w:tcPr>
                <w:p w14:paraId="2CBB8DD1" w14:textId="77777777" w:rsidR="00600DEE" w:rsidRDefault="00641FB5">
                  <w:pPr>
                    <w:spacing w:before="60" w:after="60"/>
                    <w:ind w:right="28"/>
                    <w:rPr>
                      <w:rFonts w:ascii="Calibri" w:eastAsia="Calibri" w:hAnsi="Calibri" w:cs="Calibri"/>
                      <w:color w:val="4F81BD"/>
                      <w:sz w:val="18"/>
                      <w:szCs w:val="18"/>
                    </w:rPr>
                  </w:pPr>
                  <w:r>
                    <w:rPr>
                      <w:rFonts w:ascii="Calibri" w:eastAsia="Calibri" w:hAnsi="Calibri" w:cs="Calibri"/>
                      <w:color w:val="4F81BD"/>
                      <w:sz w:val="18"/>
                      <w:szCs w:val="18"/>
                    </w:rPr>
                    <w:t>Przejęcie gruntów</w:t>
                  </w:r>
                </w:p>
              </w:tc>
              <w:tc>
                <w:tcPr>
                  <w:tcW w:w="1926" w:type="dxa"/>
                  <w:shd w:val="clear" w:color="auto" w:fill="DBE5F1"/>
                  <w:vAlign w:val="center"/>
                </w:tcPr>
                <w:p w14:paraId="323C64B1"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Nieskończony</w:t>
                  </w:r>
                </w:p>
              </w:tc>
              <w:tc>
                <w:tcPr>
                  <w:tcW w:w="2942" w:type="dxa"/>
                  <w:shd w:val="clear" w:color="auto" w:fill="DBE5F1"/>
                  <w:vAlign w:val="center"/>
                </w:tcPr>
                <w:p w14:paraId="51EFA501" w14:textId="77777777" w:rsidR="00600DEE" w:rsidRDefault="00641FB5">
                  <w:pPr>
                    <w:spacing w:before="60" w:after="60"/>
                    <w:ind w:right="28"/>
                    <w:jc w:val="center"/>
                    <w:rPr>
                      <w:rFonts w:ascii="Calibri" w:eastAsia="Calibri" w:hAnsi="Calibri" w:cs="Calibri"/>
                      <w:color w:val="4F81BD"/>
                      <w:sz w:val="18"/>
                      <w:szCs w:val="18"/>
                    </w:rPr>
                  </w:pPr>
                  <w:r>
                    <w:rPr>
                      <w:rFonts w:ascii="Calibri" w:eastAsia="Calibri" w:hAnsi="Calibri" w:cs="Calibri"/>
                      <w:color w:val="4F81BD"/>
                      <w:sz w:val="18"/>
                      <w:szCs w:val="18"/>
                    </w:rPr>
                    <w:t>Nieskończony</w:t>
                  </w:r>
                </w:p>
              </w:tc>
            </w:tr>
          </w:tbl>
          <w:p w14:paraId="3A54033A" w14:textId="77777777" w:rsidR="00600DEE" w:rsidRDefault="00641FB5">
            <w:pPr>
              <w:pBdr>
                <w:top w:val="nil"/>
                <w:left w:val="nil"/>
                <w:bottom w:val="nil"/>
                <w:right w:val="nil"/>
                <w:between w:val="nil"/>
              </w:pBdr>
              <w:spacing w:before="120"/>
              <w:jc w:val="both"/>
              <w:rPr>
                <w:rFonts w:ascii="Calibri" w:eastAsia="Calibri" w:hAnsi="Calibri" w:cs="Calibri"/>
                <w:b/>
                <w:i/>
                <w:color w:val="222222"/>
                <w:sz w:val="16"/>
                <w:szCs w:val="16"/>
              </w:rPr>
            </w:pPr>
            <w:r>
              <w:rPr>
                <w:rFonts w:ascii="Calibri" w:eastAsia="Calibri" w:hAnsi="Calibri" w:cs="Calibri"/>
                <w:b/>
                <w:i/>
                <w:color w:val="222222"/>
                <w:sz w:val="16"/>
                <w:szCs w:val="16"/>
              </w:rPr>
              <w:t>Źródło: w oparciu o dane EBI.</w:t>
            </w:r>
          </w:p>
        </w:tc>
        <w:tc>
          <w:tcPr>
            <w:tcW w:w="7201" w:type="dxa"/>
            <w:tcBorders>
              <w:left w:val="single" w:sz="4" w:space="0" w:color="000000"/>
            </w:tcBorders>
            <w:tcMar>
              <w:left w:w="284" w:type="dxa"/>
              <w:right w:w="284" w:type="dxa"/>
            </w:tcMar>
          </w:tcPr>
          <w:p w14:paraId="440C976B" w14:textId="79A57F2E"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A residual value of the project must be included on the investment cost side for the final year of the analysis. The residual value reflects the capacity of the remaining fixed assets whose economic life is not yet completely exhausted to generate revenue. The residual value will be zero or negligible, if a time horizon equal to the economic life of the asset has been selected. On the contrary, when the economic life of the project exceeds the time horizon, the salvage value of fixed asset or any remaining capacity to generate net revenues in the future has to be recorded. In other words, the residual value can be defined as the “virtual liquidation” value. </w:t>
            </w:r>
          </w:p>
          <w:p w14:paraId="15C928B8" w14:textId="77777777" w:rsidR="000927FA" w:rsidRPr="0045151D" w:rsidRDefault="000927FA">
            <w:pPr>
              <w:pBdr>
                <w:top w:val="nil"/>
                <w:left w:val="nil"/>
                <w:bottom w:val="nil"/>
                <w:right w:val="nil"/>
                <w:between w:val="nil"/>
              </w:pBdr>
              <w:spacing w:before="120"/>
              <w:jc w:val="both"/>
              <w:rPr>
                <w:rFonts w:ascii="Calibri" w:eastAsia="Calibri" w:hAnsi="Calibri" w:cs="Calibri"/>
                <w:color w:val="000000"/>
                <w:sz w:val="20"/>
                <w:szCs w:val="20"/>
                <w:lang w:val="en-GB"/>
              </w:rPr>
            </w:pPr>
          </w:p>
          <w:p w14:paraId="6B31D374" w14:textId="77777777" w:rsidR="000927FA" w:rsidRPr="0045151D" w:rsidRDefault="000927FA">
            <w:pPr>
              <w:pBdr>
                <w:top w:val="nil"/>
                <w:left w:val="nil"/>
                <w:bottom w:val="nil"/>
                <w:right w:val="nil"/>
                <w:between w:val="nil"/>
              </w:pBdr>
              <w:spacing w:before="120"/>
              <w:jc w:val="both"/>
              <w:rPr>
                <w:rFonts w:ascii="Calibri" w:eastAsia="Calibri" w:hAnsi="Calibri" w:cs="Calibri"/>
                <w:color w:val="000000"/>
                <w:sz w:val="20"/>
                <w:szCs w:val="20"/>
                <w:lang w:val="en-GB"/>
              </w:rPr>
            </w:pPr>
          </w:p>
          <w:p w14:paraId="3219CB6C" w14:textId="612BDFB3"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w:t>
            </w:r>
            <w:r w:rsidRPr="0045151D">
              <w:rPr>
                <w:rFonts w:ascii="Calibri" w:eastAsia="Calibri" w:hAnsi="Calibri" w:cs="Calibri"/>
                <w:b/>
                <w:color w:val="000000"/>
                <w:sz w:val="20"/>
                <w:szCs w:val="20"/>
                <w:lang w:val="en-GB"/>
              </w:rPr>
              <w:t>economic residual value</w:t>
            </w:r>
            <w:r w:rsidRPr="0045151D">
              <w:rPr>
                <w:rFonts w:ascii="Calibri" w:eastAsia="Calibri" w:hAnsi="Calibri" w:cs="Calibri"/>
                <w:color w:val="000000"/>
                <w:sz w:val="20"/>
                <w:szCs w:val="20"/>
                <w:lang w:val="en-GB"/>
              </w:rPr>
              <w:t xml:space="preserve"> may be very significant for projects in which the economic life of the most durable component of the investment significantly exceeds the time horizon of the cost and benefit analysis, so that the asset is expected to keep delivering benefits after the end of the reference period.</w:t>
            </w:r>
          </w:p>
          <w:p w14:paraId="229DC92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economic residual value could be calculated according to one of the two methods below:</w:t>
            </w:r>
          </w:p>
          <w:p w14:paraId="1A3990C4" w14:textId="77777777" w:rsidR="00600DEE" w:rsidRPr="0045151D" w:rsidRDefault="00641FB5" w:rsidP="00D5736B">
            <w:pPr>
              <w:numPr>
                <w:ilvl w:val="0"/>
                <w:numId w:val="84"/>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as recommended method, by computing the present value of economic benefits, net of economic costs in the remaining life-years of the project (approach to be adopted when the residual value is calculated in the financial analysis with the net present value of future cash flows method). The calculation formula is similar to the formula below with respective economic flows,</w:t>
            </w:r>
          </w:p>
          <w:p w14:paraId="2D737543" w14:textId="77777777" w:rsidR="00600DEE" w:rsidRPr="0045151D" w:rsidRDefault="00641FB5" w:rsidP="00D5736B">
            <w:pPr>
              <w:numPr>
                <w:ilvl w:val="0"/>
                <w:numId w:val="84"/>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applying the conversion factor for investment costs (see chapter 2.2.2) to the financial residual value calculated based on depreciation formula.</w:t>
            </w:r>
          </w:p>
          <w:p w14:paraId="41665EC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application of the first one in transport projects (where assets will usually have very long physical lives) bears the risk of the residual value being so large as to distort the analysis. The situation that the residual value represents a substantial share of project benefits, to the possible extent that the project’s socio-economic justification relies mainly on residual value, should be avoided. In fact, as presented in the EU CBA guide, the project socio-economic justification should mainly reside on benefits incurred during the reference period (residual value impacting marginally).</w:t>
            </w:r>
          </w:p>
          <w:p w14:paraId="0F501261"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0DDDCB4A" w14:textId="77777777" w:rsidR="00600DEE" w:rsidRPr="0045151D" w:rsidRDefault="00641FB5">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order to calculate the residual value based on depreciation, it is recommended to consider the average physical life of the project defined as the cost-weighted average of the physical investment components of the project under normal operating and maintenance conditions. Proposed average physical life of road infrastructure assets are presented below (Table 12). A calculation example considering the project assets physical lives is presented in Appendix A.</w:t>
            </w:r>
          </w:p>
          <w:p w14:paraId="57F70251" w14:textId="77777777" w:rsidR="000927FA" w:rsidRPr="0045151D" w:rsidRDefault="000927FA">
            <w:pPr>
              <w:pBdr>
                <w:top w:val="nil"/>
                <w:left w:val="nil"/>
                <w:bottom w:val="nil"/>
                <w:right w:val="nil"/>
                <w:between w:val="nil"/>
              </w:pBdr>
              <w:spacing w:before="120"/>
              <w:jc w:val="both"/>
              <w:rPr>
                <w:rFonts w:ascii="Calibri" w:eastAsia="Calibri" w:hAnsi="Calibri" w:cs="Calibri"/>
                <w:color w:val="000000"/>
                <w:sz w:val="20"/>
                <w:szCs w:val="20"/>
                <w:lang w:val="en-GB"/>
              </w:rPr>
            </w:pPr>
          </w:p>
          <w:p w14:paraId="04C5318C" w14:textId="0DDB7039" w:rsidR="00600DEE" w:rsidRPr="0045151D" w:rsidRDefault="00641FB5" w:rsidP="000927FA">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w:t>
            </w:r>
            <w:r w:rsidRPr="0045151D">
              <w:rPr>
                <w:rFonts w:ascii="Calibri" w:eastAsia="Calibri" w:hAnsi="Calibri" w:cs="Calibri"/>
                <w:b/>
                <w:color w:val="000000"/>
                <w:sz w:val="20"/>
                <w:szCs w:val="20"/>
                <w:lang w:val="en-GB"/>
              </w:rPr>
              <w:t>financial residual value</w:t>
            </w:r>
            <w:r w:rsidRPr="0045151D">
              <w:rPr>
                <w:rFonts w:ascii="Calibri" w:eastAsia="Calibri" w:hAnsi="Calibri" w:cs="Calibri"/>
                <w:color w:val="000000"/>
                <w:sz w:val="20"/>
                <w:szCs w:val="20"/>
                <w:lang w:val="en-GB"/>
              </w:rPr>
              <w:t xml:space="preserve"> of revenue generating projects (toll roads) should be, preferably and recommended, calculated on the basis of the income-based method, which assumes the project’s ability to generate revenues after the period covered by the detailed analysis. The financial residual value should be determined by computing the net present value of financial cash flows in the remaining life years of the operation (i.e. 40 years average life of a new road infrastructure project is proposed, or alternatively a specific calculation of the project life can be p</w:t>
            </w:r>
            <w:r w:rsidR="00DA7241">
              <w:rPr>
                <w:rFonts w:ascii="Calibri" w:eastAsia="Calibri" w:hAnsi="Calibri" w:cs="Calibri"/>
                <w:color w:val="000000"/>
                <w:sz w:val="20"/>
                <w:szCs w:val="20"/>
                <w:lang w:val="en-GB"/>
              </w:rPr>
              <w:t>erformed as indicated below in T</w:t>
            </w:r>
            <w:r w:rsidRPr="0045151D">
              <w:rPr>
                <w:rFonts w:ascii="Calibri" w:eastAsia="Calibri" w:hAnsi="Calibri" w:cs="Calibri"/>
                <w:color w:val="000000"/>
                <w:sz w:val="20"/>
                <w:szCs w:val="20"/>
                <w:lang w:val="en-GB"/>
              </w:rPr>
              <w:t xml:space="preserve">able 12). The number of remaining life years of the operation should be calculated as average life of new infrastructure (e.g. 40 years or other as applicable) plus the period of the investment process (e.g. 2 years or other as applicable) less reference period (25 years). The figures are provided as an example only and parameters in the calculation of residual value should be adapted to the actual circumstances of the particular project. Representative flows from the last year covered by the analysis are used, i.e. flows (revenues and O&amp;M expenditures) which are not affected by single events (e.g. major repairs). If expenditures of the last year are not representative, the average values from the entire period or from an appropriately selected period of the analysis should be taken into account, so that their representativeness is ensured. </w:t>
            </w:r>
          </w:p>
          <w:p w14:paraId="1C0A7C9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residual value calculation as described above is represented by the following formula:</w:t>
            </w:r>
          </w:p>
          <w:p w14:paraId="595B41B7" w14:textId="77777777" w:rsidR="00600DEE" w:rsidRDefault="00641FB5">
            <w:pPr>
              <w:pBdr>
                <w:top w:val="nil"/>
                <w:left w:val="nil"/>
                <w:bottom w:val="nil"/>
                <w:right w:val="nil"/>
                <w:between w:val="nil"/>
              </w:pBdr>
              <w:spacing w:before="120"/>
              <w:jc w:val="center"/>
              <w:rPr>
                <w:rFonts w:ascii="Calibri" w:eastAsia="Calibri" w:hAnsi="Calibri" w:cs="Calibri"/>
                <w:color w:val="000000"/>
                <w:sz w:val="20"/>
                <w:szCs w:val="20"/>
              </w:rPr>
            </w:pPr>
            <w:r>
              <w:rPr>
                <w:rFonts w:ascii="Calibri" w:eastAsia="Calibri" w:hAnsi="Calibri" w:cs="Calibri"/>
                <w:color w:val="000000"/>
                <w:sz w:val="36"/>
                <w:szCs w:val="36"/>
                <w:vertAlign w:val="subscript"/>
              </w:rPr>
              <w:object w:dxaOrig="2175" w:dyaOrig="1238" w14:anchorId="42E52CA8">
                <v:shape id="_x0000_i1026" type="#_x0000_t75" style="width:109.4pt;height:61.7pt" o:ole="">
                  <v:imagedata r:id="rId107" o:title=""/>
                </v:shape>
                <o:OLEObject Type="Embed" ProgID="Equation.3" ShapeID="_x0000_i1026" DrawAspect="Content" ObjectID="_1747568773" r:id="rId108"/>
              </w:object>
            </w:r>
          </w:p>
          <w:p w14:paraId="1CF4E98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where:</w:t>
            </w:r>
          </w:p>
          <w:p w14:paraId="7AB027B9" w14:textId="77777777" w:rsidR="00600DEE" w:rsidRPr="0045151D" w:rsidRDefault="00641FB5">
            <w:pPr>
              <w:pBdr>
                <w:top w:val="nil"/>
                <w:left w:val="nil"/>
                <w:bottom w:val="nil"/>
                <w:right w:val="nil"/>
                <w:between w:val="nil"/>
              </w:pBdr>
              <w:spacing w:before="120"/>
              <w:ind w:left="-2" w:firstLine="2"/>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 – residual value at the end of the reference period (discounted),</w:t>
            </w:r>
          </w:p>
          <w:p w14:paraId="52F0E72E" w14:textId="77777777" w:rsidR="00600DEE" w:rsidRPr="0045151D" w:rsidRDefault="00641FB5">
            <w:pPr>
              <w:pBdr>
                <w:top w:val="nil"/>
                <w:left w:val="nil"/>
                <w:bottom w:val="nil"/>
                <w:right w:val="nil"/>
                <w:between w:val="nil"/>
              </w:pBdr>
              <w:spacing w:before="120"/>
              <w:ind w:left="-2" w:firstLine="2"/>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PO – operating income in the last year of the reference period (averaged if not representative),</w:t>
            </w:r>
          </w:p>
          <w:p w14:paraId="7EE1BD07" w14:textId="77777777" w:rsidR="00600DEE" w:rsidRPr="0045151D" w:rsidRDefault="00641FB5">
            <w:pPr>
              <w:pBdr>
                <w:top w:val="nil"/>
                <w:left w:val="nil"/>
                <w:bottom w:val="nil"/>
                <w:right w:val="nil"/>
                <w:between w:val="nil"/>
              </w:pBdr>
              <w:spacing w:before="120"/>
              <w:ind w:left="-2" w:firstLine="2"/>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KO – operating expenses in the last year of the reference period (averaged if not representative),</w:t>
            </w:r>
          </w:p>
          <w:p w14:paraId="351DB645" w14:textId="77777777" w:rsidR="00600DEE" w:rsidRPr="0045151D" w:rsidRDefault="00641FB5">
            <w:pPr>
              <w:pBdr>
                <w:top w:val="nil"/>
                <w:left w:val="nil"/>
                <w:bottom w:val="nil"/>
                <w:right w:val="nil"/>
                <w:between w:val="nil"/>
              </w:pBdr>
              <w:spacing w:before="120"/>
              <w:ind w:left="-2" w:firstLine="2"/>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 – discount rate,</w:t>
            </w:r>
          </w:p>
          <w:p w14:paraId="4FE6514D" w14:textId="77777777" w:rsidR="00600DEE" w:rsidRPr="0045151D" w:rsidRDefault="00641FB5">
            <w:pPr>
              <w:pBdr>
                <w:top w:val="nil"/>
                <w:left w:val="nil"/>
                <w:bottom w:val="nil"/>
                <w:right w:val="nil"/>
                <w:between w:val="nil"/>
              </w:pBdr>
              <w:spacing w:before="120"/>
              <w:ind w:left="-2" w:firstLine="2"/>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n – year, from the end of the reference period (25) plus 1 till the end of the remaining life years of operation (e.g. 40 years of economic life after the project entering into operation),</w:t>
            </w:r>
          </w:p>
          <w:p w14:paraId="51C9E7D0" w14:textId="77777777" w:rsidR="00600DEE" w:rsidRPr="0045151D" w:rsidRDefault="00641FB5">
            <w:pPr>
              <w:pBdr>
                <w:top w:val="nil"/>
                <w:left w:val="nil"/>
                <w:bottom w:val="nil"/>
                <w:right w:val="nil"/>
                <w:between w:val="nil"/>
              </w:pBdr>
              <w:spacing w:before="120"/>
              <w:ind w:left="-2" w:firstLine="2"/>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 – total average physical life of the project (i.e. after remaining life years of operation), proposed 40 years.</w:t>
            </w:r>
          </w:p>
          <w:p w14:paraId="49CF058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residual value is not taken into account in calculations (i.e. it should be set at 0) if it is lower than zero. Residual value is recognised in the financial analysis in the last year of the analysis and needs to be discounted for the calculation of project’s financial indicators.</w:t>
            </w:r>
          </w:p>
          <w:p w14:paraId="26140C9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Alternative methods to calculate residual value, for instance based on depreciation, may also be used, considering the physical life of the road infrastructure (Table 12) and asset replacement costs computed during the reference period.</w:t>
            </w:r>
          </w:p>
          <w:p w14:paraId="6A34FDE9"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0DFDBECC"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12. Average physical life of road infrastructure assets</w:t>
            </w:r>
          </w:p>
          <w:tbl>
            <w:tblPr>
              <w:tblStyle w:val="afff5"/>
              <w:tblW w:w="6944" w:type="dxa"/>
              <w:tblBorders>
                <w:insideH w:val="single" w:sz="4" w:space="0" w:color="FFFFFF"/>
                <w:insideV w:val="single" w:sz="4" w:space="0" w:color="FFFFFF"/>
              </w:tblBorders>
              <w:tblLayout w:type="fixed"/>
              <w:tblLook w:val="0400" w:firstRow="0" w:lastRow="0" w:firstColumn="0" w:lastColumn="0" w:noHBand="0" w:noVBand="1"/>
            </w:tblPr>
            <w:tblGrid>
              <w:gridCol w:w="2008"/>
              <w:gridCol w:w="2010"/>
              <w:gridCol w:w="2926"/>
            </w:tblGrid>
            <w:tr w:rsidR="00600DEE" w:rsidRPr="007463B9" w14:paraId="25DE2B3F" w14:textId="77777777">
              <w:trPr>
                <w:trHeight w:val="226"/>
              </w:trPr>
              <w:tc>
                <w:tcPr>
                  <w:tcW w:w="2008" w:type="dxa"/>
                  <w:vMerge w:val="restart"/>
                  <w:tcBorders>
                    <w:top w:val="nil"/>
                    <w:bottom w:val="single" w:sz="4" w:space="0" w:color="FFFFFF"/>
                  </w:tcBorders>
                  <w:shd w:val="clear" w:color="auto" w:fill="A6A6A6"/>
                  <w:vAlign w:val="center"/>
                </w:tcPr>
                <w:p w14:paraId="5A8D41D8" w14:textId="77777777" w:rsidR="00600DEE" w:rsidRPr="0045151D" w:rsidRDefault="00641FB5">
                  <w:pPr>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Physical Life of Assets</w:t>
                  </w:r>
                </w:p>
              </w:tc>
              <w:tc>
                <w:tcPr>
                  <w:tcW w:w="2010" w:type="dxa"/>
                  <w:tcBorders>
                    <w:top w:val="nil"/>
                    <w:bottom w:val="single" w:sz="4" w:space="0" w:color="FFFFFF"/>
                  </w:tcBorders>
                  <w:shd w:val="clear" w:color="auto" w:fill="A6A6A6"/>
                  <w:vAlign w:val="center"/>
                </w:tcPr>
                <w:p w14:paraId="7823DBF9" w14:textId="77777777" w:rsidR="00600DEE" w:rsidRPr="0045151D" w:rsidRDefault="00641FB5">
                  <w:pPr>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New Construction</w:t>
                  </w:r>
                </w:p>
              </w:tc>
              <w:tc>
                <w:tcPr>
                  <w:tcW w:w="2926" w:type="dxa"/>
                  <w:tcBorders>
                    <w:top w:val="nil"/>
                    <w:bottom w:val="single" w:sz="4" w:space="0" w:color="FFFFFF"/>
                  </w:tcBorders>
                  <w:shd w:val="clear" w:color="auto" w:fill="A6A6A6"/>
                  <w:vAlign w:val="center"/>
                </w:tcPr>
                <w:p w14:paraId="12BADDDD" w14:textId="77777777" w:rsidR="00600DEE" w:rsidRPr="0045151D" w:rsidRDefault="00641FB5">
                  <w:pPr>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Rehabilitation</w:t>
                  </w:r>
                </w:p>
              </w:tc>
            </w:tr>
            <w:tr w:rsidR="00600DEE" w:rsidRPr="007463B9" w14:paraId="1B85B214" w14:textId="77777777">
              <w:trPr>
                <w:trHeight w:val="226"/>
              </w:trPr>
              <w:tc>
                <w:tcPr>
                  <w:tcW w:w="2008" w:type="dxa"/>
                  <w:vMerge/>
                  <w:tcBorders>
                    <w:top w:val="nil"/>
                    <w:bottom w:val="single" w:sz="4" w:space="0" w:color="FFFFFF"/>
                  </w:tcBorders>
                  <w:shd w:val="clear" w:color="auto" w:fill="A6A6A6"/>
                  <w:vAlign w:val="center"/>
                </w:tcPr>
                <w:p w14:paraId="572DE00F"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lang w:val="en-GB"/>
                    </w:rPr>
                  </w:pPr>
                </w:p>
              </w:tc>
              <w:tc>
                <w:tcPr>
                  <w:tcW w:w="2010" w:type="dxa"/>
                  <w:tcBorders>
                    <w:top w:val="single" w:sz="4" w:space="0" w:color="FFFFFF"/>
                    <w:bottom w:val="single" w:sz="4" w:space="0" w:color="FFFFFF"/>
                  </w:tcBorders>
                  <w:shd w:val="clear" w:color="auto" w:fill="A6A6A6"/>
                  <w:vAlign w:val="center"/>
                </w:tcPr>
                <w:p w14:paraId="15F986EE" w14:textId="77777777" w:rsidR="00600DEE" w:rsidRPr="0045151D" w:rsidRDefault="00641FB5">
                  <w:pPr>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Years</w:t>
                  </w:r>
                </w:p>
              </w:tc>
              <w:tc>
                <w:tcPr>
                  <w:tcW w:w="2926" w:type="dxa"/>
                  <w:tcBorders>
                    <w:top w:val="single" w:sz="4" w:space="0" w:color="FFFFFF"/>
                    <w:bottom w:val="single" w:sz="4" w:space="0" w:color="FFFFFF"/>
                  </w:tcBorders>
                  <w:shd w:val="clear" w:color="auto" w:fill="A6A6A6"/>
                  <w:vAlign w:val="center"/>
                </w:tcPr>
                <w:p w14:paraId="20BA0605" w14:textId="77777777" w:rsidR="00600DEE" w:rsidRPr="0045151D" w:rsidRDefault="00641FB5">
                  <w:pPr>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 xml:space="preserve">Years </w:t>
                  </w:r>
                </w:p>
              </w:tc>
            </w:tr>
            <w:tr w:rsidR="00600DEE" w:rsidRPr="007463B9" w14:paraId="7FF17C73" w14:textId="77777777">
              <w:trPr>
                <w:trHeight w:val="257"/>
              </w:trPr>
              <w:tc>
                <w:tcPr>
                  <w:tcW w:w="2008" w:type="dxa"/>
                  <w:tcBorders>
                    <w:top w:val="single" w:sz="4" w:space="0" w:color="FFFFFF"/>
                  </w:tcBorders>
                  <w:shd w:val="clear" w:color="auto" w:fill="DBE5F1"/>
                  <w:vAlign w:val="center"/>
                </w:tcPr>
                <w:p w14:paraId="730D6EF2"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Tunnels</w:t>
                  </w:r>
                </w:p>
              </w:tc>
              <w:tc>
                <w:tcPr>
                  <w:tcW w:w="2010" w:type="dxa"/>
                  <w:tcBorders>
                    <w:top w:val="single" w:sz="4" w:space="0" w:color="FFFFFF"/>
                  </w:tcBorders>
                  <w:shd w:val="clear" w:color="auto" w:fill="DBE5F1"/>
                  <w:vAlign w:val="center"/>
                </w:tcPr>
                <w:p w14:paraId="65663744"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75</w:t>
                  </w:r>
                </w:p>
              </w:tc>
              <w:tc>
                <w:tcPr>
                  <w:tcW w:w="2926" w:type="dxa"/>
                  <w:tcBorders>
                    <w:top w:val="single" w:sz="4" w:space="0" w:color="FFFFFF"/>
                  </w:tcBorders>
                  <w:shd w:val="clear" w:color="auto" w:fill="DBE5F1"/>
                  <w:vAlign w:val="center"/>
                </w:tcPr>
                <w:p w14:paraId="1D632790"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33</w:t>
                  </w:r>
                </w:p>
              </w:tc>
            </w:tr>
            <w:tr w:rsidR="00600DEE" w:rsidRPr="007463B9" w14:paraId="2D381BFA" w14:textId="77777777">
              <w:trPr>
                <w:trHeight w:val="271"/>
              </w:trPr>
              <w:tc>
                <w:tcPr>
                  <w:tcW w:w="2008" w:type="dxa"/>
                  <w:shd w:val="clear" w:color="auto" w:fill="DBE5F1"/>
                  <w:vAlign w:val="center"/>
                </w:tcPr>
                <w:p w14:paraId="6E40505E"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Bridges</w:t>
                  </w:r>
                </w:p>
              </w:tc>
              <w:tc>
                <w:tcPr>
                  <w:tcW w:w="2010" w:type="dxa"/>
                  <w:shd w:val="clear" w:color="auto" w:fill="DBE5F1"/>
                  <w:vAlign w:val="center"/>
                </w:tcPr>
                <w:p w14:paraId="34582B72"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75</w:t>
                  </w:r>
                </w:p>
              </w:tc>
              <w:tc>
                <w:tcPr>
                  <w:tcW w:w="2926" w:type="dxa"/>
                  <w:shd w:val="clear" w:color="auto" w:fill="DBE5F1"/>
                  <w:vAlign w:val="center"/>
                </w:tcPr>
                <w:p w14:paraId="358793A6"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33</w:t>
                  </w:r>
                </w:p>
              </w:tc>
            </w:tr>
            <w:tr w:rsidR="00600DEE" w:rsidRPr="007463B9" w14:paraId="06433473" w14:textId="77777777">
              <w:trPr>
                <w:trHeight w:val="271"/>
              </w:trPr>
              <w:tc>
                <w:tcPr>
                  <w:tcW w:w="2008" w:type="dxa"/>
                  <w:shd w:val="clear" w:color="auto" w:fill="DBE5F1"/>
                  <w:vAlign w:val="center"/>
                </w:tcPr>
                <w:p w14:paraId="5C960309"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Supporting Walls</w:t>
                  </w:r>
                </w:p>
              </w:tc>
              <w:tc>
                <w:tcPr>
                  <w:tcW w:w="2010" w:type="dxa"/>
                  <w:shd w:val="clear" w:color="auto" w:fill="DBE5F1"/>
                  <w:vAlign w:val="center"/>
                </w:tcPr>
                <w:p w14:paraId="01FF5979"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60</w:t>
                  </w:r>
                </w:p>
              </w:tc>
              <w:tc>
                <w:tcPr>
                  <w:tcW w:w="2926" w:type="dxa"/>
                  <w:shd w:val="clear" w:color="auto" w:fill="DBE5F1"/>
                  <w:vAlign w:val="center"/>
                </w:tcPr>
                <w:p w14:paraId="3C182B55"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w:t>
                  </w:r>
                </w:p>
              </w:tc>
            </w:tr>
            <w:tr w:rsidR="00600DEE" w:rsidRPr="007463B9" w14:paraId="1EA612E5" w14:textId="77777777">
              <w:trPr>
                <w:trHeight w:val="271"/>
              </w:trPr>
              <w:tc>
                <w:tcPr>
                  <w:tcW w:w="2008" w:type="dxa"/>
                  <w:shd w:val="clear" w:color="auto" w:fill="DBE5F1"/>
                  <w:vAlign w:val="center"/>
                </w:tcPr>
                <w:p w14:paraId="5B3FDEB7"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Embankment</w:t>
                  </w:r>
                </w:p>
              </w:tc>
              <w:tc>
                <w:tcPr>
                  <w:tcW w:w="2010" w:type="dxa"/>
                  <w:shd w:val="clear" w:color="auto" w:fill="DBE5F1"/>
                  <w:vAlign w:val="center"/>
                </w:tcPr>
                <w:p w14:paraId="3C500280"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40</w:t>
                  </w:r>
                </w:p>
              </w:tc>
              <w:tc>
                <w:tcPr>
                  <w:tcW w:w="2926" w:type="dxa"/>
                  <w:shd w:val="clear" w:color="auto" w:fill="DBE5F1"/>
                  <w:vAlign w:val="center"/>
                </w:tcPr>
                <w:p w14:paraId="647CB12E"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15</w:t>
                  </w:r>
                </w:p>
              </w:tc>
            </w:tr>
            <w:tr w:rsidR="00600DEE" w:rsidRPr="007463B9" w14:paraId="6E3BE9F8" w14:textId="77777777">
              <w:trPr>
                <w:trHeight w:val="271"/>
              </w:trPr>
              <w:tc>
                <w:tcPr>
                  <w:tcW w:w="2008" w:type="dxa"/>
                  <w:shd w:val="clear" w:color="auto" w:fill="DBE5F1"/>
                  <w:vAlign w:val="center"/>
                </w:tcPr>
                <w:p w14:paraId="642FA538"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Noise Protection Walls</w:t>
                  </w:r>
                </w:p>
              </w:tc>
              <w:tc>
                <w:tcPr>
                  <w:tcW w:w="2010" w:type="dxa"/>
                  <w:shd w:val="clear" w:color="auto" w:fill="DBE5F1"/>
                  <w:vAlign w:val="center"/>
                </w:tcPr>
                <w:p w14:paraId="12E240DE"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25</w:t>
                  </w:r>
                </w:p>
              </w:tc>
              <w:tc>
                <w:tcPr>
                  <w:tcW w:w="2926" w:type="dxa"/>
                  <w:shd w:val="clear" w:color="auto" w:fill="DBE5F1"/>
                  <w:vAlign w:val="center"/>
                </w:tcPr>
                <w:p w14:paraId="0CDF513B"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15</w:t>
                  </w:r>
                </w:p>
              </w:tc>
            </w:tr>
            <w:tr w:rsidR="00600DEE" w:rsidRPr="007463B9" w14:paraId="38CBF84A" w14:textId="77777777" w:rsidTr="0016169D">
              <w:trPr>
                <w:trHeight w:hRule="exact" w:val="567"/>
              </w:trPr>
              <w:tc>
                <w:tcPr>
                  <w:tcW w:w="2008" w:type="dxa"/>
                  <w:shd w:val="clear" w:color="auto" w:fill="DBE5F1"/>
                  <w:vAlign w:val="center"/>
                </w:tcPr>
                <w:p w14:paraId="0B8BCF60"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Pavement : Concrete</w:t>
                  </w:r>
                </w:p>
              </w:tc>
              <w:tc>
                <w:tcPr>
                  <w:tcW w:w="2010" w:type="dxa"/>
                  <w:shd w:val="clear" w:color="auto" w:fill="DBE5F1"/>
                  <w:vAlign w:val="center"/>
                </w:tcPr>
                <w:p w14:paraId="0D9F4828"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33</w:t>
                  </w:r>
                </w:p>
              </w:tc>
              <w:tc>
                <w:tcPr>
                  <w:tcW w:w="2926" w:type="dxa"/>
                  <w:shd w:val="clear" w:color="auto" w:fill="DBE5F1"/>
                  <w:vAlign w:val="center"/>
                </w:tcPr>
                <w:p w14:paraId="329FD570"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23</w:t>
                  </w:r>
                </w:p>
              </w:tc>
            </w:tr>
            <w:tr w:rsidR="00600DEE" w:rsidRPr="007463B9" w14:paraId="0E704F91" w14:textId="77777777" w:rsidTr="0016169D">
              <w:trPr>
                <w:trHeight w:hRule="exact" w:val="567"/>
              </w:trPr>
              <w:tc>
                <w:tcPr>
                  <w:tcW w:w="2008" w:type="dxa"/>
                  <w:shd w:val="clear" w:color="auto" w:fill="DBE5F1"/>
                  <w:vAlign w:val="center"/>
                </w:tcPr>
                <w:p w14:paraId="0400F71E"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Pavement : Asphalt</w:t>
                  </w:r>
                </w:p>
              </w:tc>
              <w:tc>
                <w:tcPr>
                  <w:tcW w:w="2010" w:type="dxa"/>
                  <w:shd w:val="clear" w:color="auto" w:fill="DBE5F1"/>
                  <w:vAlign w:val="center"/>
                </w:tcPr>
                <w:p w14:paraId="3414F146"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w:t>
                  </w:r>
                </w:p>
              </w:tc>
              <w:tc>
                <w:tcPr>
                  <w:tcW w:w="2926" w:type="dxa"/>
                  <w:shd w:val="clear" w:color="auto" w:fill="DBE5F1"/>
                  <w:vAlign w:val="center"/>
                </w:tcPr>
                <w:p w14:paraId="2278C6D3"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15</w:t>
                  </w:r>
                </w:p>
              </w:tc>
            </w:tr>
            <w:tr w:rsidR="00600DEE" w:rsidRPr="007463B9" w14:paraId="15D33EA8" w14:textId="77777777">
              <w:trPr>
                <w:trHeight w:val="271"/>
              </w:trPr>
              <w:tc>
                <w:tcPr>
                  <w:tcW w:w="2008" w:type="dxa"/>
                  <w:shd w:val="clear" w:color="auto" w:fill="DBE5F1"/>
                  <w:vAlign w:val="center"/>
                </w:tcPr>
                <w:p w14:paraId="05A92906"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O&amp;M Equipment</w:t>
                  </w:r>
                </w:p>
              </w:tc>
              <w:tc>
                <w:tcPr>
                  <w:tcW w:w="2010" w:type="dxa"/>
                  <w:shd w:val="clear" w:color="auto" w:fill="DBE5F1"/>
                  <w:vAlign w:val="center"/>
                </w:tcPr>
                <w:p w14:paraId="45977943"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15</w:t>
                  </w:r>
                </w:p>
              </w:tc>
              <w:tc>
                <w:tcPr>
                  <w:tcW w:w="2926" w:type="dxa"/>
                  <w:shd w:val="clear" w:color="auto" w:fill="DBE5F1"/>
                  <w:vAlign w:val="center"/>
                </w:tcPr>
                <w:p w14:paraId="5F13CE03"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w:t>
                  </w:r>
                </w:p>
              </w:tc>
            </w:tr>
            <w:tr w:rsidR="00600DEE" w:rsidRPr="007463B9" w14:paraId="1DF8DBAF" w14:textId="77777777" w:rsidTr="0016169D">
              <w:trPr>
                <w:trHeight w:hRule="exact" w:val="567"/>
              </w:trPr>
              <w:tc>
                <w:tcPr>
                  <w:tcW w:w="2008" w:type="dxa"/>
                  <w:shd w:val="clear" w:color="auto" w:fill="DBE5F1"/>
                  <w:vAlign w:val="center"/>
                </w:tcPr>
                <w:p w14:paraId="64176648"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Communications Equipment</w:t>
                  </w:r>
                </w:p>
              </w:tc>
              <w:tc>
                <w:tcPr>
                  <w:tcW w:w="2010" w:type="dxa"/>
                  <w:shd w:val="clear" w:color="auto" w:fill="DBE5F1"/>
                  <w:vAlign w:val="center"/>
                </w:tcPr>
                <w:p w14:paraId="70BBBB49"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w:t>
                  </w:r>
                </w:p>
              </w:tc>
              <w:tc>
                <w:tcPr>
                  <w:tcW w:w="2926" w:type="dxa"/>
                  <w:shd w:val="clear" w:color="auto" w:fill="DBE5F1"/>
                  <w:vAlign w:val="center"/>
                </w:tcPr>
                <w:p w14:paraId="6D0CC545"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w:t>
                  </w:r>
                </w:p>
              </w:tc>
            </w:tr>
            <w:tr w:rsidR="00600DEE" w:rsidRPr="007463B9" w14:paraId="0AE26BFC" w14:textId="77777777">
              <w:trPr>
                <w:trHeight w:val="271"/>
              </w:trPr>
              <w:tc>
                <w:tcPr>
                  <w:tcW w:w="2008" w:type="dxa"/>
                  <w:shd w:val="clear" w:color="auto" w:fill="DBE5F1"/>
                  <w:vAlign w:val="center"/>
                </w:tcPr>
                <w:p w14:paraId="6F10868A" w14:textId="77777777" w:rsidR="00600DEE" w:rsidRPr="0045151D" w:rsidRDefault="00641FB5">
                  <w:pPr>
                    <w:spacing w:before="60" w:after="60"/>
                    <w:ind w:right="28"/>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Land acquisition</w:t>
                  </w:r>
                </w:p>
              </w:tc>
              <w:tc>
                <w:tcPr>
                  <w:tcW w:w="2010" w:type="dxa"/>
                  <w:shd w:val="clear" w:color="auto" w:fill="DBE5F1"/>
                  <w:vAlign w:val="center"/>
                </w:tcPr>
                <w:p w14:paraId="68063E49"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Infinite</w:t>
                  </w:r>
                </w:p>
              </w:tc>
              <w:tc>
                <w:tcPr>
                  <w:tcW w:w="2926" w:type="dxa"/>
                  <w:shd w:val="clear" w:color="auto" w:fill="DBE5F1"/>
                  <w:vAlign w:val="center"/>
                </w:tcPr>
                <w:p w14:paraId="529074EC" w14:textId="77777777" w:rsidR="00600DEE" w:rsidRPr="0045151D" w:rsidRDefault="00641FB5">
                  <w:pPr>
                    <w:spacing w:before="60" w:after="60"/>
                    <w:ind w:right="28"/>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Infinite</w:t>
                  </w:r>
                </w:p>
              </w:tc>
            </w:tr>
          </w:tbl>
          <w:p w14:paraId="2B556BC1" w14:textId="77777777" w:rsidR="00600DEE" w:rsidRPr="0045151D" w:rsidRDefault="00641FB5" w:rsidP="00CE37CC">
            <w:pPr>
              <w:pBdr>
                <w:top w:val="nil"/>
                <w:left w:val="nil"/>
                <w:bottom w:val="nil"/>
                <w:right w:val="nil"/>
                <w:between w:val="nil"/>
              </w:pBdr>
              <w:spacing w:before="12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Source: based on EIB data.</w:t>
            </w:r>
          </w:p>
          <w:p w14:paraId="0713905A"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149579E1"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2C8FEC9B" w14:textId="0EFAD493" w:rsidR="00600DEE" w:rsidRPr="0045151D" w:rsidRDefault="00641FB5" w:rsidP="00D5736B">
      <w:pPr>
        <w:pStyle w:val="Nagwek1"/>
        <w:numPr>
          <w:ilvl w:val="0"/>
          <w:numId w:val="17"/>
        </w:numPr>
        <w:ind w:left="0" w:firstLine="0"/>
        <w:rPr>
          <w:rFonts w:ascii="Calibri" w:eastAsia="Calibri" w:hAnsi="Calibri" w:cs="Calibri"/>
          <w:color w:val="0070C0"/>
          <w:lang w:val="pl-PL"/>
        </w:rPr>
      </w:pPr>
      <w:bookmarkStart w:id="56" w:name="_Toc95377984"/>
      <w:r w:rsidRPr="0045151D">
        <w:rPr>
          <w:rFonts w:ascii="Calibri" w:eastAsia="Calibri" w:hAnsi="Calibri" w:cs="Calibri"/>
          <w:color w:val="0070C0"/>
          <w:lang w:val="pl-PL"/>
        </w:rPr>
        <w:t>Faza II: analiza społeczno-ekonomiczna</w:t>
      </w:r>
      <w:r w:rsidRPr="0045151D">
        <w:rPr>
          <w:rFonts w:ascii="Calibri" w:eastAsia="Calibri" w:hAnsi="Calibri" w:cs="Calibri"/>
          <w:color w:val="0070C0"/>
          <w:lang w:val="pl-PL"/>
        </w:rPr>
        <w:br/>
      </w:r>
      <w:r w:rsidRPr="0045151D">
        <w:rPr>
          <w:rFonts w:ascii="Calibri" w:eastAsia="Calibri" w:hAnsi="Calibri" w:cs="Calibri"/>
          <w:i/>
          <w:color w:val="0070C0"/>
          <w:lang w:val="pl-PL"/>
        </w:rPr>
        <w:t xml:space="preserve"> </w:t>
      </w:r>
      <w:r w:rsidRPr="0045151D">
        <w:rPr>
          <w:rFonts w:ascii="Calibri" w:eastAsia="Calibri" w:hAnsi="Calibri" w:cs="Calibri"/>
          <w:i/>
          <w:color w:val="0070C0"/>
          <w:lang w:val="pl-PL"/>
        </w:rPr>
        <w:tab/>
        <w:t>Phase II: Socio-economic analysis</w:t>
      </w:r>
      <w:bookmarkEnd w:id="56"/>
    </w:p>
    <w:tbl>
      <w:tblPr>
        <w:tblStyle w:val="afff6"/>
        <w:tblW w:w="14571" w:type="dxa"/>
        <w:tblLayout w:type="fixed"/>
        <w:tblLook w:val="0400" w:firstRow="0" w:lastRow="0" w:firstColumn="0" w:lastColumn="0" w:noHBand="0" w:noVBand="1"/>
      </w:tblPr>
      <w:tblGrid>
        <w:gridCol w:w="7370"/>
        <w:gridCol w:w="7201"/>
      </w:tblGrid>
      <w:tr w:rsidR="00600DEE" w:rsidRPr="007463B9" w14:paraId="73344CB0" w14:textId="77777777">
        <w:tc>
          <w:tcPr>
            <w:tcW w:w="7370" w:type="dxa"/>
            <w:tcBorders>
              <w:right w:val="single" w:sz="4" w:space="0" w:color="000000"/>
            </w:tcBorders>
            <w:tcMar>
              <w:left w:w="284" w:type="dxa"/>
              <w:right w:w="284" w:type="dxa"/>
            </w:tcMar>
          </w:tcPr>
          <w:p w14:paraId="2874CB6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Analiza społeczno-ekonomiczna ocenia wkład projektu do wzrostu dobrobytu społecznego w obszarze oddziaływania projektu. Celem tej analizy jest (i) wykazanie, że planowany wariant inwestycyjny jest uzasadniony ze społecznego punktu widzenia (gdy opcja została już wybrana poprzez wcześniejszą AKK lub inny sposób oceny, jak opisano w rozdziale (1.1 i 1.4); i / lub (ii) zastosowanie jej jako narzędzia analizy wariantów.</w:t>
            </w:r>
          </w:p>
          <w:p w14:paraId="23ACFBA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Analiza ekonomiczna obejmuje ilościowe i pieniężne ujęcie kosztów oraz obliczenie korzyści ekonomicznych netto na podstawie tak zwanej metody przyrostowej.Takie podejście wymaga: (i) przygotowania prognozy przepływów ekonomicznych dla wariantu bezinwestycyjnego; (ii) przygotowania prognozy przepływów ekonomicznych dla wariantu z realizacją projektu; (iii) uwzględnienia w AKK jedynie różnic w przepływach pomiędzy tymi scenariuszami. Zasadniczo korzyści ekonomiczne stanowią różnicę między całkowitymi kosztami ekonomicznymi w wariancie bezinwestycyjnym (W0) i analogicznymi kosztami w jednym z wariantów inwestycyjnych (Wn).</w:t>
            </w:r>
          </w:p>
          <w:p w14:paraId="3E3DF99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Należy zwrócić uwagę, że zarówno w przypadku finansowej, jak i ekonomicznej AKK, przepływy pomiędzy wszystkimi zaangażowanymi stronami są skonsolidowane. Może to być szczególnie istotne w przypadku dróg, króre będą pod różnym zarządem/własnością przed i po zakończeniu inwestycji. </w:t>
            </w:r>
          </w:p>
          <w:p w14:paraId="6A9D3F91"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Dla celów tej analizy należy przede wszystkim zdefiniować katalog ekonomicznych kosztów/korzyści oraz odpowiadające im koszty jednostkowe. W niniejszym podręczniku zawarty jest katalog typowych kosztów/korzyści ekonomicznych oraz rekomendowane koszty jednostkowe (w załączniku A), które uważa się za możliwe do zastosowania w AKK dla dużych projektów transportowych w Polsce (możliwe do zastosowania także dla małych projektów). Nie można również wykluczyć szczególnych przypadków, dla których konieczne będzie włączenie innych odziaływań.</w:t>
            </w:r>
          </w:p>
          <w:p w14:paraId="24E527D9" w14:textId="77777777" w:rsidR="0016169D" w:rsidRDefault="0016169D">
            <w:pPr>
              <w:pBdr>
                <w:top w:val="nil"/>
                <w:left w:val="nil"/>
                <w:bottom w:val="nil"/>
                <w:right w:val="nil"/>
                <w:between w:val="nil"/>
              </w:pBdr>
              <w:spacing w:before="120"/>
              <w:jc w:val="both"/>
              <w:rPr>
                <w:rFonts w:ascii="Calibri" w:eastAsia="Calibri" w:hAnsi="Calibri" w:cs="Calibri"/>
                <w:color w:val="000000"/>
                <w:sz w:val="20"/>
                <w:szCs w:val="20"/>
              </w:rPr>
            </w:pPr>
          </w:p>
          <w:p w14:paraId="2D9C877A" w14:textId="4412EB99"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Jeżeli wykonawca analizy projektu wykorzysta inne koszty jednostkowe, należy zawsze:</w:t>
            </w:r>
          </w:p>
          <w:p w14:paraId="69061914"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dołączyć uzasadnienie zastosowania wartości alternatywnych,</w:t>
            </w:r>
          </w:p>
          <w:p w14:paraId="29FCF23A"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 analizie wrażliwości wykazać skutki wprowadzenia wartości alternatywnych sprawdzając różnice w odniesieniu do kosztów jednostkowych z załącznika A.</w:t>
            </w:r>
          </w:p>
        </w:tc>
        <w:tc>
          <w:tcPr>
            <w:tcW w:w="7201" w:type="dxa"/>
            <w:tcBorders>
              <w:left w:val="single" w:sz="4" w:space="0" w:color="000000"/>
            </w:tcBorders>
            <w:tcMar>
              <w:left w:w="284" w:type="dxa"/>
              <w:right w:w="284" w:type="dxa"/>
            </w:tcMar>
          </w:tcPr>
          <w:p w14:paraId="67E56C5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socio-economic analysis appraises the project’s contribution to the economic welfare of the project’s impact area. It is intended to (i) show that the considered investment option will be justified from the society point of view (when the option has already been selected through an earlier CBA or another appraisal technique as described in chapter 1.1 and 1.4); and/or (ii) be used as a tool of option selection. </w:t>
            </w:r>
          </w:p>
          <w:p w14:paraId="677B2F0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economic analysis includes quantitative and monetary depiction of costs and calculation of net economic benefits on the basis of the so called incremental approach. The incremental approach requires that: (i) projections of economic flows are made for the without-the-project scenario; (ii) projections of economic flows are made for the situation with the proposed project; and (iii) the CBA only considers the difference between the flows in the with-the-project and the without-the-project scenarios. Economic benefits are represented by the difference between the total economic costs in the “without-the-project option” (W0) and those when a project investment option (Wn) is implemented.</w:t>
            </w:r>
          </w:p>
          <w:p w14:paraId="7BC9354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It should be noted that, for both the financial and economic CBA, flows between all relevant stakeholders are consolidated. It might be particularly relevant in the case of roads under different management/ownership before and after the investment.</w:t>
            </w:r>
          </w:p>
          <w:p w14:paraId="710DD50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This analysis requires, firstly, defining the catalogue of economic costs/benefits and their respective unit cost values. This Manual provides the catalogue of typical economic costs/benefits and includes recommended unit values for them (in Appendix A) which are considered acceptable for use in CBA prepared for major transport project applications in Poland (but also applicable to non-major Polish transport projects). It cannot be excluded that, in certain specific cases, other economic impact categories would need to be included.</w:t>
            </w:r>
          </w:p>
          <w:p w14:paraId="70EB4F97" w14:textId="77777777" w:rsidR="0016169D" w:rsidRPr="0045151D" w:rsidRDefault="0016169D">
            <w:pPr>
              <w:pBdr>
                <w:top w:val="nil"/>
                <w:left w:val="nil"/>
                <w:bottom w:val="nil"/>
                <w:right w:val="nil"/>
                <w:between w:val="nil"/>
              </w:pBdr>
              <w:spacing w:before="120"/>
              <w:jc w:val="both"/>
              <w:rPr>
                <w:rFonts w:ascii="Calibri" w:eastAsia="Calibri" w:hAnsi="Calibri" w:cs="Calibri"/>
                <w:color w:val="000000"/>
                <w:sz w:val="20"/>
                <w:szCs w:val="20"/>
                <w:lang w:val="en-GB"/>
              </w:rPr>
            </w:pPr>
          </w:p>
          <w:p w14:paraId="134E1CF5" w14:textId="77777777" w:rsidR="0016169D" w:rsidRPr="0045151D" w:rsidRDefault="0016169D">
            <w:pPr>
              <w:pBdr>
                <w:top w:val="nil"/>
                <w:left w:val="nil"/>
                <w:bottom w:val="nil"/>
                <w:right w:val="nil"/>
                <w:between w:val="nil"/>
              </w:pBdr>
              <w:spacing w:before="120"/>
              <w:jc w:val="both"/>
              <w:rPr>
                <w:rFonts w:ascii="Calibri" w:eastAsia="Calibri" w:hAnsi="Calibri" w:cs="Calibri"/>
                <w:color w:val="000000"/>
                <w:sz w:val="20"/>
                <w:szCs w:val="20"/>
                <w:lang w:val="en-GB"/>
              </w:rPr>
            </w:pPr>
          </w:p>
          <w:p w14:paraId="3AB29801" w14:textId="0E594F91"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If a project analyst uses different values, they should always:</w:t>
            </w:r>
          </w:p>
          <w:p w14:paraId="707E4131" w14:textId="77777777" w:rsidR="00600DEE" w:rsidRPr="0045151D" w:rsidRDefault="00641FB5" w:rsidP="00D5736B">
            <w:pPr>
              <w:numPr>
                <w:ilvl w:val="0"/>
                <w:numId w:val="67"/>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attach the justification for the use of alternative values,</w:t>
            </w:r>
          </w:p>
          <w:p w14:paraId="3697E50B" w14:textId="77777777" w:rsidR="00600DEE" w:rsidRPr="0045151D" w:rsidRDefault="00641FB5" w:rsidP="00D5736B">
            <w:pPr>
              <w:numPr>
                <w:ilvl w:val="0"/>
                <w:numId w:val="67"/>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demonstrate results of implementing the alternative values in the sensitivity analysis testing the differences as regards unit values in Appendix A.</w:t>
            </w:r>
          </w:p>
          <w:p w14:paraId="7C3AB4BA"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386EE55D" w14:textId="346FD0B1" w:rsidR="00600DEE" w:rsidRPr="00E301CF" w:rsidRDefault="00641FB5" w:rsidP="00D5736B">
      <w:pPr>
        <w:pStyle w:val="Nagwek2"/>
        <w:numPr>
          <w:ilvl w:val="1"/>
          <w:numId w:val="17"/>
        </w:numPr>
        <w:ind w:left="0" w:firstLine="0"/>
        <w:rPr>
          <w:rFonts w:ascii="Calibri" w:eastAsia="Calibri" w:hAnsi="Calibri" w:cs="Calibri"/>
          <w:color w:val="4F81BD"/>
          <w:lang w:val="pl-PL"/>
        </w:rPr>
      </w:pPr>
      <w:bookmarkStart w:id="57" w:name="_Toc95377985"/>
      <w:r w:rsidRPr="00E301CF">
        <w:rPr>
          <w:rFonts w:ascii="Calibri" w:eastAsia="Calibri" w:hAnsi="Calibri" w:cs="Calibri"/>
          <w:color w:val="4F81BD"/>
          <w:lang w:val="pl-PL"/>
        </w:rPr>
        <w:t>Kategorie kosztów ekonomicznych</w:t>
      </w:r>
      <w:r w:rsidRPr="00E301CF">
        <w:rPr>
          <w:rFonts w:ascii="Calibri" w:eastAsia="Calibri" w:hAnsi="Calibri" w:cs="Calibri"/>
          <w:color w:val="4F81BD"/>
          <w:lang w:val="pl-PL"/>
        </w:rPr>
        <w:tab/>
      </w:r>
      <w:r w:rsidRPr="00E301CF">
        <w:rPr>
          <w:rFonts w:ascii="Calibri" w:eastAsia="Calibri" w:hAnsi="Calibri" w:cs="Calibri"/>
          <w:color w:val="4F81BD"/>
          <w:lang w:val="pl-PL"/>
        </w:rPr>
        <w:tab/>
      </w:r>
      <w:r w:rsidRPr="00E301CF">
        <w:rPr>
          <w:rFonts w:ascii="Calibri" w:eastAsia="Calibri" w:hAnsi="Calibri" w:cs="Calibri"/>
          <w:color w:val="4F81BD"/>
          <w:lang w:val="pl-PL"/>
        </w:rPr>
        <w:tab/>
        <w:t xml:space="preserve">        </w:t>
      </w:r>
      <w:r w:rsidRPr="00E301CF">
        <w:rPr>
          <w:rFonts w:ascii="Calibri" w:eastAsia="Calibri" w:hAnsi="Calibri" w:cs="Calibri"/>
          <w:i/>
          <w:color w:val="4F81BD"/>
          <w:lang w:val="pl-PL"/>
        </w:rPr>
        <w:t>2.1   Categories of economic costs</w:t>
      </w:r>
      <w:bookmarkEnd w:id="57"/>
    </w:p>
    <w:tbl>
      <w:tblPr>
        <w:tblStyle w:val="afff7"/>
        <w:tblW w:w="14571" w:type="dxa"/>
        <w:tblLayout w:type="fixed"/>
        <w:tblLook w:val="0400" w:firstRow="0" w:lastRow="0" w:firstColumn="0" w:lastColumn="0" w:noHBand="0" w:noVBand="1"/>
      </w:tblPr>
      <w:tblGrid>
        <w:gridCol w:w="7356"/>
        <w:gridCol w:w="7215"/>
      </w:tblGrid>
      <w:tr w:rsidR="00600DEE" w:rsidRPr="007463B9" w14:paraId="509DD90D" w14:textId="77777777">
        <w:tc>
          <w:tcPr>
            <w:tcW w:w="7356" w:type="dxa"/>
            <w:tcBorders>
              <w:right w:val="single" w:sz="4" w:space="0" w:color="000000"/>
            </w:tcBorders>
            <w:tcMar>
              <w:left w:w="284" w:type="dxa"/>
              <w:right w:w="284" w:type="dxa"/>
            </w:tcMar>
          </w:tcPr>
          <w:p w14:paraId="1161EA25" w14:textId="77777777" w:rsidR="00600DEE" w:rsidRDefault="00641FB5">
            <w:pPr>
              <w:pBdr>
                <w:top w:val="nil"/>
                <w:left w:val="nil"/>
                <w:bottom w:val="nil"/>
                <w:right w:val="nil"/>
                <w:between w:val="nil"/>
              </w:pBdr>
              <w:spacing w:before="120"/>
              <w:jc w:val="both"/>
              <w:rPr>
                <w:rFonts w:ascii="Calibri" w:eastAsia="Calibri" w:hAnsi="Calibri" w:cs="Calibri"/>
                <w:i/>
                <w:color w:val="000000"/>
                <w:sz w:val="20"/>
                <w:szCs w:val="20"/>
              </w:rPr>
            </w:pPr>
            <w:r>
              <w:rPr>
                <w:rFonts w:ascii="Calibri" w:eastAsia="Calibri" w:hAnsi="Calibri" w:cs="Calibri"/>
                <w:i/>
                <w:color w:val="000000"/>
                <w:sz w:val="20"/>
                <w:szCs w:val="20"/>
              </w:rPr>
              <w:t>UWAGA: Dotyczy głównie projektów drogowych (rozpatrywanych w ujęciu wielogałęziowym tam gdzie zasadne)</w:t>
            </w:r>
          </w:p>
          <w:p w14:paraId="74603A3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Zgodnie z najlepszymi praktykami, koszty i korzyści społeczno-ekonomiczne projektów infrastruktury drogowej oblicza się na podstawie głównych kategorii kosztów przedstawionych w tabeli poniżej.</w:t>
            </w:r>
          </w:p>
          <w:p w14:paraId="2AA7748E" w14:textId="30A34129" w:rsidR="00600DEE" w:rsidRDefault="00641FB5">
            <w:pPr>
              <w:pBdr>
                <w:top w:val="nil"/>
                <w:left w:val="nil"/>
                <w:bottom w:val="nil"/>
                <w:right w:val="nil"/>
                <w:between w:val="nil"/>
              </w:pBd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 xml:space="preserve">Tabela 13. Główne kategorie kosztów/ korzyści ekonomicznych dla inwestycji infrastruktury drogowej </w:t>
            </w:r>
          </w:p>
          <w:tbl>
            <w:tblPr>
              <w:tblStyle w:val="afff8"/>
              <w:tblW w:w="6707" w:type="dxa"/>
              <w:tblLayout w:type="fixed"/>
              <w:tblLook w:val="0000" w:firstRow="0" w:lastRow="0" w:firstColumn="0" w:lastColumn="0" w:noHBand="0" w:noVBand="0"/>
            </w:tblPr>
            <w:tblGrid>
              <w:gridCol w:w="6707"/>
            </w:tblGrid>
            <w:tr w:rsidR="00600DEE" w14:paraId="2EF21604" w14:textId="77777777" w:rsidTr="005C3677">
              <w:trPr>
                <w:trHeight w:val="301"/>
              </w:trPr>
              <w:tc>
                <w:tcPr>
                  <w:tcW w:w="6707" w:type="dxa"/>
                  <w:tcBorders>
                    <w:top w:val="single" w:sz="4" w:space="0" w:color="FFFFFF"/>
                    <w:left w:val="single" w:sz="4" w:space="0" w:color="FFFFFF"/>
                    <w:bottom w:val="single" w:sz="4" w:space="0" w:color="FFFFFF"/>
                    <w:right w:val="single" w:sz="4" w:space="0" w:color="FFFFFF"/>
                  </w:tcBorders>
                  <w:shd w:val="clear" w:color="auto" w:fill="A6A6A6"/>
                </w:tcPr>
                <w:p w14:paraId="752F3430" w14:textId="77777777" w:rsidR="00600DEE" w:rsidRDefault="00641FB5">
                  <w:pPr>
                    <w:pBdr>
                      <w:top w:val="nil"/>
                      <w:left w:val="nil"/>
                      <w:bottom w:val="nil"/>
                      <w:right w:val="nil"/>
                      <w:between w:val="nil"/>
                    </w:pBdr>
                    <w:spacing w:before="60" w:after="60" w:line="264" w:lineRule="auto"/>
                    <w:rPr>
                      <w:rFonts w:ascii="Calibri" w:eastAsia="Calibri" w:hAnsi="Calibri" w:cs="Calibri"/>
                      <w:b/>
                      <w:color w:val="FFFFFF"/>
                      <w:sz w:val="18"/>
                      <w:szCs w:val="18"/>
                    </w:rPr>
                  </w:pPr>
                  <w:r>
                    <w:rPr>
                      <w:rFonts w:ascii="Calibri" w:eastAsia="Calibri" w:hAnsi="Calibri" w:cs="Calibri"/>
                      <w:b/>
                      <w:color w:val="FFFFFF"/>
                      <w:sz w:val="18"/>
                      <w:szCs w:val="18"/>
                    </w:rPr>
                    <w:t>Główne kategorie kosztów/ korzyści  ekonomicznych dla projektów drogowych</w:t>
                  </w:r>
                </w:p>
              </w:tc>
            </w:tr>
            <w:tr w:rsidR="00600DEE" w14:paraId="6C9DB017" w14:textId="77777777" w:rsidTr="005C3677">
              <w:trPr>
                <w:trHeight w:val="249"/>
              </w:trPr>
              <w:tc>
                <w:tcPr>
                  <w:tcW w:w="6707" w:type="dxa"/>
                  <w:tcBorders>
                    <w:left w:val="single" w:sz="4" w:space="0" w:color="FFFFFF"/>
                    <w:bottom w:val="single" w:sz="4" w:space="0" w:color="FFFFFF"/>
                    <w:right w:val="single" w:sz="4" w:space="0" w:color="FFFFFF"/>
                  </w:tcBorders>
                  <w:shd w:val="clear" w:color="auto" w:fill="DBE5F1"/>
                </w:tcPr>
                <w:p w14:paraId="1843659B"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Koszty eksploatacji pojazdów</w:t>
                  </w:r>
                </w:p>
              </w:tc>
            </w:tr>
            <w:tr w:rsidR="00600DEE" w14:paraId="62512A82" w14:textId="77777777" w:rsidTr="005C3677">
              <w:trPr>
                <w:trHeight w:val="262"/>
              </w:trPr>
              <w:tc>
                <w:tcPr>
                  <w:tcW w:w="6707" w:type="dxa"/>
                  <w:tcBorders>
                    <w:left w:val="single" w:sz="4" w:space="0" w:color="FFFFFF"/>
                    <w:bottom w:val="single" w:sz="4" w:space="0" w:color="FFFFFF"/>
                    <w:right w:val="single" w:sz="4" w:space="0" w:color="FFFFFF"/>
                  </w:tcBorders>
                  <w:shd w:val="clear" w:color="auto" w:fill="DBE5F1"/>
                </w:tcPr>
                <w:p w14:paraId="787958D0"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Czasu użytkowników infrastruktury drogowej</w:t>
                  </w:r>
                </w:p>
              </w:tc>
            </w:tr>
            <w:tr w:rsidR="00600DEE" w14:paraId="36F16FCC" w14:textId="77777777" w:rsidTr="005C3677">
              <w:trPr>
                <w:trHeight w:val="262"/>
              </w:trPr>
              <w:tc>
                <w:tcPr>
                  <w:tcW w:w="6707" w:type="dxa"/>
                  <w:tcBorders>
                    <w:left w:val="single" w:sz="4" w:space="0" w:color="FFFFFF"/>
                    <w:bottom w:val="single" w:sz="4" w:space="0" w:color="FFFFFF"/>
                    <w:right w:val="single" w:sz="4" w:space="0" w:color="FFFFFF"/>
                  </w:tcBorders>
                  <w:shd w:val="clear" w:color="auto" w:fill="DBE5F1"/>
                </w:tcPr>
                <w:p w14:paraId="5ED89C4F"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Wypadków drogowych i ofiar</w:t>
                  </w:r>
                </w:p>
              </w:tc>
            </w:tr>
            <w:tr w:rsidR="00600DEE" w14:paraId="1C4E6521" w14:textId="77777777" w:rsidTr="005C3677">
              <w:trPr>
                <w:trHeight w:val="262"/>
              </w:trPr>
              <w:tc>
                <w:tcPr>
                  <w:tcW w:w="6707" w:type="dxa"/>
                  <w:tcBorders>
                    <w:left w:val="single" w:sz="4" w:space="0" w:color="FFFFFF"/>
                    <w:bottom w:val="single" w:sz="4" w:space="0" w:color="FFFFFF"/>
                    <w:right w:val="single" w:sz="4" w:space="0" w:color="FFFFFF"/>
                  </w:tcBorders>
                  <w:shd w:val="clear" w:color="auto" w:fill="DBE5F1"/>
                </w:tcPr>
                <w:p w14:paraId="675AAA91"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Związane z emisją zanieczyszczeń powietrza</w:t>
                  </w:r>
                </w:p>
              </w:tc>
            </w:tr>
            <w:tr w:rsidR="00600DEE" w14:paraId="05549733" w14:textId="77777777" w:rsidTr="005C3677">
              <w:trPr>
                <w:trHeight w:val="262"/>
              </w:trPr>
              <w:tc>
                <w:tcPr>
                  <w:tcW w:w="6707" w:type="dxa"/>
                  <w:tcBorders>
                    <w:left w:val="single" w:sz="4" w:space="0" w:color="FFFFFF"/>
                    <w:bottom w:val="single" w:sz="4" w:space="0" w:color="FFFFFF"/>
                    <w:right w:val="single" w:sz="4" w:space="0" w:color="FFFFFF"/>
                  </w:tcBorders>
                  <w:shd w:val="clear" w:color="auto" w:fill="DBE5F1"/>
                </w:tcPr>
                <w:p w14:paraId="068A5E69"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Zmian klimatu</w:t>
                  </w:r>
                </w:p>
              </w:tc>
            </w:tr>
            <w:tr w:rsidR="00600DEE" w14:paraId="401C196B" w14:textId="77777777" w:rsidTr="005C3677">
              <w:trPr>
                <w:trHeight w:val="262"/>
              </w:trPr>
              <w:tc>
                <w:tcPr>
                  <w:tcW w:w="6707" w:type="dxa"/>
                  <w:tcBorders>
                    <w:left w:val="single" w:sz="4" w:space="0" w:color="FFFFFF"/>
                    <w:bottom w:val="single" w:sz="4" w:space="0" w:color="FFFFFF"/>
                    <w:right w:val="single" w:sz="4" w:space="0" w:color="FFFFFF"/>
                  </w:tcBorders>
                  <w:shd w:val="clear" w:color="auto" w:fill="DBE5F1"/>
                </w:tcPr>
                <w:p w14:paraId="193923B8"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Hałasu</w:t>
                  </w:r>
                </w:p>
              </w:tc>
            </w:tr>
          </w:tbl>
          <w:p w14:paraId="5C05B600" w14:textId="77777777" w:rsidR="00B802AC" w:rsidRPr="00371A33" w:rsidRDefault="00B802AC" w:rsidP="00B802AC">
            <w:pPr>
              <w:pStyle w:val="anxnormal"/>
              <w:ind w:left="0"/>
              <w:rPr>
                <w:rFonts w:asciiTheme="minorHAnsi" w:eastAsia="Arial" w:hAnsiTheme="minorHAnsi" w:cstheme="minorHAnsi"/>
                <w:bCs/>
                <w:spacing w:val="1"/>
                <w:position w:val="-1"/>
              </w:rPr>
            </w:pPr>
            <w:r w:rsidRPr="00A03F58">
              <w:rPr>
                <w:rFonts w:asciiTheme="minorHAnsi" w:eastAsia="Arial" w:hAnsiTheme="minorHAnsi" w:cstheme="minorHAnsi"/>
                <w:bCs/>
                <w:spacing w:val="1"/>
                <w:position w:val="-1"/>
              </w:rPr>
              <w:t>Z powyższych kategorii, pierwsze dwie są efektami bezpośrednimi, (jako część uogólnionych kosztów podróży), podczas gdy pozostałe są tak zwanymi kosztami zewnętrznymi (wypadki, zanieczyszczenie powietrza, zmiany klimatu i hałas). Warto zauważyć, że skutki społeczno-ekonomiczne inne niż wymienione powyżej mogą także być generowane. W takiej sytuacji ocena projektu powinna jakościowo zidentyfikować te oddziaływania i opisać oczekiwany efekt (poz</w:t>
            </w:r>
            <w:r w:rsidRPr="00371A33">
              <w:rPr>
                <w:rFonts w:asciiTheme="minorHAnsi" w:eastAsia="Arial" w:hAnsiTheme="minorHAnsi" w:cstheme="minorHAnsi"/>
                <w:bCs/>
                <w:spacing w:val="1"/>
                <w:position w:val="-1"/>
              </w:rPr>
              <w:t>ytywny, negatywny) oraz ich wielkości. W przypadku, gdyby któryś z tych wpływów był znaczący oraz istniałaby wiarygodna metoda szacowania opisana w ogólnie dostępnej literaturze, można wziąć je pod uwagę w AKK. W tym przypadku należy przejrzyście i szczegółowo przedstawić sposób ich kwantyfikacji pieniężnej i zastosowane jednostkowe wartości ekonomiczne.</w:t>
            </w:r>
          </w:p>
          <w:p w14:paraId="79271941" w14:textId="622400CB" w:rsidR="00600DEE" w:rsidRDefault="00B802AC" w:rsidP="00B802AC">
            <w:pPr>
              <w:pBdr>
                <w:top w:val="nil"/>
                <w:left w:val="nil"/>
                <w:bottom w:val="nil"/>
                <w:right w:val="nil"/>
                <w:between w:val="nil"/>
              </w:pBdr>
              <w:spacing w:before="120"/>
              <w:jc w:val="both"/>
              <w:rPr>
                <w:rFonts w:ascii="Calibri" w:eastAsia="Calibri" w:hAnsi="Calibri" w:cs="Calibri"/>
                <w:b/>
                <w:color w:val="323299"/>
                <w:sz w:val="20"/>
                <w:szCs w:val="20"/>
              </w:rPr>
            </w:pPr>
            <w:r w:rsidRPr="00B802AC">
              <w:rPr>
                <w:rFonts w:asciiTheme="minorHAnsi" w:eastAsia="Arial" w:hAnsiTheme="minorHAnsi" w:cstheme="minorHAnsi"/>
                <w:bCs/>
                <w:snapToGrid w:val="0"/>
                <w:spacing w:val="1"/>
                <w:position w:val="-1"/>
                <w:sz w:val="20"/>
                <w:szCs w:val="20"/>
              </w:rPr>
              <w:t>W ostatnich latach osiągnięto znaczący postęp w pracach nad określaniem szacunkowych wartości jednostkowych oddziaływań nierynkowych i doskonaleniem metod celem włączenia tych wartości do analizy ekonomicznej. Procesy te nadal trwają, np. w zakresie rozszerzenia katalogu kosztów zewnętrznych o koszty utraty różnorodności biologicznej oraz utraty ekosystemów (dlatego takie kategorie kosztów nie są zawarte w tabeli powyżej).</w:t>
            </w:r>
          </w:p>
        </w:tc>
        <w:tc>
          <w:tcPr>
            <w:tcW w:w="7215" w:type="dxa"/>
            <w:tcBorders>
              <w:left w:val="single" w:sz="4" w:space="0" w:color="000000"/>
            </w:tcBorders>
            <w:tcMar>
              <w:left w:w="284" w:type="dxa"/>
              <w:right w:w="284" w:type="dxa"/>
            </w:tcMar>
          </w:tcPr>
          <w:p w14:paraId="6C00BA3D" w14:textId="77777777" w:rsidR="00600DEE" w:rsidRPr="0045151D" w:rsidRDefault="00641FB5">
            <w:pPr>
              <w:pBdr>
                <w:top w:val="nil"/>
                <w:left w:val="nil"/>
                <w:bottom w:val="nil"/>
                <w:right w:val="nil"/>
                <w:between w:val="nil"/>
              </w:pBdr>
              <w:spacing w:before="120"/>
              <w:jc w:val="both"/>
              <w:rPr>
                <w:rFonts w:ascii="Calibri" w:eastAsia="Calibri" w:hAnsi="Calibri" w:cs="Calibri"/>
                <w:i/>
                <w:color w:val="000000"/>
                <w:sz w:val="20"/>
                <w:szCs w:val="20"/>
                <w:lang w:val="en-GB"/>
              </w:rPr>
            </w:pPr>
            <w:r w:rsidRPr="0045151D">
              <w:rPr>
                <w:rFonts w:ascii="Calibri" w:eastAsia="Calibri" w:hAnsi="Calibri" w:cs="Calibri"/>
                <w:i/>
                <w:color w:val="000000"/>
                <w:sz w:val="20"/>
                <w:szCs w:val="20"/>
                <w:lang w:val="en-GB"/>
              </w:rPr>
              <w:t>NOTE: Focus on road projects (considered within relevant multimodal perspective).</w:t>
            </w:r>
          </w:p>
          <w:p w14:paraId="72F5981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According to the best practices, the socio-economic costs and benefits of road infrastructure projects are presented in the table below:</w:t>
            </w:r>
          </w:p>
          <w:p w14:paraId="52D893C7" w14:textId="77777777" w:rsidR="00600DEE" w:rsidRPr="0045151D" w:rsidRDefault="00600DEE">
            <w:pPr>
              <w:pBdr>
                <w:top w:val="nil"/>
                <w:left w:val="nil"/>
                <w:bottom w:val="nil"/>
                <w:right w:val="nil"/>
                <w:between w:val="nil"/>
              </w:pBdr>
              <w:spacing w:after="120"/>
              <w:ind w:left="862" w:hanging="862"/>
              <w:jc w:val="both"/>
              <w:rPr>
                <w:rFonts w:ascii="Calibri" w:eastAsia="Calibri" w:hAnsi="Calibri" w:cs="Calibri"/>
                <w:b/>
                <w:color w:val="4F81BD"/>
                <w:sz w:val="20"/>
                <w:szCs w:val="20"/>
                <w:lang w:val="en-GB"/>
              </w:rPr>
            </w:pPr>
          </w:p>
          <w:p w14:paraId="59AA2903" w14:textId="77777777" w:rsidR="00600DEE" w:rsidRPr="0045151D" w:rsidRDefault="00641FB5" w:rsidP="00427449">
            <w:pPr>
              <w:pBdr>
                <w:top w:val="nil"/>
                <w:left w:val="nil"/>
                <w:bottom w:val="nil"/>
                <w:right w:val="nil"/>
                <w:between w:val="nil"/>
              </w:pBdr>
              <w:spacing w:before="360" w:after="120"/>
              <w:ind w:left="862" w:hanging="862"/>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13. Main categories of economic costs/ benefits for road infrastructure</w:t>
            </w:r>
            <w:r w:rsidRPr="0045151D">
              <w:rPr>
                <w:rFonts w:ascii="Calibri" w:eastAsia="Calibri" w:hAnsi="Calibri" w:cs="Calibri"/>
                <w:b/>
                <w:color w:val="4F81BD"/>
                <w:sz w:val="20"/>
                <w:szCs w:val="20"/>
                <w:lang w:val="en-GB"/>
              </w:rPr>
              <w:br/>
              <w:t>investments</w:t>
            </w:r>
          </w:p>
          <w:tbl>
            <w:tblPr>
              <w:tblStyle w:val="afff9"/>
              <w:tblW w:w="6911" w:type="dxa"/>
              <w:tblInd w:w="24" w:type="dxa"/>
              <w:tblLayout w:type="fixed"/>
              <w:tblLook w:val="0000" w:firstRow="0" w:lastRow="0" w:firstColumn="0" w:lastColumn="0" w:noHBand="0" w:noVBand="0"/>
            </w:tblPr>
            <w:tblGrid>
              <w:gridCol w:w="6911"/>
            </w:tblGrid>
            <w:tr w:rsidR="00600DEE" w:rsidRPr="007463B9" w14:paraId="052C74A6" w14:textId="77777777">
              <w:trPr>
                <w:trHeight w:val="335"/>
              </w:trPr>
              <w:tc>
                <w:tcPr>
                  <w:tcW w:w="6911" w:type="dxa"/>
                  <w:tcBorders>
                    <w:top w:val="single" w:sz="4" w:space="0" w:color="FFFFFF"/>
                    <w:left w:val="single" w:sz="4" w:space="0" w:color="FFFFFF"/>
                    <w:bottom w:val="single" w:sz="4" w:space="0" w:color="FFFFFF"/>
                    <w:right w:val="single" w:sz="4" w:space="0" w:color="FFFFFF"/>
                  </w:tcBorders>
                  <w:shd w:val="clear" w:color="auto" w:fill="A6A6A6"/>
                </w:tcPr>
                <w:p w14:paraId="6FF42B42" w14:textId="77777777" w:rsidR="00600DEE" w:rsidRPr="0045151D" w:rsidRDefault="00641FB5">
                  <w:pPr>
                    <w:pBdr>
                      <w:top w:val="nil"/>
                      <w:left w:val="nil"/>
                      <w:bottom w:val="nil"/>
                      <w:right w:val="nil"/>
                      <w:between w:val="nil"/>
                    </w:pBdr>
                    <w:spacing w:before="60" w:after="60" w:line="264" w:lineRule="auto"/>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Main categories of economic costs/benefits for road projects</w:t>
                  </w:r>
                </w:p>
              </w:tc>
            </w:tr>
            <w:tr w:rsidR="00600DEE" w:rsidRPr="007463B9" w14:paraId="76992312" w14:textId="77777777">
              <w:trPr>
                <w:trHeight w:val="277"/>
              </w:trPr>
              <w:tc>
                <w:tcPr>
                  <w:tcW w:w="6911" w:type="dxa"/>
                  <w:tcBorders>
                    <w:left w:val="single" w:sz="4" w:space="0" w:color="FFFFFF"/>
                    <w:bottom w:val="single" w:sz="4" w:space="0" w:color="FFFFFF"/>
                    <w:right w:val="single" w:sz="4" w:space="0" w:color="FFFFFF"/>
                  </w:tcBorders>
                  <w:shd w:val="clear" w:color="auto" w:fill="DBE5F1"/>
                </w:tcPr>
                <w:p w14:paraId="1583A68D" w14:textId="77777777" w:rsidR="00600DEE" w:rsidRPr="0045151D" w:rsidRDefault="00641FB5">
                  <w:pPr>
                    <w:spacing w:before="53"/>
                    <w:ind w:right="-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Vehicle operating costs</w:t>
                  </w:r>
                </w:p>
              </w:tc>
            </w:tr>
            <w:tr w:rsidR="00600DEE" w:rsidRPr="007463B9" w14:paraId="0C9C03F3" w14:textId="77777777">
              <w:trPr>
                <w:trHeight w:val="292"/>
              </w:trPr>
              <w:tc>
                <w:tcPr>
                  <w:tcW w:w="6911" w:type="dxa"/>
                  <w:tcBorders>
                    <w:left w:val="single" w:sz="4" w:space="0" w:color="FFFFFF"/>
                    <w:bottom w:val="single" w:sz="4" w:space="0" w:color="FFFFFF"/>
                    <w:right w:val="single" w:sz="4" w:space="0" w:color="FFFFFF"/>
                  </w:tcBorders>
                  <w:shd w:val="clear" w:color="auto" w:fill="DBE5F1"/>
                </w:tcPr>
                <w:p w14:paraId="6BE35E0D" w14:textId="77777777" w:rsidR="00600DEE" w:rsidRPr="0045151D" w:rsidRDefault="00641FB5">
                  <w:pPr>
                    <w:spacing w:before="51"/>
                    <w:ind w:right="-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Road users’ travel time</w:t>
                  </w:r>
                </w:p>
              </w:tc>
            </w:tr>
            <w:tr w:rsidR="00600DEE" w:rsidRPr="007463B9" w14:paraId="179D2672" w14:textId="77777777">
              <w:trPr>
                <w:trHeight w:val="292"/>
              </w:trPr>
              <w:tc>
                <w:tcPr>
                  <w:tcW w:w="6911" w:type="dxa"/>
                  <w:tcBorders>
                    <w:left w:val="single" w:sz="4" w:space="0" w:color="FFFFFF"/>
                    <w:bottom w:val="single" w:sz="4" w:space="0" w:color="FFFFFF"/>
                    <w:right w:val="single" w:sz="4" w:space="0" w:color="FFFFFF"/>
                  </w:tcBorders>
                  <w:shd w:val="clear" w:color="auto" w:fill="DBE5F1"/>
                </w:tcPr>
                <w:p w14:paraId="5850320E" w14:textId="77777777" w:rsidR="00600DEE" w:rsidRPr="0045151D" w:rsidRDefault="00641FB5">
                  <w:pPr>
                    <w:spacing w:before="51"/>
                    <w:ind w:right="-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Road accidents and fatalities</w:t>
                  </w:r>
                </w:p>
              </w:tc>
            </w:tr>
            <w:tr w:rsidR="00600DEE" w:rsidRPr="007463B9" w14:paraId="494CC412" w14:textId="77777777">
              <w:trPr>
                <w:trHeight w:val="292"/>
              </w:trPr>
              <w:tc>
                <w:tcPr>
                  <w:tcW w:w="6911" w:type="dxa"/>
                  <w:tcBorders>
                    <w:left w:val="single" w:sz="4" w:space="0" w:color="FFFFFF"/>
                    <w:bottom w:val="single" w:sz="4" w:space="0" w:color="FFFFFF"/>
                    <w:right w:val="single" w:sz="4" w:space="0" w:color="FFFFFF"/>
                  </w:tcBorders>
                  <w:shd w:val="clear" w:color="auto" w:fill="DBE5F1"/>
                </w:tcPr>
                <w:p w14:paraId="02D89159" w14:textId="77777777" w:rsidR="00600DEE" w:rsidRPr="0045151D" w:rsidRDefault="00641FB5">
                  <w:pPr>
                    <w:spacing w:before="51"/>
                    <w:ind w:right="-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Air pollution</w:t>
                  </w:r>
                </w:p>
              </w:tc>
            </w:tr>
            <w:tr w:rsidR="00600DEE" w:rsidRPr="007463B9" w14:paraId="3427360D" w14:textId="77777777">
              <w:trPr>
                <w:trHeight w:val="292"/>
              </w:trPr>
              <w:tc>
                <w:tcPr>
                  <w:tcW w:w="6911" w:type="dxa"/>
                  <w:tcBorders>
                    <w:left w:val="single" w:sz="4" w:space="0" w:color="FFFFFF"/>
                    <w:bottom w:val="single" w:sz="4" w:space="0" w:color="FFFFFF"/>
                    <w:right w:val="single" w:sz="4" w:space="0" w:color="FFFFFF"/>
                  </w:tcBorders>
                  <w:shd w:val="clear" w:color="auto" w:fill="DBE5F1"/>
                </w:tcPr>
                <w:p w14:paraId="210ABDFC" w14:textId="77777777" w:rsidR="00600DEE" w:rsidRPr="0045151D" w:rsidRDefault="00641FB5">
                  <w:pPr>
                    <w:spacing w:before="51"/>
                    <w:ind w:right="-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Climate change impact </w:t>
                  </w:r>
                </w:p>
              </w:tc>
            </w:tr>
            <w:tr w:rsidR="00600DEE" w:rsidRPr="007463B9" w14:paraId="5288BB70" w14:textId="77777777">
              <w:trPr>
                <w:trHeight w:val="292"/>
              </w:trPr>
              <w:tc>
                <w:tcPr>
                  <w:tcW w:w="6911" w:type="dxa"/>
                  <w:tcBorders>
                    <w:left w:val="single" w:sz="4" w:space="0" w:color="FFFFFF"/>
                    <w:bottom w:val="single" w:sz="4" w:space="0" w:color="FFFFFF"/>
                    <w:right w:val="single" w:sz="4" w:space="0" w:color="FFFFFF"/>
                  </w:tcBorders>
                  <w:shd w:val="clear" w:color="auto" w:fill="DBE5F1"/>
                </w:tcPr>
                <w:p w14:paraId="5F5171D4" w14:textId="77777777" w:rsidR="00600DEE" w:rsidRPr="0045151D" w:rsidRDefault="00641FB5">
                  <w:pPr>
                    <w:spacing w:before="51"/>
                    <w:ind w:right="-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Noise </w:t>
                  </w:r>
                </w:p>
              </w:tc>
            </w:tr>
          </w:tbl>
          <w:p w14:paraId="628BA75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From the above categories, the first two are direct impacts (as part of the generalised costs of travel) and the rest are the so-called externalities (accidents, air pollution, climate change and noise). It is worth noting that socio-economic impacts other than those listed above can be generated. The assessment of the project should qualitatively identify these impacts and describe the expected direction (positive, negative) and their magnitude. In case any of these impacts would be significant, and a reliable estimation methodology would be available in literature and can be applied, they could be taken into account in the CBA. In this case, the way of their monetary quantification, as well as economic unit values used will have to be clearly presented.</w:t>
            </w:r>
          </w:p>
          <w:p w14:paraId="229F3415"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323299"/>
                <w:sz w:val="20"/>
                <w:szCs w:val="20"/>
                <w:lang w:val="en-GB"/>
              </w:rPr>
            </w:pPr>
            <w:r w:rsidRPr="0045151D">
              <w:rPr>
                <w:rFonts w:ascii="Calibri" w:eastAsia="Calibri" w:hAnsi="Calibri" w:cs="Calibri"/>
                <w:color w:val="000000"/>
                <w:sz w:val="20"/>
                <w:szCs w:val="20"/>
                <w:lang w:val="en-GB"/>
              </w:rPr>
              <w:t>Significant progress has been made in recent years in refining the estimates of unit values of non-market impacts and improving methods to integrate such values into economic analysis. Developments in this field are on-going, however still needed, for example in order to broaden the range of externalities considered, such as loss of biodiversity and ecosystem services (therefore, not included at the moment in the table above).</w:t>
            </w:r>
          </w:p>
        </w:tc>
      </w:tr>
    </w:tbl>
    <w:p w14:paraId="529CB63E"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61083F4A" w14:textId="0960E409" w:rsidR="00600DEE" w:rsidRDefault="00641FB5" w:rsidP="00D5736B">
      <w:pPr>
        <w:pStyle w:val="Nagwek3"/>
        <w:numPr>
          <w:ilvl w:val="2"/>
          <w:numId w:val="17"/>
        </w:numPr>
        <w:ind w:left="0" w:firstLine="0"/>
        <w:rPr>
          <w:rFonts w:ascii="Calibri" w:eastAsia="Calibri" w:hAnsi="Calibri" w:cs="Calibri"/>
          <w:color w:val="4F81BD"/>
        </w:rPr>
      </w:pPr>
      <w:bookmarkStart w:id="58" w:name="_Toc95377986"/>
      <w:r>
        <w:rPr>
          <w:rFonts w:ascii="Calibri" w:eastAsia="Calibri" w:hAnsi="Calibri" w:cs="Calibri"/>
          <w:color w:val="4F81BD"/>
        </w:rPr>
        <w:t>Koszty eksploatacji pojazdów</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2.1.1   Vehicle operating costs</w:t>
      </w:r>
      <w:bookmarkEnd w:id="58"/>
    </w:p>
    <w:tbl>
      <w:tblPr>
        <w:tblStyle w:val="afffa"/>
        <w:tblW w:w="14571" w:type="dxa"/>
        <w:tblLayout w:type="fixed"/>
        <w:tblLook w:val="0400" w:firstRow="0" w:lastRow="0" w:firstColumn="0" w:lastColumn="0" w:noHBand="0" w:noVBand="1"/>
      </w:tblPr>
      <w:tblGrid>
        <w:gridCol w:w="7353"/>
        <w:gridCol w:w="7218"/>
      </w:tblGrid>
      <w:tr w:rsidR="00600DEE" w:rsidRPr="007463B9" w14:paraId="79C44A7D" w14:textId="77777777">
        <w:trPr>
          <w:trHeight w:val="708"/>
        </w:trPr>
        <w:tc>
          <w:tcPr>
            <w:tcW w:w="7353" w:type="dxa"/>
            <w:tcBorders>
              <w:right w:val="single" w:sz="4" w:space="0" w:color="000000"/>
            </w:tcBorders>
            <w:tcMar>
              <w:left w:w="284" w:type="dxa"/>
              <w:right w:w="284" w:type="dxa"/>
            </w:tcMar>
          </w:tcPr>
          <w:p w14:paraId="1470E0C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W przypadku wszystkich wariantów (W0 i Wn) koszty eksploatacji pojazdów obejmują całkowite koszty operacyjne wszystkich pojazdów poruszających się po sieci dróg objętej analizą. </w:t>
            </w:r>
          </w:p>
          <w:p w14:paraId="496B5B60" w14:textId="118FD4BE"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59" w:name="_heading=h.28h4qwu" w:colFirst="0" w:colLast="0"/>
            <w:bookmarkEnd w:id="59"/>
            <w:r>
              <w:rPr>
                <w:rFonts w:ascii="Calibri" w:eastAsia="Calibri" w:hAnsi="Calibri" w:cs="Calibri"/>
                <w:color w:val="000000"/>
                <w:sz w:val="20"/>
                <w:szCs w:val="20"/>
              </w:rPr>
              <w:t>Koszty oblicza się na podstawie jednostkowych kosztów ekonomicznych eksploatacji poszczególnych kategorii pojazdów. W przypadku pojazdów przemieszczających się po drogach, są one co do zasady funkcją różnych czynników, takich jak prędkość pojazdu, stan nawierzchni drogi,</w:t>
            </w:r>
            <w:r w:rsidR="00DA7241">
              <w:rPr>
                <w:rFonts w:ascii="Calibri" w:eastAsia="Calibri" w:hAnsi="Calibri" w:cs="Calibri"/>
                <w:color w:val="000000"/>
                <w:sz w:val="20"/>
                <w:szCs w:val="20"/>
              </w:rPr>
              <w:t xml:space="preserve"> </w:t>
            </w:r>
            <w:r>
              <w:rPr>
                <w:rFonts w:ascii="Calibri" w:eastAsia="Calibri" w:hAnsi="Calibri" w:cs="Calibri"/>
                <w:color w:val="000000"/>
                <w:sz w:val="20"/>
                <w:szCs w:val="20"/>
              </w:rPr>
              <w:t>nachylenie podłużne drogi oraz struktura floty pojazdów.</w:t>
            </w:r>
          </w:p>
          <w:p w14:paraId="369D571B"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60" w:name="_heading=h.nmf14n" w:colFirst="0" w:colLast="0"/>
            <w:bookmarkEnd w:id="60"/>
            <w:r>
              <w:rPr>
                <w:rFonts w:ascii="Calibri" w:eastAsia="Calibri" w:hAnsi="Calibri" w:cs="Calibri"/>
                <w:color w:val="000000"/>
                <w:sz w:val="20"/>
                <w:szCs w:val="20"/>
              </w:rPr>
              <w:t>Do kosztów eksploatacji pojazdów, ponoszonych przez ich użytkowników na drodze,  przede wszystkim należy zaliczyć:</w:t>
            </w:r>
          </w:p>
          <w:p w14:paraId="4D23697F" w14:textId="77777777" w:rsidR="00600DEE" w:rsidRDefault="00641FB5" w:rsidP="00D5736B">
            <w:pPr>
              <w:numPr>
                <w:ilvl w:val="0"/>
                <w:numId w:val="68"/>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Koszty zużycia paliwa: zależne od przebiegu drogi w terenie i warunków ruchowych (tzn. prędkości);</w:t>
            </w:r>
          </w:p>
          <w:p w14:paraId="6292F9F0" w14:textId="77777777" w:rsidR="00600DEE" w:rsidRDefault="00641FB5" w:rsidP="00D5736B">
            <w:pPr>
              <w:numPr>
                <w:ilvl w:val="0"/>
                <w:numId w:val="68"/>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Inne koszty: stan techniczny drogi mający wpływ na zużycie pojazdów, </w:t>
            </w:r>
            <w:r>
              <w:rPr>
                <w:rFonts w:ascii="Calibri" w:eastAsia="Calibri" w:hAnsi="Calibri" w:cs="Calibri"/>
                <w:color w:val="000000"/>
                <w:sz w:val="20"/>
                <w:szCs w:val="20"/>
              </w:rPr>
              <w:br/>
              <w:t>w tym koszty oleju, zużycia opon, przeglądów oraz amortyzacja.</w:t>
            </w:r>
          </w:p>
          <w:p w14:paraId="3B8B4CF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61" w:name="_heading=h.37m2jsg" w:colFirst="0" w:colLast="0"/>
            <w:bookmarkEnd w:id="61"/>
            <w:r>
              <w:rPr>
                <w:rFonts w:ascii="Calibri" w:eastAsia="Calibri" w:hAnsi="Calibri" w:cs="Calibri"/>
                <w:color w:val="000000"/>
                <w:sz w:val="20"/>
                <w:szCs w:val="20"/>
              </w:rPr>
              <w:t>Proponuje się oszacowanie kosztów eksploatacji tych pojazdów w podziale na dwie główne kategorie: samochody lekkie</w:t>
            </w:r>
            <w:r>
              <w:rPr>
                <w:rFonts w:ascii="Calibri" w:eastAsia="Calibri" w:hAnsi="Calibri" w:cs="Calibri"/>
                <w:b/>
                <w:color w:val="000000"/>
                <w:sz w:val="20"/>
                <w:szCs w:val="20"/>
              </w:rPr>
              <w:t xml:space="preserve"> </w:t>
            </w:r>
            <w:r>
              <w:rPr>
                <w:rFonts w:ascii="Calibri" w:eastAsia="Calibri" w:hAnsi="Calibri" w:cs="Calibri"/>
                <w:color w:val="000000"/>
                <w:sz w:val="20"/>
                <w:szCs w:val="20"/>
              </w:rPr>
              <w:t>(LV) oraz samochody ciężkie (HGV), tak jak pokazano w załączniku A. W przypadku gdy wyniki prognozy ruchu przedstawione są w bardziej szczegółowym podziale (np. na pięć kategorii, o których jest mowa w rozdziale dotyczącym prognozowania), koszty kategorii LV z załącznika A powinny być zastosowane do samochodów osobowych oraz samochodów dostawczych, a koszty kategorii HGV z załącznika A do samochodów ciężarowych bez przyczep, samochodów ciężarowych z przyczepami i autobusów.</w:t>
            </w:r>
          </w:p>
          <w:p w14:paraId="6A15A02F" w14:textId="536AFD36"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62" w:name="_heading=h.1mrcu09" w:colFirst="0" w:colLast="0"/>
            <w:bookmarkEnd w:id="62"/>
            <w:r>
              <w:rPr>
                <w:rFonts w:ascii="Calibri" w:eastAsia="Calibri" w:hAnsi="Calibri" w:cs="Calibri"/>
                <w:color w:val="000000"/>
                <w:sz w:val="20"/>
                <w:szCs w:val="20"/>
              </w:rPr>
              <w:t xml:space="preserve">Dla kosztów eksploatacji pojazdów zaproponowanych w załączniku A założono, że aktualna flota pojazdów drogowych, w podziale według rodzajów stosowanego paliwa, składa się głównie z: pojazdów benzynowych i napędzanych olejem napędowym w kategorii LV oraz wyłącznie napędzanych olejem </w:t>
            </w:r>
            <w:r w:rsidR="00DA7241">
              <w:rPr>
                <w:rFonts w:ascii="Calibri" w:eastAsia="Calibri" w:hAnsi="Calibri" w:cs="Calibri"/>
                <w:color w:val="000000"/>
                <w:sz w:val="20"/>
                <w:szCs w:val="20"/>
              </w:rPr>
              <w:t>napędowym w kategorii HGV (założ</w:t>
            </w:r>
            <w:r>
              <w:rPr>
                <w:rFonts w:ascii="Calibri" w:eastAsia="Calibri" w:hAnsi="Calibri" w:cs="Calibri"/>
                <w:color w:val="000000"/>
                <w:sz w:val="20"/>
                <w:szCs w:val="20"/>
              </w:rPr>
              <w:t xml:space="preserve">ono, ze koszty jednostkowe eksploatacji pojazdów lekkich LV benzynowych i napędzanych olejem napędowym kształtują się na tym samym poziomie). Taka struktura floty pojazdów pod względem rodzajów stosowanego paliwa stale ewoluuje, przy czym spodziewany jest wzrost udziału pojazdów elektrycznych (w następstwie polityki łagodzenia zmian klimatu i celów, o których mowa we Wstępie do niniejszego opracowania). Taka ewolucja składu floty musi znaleźć odzwierciedlenie w okresie odniesienia analizy. Implikuje to uwzględnienie ewoluowania kosztów eksploatacji pojazdów. </w:t>
            </w:r>
          </w:p>
          <w:p w14:paraId="5AAF2B3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załączniku A znaleźć można: jednostkowe koszty eksploatacji pojazdów dla głównych typów pojazdów (jak również dla szerszej gamy typów pojazdów na wypadek konieczności przeprowadzenia bardziej szczegółowych obliczeń); zakładany aktualny skład floty w podziale według rodzajów stosowanego paliwa /energii i jego zmiany w czasie wraz z zasadami ich obliczania. Wartości zawarte w załączniku A opracowano na podstawie uznanych właściwych źródeł podanych w odnośnikach. Szczegółowe informacje na temat zasad obliczeń oraz założeń dotyczących jednostkowych kosztów eksploatacji różnych typów pojazdów, zawarto w załączniku D.</w:t>
            </w:r>
          </w:p>
          <w:p w14:paraId="0D19349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przypadku uwzględnienia ruchu kolejowego należy uwzględnić właściwe koszty eksploatacyjne (w oparciu o dane z PLK lub CUPT).</w:t>
            </w:r>
          </w:p>
          <w:p w14:paraId="1B0388BB" w14:textId="35E517E0"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Koszty eksploatacji pojazdów dla planowanej inwestycji należy obliczać dla każdego wariantu </w:t>
            </w:r>
            <w:r w:rsidR="009038CF">
              <w:rPr>
                <w:rFonts w:ascii="Calibri" w:eastAsia="Calibri" w:hAnsi="Calibri" w:cs="Calibri"/>
                <w:color w:val="000000"/>
                <w:sz w:val="20"/>
                <w:szCs w:val="20"/>
              </w:rPr>
              <w:t>(W0 i Wn), każdego typu pojazdu</w:t>
            </w:r>
            <w:r>
              <w:rPr>
                <w:rFonts w:ascii="Calibri" w:eastAsia="Calibri" w:hAnsi="Calibri" w:cs="Calibri"/>
                <w:color w:val="000000"/>
                <w:sz w:val="20"/>
                <w:szCs w:val="20"/>
              </w:rPr>
              <w:t xml:space="preserve"> i każdego roku przez cały okres odniesienia. Dla inwestycji analizowanych metodą sieciową/buforową koszty eksploatacji wylicza się na podstawie wielkości pracy przewozowej obliczonej </w:t>
            </w:r>
            <w:r>
              <w:rPr>
                <w:rFonts w:ascii="Calibri" w:eastAsia="Calibri" w:hAnsi="Calibri" w:cs="Calibri"/>
                <w:color w:val="000000"/>
                <w:sz w:val="20"/>
                <w:szCs w:val="20"/>
              </w:rPr>
              <w:br/>
              <w:t>z wykorzystaniem modelu ruchu dla ustalonych kategorii pojazdów i klas prędkości oraz uśrednionych kosztów eksploatacyjnych dla tych klas.</w:t>
            </w:r>
          </w:p>
          <w:p w14:paraId="517F5D4B" w14:textId="0C58359F"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63" w:name="_heading=h.46r0co2" w:colFirst="0" w:colLast="0"/>
            <w:bookmarkEnd w:id="63"/>
            <w:r>
              <w:rPr>
                <w:rFonts w:ascii="Calibri" w:eastAsia="Calibri" w:hAnsi="Calibri" w:cs="Calibri"/>
                <w:color w:val="000000"/>
                <w:sz w:val="20"/>
                <w:szCs w:val="20"/>
              </w:rPr>
              <w:t>Sposób obliczania kosztów eksploatacji pojazdów na podstawie pracy przewozowej obliczonej z modelu (lub z wykorzystaniem podejścia odcinkowego) przedstawiono w poniższej tabeli.</w:t>
            </w:r>
          </w:p>
          <w:p w14:paraId="6CA6CA16" w14:textId="63301C2A" w:rsidR="00600DEE" w:rsidRDefault="00DA7241">
            <w:pPr>
              <w:pBdr>
                <w:top w:val="nil"/>
                <w:left w:val="nil"/>
                <w:bottom w:val="nil"/>
                <w:right w:val="nil"/>
                <w:between w:val="nil"/>
              </w:pBdr>
              <w:spacing w:before="120" w:after="120"/>
              <w:ind w:left="1418" w:hanging="1418"/>
              <w:jc w:val="both"/>
              <w:rPr>
                <w:rFonts w:ascii="Calibri" w:eastAsia="Calibri" w:hAnsi="Calibri" w:cs="Calibri"/>
                <w:b/>
                <w:color w:val="4F81BD"/>
                <w:sz w:val="20"/>
                <w:szCs w:val="20"/>
              </w:rPr>
            </w:pPr>
            <w:r>
              <w:rPr>
                <w:rFonts w:ascii="Calibri" w:eastAsia="Calibri" w:hAnsi="Calibri" w:cs="Calibri"/>
                <w:b/>
                <w:color w:val="4F81BD"/>
                <w:sz w:val="20"/>
                <w:szCs w:val="20"/>
              </w:rPr>
              <w:t>Tabela 14</w:t>
            </w:r>
            <w:r w:rsidR="00641FB5">
              <w:rPr>
                <w:rFonts w:ascii="Calibri" w:eastAsia="Calibri" w:hAnsi="Calibri" w:cs="Calibri"/>
                <w:b/>
                <w:color w:val="4F81BD"/>
                <w:sz w:val="20"/>
                <w:szCs w:val="20"/>
              </w:rPr>
              <w:t>. Wzory na wyliczenie kosztów eksploatacji pojazdów dla analizy wykonanej metodą sieciową/buforową lub analizy odcinkowej.</w:t>
            </w:r>
          </w:p>
          <w:tbl>
            <w:tblPr>
              <w:tblStyle w:val="afffb"/>
              <w:tblW w:w="6804"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804"/>
            </w:tblGrid>
            <w:tr w:rsidR="00600DEE" w14:paraId="016FC43E" w14:textId="77777777" w:rsidTr="00A24E90">
              <w:trPr>
                <w:trHeight w:hRule="exact" w:val="5028"/>
              </w:trPr>
              <w:tc>
                <w:tcPr>
                  <w:tcW w:w="6804" w:type="dxa"/>
                  <w:shd w:val="clear" w:color="auto" w:fill="DBE5F1"/>
                  <w:vAlign w:val="center"/>
                </w:tcPr>
                <w:p w14:paraId="55A39EC2" w14:textId="77777777" w:rsidR="00600DEE" w:rsidRDefault="00600DEE">
                  <w:pPr>
                    <w:pBdr>
                      <w:top w:val="nil"/>
                      <w:left w:val="nil"/>
                      <w:bottom w:val="nil"/>
                      <w:right w:val="nil"/>
                      <w:between w:val="nil"/>
                    </w:pBdr>
                    <w:spacing w:before="120" w:after="40"/>
                    <w:jc w:val="center"/>
                    <w:rPr>
                      <w:rFonts w:ascii="Calibri" w:eastAsia="Calibri" w:hAnsi="Calibri" w:cs="Calibri"/>
                      <w:color w:val="4F81BD"/>
                      <w:sz w:val="18"/>
                      <w:szCs w:val="18"/>
                    </w:rPr>
                  </w:pPr>
                </w:p>
                <w:p w14:paraId="010E608E" w14:textId="77777777" w:rsidR="00600DEE" w:rsidRDefault="00641FB5">
                  <w:pPr>
                    <w:pBdr>
                      <w:top w:val="nil"/>
                      <w:left w:val="nil"/>
                      <w:bottom w:val="nil"/>
                      <w:right w:val="nil"/>
                      <w:between w:val="nil"/>
                    </w:pBdr>
                    <w:spacing w:before="40" w:after="40"/>
                    <w:jc w:val="center"/>
                    <w:rPr>
                      <w:rFonts w:ascii="Calibri" w:eastAsia="Calibri" w:hAnsi="Calibri" w:cs="Calibri"/>
                      <w:color w:val="4F81BD"/>
                      <w:sz w:val="18"/>
                      <w:szCs w:val="18"/>
                    </w:rPr>
                  </w:pPr>
                  <w:r>
                    <w:rPr>
                      <w:rFonts w:ascii="Calibri" w:eastAsia="Calibri" w:hAnsi="Calibri" w:cs="Calibri"/>
                      <w:color w:val="4F81BD"/>
                      <w:sz w:val="36"/>
                      <w:szCs w:val="36"/>
                      <w:vertAlign w:val="subscript"/>
                    </w:rPr>
                    <w:object w:dxaOrig="3810" w:dyaOrig="825" w14:anchorId="6CEEF9BA">
                      <v:shape id="_x0000_i1027" type="#_x0000_t75" style="width:189.8pt;height:41.15pt" o:ole="" filled="t">
                        <v:fill color2="black"/>
                        <v:imagedata r:id="rId109" o:title=""/>
                      </v:shape>
                      <o:OLEObject Type="Embed" ProgID="Equation.3" ShapeID="_x0000_i1027" DrawAspect="Content" ObjectID="_1747568774" r:id="rId110"/>
                    </w:object>
                  </w:r>
                </w:p>
                <w:p w14:paraId="1F9AE687"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gdzie:</w:t>
                  </w:r>
                </w:p>
                <w:p w14:paraId="148A92B4"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e</w:t>
                  </w:r>
                  <w:r>
                    <w:rPr>
                      <w:rFonts w:ascii="Calibri" w:eastAsia="Calibri" w:hAnsi="Calibri" w:cs="Calibri"/>
                      <w:color w:val="4F81BD"/>
                      <w:sz w:val="18"/>
                      <w:szCs w:val="18"/>
                    </w:rP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roczne koszty eksploatacji pojazdów samochodowych, w PLN,</w:t>
                  </w:r>
                </w:p>
                <w:p w14:paraId="232AB136"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 xml:space="preserve">J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liczba kategorii pojazdów,</w:t>
                  </w:r>
                </w:p>
                <w:p w14:paraId="37DD2E16" w14:textId="14285B29"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ej</w:t>
                  </w:r>
                  <w:r>
                    <w:rPr>
                      <w:rFonts w:ascii="Calibri" w:eastAsia="Calibri" w:hAnsi="Calibri" w:cs="Calibri"/>
                      <w:color w:val="4F81BD"/>
                      <w:sz w:val="18"/>
                      <w:szCs w:val="18"/>
                    </w:rPr>
                    <w:t xml:space="preserve"> (V</w:t>
                  </w:r>
                  <w:r>
                    <w:rPr>
                      <w:rFonts w:ascii="Calibri" w:eastAsia="Calibri" w:hAnsi="Calibri" w:cs="Calibri"/>
                      <w:color w:val="4F81BD"/>
                      <w:sz w:val="18"/>
                      <w:szCs w:val="18"/>
                      <w:vertAlign w:val="subscript"/>
                    </w:rPr>
                    <w:t>pdr j</w:t>
                  </w:r>
                  <w:r>
                    <w:rPr>
                      <w:rFonts w:ascii="Calibri" w:eastAsia="Calibri" w:hAnsi="Calibri" w:cs="Calibri"/>
                      <w:color w:val="4F81BD"/>
                      <w:sz w:val="18"/>
                      <w:szCs w:val="18"/>
                    </w:rPr>
                    <w:t>,T,S) – jednostkowe koszty eksploatacji dla kategorii poj</w:t>
                  </w:r>
                  <w:r w:rsidR="00A24E90">
                    <w:rPr>
                      <w:rFonts w:ascii="Calibri" w:eastAsia="Calibri" w:hAnsi="Calibri" w:cs="Calibri"/>
                      <w:color w:val="4F81BD"/>
                      <w:sz w:val="18"/>
                      <w:szCs w:val="18"/>
                    </w:rPr>
                    <w:t xml:space="preserve">azdów </w:t>
                  </w:r>
                  <w:r>
                    <w:rPr>
                      <w:rFonts w:ascii="Calibri" w:eastAsia="Calibri" w:hAnsi="Calibri" w:cs="Calibri"/>
                      <w:color w:val="4F81BD"/>
                      <w:sz w:val="18"/>
                      <w:szCs w:val="18"/>
                    </w:rPr>
                    <w:t>samochodowych   „j” w funkcji klasy drogi</w:t>
                  </w:r>
                  <w:r w:rsidR="00A24E90">
                    <w:rPr>
                      <w:rFonts w:ascii="Calibri" w:eastAsia="Calibri" w:hAnsi="Calibri" w:cs="Calibri"/>
                      <w:color w:val="4F81BD"/>
                      <w:sz w:val="18"/>
                      <w:szCs w:val="18"/>
                    </w:rPr>
                    <w:t>/prędkości podróży Vpdr j, u</w:t>
                  </w:r>
                  <w:r>
                    <w:rPr>
                      <w:rFonts w:ascii="Calibri" w:eastAsia="Calibri" w:hAnsi="Calibri" w:cs="Calibri"/>
                      <w:color w:val="4F81BD"/>
                      <w:sz w:val="18"/>
                      <w:szCs w:val="18"/>
                    </w:rPr>
                    <w:t>kształtowania terenu T i stanu techniczn</w:t>
                  </w:r>
                  <w:r w:rsidR="00A24E90">
                    <w:rPr>
                      <w:rFonts w:ascii="Calibri" w:eastAsia="Calibri" w:hAnsi="Calibri" w:cs="Calibri"/>
                      <w:color w:val="4F81BD"/>
                      <w:sz w:val="18"/>
                      <w:szCs w:val="18"/>
                    </w:rPr>
                    <w:t>ego nawierzchni S, w PLN/poj-km</w:t>
                  </w:r>
                </w:p>
                <w:p w14:paraId="3B3DCC6F"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SDR</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średnioroczne dobowe natężenie ruchu kategorii pojazdów „j” ,</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w pojazdach/dobę,</w:t>
                  </w:r>
                </w:p>
                <w:p w14:paraId="4CD89697"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 xml:space="preserve">L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długość odcinka drogi w km,</w:t>
                  </w:r>
                </w:p>
                <w:p w14:paraId="2C15F7A6"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 xml:space="preserve">W </w:t>
                  </w:r>
                  <w:r>
                    <w:rPr>
                      <w:rFonts w:ascii="Calibri" w:eastAsia="Calibri" w:hAnsi="Calibri" w:cs="Calibri"/>
                      <w:color w:val="4F81BD"/>
                      <w:sz w:val="18"/>
                      <w:szCs w:val="18"/>
                      <w:vertAlign w:val="superscript"/>
                    </w:rPr>
                    <w:t>km</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praca przewozowa dla pojazdów kategorii „j” w zależności od długości </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odcinka drogi, oraz przedziału prędkości V</w:t>
                  </w:r>
                  <w:r>
                    <w:rPr>
                      <w:rFonts w:ascii="Calibri" w:eastAsia="Calibri" w:hAnsi="Calibri" w:cs="Calibri"/>
                      <w:color w:val="4F81BD"/>
                      <w:sz w:val="18"/>
                      <w:szCs w:val="18"/>
                      <w:vertAlign w:val="subscript"/>
                    </w:rPr>
                    <w:t>pdr, j</w:t>
                  </w:r>
                  <w:r>
                    <w:rPr>
                      <w:rFonts w:ascii="Calibri" w:eastAsia="Calibri" w:hAnsi="Calibri" w:cs="Calibri"/>
                      <w:color w:val="4F81BD"/>
                      <w:sz w:val="18"/>
                      <w:szCs w:val="18"/>
                    </w:rPr>
                    <w:t xml:space="preserve"> , </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w pojazdokilometrach/dobę.</w:t>
                  </w:r>
                </w:p>
                <w:p w14:paraId="61CA5825" w14:textId="77777777" w:rsidR="00600DEE" w:rsidRDefault="00600DEE">
                  <w:pPr>
                    <w:pBdr>
                      <w:top w:val="nil"/>
                      <w:left w:val="nil"/>
                      <w:bottom w:val="nil"/>
                      <w:right w:val="nil"/>
                      <w:between w:val="nil"/>
                    </w:pBdr>
                    <w:spacing w:before="40" w:after="40"/>
                    <w:rPr>
                      <w:rFonts w:ascii="Calibri" w:eastAsia="Calibri" w:hAnsi="Calibri" w:cs="Calibri"/>
                      <w:color w:val="4F81BD"/>
                      <w:sz w:val="18"/>
                      <w:szCs w:val="18"/>
                    </w:rPr>
                  </w:pPr>
                </w:p>
                <w:p w14:paraId="2AA4702A"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W</w:t>
                  </w:r>
                  <w:r>
                    <w:rPr>
                      <w:rFonts w:ascii="Calibri" w:eastAsia="Calibri" w:hAnsi="Calibri" w:cs="Calibri"/>
                      <w:color w:val="4F81BD"/>
                      <w:sz w:val="18"/>
                      <w:szCs w:val="18"/>
                      <w:vertAlign w:val="superscript"/>
                    </w:rPr>
                    <w:t>km</w:t>
                  </w:r>
                  <w:r>
                    <w:rPr>
                      <w:rFonts w:ascii="Calibri" w:eastAsia="Calibri" w:hAnsi="Calibri" w:cs="Calibri"/>
                      <w:color w:val="4F81BD"/>
                      <w:sz w:val="18"/>
                      <w:szCs w:val="18"/>
                      <w:vertAlign w:val="subscript"/>
                    </w:rPr>
                    <w:t xml:space="preserve">j </w:t>
                  </w:r>
                  <w:r>
                    <w:rPr>
                      <w:rFonts w:ascii="Calibri" w:eastAsia="Calibri" w:hAnsi="Calibri" w:cs="Calibri"/>
                      <w:color w:val="4F81BD"/>
                      <w:sz w:val="18"/>
                      <w:szCs w:val="18"/>
                    </w:rPr>
                    <w:t>= SDR</w:t>
                  </w:r>
                  <w:r>
                    <w:rPr>
                      <w:rFonts w:ascii="Calibri" w:eastAsia="Calibri" w:hAnsi="Calibri" w:cs="Calibri"/>
                      <w:color w:val="4F81BD"/>
                      <w:sz w:val="18"/>
                      <w:szCs w:val="18"/>
                      <w:vertAlign w:val="subscript"/>
                    </w:rPr>
                    <w:t xml:space="preserve">j </w:t>
                  </w:r>
                  <w:r>
                    <w:rPr>
                      <w:rFonts w:ascii="Calibri" w:eastAsia="Calibri" w:hAnsi="Calibri" w:cs="Calibri"/>
                      <w:color w:val="4F81BD"/>
                      <w:sz w:val="18"/>
                      <w:szCs w:val="18"/>
                    </w:rPr>
                    <w:t>* L (podejście odcinkowe)</w:t>
                  </w:r>
                </w:p>
              </w:tc>
            </w:tr>
          </w:tbl>
          <w:p w14:paraId="37C82EDA"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p w14:paraId="15BA411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64" w:name="_heading=h.2lwamvv" w:colFirst="0" w:colLast="0"/>
            <w:bookmarkEnd w:id="64"/>
            <w:r>
              <w:rPr>
                <w:rFonts w:ascii="Calibri" w:eastAsia="Calibri" w:hAnsi="Calibri" w:cs="Calibri"/>
                <w:color w:val="000000"/>
                <w:sz w:val="20"/>
                <w:szCs w:val="20"/>
              </w:rPr>
              <w:t xml:space="preserve">Prędkości podróży, wspomniane powyżej, należy obliczyć na podstawie wielkości natężenia ruchu na odcinku, terenu przez jaki przebiega, oraz kategorii dróg na podstawie tabel zawartych w wewnętrznym Przewodniku metodycznym po AKK (opublikowanym przez GDDKiA w 2021 r.) zastępującym dotychczas stosowaną Instrukcję IBDiM z 2008 r. z uwzględnieniem – w uzasadnionych przypadkach – innych gałęzi transportu. </w:t>
            </w:r>
          </w:p>
          <w:p w14:paraId="25607AEF" w14:textId="720CC8CC"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Zakłada się brak realnego wzrostu jednostkowych kosztów eksploatacji pojazdów w czasie. Należy jedynie uwzględnić indeksację nominalną wskaźnikiem polskiej inflacji CPI do poziomu cenowego właściwego dla roku bazowego, kiedy rok bazowy zmien</w:t>
            </w:r>
            <w:r w:rsidR="00DA7241">
              <w:rPr>
                <w:rFonts w:ascii="Calibri" w:eastAsia="Calibri" w:hAnsi="Calibri" w:cs="Calibri"/>
                <w:color w:val="000000"/>
                <w:sz w:val="20"/>
                <w:szCs w:val="20"/>
              </w:rPr>
              <w:t>i się z obecnie  przyjętego 2021</w:t>
            </w:r>
            <w:r>
              <w:rPr>
                <w:rFonts w:ascii="Calibri" w:eastAsia="Calibri" w:hAnsi="Calibri" w:cs="Calibri"/>
                <w:color w:val="000000"/>
                <w:sz w:val="20"/>
                <w:szCs w:val="20"/>
              </w:rPr>
              <w:t xml:space="preserve"> na późniejszy.</w:t>
            </w:r>
          </w:p>
        </w:tc>
        <w:tc>
          <w:tcPr>
            <w:tcW w:w="7218" w:type="dxa"/>
            <w:tcBorders>
              <w:left w:val="single" w:sz="4" w:space="0" w:color="000000"/>
            </w:tcBorders>
            <w:tcMar>
              <w:left w:w="284" w:type="dxa"/>
              <w:right w:w="284" w:type="dxa"/>
            </w:tcMar>
          </w:tcPr>
          <w:p w14:paraId="0158D94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Vehicle Operating Costs (VOC) are represented by total operating costs of all vehicles travelling on the analysed road network in all options (W0 and Wn). </w:t>
            </w:r>
          </w:p>
          <w:p w14:paraId="4895147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costs are calculated on the basis of economic unit costs of vehicle operation for individual categories of vehicles. For road vehicles, those are generally a function of different factors, notably of vehicle speed, road pavement condition, road gradient and fleet composition. </w:t>
            </w:r>
          </w:p>
          <w:p w14:paraId="1A3F33F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VOC incurred by the road users basically consist of:</w:t>
            </w:r>
          </w:p>
          <w:p w14:paraId="05B926AF" w14:textId="77777777" w:rsidR="00600DEE" w:rsidRPr="0045151D" w:rsidRDefault="00641FB5" w:rsidP="00D5736B">
            <w:pPr>
              <w:numPr>
                <w:ilvl w:val="0"/>
                <w:numId w:val="67"/>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Fuel consumption costs: depending on the road alignment and traffic conditions (i.e. speed);</w:t>
            </w:r>
          </w:p>
          <w:p w14:paraId="2B0DB189" w14:textId="77777777" w:rsidR="00600DEE" w:rsidRPr="0045151D" w:rsidRDefault="00641FB5" w:rsidP="00D5736B">
            <w:pPr>
              <w:numPr>
                <w:ilvl w:val="0"/>
                <w:numId w:val="67"/>
              </w:numPr>
              <w:pBdr>
                <w:top w:val="nil"/>
                <w:left w:val="nil"/>
                <w:bottom w:val="nil"/>
                <w:right w:val="nil"/>
                <w:between w:val="nil"/>
              </w:pBdr>
              <w:spacing w:before="120"/>
              <w:ind w:left="795" w:hanging="79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Other costs: road quality affecting the wear and tear on vehicles, including costs of oil, tyres, vehicle maintenance as well as its depreciation.</w:t>
            </w:r>
          </w:p>
          <w:p w14:paraId="0C6F411B" w14:textId="36B9AE15" w:rsidR="00600DEE" w:rsidRPr="0045151D" w:rsidRDefault="00641FB5" w:rsidP="0016169D">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It is proposed to calculate VOC for road vehicles distinguishing the two main categories: Light Vehicles (LV) and Heavy Goods Vehicles (HGV), as presented in Appendix A. In case that traffic analysis outputs are presented differentiating a more detailed traffic composition (e.g. the five categories mentioned in the traffic chapter), LV unit costs from Appendix A shall be used for passengers cars and commercial vehicles and HGV unit costs from Appendix A shall be used for trucks without trailers, trucks with trailers/semi- trailers and buses.</w:t>
            </w:r>
          </w:p>
          <w:p w14:paraId="23216773" w14:textId="77777777" w:rsidR="00600DEE" w:rsidRPr="0045151D" w:rsidRDefault="00641FB5" w:rsidP="00427449">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Proposed VOC values in Appendix A assume that current road fleet structure by fuel type consumption is mainly composed of: petrol and Diesel for LV; and exclusively Diesel for HGV (it is assumed that the unit operating costs of light LV gasoline vehicles and diesel vehicles are at the same level). This fuel consumption fleet structure is continuously evolving with an expected relevant growth share of electric vehicles (as a result of climate mitigation policies and objectives referred in the Introduction chapter of the document). Therefore, this fleet composition evolution needs to be reflected along the analysis reference period. This implies considering the related evolution of VOC. </w:t>
            </w:r>
          </w:p>
          <w:p w14:paraId="538A7AE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Appendix A provides: VOC unit costs for main vehicle types (as well as for a wider set of vehicle types in case more detailed calculations are required); assumed current fleet composition by type of fuel/energy consumption and its change over time; and related calculation principles. Values provided in Appendix A were developed based on recognised relevant sources as per references provided. See Appendix D for details on calculations principles and assumptions for VOC unit costs of different road vehicle types.</w:t>
            </w:r>
          </w:p>
          <w:p w14:paraId="029A88E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case rail traffic is considered, respective operating costs should be used (based on data from PLK or CUPT).</w:t>
            </w:r>
          </w:p>
          <w:p w14:paraId="7D82BF3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VOC of the planned investment ought to be calculated for each option (W0 and Wn), each type of vehicle and each year throughout the entire reference period. For the investments using network/buffer approach, the costs of vehicle operation should be calculated on the basis of quantity of transport work obtained from the traffic model distinguishing vehicle categories and speed ranges and applying respective average costs of operation for these classes.</w:t>
            </w:r>
          </w:p>
          <w:p w14:paraId="1BEF5F4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VOC calculation formula on the basis of transport work obtained from the model (or using section approach) is presented in the Table below.</w:t>
            </w:r>
          </w:p>
          <w:p w14:paraId="492708B9"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79868A8E"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397E5243"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3E26A4BD"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6B8ABCAD"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447526C4"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D5D1906"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795E3A1" w14:textId="082615B1" w:rsidR="00600DEE" w:rsidRPr="0045151D" w:rsidRDefault="00DA7241">
            <w:pPr>
              <w:pBdr>
                <w:top w:val="nil"/>
                <w:left w:val="nil"/>
                <w:bottom w:val="nil"/>
                <w:right w:val="nil"/>
                <w:between w:val="nil"/>
              </w:pBdr>
              <w:spacing w:before="120" w:after="120"/>
              <w:ind w:left="872" w:hanging="872"/>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14</w:t>
            </w:r>
            <w:r w:rsidR="00641FB5" w:rsidRPr="0045151D">
              <w:rPr>
                <w:rFonts w:ascii="Calibri" w:eastAsia="Calibri" w:hAnsi="Calibri" w:cs="Calibri"/>
                <w:b/>
                <w:color w:val="4F81BD"/>
                <w:sz w:val="20"/>
                <w:szCs w:val="20"/>
                <w:lang w:val="en-GB"/>
              </w:rPr>
              <w:t>. Formulas for calculating vehicle operating costs in case of buffer/network analysis or section analysis.</w:t>
            </w:r>
          </w:p>
          <w:tbl>
            <w:tblPr>
              <w:tblStyle w:val="afffc"/>
              <w:tblW w:w="6942"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942"/>
            </w:tblGrid>
            <w:tr w:rsidR="00600DEE" w:rsidRPr="007463B9" w14:paraId="3D9CEB1A" w14:textId="77777777" w:rsidTr="00851559">
              <w:trPr>
                <w:trHeight w:val="5103"/>
              </w:trPr>
              <w:tc>
                <w:tcPr>
                  <w:tcW w:w="6942" w:type="dxa"/>
                  <w:shd w:val="clear" w:color="auto" w:fill="DBE5F1"/>
                  <w:vAlign w:val="center"/>
                </w:tcPr>
                <w:p w14:paraId="2C4A7945" w14:textId="77777777" w:rsidR="00600DEE" w:rsidRPr="0045151D" w:rsidRDefault="00600DEE">
                  <w:pPr>
                    <w:pBdr>
                      <w:top w:val="nil"/>
                      <w:left w:val="nil"/>
                      <w:bottom w:val="nil"/>
                      <w:right w:val="nil"/>
                      <w:between w:val="nil"/>
                    </w:pBdr>
                    <w:spacing w:before="120"/>
                    <w:jc w:val="center"/>
                    <w:rPr>
                      <w:rFonts w:ascii="Calibri" w:eastAsia="Calibri" w:hAnsi="Calibri" w:cs="Calibri"/>
                      <w:b/>
                      <w:color w:val="4F81BD"/>
                      <w:sz w:val="20"/>
                      <w:szCs w:val="20"/>
                      <w:lang w:val="en-GB"/>
                    </w:rPr>
                  </w:pPr>
                </w:p>
                <w:p w14:paraId="401B277B" w14:textId="77777777" w:rsidR="00600DEE" w:rsidRDefault="00641FB5">
                  <w:pPr>
                    <w:pBdr>
                      <w:top w:val="nil"/>
                      <w:left w:val="nil"/>
                      <w:bottom w:val="nil"/>
                      <w:right w:val="nil"/>
                      <w:between w:val="nil"/>
                    </w:pBdr>
                    <w:spacing w:before="120"/>
                    <w:jc w:val="center"/>
                    <w:rPr>
                      <w:rFonts w:ascii="Calibri" w:eastAsia="Calibri" w:hAnsi="Calibri" w:cs="Calibri"/>
                      <w:b/>
                      <w:color w:val="4F81BD"/>
                      <w:sz w:val="20"/>
                      <w:szCs w:val="20"/>
                    </w:rPr>
                  </w:pPr>
                  <w:r>
                    <w:rPr>
                      <w:rFonts w:ascii="Calibri" w:eastAsia="Calibri" w:hAnsi="Calibri" w:cs="Calibri"/>
                      <w:color w:val="4F81BD"/>
                      <w:sz w:val="36"/>
                      <w:szCs w:val="36"/>
                      <w:vertAlign w:val="subscript"/>
                    </w:rPr>
                    <w:object w:dxaOrig="3810" w:dyaOrig="825" w14:anchorId="26EF4677">
                      <v:shape id="_x0000_i1028" type="#_x0000_t75" style="width:189.8pt;height:41.15pt" o:ole="" filled="t">
                        <v:fill color2="black"/>
                        <v:imagedata r:id="rId109" o:title=""/>
                      </v:shape>
                      <o:OLEObject Type="Embed" ProgID="Equation.3" ShapeID="_x0000_i1028" DrawAspect="Content" ObjectID="_1747568775" r:id="rId111"/>
                    </w:object>
                  </w:r>
                </w:p>
                <w:p w14:paraId="6CC6643C"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where:</w:t>
                  </w:r>
                </w:p>
                <w:p w14:paraId="120047BD"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e</w:t>
                  </w:r>
                  <w:r w:rsidRPr="0045151D">
                    <w:rPr>
                      <w:rFonts w:ascii="Calibri" w:eastAsia="Calibri" w:hAnsi="Calibri" w:cs="Calibri"/>
                      <w:color w:val="4F81BD"/>
                      <w:sz w:val="18"/>
                      <w:szCs w:val="18"/>
                      <w:lang w:val="en-GB"/>
                    </w:rPr>
                    <w:tab/>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 annual vehicle operating costs, in PLN,</w:t>
                  </w:r>
                </w:p>
                <w:p w14:paraId="2FCCCD8A"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j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number of categories of vehicles,</w:t>
                  </w:r>
                </w:p>
                <w:p w14:paraId="5EF60398"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 xml:space="preserve">ej </w:t>
                  </w:r>
                  <w:r w:rsidRPr="0045151D">
                    <w:rPr>
                      <w:rFonts w:ascii="Calibri" w:eastAsia="Calibri" w:hAnsi="Calibri" w:cs="Calibri"/>
                      <w:color w:val="4F81BD"/>
                      <w:sz w:val="18"/>
                      <w:szCs w:val="18"/>
                      <w:lang w:val="en-GB"/>
                    </w:rPr>
                    <w:t>(V</w:t>
                  </w:r>
                  <w:r w:rsidRPr="0045151D">
                    <w:rPr>
                      <w:rFonts w:ascii="Calibri" w:eastAsia="Calibri" w:hAnsi="Calibri" w:cs="Calibri"/>
                      <w:color w:val="4F81BD"/>
                      <w:sz w:val="18"/>
                      <w:szCs w:val="18"/>
                      <w:vertAlign w:val="subscript"/>
                      <w:lang w:val="en-GB"/>
                    </w:rPr>
                    <w:t>pdr j</w:t>
                  </w:r>
                  <w:r w:rsidRPr="0045151D">
                    <w:rPr>
                      <w:rFonts w:ascii="Calibri" w:eastAsia="Calibri" w:hAnsi="Calibri" w:cs="Calibri"/>
                      <w:color w:val="4F81BD"/>
                      <w:sz w:val="18"/>
                      <w:szCs w:val="18"/>
                      <w:lang w:val="en-GB"/>
                    </w:rPr>
                    <w:t>,T,S)   – unit operating costs of vehicles category “j” in the function of type of road/  travel speed V</w:t>
                  </w:r>
                  <w:r w:rsidRPr="0045151D">
                    <w:rPr>
                      <w:rFonts w:ascii="Calibri" w:eastAsia="Calibri" w:hAnsi="Calibri" w:cs="Calibri"/>
                      <w:color w:val="4F81BD"/>
                      <w:sz w:val="18"/>
                      <w:szCs w:val="18"/>
                      <w:vertAlign w:val="subscript"/>
                      <w:lang w:val="en-GB"/>
                    </w:rPr>
                    <w:t>pdr j</w:t>
                  </w:r>
                  <w:r w:rsidRPr="0045151D">
                    <w:rPr>
                      <w:rFonts w:ascii="Calibri" w:eastAsia="Calibri" w:hAnsi="Calibri" w:cs="Calibri"/>
                      <w:color w:val="4F81BD"/>
                      <w:sz w:val="18"/>
                      <w:szCs w:val="18"/>
                      <w:lang w:val="en-GB"/>
                    </w:rPr>
                    <w:t xml:space="preserve">, slope of terrain T and technical condition of pavement S, in PLN/veh-km, </w:t>
                  </w:r>
                </w:p>
                <w:p w14:paraId="1EF4BD9B"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SDR</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ab/>
                    <w:t xml:space="preserve">        – average daily traffic of vehicles category “j”, in vehicles/day,</w:t>
                  </w:r>
                </w:p>
                <w:p w14:paraId="2E1A9F8D"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w:t>
                  </w:r>
                  <w:r w:rsidRPr="0045151D">
                    <w:rPr>
                      <w:rFonts w:ascii="Calibri" w:eastAsia="Calibri" w:hAnsi="Calibri" w:cs="Calibri"/>
                      <w:color w:val="4F81BD"/>
                      <w:sz w:val="18"/>
                      <w:szCs w:val="18"/>
                      <w:lang w:val="en-GB"/>
                    </w:rPr>
                    <w:tab/>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length of road section, in km,</w:t>
                  </w:r>
                </w:p>
                <w:p w14:paraId="4E67BF8F"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w:t>
                  </w:r>
                  <w:r w:rsidRPr="0045151D">
                    <w:rPr>
                      <w:rFonts w:ascii="Calibri" w:eastAsia="Calibri" w:hAnsi="Calibri" w:cs="Calibri"/>
                      <w:color w:val="4F81BD"/>
                      <w:sz w:val="18"/>
                      <w:szCs w:val="18"/>
                      <w:vertAlign w:val="superscript"/>
                      <w:lang w:val="en-GB"/>
                    </w:rPr>
                    <w:t>km</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ab/>
                    <w:t xml:space="preserve">         – transport work of vehicles category “j” depending on</w:t>
                  </w:r>
                </w:p>
                <w:p w14:paraId="7D2CBAE5"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road section length and speed range V</w:t>
                  </w:r>
                  <w:r w:rsidRPr="0045151D">
                    <w:rPr>
                      <w:rFonts w:ascii="Calibri" w:eastAsia="Calibri" w:hAnsi="Calibri" w:cs="Calibri"/>
                      <w:color w:val="4F81BD"/>
                      <w:sz w:val="18"/>
                      <w:szCs w:val="18"/>
                      <w:vertAlign w:val="subscript"/>
                      <w:lang w:val="en-GB"/>
                    </w:rPr>
                    <w:t>pdr, j</w:t>
                  </w:r>
                  <w:r w:rsidRPr="0045151D">
                    <w:rPr>
                      <w:rFonts w:ascii="Calibri" w:eastAsia="Calibri" w:hAnsi="Calibri" w:cs="Calibri"/>
                      <w:color w:val="4F81BD"/>
                      <w:sz w:val="18"/>
                      <w:szCs w:val="18"/>
                      <w:lang w:val="en-GB"/>
                    </w:rPr>
                    <w:t xml:space="preserve">, </w:t>
                  </w:r>
                </w:p>
                <w:p w14:paraId="380ADD40"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in vehicle-kilometres/day.</w:t>
                  </w:r>
                </w:p>
                <w:p w14:paraId="13D6B60C" w14:textId="77777777" w:rsidR="00600DEE" w:rsidRPr="0045151D" w:rsidRDefault="00600DEE">
                  <w:pPr>
                    <w:pBdr>
                      <w:top w:val="nil"/>
                      <w:left w:val="nil"/>
                      <w:bottom w:val="nil"/>
                      <w:right w:val="nil"/>
                      <w:between w:val="nil"/>
                    </w:pBdr>
                    <w:spacing w:before="40" w:after="40"/>
                    <w:rPr>
                      <w:rFonts w:ascii="Calibri" w:eastAsia="Calibri" w:hAnsi="Calibri" w:cs="Calibri"/>
                      <w:color w:val="4F81BD"/>
                      <w:sz w:val="18"/>
                      <w:szCs w:val="18"/>
                      <w:lang w:val="en-GB"/>
                    </w:rPr>
                  </w:pPr>
                </w:p>
                <w:p w14:paraId="2F129D03"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w:t>
                  </w:r>
                  <w:r w:rsidRPr="0045151D">
                    <w:rPr>
                      <w:rFonts w:ascii="Calibri" w:eastAsia="Calibri" w:hAnsi="Calibri" w:cs="Calibri"/>
                      <w:color w:val="4F81BD"/>
                      <w:sz w:val="18"/>
                      <w:szCs w:val="18"/>
                      <w:vertAlign w:val="superscript"/>
                      <w:lang w:val="en-GB"/>
                    </w:rPr>
                    <w:t>km</w:t>
                  </w:r>
                  <w:r w:rsidRPr="0045151D">
                    <w:rPr>
                      <w:rFonts w:ascii="Calibri" w:eastAsia="Calibri" w:hAnsi="Calibri" w:cs="Calibri"/>
                      <w:color w:val="4F81BD"/>
                      <w:sz w:val="18"/>
                      <w:szCs w:val="18"/>
                      <w:vertAlign w:val="subscript"/>
                      <w:lang w:val="en-GB"/>
                    </w:rPr>
                    <w:t xml:space="preserve">j </w:t>
                  </w:r>
                  <w:r w:rsidRPr="0045151D">
                    <w:rPr>
                      <w:rFonts w:ascii="Calibri" w:eastAsia="Calibri" w:hAnsi="Calibri" w:cs="Calibri"/>
                      <w:color w:val="4F81BD"/>
                      <w:sz w:val="18"/>
                      <w:szCs w:val="18"/>
                      <w:lang w:val="en-GB"/>
                    </w:rPr>
                    <w:t>= SDR</w:t>
                  </w:r>
                  <w:r w:rsidRPr="0045151D">
                    <w:rPr>
                      <w:rFonts w:ascii="Calibri" w:eastAsia="Calibri" w:hAnsi="Calibri" w:cs="Calibri"/>
                      <w:color w:val="4F81BD"/>
                      <w:sz w:val="18"/>
                      <w:szCs w:val="18"/>
                      <w:vertAlign w:val="subscript"/>
                      <w:lang w:val="en-GB"/>
                    </w:rPr>
                    <w:t xml:space="preserve">j </w:t>
                  </w:r>
                  <w:r w:rsidRPr="0045151D">
                    <w:rPr>
                      <w:rFonts w:ascii="Calibri" w:eastAsia="Calibri" w:hAnsi="Calibri" w:cs="Calibri"/>
                      <w:color w:val="4F81BD"/>
                      <w:sz w:val="18"/>
                      <w:szCs w:val="18"/>
                      <w:lang w:val="en-GB"/>
                    </w:rPr>
                    <w:t>* L  (using section approach)</w:t>
                  </w:r>
                </w:p>
                <w:p w14:paraId="781E4DD5" w14:textId="77777777" w:rsidR="00600DEE" w:rsidRPr="0045151D" w:rsidRDefault="00600DEE">
                  <w:pPr>
                    <w:pBdr>
                      <w:top w:val="nil"/>
                      <w:left w:val="nil"/>
                      <w:bottom w:val="nil"/>
                      <w:right w:val="nil"/>
                      <w:between w:val="nil"/>
                    </w:pBdr>
                    <w:spacing w:before="40" w:after="40"/>
                    <w:rPr>
                      <w:rFonts w:ascii="Calibri" w:eastAsia="Calibri" w:hAnsi="Calibri" w:cs="Calibri"/>
                      <w:color w:val="4F81BD"/>
                      <w:sz w:val="18"/>
                      <w:szCs w:val="18"/>
                      <w:lang w:val="en-GB"/>
                    </w:rPr>
                  </w:pPr>
                </w:p>
              </w:tc>
            </w:tr>
          </w:tbl>
          <w:p w14:paraId="47F40EB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78E4C317" w14:textId="7F6C25F4"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above mentioned travel speeds should be calculated on the basis of road section’s traffic volume, slope of terrain it runs through and road category, using the tables from the </w:t>
            </w:r>
            <w:r w:rsidRPr="0045151D">
              <w:rPr>
                <w:rFonts w:ascii="Calibri" w:eastAsia="Calibri" w:hAnsi="Calibri" w:cs="Calibri"/>
                <w:i/>
                <w:color w:val="000000"/>
                <w:sz w:val="20"/>
                <w:szCs w:val="20"/>
                <w:lang w:val="en-GB"/>
              </w:rPr>
              <w:t>internal CBA instruction (published by GDDKiA in 2021)</w:t>
            </w:r>
            <w:r w:rsidRPr="0045151D">
              <w:rPr>
                <w:rFonts w:ascii="Calibri" w:eastAsia="Calibri" w:hAnsi="Calibri" w:cs="Calibri"/>
                <w:color w:val="000000"/>
                <w:sz w:val="20"/>
                <w:szCs w:val="20"/>
                <w:lang w:val="en-GB"/>
              </w:rPr>
              <w:t>, substituting the IBDiM instruction dated 2008 previously in use, and inc</w:t>
            </w:r>
            <w:r w:rsidR="00A24E90">
              <w:rPr>
                <w:rFonts w:ascii="Calibri" w:eastAsia="Calibri" w:hAnsi="Calibri" w:cs="Calibri"/>
                <w:color w:val="000000"/>
                <w:sz w:val="20"/>
                <w:szCs w:val="20"/>
                <w:lang w:val="en-GB"/>
              </w:rPr>
              <w:t>l</w:t>
            </w:r>
            <w:r w:rsidRPr="0045151D">
              <w:rPr>
                <w:rFonts w:ascii="Calibri" w:eastAsia="Calibri" w:hAnsi="Calibri" w:cs="Calibri"/>
                <w:color w:val="000000"/>
                <w:sz w:val="20"/>
                <w:szCs w:val="20"/>
                <w:lang w:val="en-GB"/>
              </w:rPr>
              <w:t>ude other transport modes, if relevant</w:t>
            </w:r>
            <w:r w:rsidRPr="0045151D">
              <w:rPr>
                <w:rFonts w:ascii="Calibri" w:eastAsia="Calibri" w:hAnsi="Calibri" w:cs="Calibri"/>
                <w:i/>
                <w:color w:val="000000"/>
                <w:sz w:val="20"/>
                <w:szCs w:val="20"/>
                <w:lang w:val="en-GB"/>
              </w:rPr>
              <w:t xml:space="preserve">. </w:t>
            </w:r>
          </w:p>
          <w:p w14:paraId="7B1D2FEE" w14:textId="77777777" w:rsidR="00600DEE" w:rsidRPr="0045151D" w:rsidRDefault="00600DEE">
            <w:pPr>
              <w:pBdr>
                <w:top w:val="nil"/>
                <w:left w:val="nil"/>
                <w:bottom w:val="nil"/>
                <w:right w:val="nil"/>
                <w:between w:val="nil"/>
              </w:pBdr>
              <w:spacing w:before="120"/>
              <w:jc w:val="both"/>
              <w:rPr>
                <w:rFonts w:ascii="Calibri" w:eastAsia="Calibri" w:hAnsi="Calibri" w:cs="Calibri"/>
                <w:i/>
                <w:color w:val="000000"/>
                <w:sz w:val="20"/>
                <w:szCs w:val="20"/>
                <w:lang w:val="en-GB"/>
              </w:rPr>
            </w:pPr>
          </w:p>
          <w:p w14:paraId="29C4B0ED" w14:textId="74818861" w:rsidR="00600DEE" w:rsidRPr="0045151D" w:rsidRDefault="00641FB5">
            <w:pPr>
              <w:pBdr>
                <w:top w:val="nil"/>
                <w:left w:val="nil"/>
                <w:bottom w:val="nil"/>
                <w:right w:val="nil"/>
                <w:between w:val="nil"/>
              </w:pBdr>
              <w:spacing w:before="120"/>
              <w:jc w:val="both"/>
              <w:rPr>
                <w:rFonts w:ascii="Calibri" w:eastAsia="Calibri" w:hAnsi="Calibri" w:cs="Calibri"/>
                <w:b/>
                <w:color w:val="323299"/>
                <w:sz w:val="20"/>
                <w:szCs w:val="20"/>
                <w:lang w:val="en-GB"/>
              </w:rPr>
            </w:pPr>
            <w:r w:rsidRPr="0045151D">
              <w:rPr>
                <w:rFonts w:ascii="Calibri" w:eastAsia="Calibri" w:hAnsi="Calibri" w:cs="Calibri"/>
                <w:color w:val="000000"/>
                <w:sz w:val="20"/>
                <w:szCs w:val="20"/>
                <w:lang w:val="en-GB"/>
              </w:rPr>
              <w:t>It is assumed that there will be no real increase in unit VOC values over time. Only nominal indexation to the price level appropriate for the base year, when it moves on</w:t>
            </w:r>
            <w:r w:rsidR="00DA7241">
              <w:rPr>
                <w:rFonts w:ascii="Calibri" w:eastAsia="Calibri" w:hAnsi="Calibri" w:cs="Calibri"/>
                <w:color w:val="000000"/>
                <w:sz w:val="20"/>
                <w:szCs w:val="20"/>
                <w:lang w:val="en-GB"/>
              </w:rPr>
              <w:t xml:space="preserve"> from the currently assumed 2021</w:t>
            </w:r>
            <w:r w:rsidRPr="0045151D">
              <w:rPr>
                <w:rFonts w:ascii="Calibri" w:eastAsia="Calibri" w:hAnsi="Calibri" w:cs="Calibri"/>
                <w:color w:val="000000"/>
                <w:sz w:val="20"/>
                <w:szCs w:val="20"/>
                <w:lang w:val="en-GB"/>
              </w:rPr>
              <w:t>, should be conducted with the use of Polish inflation index (CPI).</w:t>
            </w:r>
          </w:p>
        </w:tc>
      </w:tr>
    </w:tbl>
    <w:p w14:paraId="7A6A87CE" w14:textId="1B746519" w:rsidR="00600DEE" w:rsidRDefault="00641FB5" w:rsidP="00D5736B">
      <w:pPr>
        <w:pStyle w:val="Nagwek3"/>
        <w:numPr>
          <w:ilvl w:val="2"/>
          <w:numId w:val="17"/>
        </w:numPr>
        <w:ind w:left="0" w:firstLine="0"/>
        <w:rPr>
          <w:rFonts w:ascii="Calibri" w:eastAsia="Calibri" w:hAnsi="Calibri" w:cs="Calibri"/>
          <w:i/>
          <w:color w:val="4F81BD"/>
        </w:rPr>
      </w:pPr>
      <w:bookmarkStart w:id="65" w:name="_Toc95377987"/>
      <w:r>
        <w:rPr>
          <w:rFonts w:ascii="Calibri" w:eastAsia="Calibri" w:hAnsi="Calibri" w:cs="Calibri"/>
          <w:color w:val="4F81BD"/>
        </w:rPr>
        <w:t>Koszty czasu użytkowników infrastruktury drogowej</w:t>
      </w:r>
      <w:r>
        <w:rPr>
          <w:rFonts w:ascii="Calibri" w:eastAsia="Calibri" w:hAnsi="Calibri" w:cs="Calibri"/>
          <w:color w:val="4F81BD"/>
        </w:rPr>
        <w:tab/>
      </w:r>
      <w:r>
        <w:rPr>
          <w:rFonts w:ascii="Calibri" w:eastAsia="Calibri" w:hAnsi="Calibri" w:cs="Calibri"/>
          <w:i/>
          <w:color w:val="4F81BD"/>
        </w:rPr>
        <w:t xml:space="preserve">          2.1.2   Road infrastructure user time costs</w:t>
      </w:r>
      <w:bookmarkEnd w:id="65"/>
    </w:p>
    <w:tbl>
      <w:tblPr>
        <w:tblStyle w:val="afffd"/>
        <w:tblW w:w="14571" w:type="dxa"/>
        <w:tblLayout w:type="fixed"/>
        <w:tblLook w:val="0400" w:firstRow="0" w:lastRow="0" w:firstColumn="0" w:lastColumn="0" w:noHBand="0" w:noVBand="1"/>
      </w:tblPr>
      <w:tblGrid>
        <w:gridCol w:w="7370"/>
        <w:gridCol w:w="7201"/>
      </w:tblGrid>
      <w:tr w:rsidR="00600DEE" w:rsidRPr="007463B9" w14:paraId="7A69A2FB" w14:textId="77777777">
        <w:tc>
          <w:tcPr>
            <w:tcW w:w="7370" w:type="dxa"/>
            <w:tcBorders>
              <w:right w:val="single" w:sz="4" w:space="0" w:color="000000"/>
            </w:tcBorders>
            <w:tcMar>
              <w:left w:w="284" w:type="dxa"/>
              <w:right w:w="284" w:type="dxa"/>
            </w:tcMar>
          </w:tcPr>
          <w:p w14:paraId="63E8E757" w14:textId="77777777" w:rsidR="00600DEE" w:rsidRDefault="00641FB5">
            <w:pPr>
              <w:pBdr>
                <w:top w:val="nil"/>
                <w:left w:val="nil"/>
                <w:bottom w:val="nil"/>
                <w:right w:val="nil"/>
                <w:between w:val="nil"/>
              </w:pBdr>
              <w:spacing w:before="120"/>
              <w:jc w:val="both"/>
              <w:rPr>
                <w:rFonts w:ascii="Calibri" w:eastAsia="Calibri" w:hAnsi="Calibri" w:cs="Calibri"/>
                <w:i/>
                <w:color w:val="000000"/>
                <w:sz w:val="20"/>
                <w:szCs w:val="20"/>
              </w:rPr>
            </w:pPr>
            <w:r>
              <w:rPr>
                <w:rFonts w:ascii="Calibri" w:eastAsia="Calibri" w:hAnsi="Calibri" w:cs="Calibri"/>
                <w:i/>
                <w:color w:val="000000"/>
                <w:sz w:val="20"/>
                <w:szCs w:val="20"/>
              </w:rPr>
              <w:t xml:space="preserve">UWAGA: Dotyczy głównie użytkowników drogowych (ale także innych gałęzi jeżeli uzasadnione, np. gdy zdefiniowane w wyniku przeprowadzonej analizy popytu). </w:t>
            </w:r>
          </w:p>
          <w:p w14:paraId="78FFD808"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ekonomiczne czasu użytkowników należy obliczyć dla obu wariantów (W0 i Wn) oddzielnie, dla każdego roku analizy, typu pojazdu i motywacji podróży.</w:t>
            </w:r>
          </w:p>
          <w:p w14:paraId="0A0FAC8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czasu użytkowników infrastruktury drogowej (oraz użytkowników innych gałęzi transportu) dla wariantów (bezinwestycyjnego i inwestycyjnego) to łączne koszty czasu osób odbywających podróże po analizowanej sieci drogowej lub ulicznej. Ze względu na zróżnicowane motywacje podróży, co pociąga za sobą również różne ich koszty, podróżujących należy podzielić na różne kategorie. Użytkowników pojazdów osobowych (i autobusów, jeżeli AKK jest wykonywana dla więcej niż dwóch kategorii LV i HGV), jak również użytkowników innych środków transportu dzieli się na trzy motywacje podróży:</w:t>
            </w:r>
          </w:p>
          <w:p w14:paraId="165AC08A" w14:textId="77777777" w:rsidR="00600DEE" w:rsidRDefault="00641FB5" w:rsidP="00D5736B">
            <w:pPr>
              <w:numPr>
                <w:ilvl w:val="1"/>
                <w:numId w:val="68"/>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podróżujących w celach służbowych,</w:t>
            </w:r>
          </w:p>
          <w:p w14:paraId="32992D86" w14:textId="77777777" w:rsidR="00600DEE" w:rsidRDefault="00641FB5" w:rsidP="00D5736B">
            <w:pPr>
              <w:numPr>
                <w:ilvl w:val="1"/>
                <w:numId w:val="68"/>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podróżujących codziennie w relacjach dom-praca-dom (tzw. commuting)</w:t>
            </w:r>
          </w:p>
          <w:p w14:paraId="39743AC8" w14:textId="77777777" w:rsidR="00600DEE" w:rsidRDefault="00641FB5" w:rsidP="00D5736B">
            <w:pPr>
              <w:numPr>
                <w:ilvl w:val="1"/>
                <w:numId w:val="68"/>
              </w:numPr>
              <w:pBdr>
                <w:top w:val="nil"/>
                <w:left w:val="nil"/>
                <w:bottom w:val="nil"/>
                <w:right w:val="nil"/>
                <w:between w:val="nil"/>
              </w:pBdr>
              <w:spacing w:before="120" w:after="24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podróżujących w innych motywacjach (np. turystyka, zakupy, itd.).</w:t>
            </w:r>
          </w:p>
          <w:p w14:paraId="2B942D7C" w14:textId="77777777" w:rsidR="00A24E90" w:rsidRDefault="00A24E90" w:rsidP="00A24E90">
            <w:pPr>
              <w:pStyle w:val="anxnormal"/>
              <w:ind w:left="0"/>
              <w:rPr>
                <w:rFonts w:asciiTheme="minorHAnsi" w:hAnsiTheme="minorHAnsi"/>
              </w:rPr>
            </w:pPr>
            <w:r w:rsidRPr="00A03F58">
              <w:rPr>
                <w:rFonts w:asciiTheme="minorHAnsi" w:hAnsiTheme="minorHAnsi"/>
              </w:rPr>
              <w:t>Koszt jednostkowy czasu najlepiej byłoby ustalić na poziomie krajowym na podstawie stwierdzonych i/lub ujawnionych badań preferencji, zgodnie z zaleceniami zawartymi w wytycznych UE dotyczących AKK. Dlatego wartości jednostkowego kosztu czasu dla powyższych motywacji podróży (i gałęzi transportu) zawarte w załączniku A wynikają z prac zleconych przez JASPERS w celu określenia wartości czasu dla pasażerów w transporcie w Polsce na podstawie obszernych badań ankietowych ujawnionych i zadeklarowanych preferencji przeprowadzonych przez CUPT w 2019 r.</w:t>
            </w:r>
            <w:r w:rsidRPr="00A03F58">
              <w:rPr>
                <w:rFonts w:asciiTheme="minorHAnsi" w:hAnsiTheme="minorHAnsi"/>
                <w:vertAlign w:val="superscript"/>
              </w:rPr>
              <w:t>9</w:t>
            </w:r>
            <w:r w:rsidRPr="00A03F58">
              <w:rPr>
                <w:rFonts w:asciiTheme="minorHAnsi" w:hAnsiTheme="minorHAnsi"/>
              </w:rPr>
              <w:t xml:space="preserve"> Wyniki tych prac zostały zaproponowane i uzgodnione z Instytucją Zarządzającą oraz CUPT do stosowania w Niebieskich Księgach.</w:t>
            </w:r>
            <w:r>
              <w:rPr>
                <w:rFonts w:asciiTheme="minorHAnsi" w:hAnsiTheme="minorHAnsi"/>
              </w:rPr>
              <w:t xml:space="preserve"> </w:t>
            </w:r>
          </w:p>
          <w:p w14:paraId="056693E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czasu dla kategorii HGV (lub ewentualnie dla pojazdów dostawczych i ciężarowych, jeżeli AKK jest wykonywana dla więcej niż dwóch proponowanych kategorii) można przyjmować jak dla podróżujących w celach służbowych.</w:t>
            </w:r>
          </w:p>
          <w:p w14:paraId="4B4446B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czasu podlegają indeksacji. Zmienność kosztów jednostkowych w czasie jest przedstawiona w załączniku A.</w:t>
            </w:r>
          </w:p>
          <w:p w14:paraId="155A308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obliczeniach należy przyjąć napełnienie pojazdów osobowych dla poszczególnych motywacji na podstawie badań i pomiarów przeprowadzonych w analizowanym korytarzu drogi. W przypadku projektów miejskich, napełnienie pojazdów osobowych należy przyjąć zgodnie z danymi dla danego miasta. Jeśli nie dysponuje się takimi danymi, w obliczeniach należy przyjąć wartości napełnienia przedstawione w poniższej tabeli.</w:t>
            </w:r>
          </w:p>
          <w:p w14:paraId="4005690A"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2A9B79FA" w14:textId="69E00244" w:rsidR="00600DEE" w:rsidRDefault="00DA7241">
            <w:pPr>
              <w:pBdr>
                <w:top w:val="nil"/>
                <w:left w:val="nil"/>
                <w:bottom w:val="nil"/>
                <w:right w:val="nil"/>
                <w:between w:val="nil"/>
              </w:pBdr>
              <w:spacing w:after="120"/>
              <w:ind w:left="992" w:hanging="992"/>
              <w:jc w:val="both"/>
              <w:rPr>
                <w:rFonts w:ascii="Calibri" w:eastAsia="Calibri" w:hAnsi="Calibri" w:cs="Calibri"/>
                <w:b/>
                <w:color w:val="4F81BD"/>
                <w:sz w:val="20"/>
                <w:szCs w:val="20"/>
              </w:rPr>
            </w:pPr>
            <w:r>
              <w:rPr>
                <w:rFonts w:ascii="Calibri" w:eastAsia="Calibri" w:hAnsi="Calibri" w:cs="Calibri"/>
                <w:b/>
                <w:color w:val="4F81BD"/>
                <w:sz w:val="20"/>
                <w:szCs w:val="20"/>
              </w:rPr>
              <w:t>Tabela 15</w:t>
            </w:r>
            <w:r w:rsidR="00641FB5">
              <w:rPr>
                <w:rFonts w:ascii="Calibri" w:eastAsia="Calibri" w:hAnsi="Calibri" w:cs="Calibri"/>
                <w:b/>
                <w:color w:val="4F81BD"/>
                <w:sz w:val="20"/>
                <w:szCs w:val="20"/>
              </w:rPr>
              <w:t>. Wartości napełnienia pojazdów osobowych w podziale na motywacje</w:t>
            </w:r>
            <w:r w:rsidR="00641FB5">
              <w:rPr>
                <w:rFonts w:ascii="Calibri" w:eastAsia="Calibri" w:hAnsi="Calibri" w:cs="Calibri"/>
                <w:b/>
                <w:color w:val="4F81BD"/>
                <w:sz w:val="20"/>
                <w:szCs w:val="20"/>
              </w:rPr>
              <w:br/>
              <w:t>podróży zamiejskich oraz miejskich [osób/pojazd]</w:t>
            </w:r>
          </w:p>
          <w:tbl>
            <w:tblPr>
              <w:tblStyle w:val="afffe"/>
              <w:tblW w:w="6794" w:type="dxa"/>
              <w:tblBorders>
                <w:insideH w:val="single" w:sz="4" w:space="0" w:color="FFFFFF"/>
                <w:insideV w:val="single" w:sz="4" w:space="0" w:color="FFFFFF"/>
              </w:tblBorders>
              <w:tblLayout w:type="fixed"/>
              <w:tblLook w:val="0400" w:firstRow="0" w:lastRow="0" w:firstColumn="0" w:lastColumn="0" w:noHBand="0" w:noVBand="1"/>
            </w:tblPr>
            <w:tblGrid>
              <w:gridCol w:w="2101"/>
              <w:gridCol w:w="2136"/>
              <w:gridCol w:w="2557"/>
            </w:tblGrid>
            <w:tr w:rsidR="00600DEE" w14:paraId="49DD6FCC" w14:textId="77777777" w:rsidTr="00A24E90">
              <w:trPr>
                <w:trHeight w:val="253"/>
              </w:trPr>
              <w:tc>
                <w:tcPr>
                  <w:tcW w:w="2101" w:type="dxa"/>
                  <w:vMerge w:val="restart"/>
                  <w:tcBorders>
                    <w:top w:val="nil"/>
                    <w:bottom w:val="single" w:sz="4" w:space="0" w:color="FFFFFF"/>
                  </w:tcBorders>
                  <w:shd w:val="clear" w:color="auto" w:fill="A6A6A6"/>
                  <w:vAlign w:val="center"/>
                </w:tcPr>
                <w:p w14:paraId="29A34164"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Motywacja</w:t>
                  </w:r>
                </w:p>
              </w:tc>
              <w:tc>
                <w:tcPr>
                  <w:tcW w:w="4693" w:type="dxa"/>
                  <w:gridSpan w:val="2"/>
                  <w:tcBorders>
                    <w:top w:val="nil"/>
                    <w:bottom w:val="single" w:sz="4" w:space="0" w:color="FFFFFF"/>
                  </w:tcBorders>
                  <w:shd w:val="clear" w:color="auto" w:fill="A6A6A6"/>
                  <w:vAlign w:val="center"/>
                </w:tcPr>
                <w:p w14:paraId="77105D6F"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Napełnienie</w:t>
                  </w:r>
                </w:p>
              </w:tc>
            </w:tr>
            <w:tr w:rsidR="00600DEE" w14:paraId="5A8C5CF2" w14:textId="77777777" w:rsidTr="00A24E90">
              <w:trPr>
                <w:trHeight w:val="253"/>
              </w:trPr>
              <w:tc>
                <w:tcPr>
                  <w:tcW w:w="2101" w:type="dxa"/>
                  <w:vMerge/>
                  <w:tcBorders>
                    <w:top w:val="nil"/>
                    <w:bottom w:val="single" w:sz="4" w:space="0" w:color="FFFFFF"/>
                  </w:tcBorders>
                  <w:shd w:val="clear" w:color="auto" w:fill="A6A6A6"/>
                  <w:vAlign w:val="center"/>
                </w:tcPr>
                <w:p w14:paraId="4F16C458"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2136" w:type="dxa"/>
                  <w:tcBorders>
                    <w:top w:val="single" w:sz="4" w:space="0" w:color="FFFFFF"/>
                    <w:bottom w:val="single" w:sz="4" w:space="0" w:color="FFFFFF"/>
                  </w:tcBorders>
                  <w:shd w:val="clear" w:color="auto" w:fill="A6A6A6"/>
                  <w:vAlign w:val="center"/>
                </w:tcPr>
                <w:p w14:paraId="377738A3"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Drogi zamiejskie</w:t>
                  </w:r>
                </w:p>
              </w:tc>
              <w:tc>
                <w:tcPr>
                  <w:tcW w:w="2556" w:type="dxa"/>
                  <w:tcBorders>
                    <w:top w:val="single" w:sz="4" w:space="0" w:color="FFFFFF"/>
                    <w:bottom w:val="single" w:sz="4" w:space="0" w:color="FFFFFF"/>
                  </w:tcBorders>
                  <w:shd w:val="clear" w:color="auto" w:fill="A6A6A6"/>
                  <w:vAlign w:val="center"/>
                </w:tcPr>
                <w:p w14:paraId="73C4A8CB"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Drogi miejskie/Ulice</w:t>
                  </w:r>
                </w:p>
              </w:tc>
            </w:tr>
            <w:tr w:rsidR="00600DEE" w14:paraId="5CA376CD" w14:textId="77777777" w:rsidTr="00A24E90">
              <w:trPr>
                <w:trHeight w:val="287"/>
              </w:trPr>
              <w:tc>
                <w:tcPr>
                  <w:tcW w:w="2101" w:type="dxa"/>
                  <w:tcBorders>
                    <w:top w:val="single" w:sz="4" w:space="0" w:color="FFFFFF"/>
                  </w:tcBorders>
                  <w:shd w:val="clear" w:color="auto" w:fill="DBE5F1"/>
                  <w:vAlign w:val="center"/>
                </w:tcPr>
                <w:p w14:paraId="55D68AA7" w14:textId="77777777" w:rsidR="00600DEE" w:rsidRDefault="00641FB5">
                  <w:pPr>
                    <w:ind w:right="-20"/>
                    <w:jc w:val="center"/>
                    <w:rPr>
                      <w:rFonts w:ascii="Calibri" w:eastAsia="Calibri" w:hAnsi="Calibri" w:cs="Calibri"/>
                      <w:color w:val="4F81BD"/>
                      <w:sz w:val="18"/>
                      <w:szCs w:val="18"/>
                    </w:rPr>
                  </w:pPr>
                  <w:r>
                    <w:rPr>
                      <w:rFonts w:ascii="Calibri" w:eastAsia="Calibri" w:hAnsi="Calibri" w:cs="Calibri"/>
                      <w:color w:val="4F81BD"/>
                      <w:sz w:val="18"/>
                      <w:szCs w:val="18"/>
                    </w:rPr>
                    <w:t>Podróże dom-praca-dom (commuting)</w:t>
                  </w:r>
                </w:p>
              </w:tc>
              <w:tc>
                <w:tcPr>
                  <w:tcW w:w="2136" w:type="dxa"/>
                  <w:tcBorders>
                    <w:top w:val="single" w:sz="4" w:space="0" w:color="FFFFFF"/>
                  </w:tcBorders>
                  <w:shd w:val="clear" w:color="auto" w:fill="DBE5F1"/>
                  <w:vAlign w:val="center"/>
                </w:tcPr>
                <w:p w14:paraId="2292013C" w14:textId="4482E900" w:rsidR="00600DEE" w:rsidRDefault="00A24E90">
                  <w:pPr>
                    <w:ind w:right="952"/>
                    <w:jc w:val="center"/>
                    <w:rPr>
                      <w:rFonts w:ascii="Calibri" w:eastAsia="Calibri" w:hAnsi="Calibri" w:cs="Calibri"/>
                      <w:color w:val="4F81BD"/>
                      <w:sz w:val="18"/>
                      <w:szCs w:val="18"/>
                    </w:rPr>
                  </w:pPr>
                  <w:r>
                    <w:rPr>
                      <w:rFonts w:ascii="Calibri" w:eastAsia="Calibri" w:hAnsi="Calibri" w:cs="Calibri"/>
                      <w:color w:val="4F81BD"/>
                      <w:sz w:val="18"/>
                      <w:szCs w:val="18"/>
                    </w:rPr>
                    <w:t>1,</w:t>
                  </w:r>
                  <w:r w:rsidR="00641FB5">
                    <w:rPr>
                      <w:rFonts w:ascii="Calibri" w:eastAsia="Calibri" w:hAnsi="Calibri" w:cs="Calibri"/>
                      <w:color w:val="4F81BD"/>
                      <w:sz w:val="18"/>
                      <w:szCs w:val="18"/>
                    </w:rPr>
                    <w:t>27</w:t>
                  </w:r>
                </w:p>
              </w:tc>
              <w:tc>
                <w:tcPr>
                  <w:tcW w:w="2556" w:type="dxa"/>
                  <w:tcBorders>
                    <w:top w:val="single" w:sz="4" w:space="0" w:color="FFFFFF"/>
                  </w:tcBorders>
                  <w:shd w:val="clear" w:color="auto" w:fill="DBE5F1"/>
                  <w:vAlign w:val="center"/>
                </w:tcPr>
                <w:p w14:paraId="56462919" w14:textId="261ED39E" w:rsidR="00600DEE" w:rsidRDefault="00A24E90">
                  <w:pPr>
                    <w:ind w:right="904"/>
                    <w:jc w:val="center"/>
                    <w:rPr>
                      <w:rFonts w:ascii="Calibri" w:eastAsia="Calibri" w:hAnsi="Calibri" w:cs="Calibri"/>
                      <w:color w:val="4F81BD"/>
                      <w:sz w:val="18"/>
                      <w:szCs w:val="18"/>
                    </w:rPr>
                  </w:pPr>
                  <w:r>
                    <w:rPr>
                      <w:rFonts w:ascii="Calibri" w:eastAsia="Calibri" w:hAnsi="Calibri" w:cs="Calibri"/>
                      <w:color w:val="4F81BD"/>
                      <w:sz w:val="18"/>
                      <w:szCs w:val="18"/>
                    </w:rPr>
                    <w:t>1,</w:t>
                  </w:r>
                  <w:r w:rsidR="00641FB5">
                    <w:rPr>
                      <w:rFonts w:ascii="Calibri" w:eastAsia="Calibri" w:hAnsi="Calibri" w:cs="Calibri"/>
                      <w:color w:val="4F81BD"/>
                      <w:sz w:val="18"/>
                      <w:szCs w:val="18"/>
                    </w:rPr>
                    <w:t>69</w:t>
                  </w:r>
                </w:p>
              </w:tc>
            </w:tr>
            <w:tr w:rsidR="00600DEE" w14:paraId="67482450" w14:textId="77777777" w:rsidTr="00A24E90">
              <w:trPr>
                <w:trHeight w:val="304"/>
              </w:trPr>
              <w:tc>
                <w:tcPr>
                  <w:tcW w:w="2101" w:type="dxa"/>
                  <w:shd w:val="clear" w:color="auto" w:fill="DBE5F1"/>
                  <w:vAlign w:val="center"/>
                </w:tcPr>
                <w:p w14:paraId="061184B2" w14:textId="77777777" w:rsidR="00600DEE" w:rsidRDefault="00641FB5">
                  <w:pPr>
                    <w:ind w:right="-20"/>
                    <w:jc w:val="center"/>
                    <w:rPr>
                      <w:rFonts w:ascii="Calibri" w:eastAsia="Calibri" w:hAnsi="Calibri" w:cs="Calibri"/>
                      <w:color w:val="4F81BD"/>
                      <w:sz w:val="18"/>
                      <w:szCs w:val="18"/>
                    </w:rPr>
                  </w:pPr>
                  <w:r>
                    <w:rPr>
                      <w:rFonts w:ascii="Calibri" w:eastAsia="Calibri" w:hAnsi="Calibri" w:cs="Calibri"/>
                      <w:color w:val="4F81BD"/>
                      <w:sz w:val="18"/>
                      <w:szCs w:val="18"/>
                    </w:rPr>
                    <w:t>Podróż służbowe</w:t>
                  </w:r>
                </w:p>
              </w:tc>
              <w:tc>
                <w:tcPr>
                  <w:tcW w:w="2136" w:type="dxa"/>
                  <w:shd w:val="clear" w:color="auto" w:fill="DBE5F1"/>
                  <w:vAlign w:val="center"/>
                </w:tcPr>
                <w:p w14:paraId="691C5B8E" w14:textId="471BF6EE" w:rsidR="00600DEE" w:rsidRDefault="00A24E90">
                  <w:pPr>
                    <w:ind w:right="952"/>
                    <w:jc w:val="center"/>
                    <w:rPr>
                      <w:rFonts w:ascii="Calibri" w:eastAsia="Calibri" w:hAnsi="Calibri" w:cs="Calibri"/>
                      <w:color w:val="4F81BD"/>
                      <w:sz w:val="18"/>
                      <w:szCs w:val="18"/>
                    </w:rPr>
                  </w:pPr>
                  <w:r>
                    <w:rPr>
                      <w:rFonts w:ascii="Calibri" w:eastAsia="Calibri" w:hAnsi="Calibri" w:cs="Calibri"/>
                      <w:color w:val="4F81BD"/>
                      <w:sz w:val="18"/>
                      <w:szCs w:val="18"/>
                    </w:rPr>
                    <w:t>1,</w:t>
                  </w:r>
                  <w:r w:rsidR="00641FB5">
                    <w:rPr>
                      <w:rFonts w:ascii="Calibri" w:eastAsia="Calibri" w:hAnsi="Calibri" w:cs="Calibri"/>
                      <w:color w:val="4F81BD"/>
                      <w:sz w:val="18"/>
                      <w:szCs w:val="18"/>
                    </w:rPr>
                    <w:t>27</w:t>
                  </w:r>
                </w:p>
              </w:tc>
              <w:tc>
                <w:tcPr>
                  <w:tcW w:w="2556" w:type="dxa"/>
                  <w:shd w:val="clear" w:color="auto" w:fill="DBE5F1"/>
                  <w:vAlign w:val="center"/>
                </w:tcPr>
                <w:p w14:paraId="7FF14DF1" w14:textId="63CA5A3E" w:rsidR="00600DEE" w:rsidRDefault="00A24E90">
                  <w:pPr>
                    <w:ind w:right="904"/>
                    <w:jc w:val="center"/>
                    <w:rPr>
                      <w:rFonts w:ascii="Calibri" w:eastAsia="Calibri" w:hAnsi="Calibri" w:cs="Calibri"/>
                      <w:color w:val="4F81BD"/>
                      <w:sz w:val="18"/>
                      <w:szCs w:val="18"/>
                    </w:rPr>
                  </w:pPr>
                  <w:r>
                    <w:rPr>
                      <w:rFonts w:ascii="Calibri" w:eastAsia="Calibri" w:hAnsi="Calibri" w:cs="Calibri"/>
                      <w:color w:val="4F81BD"/>
                      <w:sz w:val="18"/>
                      <w:szCs w:val="18"/>
                    </w:rPr>
                    <w:t>1,</w:t>
                  </w:r>
                  <w:r w:rsidR="00641FB5">
                    <w:rPr>
                      <w:rFonts w:ascii="Calibri" w:eastAsia="Calibri" w:hAnsi="Calibri" w:cs="Calibri"/>
                      <w:color w:val="4F81BD"/>
                      <w:sz w:val="18"/>
                      <w:szCs w:val="18"/>
                    </w:rPr>
                    <w:t>80</w:t>
                  </w:r>
                </w:p>
              </w:tc>
            </w:tr>
            <w:tr w:rsidR="00600DEE" w14:paraId="73AECF0D" w14:textId="77777777" w:rsidTr="00A24E90">
              <w:trPr>
                <w:trHeight w:val="304"/>
              </w:trPr>
              <w:tc>
                <w:tcPr>
                  <w:tcW w:w="2101" w:type="dxa"/>
                  <w:shd w:val="clear" w:color="auto" w:fill="DBE5F1"/>
                  <w:vAlign w:val="center"/>
                </w:tcPr>
                <w:p w14:paraId="55A60460" w14:textId="77777777" w:rsidR="00600DEE" w:rsidRDefault="00641FB5">
                  <w:pPr>
                    <w:ind w:right="-20"/>
                    <w:jc w:val="center"/>
                    <w:rPr>
                      <w:rFonts w:ascii="Calibri" w:eastAsia="Calibri" w:hAnsi="Calibri" w:cs="Calibri"/>
                      <w:color w:val="4F81BD"/>
                      <w:sz w:val="18"/>
                      <w:szCs w:val="18"/>
                    </w:rPr>
                  </w:pPr>
                  <w:r>
                    <w:rPr>
                      <w:rFonts w:ascii="Calibri" w:eastAsia="Calibri" w:hAnsi="Calibri" w:cs="Calibri"/>
                      <w:color w:val="4F81BD"/>
                      <w:sz w:val="18"/>
                      <w:szCs w:val="18"/>
                    </w:rPr>
                    <w:t>Podróże inne</w:t>
                  </w:r>
                </w:p>
              </w:tc>
              <w:tc>
                <w:tcPr>
                  <w:tcW w:w="2136" w:type="dxa"/>
                  <w:shd w:val="clear" w:color="auto" w:fill="DBE5F1"/>
                  <w:vAlign w:val="center"/>
                </w:tcPr>
                <w:p w14:paraId="5D02C59E" w14:textId="795527D4" w:rsidR="00600DEE" w:rsidRDefault="00A24E90">
                  <w:pPr>
                    <w:ind w:right="952"/>
                    <w:jc w:val="center"/>
                    <w:rPr>
                      <w:rFonts w:ascii="Calibri" w:eastAsia="Calibri" w:hAnsi="Calibri" w:cs="Calibri"/>
                      <w:color w:val="4F81BD"/>
                      <w:sz w:val="18"/>
                      <w:szCs w:val="18"/>
                    </w:rPr>
                  </w:pPr>
                  <w:r>
                    <w:rPr>
                      <w:rFonts w:ascii="Calibri" w:eastAsia="Calibri" w:hAnsi="Calibri" w:cs="Calibri"/>
                      <w:color w:val="4F81BD"/>
                      <w:sz w:val="18"/>
                      <w:szCs w:val="18"/>
                    </w:rPr>
                    <w:t>1,</w:t>
                  </w:r>
                  <w:r w:rsidR="00641FB5">
                    <w:rPr>
                      <w:rFonts w:ascii="Calibri" w:eastAsia="Calibri" w:hAnsi="Calibri" w:cs="Calibri"/>
                      <w:color w:val="4F81BD"/>
                      <w:sz w:val="18"/>
                      <w:szCs w:val="18"/>
                    </w:rPr>
                    <w:t>69</w:t>
                  </w:r>
                </w:p>
              </w:tc>
              <w:tc>
                <w:tcPr>
                  <w:tcW w:w="2556" w:type="dxa"/>
                  <w:shd w:val="clear" w:color="auto" w:fill="DBE5F1"/>
                  <w:vAlign w:val="center"/>
                </w:tcPr>
                <w:p w14:paraId="4E642A12" w14:textId="14E09D6C" w:rsidR="00600DEE" w:rsidRDefault="00A24E90">
                  <w:pPr>
                    <w:ind w:right="904"/>
                    <w:jc w:val="center"/>
                    <w:rPr>
                      <w:rFonts w:ascii="Calibri" w:eastAsia="Calibri" w:hAnsi="Calibri" w:cs="Calibri"/>
                      <w:color w:val="4F81BD"/>
                      <w:sz w:val="18"/>
                      <w:szCs w:val="18"/>
                    </w:rPr>
                  </w:pPr>
                  <w:r>
                    <w:rPr>
                      <w:rFonts w:ascii="Calibri" w:eastAsia="Calibri" w:hAnsi="Calibri" w:cs="Calibri"/>
                      <w:color w:val="4F81BD"/>
                      <w:sz w:val="18"/>
                      <w:szCs w:val="18"/>
                    </w:rPr>
                    <w:t>2,</w:t>
                  </w:r>
                  <w:r w:rsidR="00641FB5">
                    <w:rPr>
                      <w:rFonts w:ascii="Calibri" w:eastAsia="Calibri" w:hAnsi="Calibri" w:cs="Calibri"/>
                      <w:color w:val="4F81BD"/>
                      <w:sz w:val="18"/>
                      <w:szCs w:val="18"/>
                    </w:rPr>
                    <w:t>33</w:t>
                  </w:r>
                </w:p>
              </w:tc>
            </w:tr>
          </w:tbl>
          <w:p w14:paraId="144A0FC0"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IKMR.</w:t>
            </w:r>
          </w:p>
          <w:p w14:paraId="25A1CF41" w14:textId="7229635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Napełnienie dla kategorii HGV (lub ewentualnie dla pojazdów dostawczych, ciężarowych i ciężarowych z przyczepami, jeżeli AKK jest wykonywana dla więcej niż </w:t>
            </w:r>
            <w:r w:rsidR="00A24E90">
              <w:rPr>
                <w:rFonts w:ascii="Calibri" w:eastAsia="Calibri" w:hAnsi="Calibri" w:cs="Calibri"/>
                <w:color w:val="000000"/>
                <w:sz w:val="20"/>
                <w:szCs w:val="20"/>
              </w:rPr>
              <w:t xml:space="preserve">dwóch proponowanych kategorii) </w:t>
            </w:r>
            <w:r>
              <w:rPr>
                <w:rFonts w:ascii="Calibri" w:eastAsia="Calibri" w:hAnsi="Calibri" w:cs="Calibri"/>
                <w:color w:val="000000"/>
                <w:sz w:val="20"/>
                <w:szCs w:val="20"/>
              </w:rPr>
              <w:t xml:space="preserve">należy przyjmować równe 1. Gdy brak jest szczegółowych danych, napełnienie autobusów (brane pod uwagę jedynie, jeżeli AKK jest wykonywana dla więcej niż dwóch proponowanych kategorii) można przyjmować na poziomie 24 dla dróg zamiejskich (dla dróg miejskich z transportem zbiorowym wskazówki zawarte są </w:t>
            </w:r>
            <w:r>
              <w:rPr>
                <w:rFonts w:ascii="Calibri" w:eastAsia="Calibri" w:hAnsi="Calibri" w:cs="Calibri"/>
                <w:color w:val="222222"/>
                <w:sz w:val="20"/>
                <w:szCs w:val="20"/>
              </w:rPr>
              <w:t>w ‘’Niebieskiej Księdze dla Transportu Publicznego’’)</w:t>
            </w:r>
            <w:r>
              <w:rPr>
                <w:rFonts w:ascii="Calibri" w:eastAsia="Calibri" w:hAnsi="Calibri" w:cs="Calibri"/>
                <w:color w:val="000000"/>
                <w:sz w:val="20"/>
                <w:szCs w:val="20"/>
              </w:rPr>
              <w:t>.</w:t>
            </w:r>
          </w:p>
          <w:p w14:paraId="4B98AAFB"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Dla inwestycji analizowanych metodą sieciową/buforową, obliczenie kosztów czasu użytkowników jest wykonywane na podstawie pracy przewozowej w pojazdogodzinach oszacowanej wprost z modelu ruchu (a następnie przeliczane na pasażerogodziny z uwzględnieniem napełnienia) lub bezpośrednio w pasażerogodzinach dla W0 i Wn. W poniższej tabeli przedstawiono sposób obliczania kosztów czasu użytkowników na podstawie wyników modelu ruchu.</w:t>
            </w:r>
          </w:p>
          <w:p w14:paraId="3AE44C21" w14:textId="5B930B6C" w:rsidR="00600DEE" w:rsidRDefault="00B10112">
            <w:pPr>
              <w:pBdr>
                <w:top w:val="nil"/>
                <w:left w:val="nil"/>
                <w:bottom w:val="nil"/>
                <w:right w:val="nil"/>
                <w:between w:val="nil"/>
              </w:pBd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Tabela 16</w:t>
            </w:r>
            <w:r w:rsidR="00641FB5">
              <w:rPr>
                <w:rFonts w:ascii="Calibri" w:eastAsia="Calibri" w:hAnsi="Calibri" w:cs="Calibri"/>
                <w:b/>
                <w:color w:val="4F81BD"/>
                <w:sz w:val="20"/>
                <w:szCs w:val="20"/>
              </w:rPr>
              <w:t>. Wzór na obliczanie kosztów czasu podróży dla projektów dla których</w:t>
            </w:r>
            <w:r w:rsidR="00641FB5">
              <w:rPr>
                <w:rFonts w:ascii="Calibri" w:eastAsia="Calibri" w:hAnsi="Calibri" w:cs="Calibri"/>
                <w:b/>
                <w:color w:val="4F81BD"/>
                <w:sz w:val="20"/>
                <w:szCs w:val="20"/>
              </w:rPr>
              <w:br/>
              <w:t>praca przewozowa liczona jest w oparciu o sieć/bufor</w:t>
            </w:r>
          </w:p>
          <w:tbl>
            <w:tblPr>
              <w:tblStyle w:val="affff"/>
              <w:tblW w:w="6384"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384"/>
            </w:tblGrid>
            <w:tr w:rsidR="00600DEE" w14:paraId="594E97A5" w14:textId="77777777" w:rsidTr="00851559">
              <w:trPr>
                <w:trHeight w:val="2835"/>
              </w:trPr>
              <w:tc>
                <w:tcPr>
                  <w:tcW w:w="6384" w:type="dxa"/>
                  <w:shd w:val="clear" w:color="auto" w:fill="DBE5F1"/>
                  <w:vAlign w:val="center"/>
                </w:tcPr>
                <w:p w14:paraId="63496BDF" w14:textId="77777777" w:rsidR="00600DEE" w:rsidRDefault="00641FB5">
                  <w:pPr>
                    <w:pBdr>
                      <w:top w:val="nil"/>
                      <w:left w:val="nil"/>
                      <w:bottom w:val="nil"/>
                      <w:right w:val="nil"/>
                      <w:between w:val="nil"/>
                    </w:pBdr>
                    <w:spacing w:before="120" w:after="40"/>
                    <w:jc w:val="center"/>
                    <w:rPr>
                      <w:rFonts w:ascii="Calibri" w:eastAsia="Calibri" w:hAnsi="Calibri" w:cs="Calibri"/>
                      <w:color w:val="000000"/>
                      <w:sz w:val="18"/>
                      <w:szCs w:val="18"/>
                    </w:rPr>
                  </w:pPr>
                  <w:r>
                    <w:rPr>
                      <w:rFonts w:ascii="Calibri" w:eastAsia="Calibri" w:hAnsi="Calibri" w:cs="Calibri"/>
                      <w:color w:val="000000"/>
                      <w:sz w:val="36"/>
                      <w:szCs w:val="36"/>
                      <w:vertAlign w:val="subscript"/>
                    </w:rPr>
                    <w:object w:dxaOrig="2153" w:dyaOrig="728" w14:anchorId="446EFA4E">
                      <v:shape id="_x0000_i1029" type="#_x0000_t75" style="width:107.55pt;height:36.45pt" o:ole="" filled="t">
                        <v:fill color2="black"/>
                        <v:imagedata r:id="rId112" o:title=""/>
                      </v:shape>
                      <o:OLEObject Type="Embed" ProgID="Equation.3" ShapeID="_x0000_i1029" DrawAspect="Content" ObjectID="_1747568776" r:id="rId113"/>
                    </w:object>
                  </w:r>
                </w:p>
                <w:p w14:paraId="12BC3AB5"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gdzie:</w:t>
                  </w:r>
                </w:p>
                <w:p w14:paraId="5A24EC6C" w14:textId="77777777" w:rsidR="00600DEE" w:rsidRDefault="00600DEE">
                  <w:pPr>
                    <w:pBdr>
                      <w:top w:val="nil"/>
                      <w:left w:val="nil"/>
                      <w:bottom w:val="nil"/>
                      <w:right w:val="nil"/>
                      <w:between w:val="nil"/>
                    </w:pBdr>
                    <w:spacing w:before="40" w:after="40"/>
                    <w:rPr>
                      <w:rFonts w:ascii="Calibri" w:eastAsia="Calibri" w:hAnsi="Calibri" w:cs="Calibri"/>
                      <w:color w:val="4F81BD"/>
                      <w:sz w:val="18"/>
                      <w:szCs w:val="18"/>
                    </w:rPr>
                  </w:pPr>
                </w:p>
                <w:p w14:paraId="558ECDB0"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perscript"/>
                    </w:rPr>
                    <w:t>c</w:t>
                  </w:r>
                  <w:r>
                    <w:rPr>
                      <w:rFonts w:ascii="Calibri" w:eastAsia="Calibri" w:hAnsi="Calibri" w:cs="Calibri"/>
                      <w:color w:val="4F81BD"/>
                      <w:sz w:val="18"/>
                      <w:szCs w:val="18"/>
                    </w:rPr>
                    <w:tab/>
                    <w:t>–  roczne koszty czasu użytkowników w PLN ,</w:t>
                  </w:r>
                </w:p>
                <w:p w14:paraId="6275CCB3"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i</w:t>
                  </w:r>
                  <w:r>
                    <w:rPr>
                      <w:rFonts w:ascii="Calibri" w:eastAsia="Calibri" w:hAnsi="Calibri" w:cs="Calibri"/>
                      <w:color w:val="4F81BD"/>
                      <w:sz w:val="18"/>
                      <w:szCs w:val="18"/>
                    </w:rPr>
                    <w:tab/>
                    <w:t>–  liczba kategorii użytkowników o różnej jednostkowej wartości czasu ,</w:t>
                  </w:r>
                </w:p>
                <w:p w14:paraId="5C3AE137"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ci</w:t>
                  </w:r>
                  <w:r>
                    <w:rPr>
                      <w:rFonts w:ascii="Calibri" w:eastAsia="Calibri" w:hAnsi="Calibri" w:cs="Calibri"/>
                      <w:color w:val="4F81BD"/>
                      <w:sz w:val="18"/>
                      <w:szCs w:val="18"/>
                    </w:rPr>
                    <w:tab/>
                    <w:t>–  jednostkowe koszty czasu „i” w PLN/godz.,</w:t>
                  </w:r>
                </w:p>
                <w:p w14:paraId="59DEF44A" w14:textId="3E1339F7" w:rsidR="00600DEE" w:rsidRDefault="00641FB5">
                  <w:pPr>
                    <w:pBdr>
                      <w:top w:val="nil"/>
                      <w:left w:val="nil"/>
                      <w:bottom w:val="nil"/>
                      <w:right w:val="nil"/>
                      <w:between w:val="nil"/>
                    </w:pBdr>
                    <w:spacing w:before="40" w:after="40"/>
                    <w:rPr>
                      <w:rFonts w:ascii="Calibri" w:eastAsia="Calibri" w:hAnsi="Calibri" w:cs="Calibri"/>
                      <w:color w:val="333399"/>
                      <w:sz w:val="18"/>
                      <w:szCs w:val="18"/>
                    </w:rPr>
                  </w:pPr>
                  <w:r>
                    <w:rPr>
                      <w:rFonts w:ascii="Calibri" w:eastAsia="Calibri" w:hAnsi="Calibri" w:cs="Calibri"/>
                      <w:color w:val="4F81BD"/>
                      <w:sz w:val="18"/>
                      <w:szCs w:val="18"/>
                    </w:rPr>
                    <w:t>W</w:t>
                  </w:r>
                  <w:r>
                    <w:rPr>
                      <w:rFonts w:ascii="Calibri" w:eastAsia="Calibri" w:hAnsi="Calibri" w:cs="Calibri"/>
                      <w:color w:val="4F81BD"/>
                      <w:sz w:val="18"/>
                      <w:szCs w:val="18"/>
                      <w:vertAlign w:val="superscript"/>
                    </w:rPr>
                    <w:t>h</w:t>
                  </w:r>
                  <w:r>
                    <w:rPr>
                      <w:rFonts w:ascii="Calibri" w:eastAsia="Calibri" w:hAnsi="Calibri" w:cs="Calibri"/>
                      <w:color w:val="4F81BD"/>
                      <w:sz w:val="18"/>
                      <w:szCs w:val="18"/>
                      <w:vertAlign w:val="subscript"/>
                    </w:rPr>
                    <w:t>i</w:t>
                  </w:r>
                  <w:r>
                    <w:rPr>
                      <w:rFonts w:ascii="Calibri" w:eastAsia="Calibri" w:hAnsi="Calibri" w:cs="Calibri"/>
                      <w:color w:val="4F81BD"/>
                      <w:sz w:val="18"/>
                      <w:szCs w:val="18"/>
                    </w:rPr>
                    <w:tab/>
                    <w:t>–  praca przewozowa kategorii użytkowników „i” w </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pasażero</w:t>
                  </w:r>
                  <w:r w:rsidR="00B10112">
                    <w:rPr>
                      <w:rFonts w:ascii="Calibri" w:eastAsia="Calibri" w:hAnsi="Calibri" w:cs="Calibri"/>
                      <w:color w:val="4F81BD"/>
                      <w:sz w:val="18"/>
                      <w:szCs w:val="18"/>
                    </w:rPr>
                    <w:t>-</w:t>
                  </w:r>
                  <w:r>
                    <w:rPr>
                      <w:rFonts w:ascii="Calibri" w:eastAsia="Calibri" w:hAnsi="Calibri" w:cs="Calibri"/>
                      <w:color w:val="4F81BD"/>
                      <w:sz w:val="18"/>
                      <w:szCs w:val="18"/>
                    </w:rPr>
                    <w:t>godzinach/dobę.</w:t>
                  </w:r>
                </w:p>
              </w:tc>
            </w:tr>
          </w:tbl>
          <w:p w14:paraId="371C69D6"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p w14:paraId="581508D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przypadku braku danych o podziale na motywacje podróży, należy określić je na podstawie danych z badań ankietowych (jeśli takie badania były prowadzone w trakcie ostatniego GPR) lub z pomiarów wcześniejszych lub innych (np. z KBR (Kompleksowego Badania Ruchu) wykonywanych w miastach. Jedynie w przypadku braku takich danych należy przyjąć w AKK wielkości podane w poniższej tabeli.</w:t>
            </w:r>
          </w:p>
          <w:p w14:paraId="16E99D86" w14:textId="77777777" w:rsidR="00851559" w:rsidRDefault="00851559">
            <w:pPr>
              <w:pBdr>
                <w:top w:val="nil"/>
                <w:left w:val="nil"/>
                <w:bottom w:val="nil"/>
                <w:right w:val="nil"/>
                <w:between w:val="nil"/>
              </w:pBdr>
              <w:spacing w:before="120"/>
              <w:ind w:left="1134" w:hanging="1134"/>
              <w:jc w:val="both"/>
              <w:rPr>
                <w:rFonts w:ascii="Calibri" w:eastAsia="Calibri" w:hAnsi="Calibri" w:cs="Calibri"/>
                <w:b/>
                <w:color w:val="4F81BD"/>
                <w:sz w:val="20"/>
                <w:szCs w:val="20"/>
              </w:rPr>
            </w:pPr>
          </w:p>
          <w:p w14:paraId="3A01E31F" w14:textId="38905CD5" w:rsidR="00600DEE" w:rsidRDefault="00B10112">
            <w:pPr>
              <w:pBdr>
                <w:top w:val="nil"/>
                <w:left w:val="nil"/>
                <w:bottom w:val="nil"/>
                <w:right w:val="nil"/>
                <w:between w:val="nil"/>
              </w:pBdr>
              <w:spacing w:before="120"/>
              <w:ind w:left="1134" w:hanging="1134"/>
              <w:jc w:val="both"/>
              <w:rPr>
                <w:rFonts w:ascii="Calibri" w:eastAsia="Calibri" w:hAnsi="Calibri" w:cs="Calibri"/>
                <w:b/>
                <w:color w:val="4F81BD"/>
                <w:sz w:val="20"/>
                <w:szCs w:val="20"/>
              </w:rPr>
            </w:pPr>
            <w:r>
              <w:rPr>
                <w:rFonts w:ascii="Calibri" w:eastAsia="Calibri" w:hAnsi="Calibri" w:cs="Calibri"/>
                <w:b/>
                <w:color w:val="4F81BD"/>
                <w:sz w:val="20"/>
                <w:szCs w:val="20"/>
              </w:rPr>
              <w:t>Tabela 17</w:t>
            </w:r>
            <w:r w:rsidR="00641FB5">
              <w:rPr>
                <w:rFonts w:ascii="Calibri" w:eastAsia="Calibri" w:hAnsi="Calibri" w:cs="Calibri"/>
                <w:b/>
                <w:color w:val="4F81BD"/>
                <w:sz w:val="20"/>
                <w:szCs w:val="20"/>
              </w:rPr>
              <w:t>. Udział motywacji podróży użytkowników pojazdów o</w:t>
            </w:r>
            <w:r w:rsidR="00CB25CC">
              <w:rPr>
                <w:rFonts w:ascii="Calibri" w:eastAsia="Calibri" w:hAnsi="Calibri" w:cs="Calibri"/>
                <w:b/>
                <w:color w:val="4F81BD"/>
                <w:sz w:val="20"/>
                <w:szCs w:val="20"/>
              </w:rPr>
              <w:t>sobowych</w:t>
            </w:r>
            <w:r w:rsidR="00641FB5">
              <w:rPr>
                <w:rFonts w:ascii="Calibri" w:eastAsia="Calibri" w:hAnsi="Calibri" w:cs="Calibri"/>
                <w:b/>
                <w:color w:val="4F81BD"/>
                <w:sz w:val="20"/>
                <w:szCs w:val="20"/>
              </w:rPr>
              <w:t xml:space="preserve"> i autobusów na różnych kategoriach dróg </w:t>
            </w:r>
          </w:p>
          <w:p w14:paraId="7572F81F"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Pojazdy osobowe i autobusy, drogi zamiejskie</w:t>
            </w:r>
          </w:p>
          <w:tbl>
            <w:tblPr>
              <w:tblStyle w:val="affff0"/>
              <w:tblW w:w="6396" w:type="dxa"/>
              <w:tblBorders>
                <w:insideH w:val="single" w:sz="4" w:space="0" w:color="FFFFFF"/>
                <w:insideV w:val="single" w:sz="4" w:space="0" w:color="FFFFFF"/>
              </w:tblBorders>
              <w:tblLayout w:type="fixed"/>
              <w:tblLook w:val="0400" w:firstRow="0" w:lastRow="0" w:firstColumn="0" w:lastColumn="0" w:noHBand="0" w:noVBand="1"/>
            </w:tblPr>
            <w:tblGrid>
              <w:gridCol w:w="1597"/>
              <w:gridCol w:w="1597"/>
              <w:gridCol w:w="1601"/>
              <w:gridCol w:w="1601"/>
            </w:tblGrid>
            <w:tr w:rsidR="00600DEE" w14:paraId="5A2DAF74" w14:textId="77777777">
              <w:trPr>
                <w:trHeight w:val="210"/>
              </w:trPr>
              <w:tc>
                <w:tcPr>
                  <w:tcW w:w="1597" w:type="dxa"/>
                  <w:vMerge w:val="restart"/>
                  <w:tcBorders>
                    <w:top w:val="nil"/>
                    <w:bottom w:val="single" w:sz="4" w:space="0" w:color="FFFFFF"/>
                  </w:tcBorders>
                  <w:shd w:val="clear" w:color="auto" w:fill="A6A6A6"/>
                  <w:vAlign w:val="center"/>
                </w:tcPr>
                <w:p w14:paraId="56A5B1A0"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Kategoria drogi</w:t>
                  </w:r>
                </w:p>
              </w:tc>
              <w:tc>
                <w:tcPr>
                  <w:tcW w:w="4799" w:type="dxa"/>
                  <w:gridSpan w:val="3"/>
                  <w:tcBorders>
                    <w:top w:val="nil"/>
                    <w:bottom w:val="single" w:sz="4" w:space="0" w:color="FFFFFF"/>
                  </w:tcBorders>
                  <w:shd w:val="clear" w:color="auto" w:fill="A6A6A6"/>
                  <w:vAlign w:val="center"/>
                </w:tcPr>
                <w:p w14:paraId="2D9C246A"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Motywacje podróży</w:t>
                  </w:r>
                </w:p>
              </w:tc>
            </w:tr>
            <w:tr w:rsidR="00600DEE" w14:paraId="0CE8777A" w14:textId="77777777">
              <w:trPr>
                <w:trHeight w:val="210"/>
              </w:trPr>
              <w:tc>
                <w:tcPr>
                  <w:tcW w:w="1597" w:type="dxa"/>
                  <w:vMerge/>
                  <w:tcBorders>
                    <w:top w:val="nil"/>
                    <w:bottom w:val="single" w:sz="4" w:space="0" w:color="FFFFFF"/>
                  </w:tcBorders>
                  <w:shd w:val="clear" w:color="auto" w:fill="A6A6A6"/>
                  <w:vAlign w:val="center"/>
                </w:tcPr>
                <w:p w14:paraId="25B0D0C8"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597" w:type="dxa"/>
                  <w:tcBorders>
                    <w:top w:val="single" w:sz="4" w:space="0" w:color="FFFFFF"/>
                    <w:bottom w:val="single" w:sz="4" w:space="0" w:color="FFFFFF"/>
                  </w:tcBorders>
                  <w:shd w:val="clear" w:color="auto" w:fill="A6A6A6"/>
                  <w:vAlign w:val="center"/>
                </w:tcPr>
                <w:p w14:paraId="0B4641C1"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Dom-praca-dom</w:t>
                  </w:r>
                </w:p>
              </w:tc>
              <w:tc>
                <w:tcPr>
                  <w:tcW w:w="1601" w:type="dxa"/>
                  <w:tcBorders>
                    <w:top w:val="single" w:sz="4" w:space="0" w:color="FFFFFF"/>
                    <w:bottom w:val="single" w:sz="4" w:space="0" w:color="FFFFFF"/>
                  </w:tcBorders>
                  <w:shd w:val="clear" w:color="auto" w:fill="A6A6A6"/>
                  <w:vAlign w:val="center"/>
                </w:tcPr>
                <w:p w14:paraId="21554C53"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Służbowe</w:t>
                  </w:r>
                </w:p>
              </w:tc>
              <w:tc>
                <w:tcPr>
                  <w:tcW w:w="1601" w:type="dxa"/>
                  <w:tcBorders>
                    <w:top w:val="single" w:sz="4" w:space="0" w:color="FFFFFF"/>
                    <w:bottom w:val="single" w:sz="4" w:space="0" w:color="FFFFFF"/>
                  </w:tcBorders>
                  <w:shd w:val="clear" w:color="auto" w:fill="A6A6A6"/>
                  <w:vAlign w:val="center"/>
                </w:tcPr>
                <w:p w14:paraId="605DE35E"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Inne</w:t>
                  </w:r>
                </w:p>
              </w:tc>
            </w:tr>
            <w:tr w:rsidR="00600DEE" w14:paraId="70FC98A4" w14:textId="77777777">
              <w:trPr>
                <w:trHeight w:val="237"/>
              </w:trPr>
              <w:tc>
                <w:tcPr>
                  <w:tcW w:w="1597" w:type="dxa"/>
                  <w:tcBorders>
                    <w:top w:val="single" w:sz="4" w:space="0" w:color="FFFFFF"/>
                  </w:tcBorders>
                  <w:shd w:val="clear" w:color="auto" w:fill="DBE5F1"/>
                </w:tcPr>
                <w:p w14:paraId="4D3C2D21"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Krajowe</w:t>
                  </w:r>
                </w:p>
              </w:tc>
              <w:tc>
                <w:tcPr>
                  <w:tcW w:w="1597" w:type="dxa"/>
                  <w:tcBorders>
                    <w:top w:val="single" w:sz="4" w:space="0" w:color="FFFFFF"/>
                  </w:tcBorders>
                  <w:shd w:val="clear" w:color="auto" w:fill="DBE5F1"/>
                  <w:vAlign w:val="center"/>
                </w:tcPr>
                <w:p w14:paraId="189C3278"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15%</w:t>
                  </w:r>
                </w:p>
              </w:tc>
              <w:tc>
                <w:tcPr>
                  <w:tcW w:w="1601" w:type="dxa"/>
                  <w:tcBorders>
                    <w:top w:val="single" w:sz="4" w:space="0" w:color="FFFFFF"/>
                  </w:tcBorders>
                  <w:shd w:val="clear" w:color="auto" w:fill="DBE5F1"/>
                  <w:vAlign w:val="center"/>
                </w:tcPr>
                <w:p w14:paraId="3B48D327"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25%</w:t>
                  </w:r>
                </w:p>
              </w:tc>
              <w:tc>
                <w:tcPr>
                  <w:tcW w:w="1601" w:type="dxa"/>
                  <w:tcBorders>
                    <w:top w:val="single" w:sz="4" w:space="0" w:color="FFFFFF"/>
                  </w:tcBorders>
                  <w:shd w:val="clear" w:color="auto" w:fill="DBE5F1"/>
                  <w:vAlign w:val="center"/>
                </w:tcPr>
                <w:p w14:paraId="73D9436D"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60%</w:t>
                  </w:r>
                </w:p>
              </w:tc>
            </w:tr>
            <w:tr w:rsidR="00600DEE" w14:paraId="039E2BE7" w14:textId="77777777">
              <w:trPr>
                <w:trHeight w:val="251"/>
              </w:trPr>
              <w:tc>
                <w:tcPr>
                  <w:tcW w:w="1597" w:type="dxa"/>
                  <w:shd w:val="clear" w:color="auto" w:fill="DBE5F1"/>
                </w:tcPr>
                <w:p w14:paraId="2578C916"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Wojewódzkie</w:t>
                  </w:r>
                </w:p>
              </w:tc>
              <w:tc>
                <w:tcPr>
                  <w:tcW w:w="1597" w:type="dxa"/>
                  <w:shd w:val="clear" w:color="auto" w:fill="DBE5F1"/>
                  <w:vAlign w:val="center"/>
                </w:tcPr>
                <w:p w14:paraId="25C70E10"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32%</w:t>
                  </w:r>
                </w:p>
              </w:tc>
              <w:tc>
                <w:tcPr>
                  <w:tcW w:w="1601" w:type="dxa"/>
                  <w:shd w:val="clear" w:color="auto" w:fill="DBE5F1"/>
                  <w:vAlign w:val="center"/>
                </w:tcPr>
                <w:p w14:paraId="607330B6"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21%</w:t>
                  </w:r>
                </w:p>
              </w:tc>
              <w:tc>
                <w:tcPr>
                  <w:tcW w:w="1601" w:type="dxa"/>
                  <w:shd w:val="clear" w:color="auto" w:fill="DBE5F1"/>
                  <w:vAlign w:val="center"/>
                </w:tcPr>
                <w:p w14:paraId="3E209919"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47%</w:t>
                  </w:r>
                </w:p>
              </w:tc>
            </w:tr>
          </w:tbl>
          <w:p w14:paraId="6606EBE5" w14:textId="77777777" w:rsidR="00600DEE" w:rsidRDefault="00641FB5">
            <w:pPr>
              <w:spacing w:before="120" w:line="276" w:lineRule="auto"/>
              <w:ind w:right="170"/>
              <w:jc w:val="both"/>
              <w:rPr>
                <w:rFonts w:ascii="Calibri" w:eastAsia="Calibri" w:hAnsi="Calibri" w:cs="Calibri"/>
                <w:sz w:val="20"/>
                <w:szCs w:val="20"/>
              </w:rPr>
            </w:pPr>
            <w:r>
              <w:rPr>
                <w:rFonts w:ascii="Calibri" w:eastAsia="Calibri" w:hAnsi="Calibri" w:cs="Calibri"/>
                <w:b/>
                <w:i/>
                <w:sz w:val="16"/>
                <w:szCs w:val="16"/>
              </w:rPr>
              <w:t>Źródło: opracowanie własne w oparciu o dostępne dane i porównanie z innymi projektami.</w:t>
            </w:r>
          </w:p>
          <w:p w14:paraId="70DD90B6" w14:textId="77777777" w:rsidR="00851559" w:rsidRDefault="00851559">
            <w:pPr>
              <w:pBdr>
                <w:top w:val="nil"/>
                <w:left w:val="nil"/>
                <w:bottom w:val="nil"/>
                <w:right w:val="nil"/>
                <w:between w:val="nil"/>
              </w:pBdr>
              <w:spacing w:before="120" w:after="120"/>
              <w:jc w:val="both"/>
              <w:rPr>
                <w:rFonts w:ascii="Calibri" w:eastAsia="Calibri" w:hAnsi="Calibri" w:cs="Calibri"/>
                <w:b/>
                <w:color w:val="4F81BD"/>
                <w:sz w:val="20"/>
                <w:szCs w:val="20"/>
              </w:rPr>
            </w:pPr>
          </w:p>
          <w:p w14:paraId="14985736" w14:textId="77777777" w:rsidR="00851559" w:rsidRDefault="00851559">
            <w:pPr>
              <w:pBdr>
                <w:top w:val="nil"/>
                <w:left w:val="nil"/>
                <w:bottom w:val="nil"/>
                <w:right w:val="nil"/>
                <w:between w:val="nil"/>
              </w:pBdr>
              <w:spacing w:before="120" w:after="120"/>
              <w:jc w:val="both"/>
              <w:rPr>
                <w:rFonts w:ascii="Calibri" w:eastAsia="Calibri" w:hAnsi="Calibri" w:cs="Calibri"/>
                <w:b/>
                <w:color w:val="4F81BD"/>
                <w:sz w:val="20"/>
                <w:szCs w:val="20"/>
              </w:rPr>
            </w:pPr>
          </w:p>
          <w:p w14:paraId="3294AC20" w14:textId="589F304B"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 xml:space="preserve">Pojazdy osobowe, drogi miejskie </w:t>
            </w:r>
          </w:p>
          <w:tbl>
            <w:tblPr>
              <w:tblStyle w:val="affff1"/>
              <w:tblW w:w="6396" w:type="dxa"/>
              <w:tblBorders>
                <w:insideH w:val="single" w:sz="4" w:space="0" w:color="FFFFFF"/>
                <w:insideV w:val="single" w:sz="4" w:space="0" w:color="FFFFFF"/>
              </w:tblBorders>
              <w:tblLayout w:type="fixed"/>
              <w:tblLook w:val="0400" w:firstRow="0" w:lastRow="0" w:firstColumn="0" w:lastColumn="0" w:noHBand="0" w:noVBand="1"/>
            </w:tblPr>
            <w:tblGrid>
              <w:gridCol w:w="1560"/>
              <w:gridCol w:w="1634"/>
              <w:gridCol w:w="1601"/>
              <w:gridCol w:w="1601"/>
            </w:tblGrid>
            <w:tr w:rsidR="00600DEE" w14:paraId="6024BA03" w14:textId="77777777" w:rsidTr="00CE37CC">
              <w:trPr>
                <w:trHeight w:hRule="exact" w:val="454"/>
              </w:trPr>
              <w:tc>
                <w:tcPr>
                  <w:tcW w:w="1560" w:type="dxa"/>
                  <w:vMerge w:val="restart"/>
                  <w:tcBorders>
                    <w:top w:val="nil"/>
                    <w:bottom w:val="single" w:sz="4" w:space="0" w:color="FFFFFF"/>
                  </w:tcBorders>
                  <w:shd w:val="clear" w:color="auto" w:fill="A6A6A6"/>
                  <w:vAlign w:val="center"/>
                </w:tcPr>
                <w:p w14:paraId="0C9C0BBD"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Kategoria drogi</w:t>
                  </w:r>
                </w:p>
              </w:tc>
              <w:tc>
                <w:tcPr>
                  <w:tcW w:w="4836" w:type="dxa"/>
                  <w:gridSpan w:val="3"/>
                  <w:tcBorders>
                    <w:top w:val="nil"/>
                    <w:bottom w:val="single" w:sz="4" w:space="0" w:color="FFFFFF"/>
                  </w:tcBorders>
                  <w:shd w:val="clear" w:color="auto" w:fill="A6A6A6"/>
                  <w:vAlign w:val="center"/>
                </w:tcPr>
                <w:p w14:paraId="597B0968"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Motywacje podróży</w:t>
                  </w:r>
                </w:p>
              </w:tc>
            </w:tr>
            <w:tr w:rsidR="00600DEE" w14:paraId="42172B5C" w14:textId="77777777">
              <w:trPr>
                <w:trHeight w:val="210"/>
              </w:trPr>
              <w:tc>
                <w:tcPr>
                  <w:tcW w:w="1560" w:type="dxa"/>
                  <w:vMerge/>
                  <w:tcBorders>
                    <w:top w:val="nil"/>
                    <w:bottom w:val="single" w:sz="4" w:space="0" w:color="FFFFFF"/>
                  </w:tcBorders>
                  <w:shd w:val="clear" w:color="auto" w:fill="A6A6A6"/>
                  <w:vAlign w:val="center"/>
                </w:tcPr>
                <w:p w14:paraId="7C01001E"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634" w:type="dxa"/>
                  <w:tcBorders>
                    <w:top w:val="single" w:sz="4" w:space="0" w:color="FFFFFF"/>
                    <w:bottom w:val="single" w:sz="4" w:space="0" w:color="FFFFFF"/>
                  </w:tcBorders>
                  <w:shd w:val="clear" w:color="auto" w:fill="A6A6A6"/>
                  <w:vAlign w:val="center"/>
                </w:tcPr>
                <w:p w14:paraId="4D6E88D7"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Dom-praca-dom</w:t>
                  </w:r>
                </w:p>
              </w:tc>
              <w:tc>
                <w:tcPr>
                  <w:tcW w:w="1601" w:type="dxa"/>
                  <w:tcBorders>
                    <w:top w:val="single" w:sz="4" w:space="0" w:color="FFFFFF"/>
                    <w:bottom w:val="single" w:sz="4" w:space="0" w:color="FFFFFF"/>
                  </w:tcBorders>
                  <w:shd w:val="clear" w:color="auto" w:fill="A6A6A6"/>
                  <w:vAlign w:val="center"/>
                </w:tcPr>
                <w:p w14:paraId="24848962"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Służbowe</w:t>
                  </w:r>
                </w:p>
              </w:tc>
              <w:tc>
                <w:tcPr>
                  <w:tcW w:w="1601" w:type="dxa"/>
                  <w:tcBorders>
                    <w:top w:val="single" w:sz="4" w:space="0" w:color="FFFFFF"/>
                    <w:bottom w:val="single" w:sz="4" w:space="0" w:color="FFFFFF"/>
                  </w:tcBorders>
                  <w:shd w:val="clear" w:color="auto" w:fill="A6A6A6"/>
                  <w:vAlign w:val="center"/>
                </w:tcPr>
                <w:p w14:paraId="0B972FF3"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Inne</w:t>
                  </w:r>
                </w:p>
              </w:tc>
            </w:tr>
            <w:tr w:rsidR="00600DEE" w14:paraId="5C0D026A" w14:textId="77777777" w:rsidTr="00CE37CC">
              <w:trPr>
                <w:trHeight w:hRule="exact" w:val="454"/>
              </w:trPr>
              <w:tc>
                <w:tcPr>
                  <w:tcW w:w="1560" w:type="dxa"/>
                  <w:tcBorders>
                    <w:top w:val="single" w:sz="4" w:space="0" w:color="FFFFFF"/>
                  </w:tcBorders>
                  <w:shd w:val="clear" w:color="auto" w:fill="DBE5F1"/>
                </w:tcPr>
                <w:p w14:paraId="0DE7371A"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Wszystkie kategorie dróg</w:t>
                  </w:r>
                </w:p>
              </w:tc>
              <w:tc>
                <w:tcPr>
                  <w:tcW w:w="1634" w:type="dxa"/>
                  <w:tcBorders>
                    <w:top w:val="single" w:sz="4" w:space="0" w:color="FFFFFF"/>
                  </w:tcBorders>
                  <w:shd w:val="clear" w:color="auto" w:fill="DBE5F1"/>
                  <w:vAlign w:val="center"/>
                </w:tcPr>
                <w:p w14:paraId="7A398947"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35%</w:t>
                  </w:r>
                </w:p>
              </w:tc>
              <w:tc>
                <w:tcPr>
                  <w:tcW w:w="1601" w:type="dxa"/>
                  <w:tcBorders>
                    <w:top w:val="single" w:sz="4" w:space="0" w:color="FFFFFF"/>
                  </w:tcBorders>
                  <w:shd w:val="clear" w:color="auto" w:fill="DBE5F1"/>
                  <w:vAlign w:val="center"/>
                </w:tcPr>
                <w:p w14:paraId="0C5468C6"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10%</w:t>
                  </w:r>
                </w:p>
              </w:tc>
              <w:tc>
                <w:tcPr>
                  <w:tcW w:w="1601" w:type="dxa"/>
                  <w:tcBorders>
                    <w:top w:val="single" w:sz="4" w:space="0" w:color="FFFFFF"/>
                  </w:tcBorders>
                  <w:shd w:val="clear" w:color="auto" w:fill="DBE5F1"/>
                  <w:vAlign w:val="center"/>
                </w:tcPr>
                <w:p w14:paraId="1D4430B3"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55%</w:t>
                  </w:r>
                </w:p>
              </w:tc>
            </w:tr>
          </w:tbl>
          <w:p w14:paraId="7A228FF8" w14:textId="2336DFCF" w:rsidR="00600DEE" w:rsidRDefault="00641FB5">
            <w:pPr>
              <w:spacing w:before="120" w:line="276" w:lineRule="auto"/>
              <w:ind w:right="170"/>
              <w:jc w:val="both"/>
              <w:rPr>
                <w:rFonts w:ascii="Calibri" w:eastAsia="Calibri" w:hAnsi="Calibri" w:cs="Calibri"/>
              </w:rPr>
            </w:pPr>
            <w:r>
              <w:rPr>
                <w:rFonts w:ascii="Calibri" w:eastAsia="Calibri" w:hAnsi="Calibri" w:cs="Calibri"/>
                <w:b/>
                <w:i/>
                <w:sz w:val="16"/>
                <w:szCs w:val="16"/>
              </w:rPr>
              <w:t>Źródło: opracowanie własne w oparciu o dostępne dane i porównanie z innymi projektami.</w:t>
            </w:r>
            <w:r>
              <w:rPr>
                <w:rFonts w:ascii="Calibri" w:eastAsia="Calibri" w:hAnsi="Calibri" w:cs="Calibri"/>
              </w:rPr>
              <w:t xml:space="preserve"> </w:t>
            </w:r>
          </w:p>
          <w:p w14:paraId="0B34BE00" w14:textId="77777777" w:rsidR="006C2564" w:rsidRDefault="006C2564" w:rsidP="006C2564">
            <w:pPr>
              <w:spacing w:line="276" w:lineRule="auto"/>
              <w:ind w:right="170"/>
              <w:jc w:val="both"/>
              <w:rPr>
                <w:rFonts w:ascii="Calibri" w:eastAsia="Calibri" w:hAnsi="Calibri" w:cs="Calibri"/>
                <w:sz w:val="20"/>
                <w:szCs w:val="20"/>
              </w:rPr>
            </w:pPr>
          </w:p>
          <w:p w14:paraId="1AFA19C7"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Obszar miejski dla autobusów</w:t>
            </w:r>
          </w:p>
          <w:tbl>
            <w:tblPr>
              <w:tblStyle w:val="affff2"/>
              <w:tblW w:w="6396" w:type="dxa"/>
              <w:tblBorders>
                <w:insideH w:val="single" w:sz="4" w:space="0" w:color="FFFFFF"/>
                <w:insideV w:val="single" w:sz="4" w:space="0" w:color="FFFFFF"/>
              </w:tblBorders>
              <w:tblLayout w:type="fixed"/>
              <w:tblLook w:val="0400" w:firstRow="0" w:lastRow="0" w:firstColumn="0" w:lastColumn="0" w:noHBand="0" w:noVBand="1"/>
            </w:tblPr>
            <w:tblGrid>
              <w:gridCol w:w="1597"/>
              <w:gridCol w:w="1597"/>
              <w:gridCol w:w="1601"/>
              <w:gridCol w:w="1601"/>
            </w:tblGrid>
            <w:tr w:rsidR="00600DEE" w14:paraId="5E94748E" w14:textId="77777777">
              <w:trPr>
                <w:trHeight w:val="210"/>
              </w:trPr>
              <w:tc>
                <w:tcPr>
                  <w:tcW w:w="1597" w:type="dxa"/>
                  <w:vMerge w:val="restart"/>
                  <w:tcBorders>
                    <w:top w:val="nil"/>
                    <w:bottom w:val="single" w:sz="4" w:space="0" w:color="FFFFFF"/>
                  </w:tcBorders>
                  <w:shd w:val="clear" w:color="auto" w:fill="A6A6A6"/>
                  <w:vAlign w:val="center"/>
                </w:tcPr>
                <w:p w14:paraId="07BBA45D"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Kategoria drogi</w:t>
                  </w:r>
                </w:p>
              </w:tc>
              <w:tc>
                <w:tcPr>
                  <w:tcW w:w="4799" w:type="dxa"/>
                  <w:gridSpan w:val="3"/>
                  <w:tcBorders>
                    <w:top w:val="nil"/>
                    <w:bottom w:val="single" w:sz="4" w:space="0" w:color="FFFFFF"/>
                  </w:tcBorders>
                  <w:shd w:val="clear" w:color="auto" w:fill="A6A6A6"/>
                  <w:vAlign w:val="center"/>
                </w:tcPr>
                <w:p w14:paraId="449D38AF"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Motywacje podróży</w:t>
                  </w:r>
                </w:p>
              </w:tc>
            </w:tr>
            <w:tr w:rsidR="00600DEE" w14:paraId="5A9507E4" w14:textId="77777777">
              <w:trPr>
                <w:trHeight w:val="295"/>
              </w:trPr>
              <w:tc>
                <w:tcPr>
                  <w:tcW w:w="1597" w:type="dxa"/>
                  <w:vMerge/>
                  <w:tcBorders>
                    <w:top w:val="nil"/>
                    <w:bottom w:val="single" w:sz="4" w:space="0" w:color="FFFFFF"/>
                  </w:tcBorders>
                  <w:shd w:val="clear" w:color="auto" w:fill="A6A6A6"/>
                  <w:vAlign w:val="center"/>
                </w:tcPr>
                <w:p w14:paraId="00484368"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597" w:type="dxa"/>
                  <w:tcBorders>
                    <w:top w:val="single" w:sz="4" w:space="0" w:color="FFFFFF"/>
                    <w:bottom w:val="single" w:sz="4" w:space="0" w:color="FFFFFF"/>
                  </w:tcBorders>
                  <w:shd w:val="clear" w:color="auto" w:fill="A6A6A6"/>
                  <w:vAlign w:val="center"/>
                </w:tcPr>
                <w:p w14:paraId="6F4E9BC2"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Dom-praca-dom</w:t>
                  </w:r>
                </w:p>
              </w:tc>
              <w:tc>
                <w:tcPr>
                  <w:tcW w:w="1601" w:type="dxa"/>
                  <w:tcBorders>
                    <w:top w:val="single" w:sz="4" w:space="0" w:color="FFFFFF"/>
                    <w:bottom w:val="single" w:sz="4" w:space="0" w:color="FFFFFF"/>
                  </w:tcBorders>
                  <w:shd w:val="clear" w:color="auto" w:fill="A6A6A6"/>
                  <w:vAlign w:val="center"/>
                </w:tcPr>
                <w:p w14:paraId="35BA5D69"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Służbowe</w:t>
                  </w:r>
                </w:p>
              </w:tc>
              <w:tc>
                <w:tcPr>
                  <w:tcW w:w="1601" w:type="dxa"/>
                  <w:tcBorders>
                    <w:top w:val="single" w:sz="4" w:space="0" w:color="FFFFFF"/>
                    <w:bottom w:val="single" w:sz="4" w:space="0" w:color="FFFFFF"/>
                  </w:tcBorders>
                  <w:shd w:val="clear" w:color="auto" w:fill="A6A6A6"/>
                  <w:vAlign w:val="center"/>
                </w:tcPr>
                <w:p w14:paraId="499E57A4"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Inne</w:t>
                  </w:r>
                </w:p>
              </w:tc>
            </w:tr>
            <w:tr w:rsidR="00600DEE" w14:paraId="14717FB9" w14:textId="77777777" w:rsidTr="006C2564">
              <w:trPr>
                <w:trHeight w:val="454"/>
              </w:trPr>
              <w:tc>
                <w:tcPr>
                  <w:tcW w:w="1597" w:type="dxa"/>
                  <w:tcBorders>
                    <w:top w:val="single" w:sz="4" w:space="0" w:color="FFFFFF"/>
                  </w:tcBorders>
                  <w:shd w:val="clear" w:color="auto" w:fill="DBE5F1"/>
                </w:tcPr>
                <w:p w14:paraId="225CA373"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Wszystkie kategorie dróg</w:t>
                  </w:r>
                </w:p>
              </w:tc>
              <w:tc>
                <w:tcPr>
                  <w:tcW w:w="1597" w:type="dxa"/>
                  <w:tcBorders>
                    <w:top w:val="single" w:sz="4" w:space="0" w:color="FFFFFF"/>
                  </w:tcBorders>
                  <w:shd w:val="clear" w:color="auto" w:fill="DBE5F1"/>
                  <w:vAlign w:val="center"/>
                </w:tcPr>
                <w:p w14:paraId="56F742A6"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35%</w:t>
                  </w:r>
                </w:p>
              </w:tc>
              <w:tc>
                <w:tcPr>
                  <w:tcW w:w="1601" w:type="dxa"/>
                  <w:tcBorders>
                    <w:top w:val="single" w:sz="4" w:space="0" w:color="FFFFFF"/>
                  </w:tcBorders>
                  <w:shd w:val="clear" w:color="auto" w:fill="DBE5F1"/>
                  <w:vAlign w:val="center"/>
                </w:tcPr>
                <w:p w14:paraId="66C4CC45"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5%</w:t>
                  </w:r>
                </w:p>
              </w:tc>
              <w:tc>
                <w:tcPr>
                  <w:tcW w:w="1601" w:type="dxa"/>
                  <w:tcBorders>
                    <w:top w:val="single" w:sz="4" w:space="0" w:color="FFFFFF"/>
                  </w:tcBorders>
                  <w:shd w:val="clear" w:color="auto" w:fill="DBE5F1"/>
                  <w:vAlign w:val="center"/>
                </w:tcPr>
                <w:p w14:paraId="26DD5779"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60%</w:t>
                  </w:r>
                </w:p>
              </w:tc>
            </w:tr>
          </w:tbl>
          <w:p w14:paraId="613D899D" w14:textId="77777777" w:rsidR="00600DEE" w:rsidRDefault="00641FB5">
            <w:pPr>
              <w:spacing w:before="120" w:line="276" w:lineRule="auto"/>
              <w:ind w:right="170"/>
              <w:jc w:val="both"/>
              <w:rPr>
                <w:rFonts w:ascii="Calibri" w:eastAsia="Calibri" w:hAnsi="Calibri" w:cs="Calibri"/>
                <w:sz w:val="20"/>
                <w:szCs w:val="20"/>
              </w:rPr>
            </w:pPr>
            <w:r>
              <w:rPr>
                <w:rFonts w:ascii="Calibri" w:eastAsia="Calibri" w:hAnsi="Calibri" w:cs="Calibri"/>
                <w:b/>
                <w:i/>
                <w:sz w:val="16"/>
                <w:szCs w:val="16"/>
              </w:rPr>
              <w:t>Źródło: opracowanie własne w oparciu o dostępne dane i porównanie z innymi projektami.</w:t>
            </w:r>
          </w:p>
          <w:p w14:paraId="3DA4FFA7" w14:textId="2EFD6EB0" w:rsidR="00B10112"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przypadku analizy metodą odcinkową podstawą obliczenia pracy przewozowej (w pasażerogodzinach) jest oszacowanie prędkości podróży na analizowanym odcinku (w metodzie modelowej/buforowej prędkości te są już uwzględnione w modelu). W tym celu wskazane jest wykorzystanie tabel prędkości zawartych w wewnętrznym Przewodniku do AKK (opublikowanym przez GDDKiA w 2021 r.), zastępującym dotychczas stosowaną Instrukcję IBDiM z 2008 r. Obliczenie kosztów czasu użytkowników należy wykonać dla wariantu bezinwestycyjnego oraz wszystkich wariantów inwestycyjnych wyselekcjonowanych do analizy kosztów i korzyści.</w:t>
            </w:r>
          </w:p>
          <w:p w14:paraId="56D9AA55" w14:textId="77777777" w:rsidR="00CB25CC" w:rsidRDefault="00CB25CC" w:rsidP="00CB25CC">
            <w:pPr>
              <w:pStyle w:val="anxnormal"/>
              <w:ind w:left="0"/>
              <w:rPr>
                <w:rFonts w:asciiTheme="minorHAnsi" w:hAnsiTheme="minorHAnsi"/>
              </w:rPr>
            </w:pPr>
            <w:bookmarkStart w:id="66" w:name="_heading=h.3l18frh" w:colFirst="0" w:colLast="0"/>
            <w:bookmarkEnd w:id="66"/>
            <w:r w:rsidRPr="00DA0B2D">
              <w:rPr>
                <w:rFonts w:asciiTheme="minorHAnsi" w:hAnsiTheme="minorHAnsi"/>
              </w:rPr>
              <w:t>W przypadku użytkowników kolei, wynikiem analizy ruchu będą najczęściej pasażerokilometry dla poszczególnych analizowanych wariantów. Udziały motywacji podróży (jeżeli nie wygenerowane z modelu) można przyjąć jak dla dróg, a </w:t>
            </w:r>
            <w:r w:rsidRPr="00371A33">
              <w:rPr>
                <w:rFonts w:asciiTheme="minorHAnsi" w:hAnsiTheme="minorHAnsi"/>
              </w:rPr>
              <w:t>także należy stosować te same wartości kosztów czasu. W przypadku towarowych przewozów kolejowych zalecane wartości czasu są podane w Niebieskiej Księdze dla infrastruktury kolejowej.</w:t>
            </w:r>
            <w:r>
              <w:rPr>
                <w:rFonts w:asciiTheme="minorHAnsi" w:hAnsiTheme="minorHAnsi"/>
              </w:rPr>
              <w:t xml:space="preserve"> </w:t>
            </w:r>
          </w:p>
          <w:p w14:paraId="6AB96197" w14:textId="7159522B"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Metoda obliczania kosztów czasu użytkowników w przypadkach, gdy praca przewozowa (pasażero</w:t>
            </w:r>
            <w:r w:rsidR="00B10112">
              <w:rPr>
                <w:rFonts w:ascii="Calibri" w:eastAsia="Calibri" w:hAnsi="Calibri" w:cs="Calibri"/>
                <w:color w:val="000000"/>
                <w:sz w:val="20"/>
                <w:szCs w:val="20"/>
              </w:rPr>
              <w:t>-</w:t>
            </w:r>
            <w:r>
              <w:rPr>
                <w:rFonts w:ascii="Calibri" w:eastAsia="Calibri" w:hAnsi="Calibri" w:cs="Calibri"/>
                <w:color w:val="000000"/>
                <w:sz w:val="20"/>
                <w:szCs w:val="20"/>
              </w:rPr>
              <w:t>godziny) j</w:t>
            </w:r>
            <w:r w:rsidR="00CB25CC">
              <w:rPr>
                <w:rFonts w:ascii="Calibri" w:eastAsia="Calibri" w:hAnsi="Calibri" w:cs="Calibri"/>
                <w:color w:val="000000"/>
                <w:sz w:val="20"/>
                <w:szCs w:val="20"/>
              </w:rPr>
              <w:t>est obliczona metodą odcinkową,</w:t>
            </w:r>
            <w:r>
              <w:rPr>
                <w:rFonts w:ascii="Calibri" w:eastAsia="Calibri" w:hAnsi="Calibri" w:cs="Calibri"/>
                <w:color w:val="000000"/>
                <w:sz w:val="20"/>
                <w:szCs w:val="20"/>
              </w:rPr>
              <w:t xml:space="preserve"> przedstawiono w tabeli poniżej.</w:t>
            </w:r>
          </w:p>
          <w:p w14:paraId="64E1E0AE" w14:textId="53BA24BF" w:rsidR="00600DEE" w:rsidRDefault="00B10112">
            <w:pPr>
              <w:pBdr>
                <w:top w:val="nil"/>
                <w:left w:val="nil"/>
                <w:bottom w:val="nil"/>
                <w:right w:val="nil"/>
                <w:between w:val="nil"/>
              </w:pBdr>
              <w:spacing w:before="120" w:after="120"/>
              <w:ind w:left="1134" w:hanging="1134"/>
              <w:jc w:val="both"/>
              <w:rPr>
                <w:rFonts w:ascii="Calibri" w:eastAsia="Calibri" w:hAnsi="Calibri" w:cs="Calibri"/>
                <w:b/>
                <w:color w:val="4F81BD"/>
                <w:sz w:val="20"/>
                <w:szCs w:val="20"/>
              </w:rPr>
            </w:pPr>
            <w:r>
              <w:rPr>
                <w:rFonts w:ascii="Calibri" w:eastAsia="Calibri" w:hAnsi="Calibri" w:cs="Calibri"/>
                <w:b/>
                <w:color w:val="4F81BD"/>
                <w:sz w:val="20"/>
                <w:szCs w:val="20"/>
              </w:rPr>
              <w:t>Tabela 18</w:t>
            </w:r>
            <w:r w:rsidR="00641FB5">
              <w:rPr>
                <w:rFonts w:ascii="Calibri" w:eastAsia="Calibri" w:hAnsi="Calibri" w:cs="Calibri"/>
                <w:b/>
                <w:color w:val="4F81BD"/>
                <w:sz w:val="20"/>
                <w:szCs w:val="20"/>
              </w:rPr>
              <w:t xml:space="preserve">. Wzór na obliczanie kosztów czasu podróży dla projektów dla których praca przewozowa liczona jest metodą odcinkową  </w:t>
            </w:r>
          </w:p>
          <w:tbl>
            <w:tblPr>
              <w:tblStyle w:val="affff3"/>
              <w:tblW w:w="684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849"/>
            </w:tblGrid>
            <w:tr w:rsidR="00600DEE" w14:paraId="002F162D" w14:textId="77777777" w:rsidTr="005C3677">
              <w:trPr>
                <w:trHeight w:hRule="exact" w:val="5050"/>
              </w:trPr>
              <w:tc>
                <w:tcPr>
                  <w:tcW w:w="6849" w:type="dxa"/>
                  <w:shd w:val="clear" w:color="auto" w:fill="DBE5F1"/>
                  <w:vAlign w:val="center"/>
                </w:tcPr>
                <w:p w14:paraId="48755298" w14:textId="77777777" w:rsidR="00600DEE" w:rsidRDefault="00600DEE">
                  <w:pPr>
                    <w:pBdr>
                      <w:top w:val="nil"/>
                      <w:left w:val="nil"/>
                      <w:bottom w:val="nil"/>
                      <w:right w:val="nil"/>
                      <w:between w:val="nil"/>
                    </w:pBdr>
                    <w:spacing w:before="120" w:after="40"/>
                    <w:jc w:val="center"/>
                    <w:rPr>
                      <w:rFonts w:ascii="Calibri" w:eastAsia="Calibri" w:hAnsi="Calibri" w:cs="Calibri"/>
                      <w:color w:val="4F81BD"/>
                      <w:sz w:val="18"/>
                      <w:szCs w:val="18"/>
                    </w:rPr>
                  </w:pPr>
                </w:p>
                <w:p w14:paraId="57EE73D3" w14:textId="77777777" w:rsidR="00600DEE" w:rsidRDefault="00641FB5">
                  <w:pPr>
                    <w:pBdr>
                      <w:top w:val="nil"/>
                      <w:left w:val="nil"/>
                      <w:bottom w:val="nil"/>
                      <w:right w:val="nil"/>
                      <w:between w:val="nil"/>
                    </w:pBdr>
                    <w:spacing w:before="40" w:after="40"/>
                    <w:jc w:val="center"/>
                    <w:rPr>
                      <w:rFonts w:ascii="Calibri" w:eastAsia="Calibri" w:hAnsi="Calibri" w:cs="Calibri"/>
                      <w:color w:val="4F81BD"/>
                      <w:sz w:val="18"/>
                      <w:szCs w:val="18"/>
                    </w:rPr>
                  </w:pPr>
                  <w:r>
                    <w:rPr>
                      <w:rFonts w:ascii="Calibri" w:eastAsia="Calibri" w:hAnsi="Calibri" w:cs="Calibri"/>
                      <w:color w:val="4F81BD"/>
                      <w:sz w:val="36"/>
                      <w:szCs w:val="36"/>
                      <w:vertAlign w:val="subscript"/>
                    </w:rPr>
                    <w:object w:dxaOrig="3195" w:dyaOrig="825" w14:anchorId="70854937">
                      <v:shape id="_x0000_i1030" type="#_x0000_t75" style="width:158.95pt;height:41.15pt" o:ole="" filled="t">
                        <v:fill color2="black"/>
                        <v:imagedata r:id="rId114" o:title=""/>
                      </v:shape>
                      <o:OLEObject Type="Embed" ProgID="Equation.3" ShapeID="_x0000_i1030" DrawAspect="Content" ObjectID="_1747568777" r:id="rId115"/>
                    </w:object>
                  </w:r>
                </w:p>
                <w:p w14:paraId="71DE40FD"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gdzie:</w:t>
                  </w:r>
                </w:p>
                <w:p w14:paraId="767013DB" w14:textId="77777777" w:rsidR="00600DEE" w:rsidRDefault="00600DEE">
                  <w:pPr>
                    <w:pBdr>
                      <w:top w:val="nil"/>
                      <w:left w:val="nil"/>
                      <w:bottom w:val="nil"/>
                      <w:right w:val="nil"/>
                      <w:between w:val="nil"/>
                    </w:pBdr>
                    <w:spacing w:before="40" w:after="40"/>
                    <w:rPr>
                      <w:rFonts w:ascii="Calibri" w:eastAsia="Calibri" w:hAnsi="Calibri" w:cs="Calibri"/>
                      <w:color w:val="4F81BD"/>
                      <w:sz w:val="18"/>
                      <w:szCs w:val="18"/>
                    </w:rPr>
                  </w:pPr>
                </w:p>
                <w:p w14:paraId="44B6B2C4"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c</w:t>
                  </w:r>
                  <w:r>
                    <w:rPr>
                      <w:rFonts w:ascii="Calibri" w:eastAsia="Calibri" w:hAnsi="Calibri" w:cs="Calibri"/>
                      <w:color w:val="4F81BD"/>
                      <w:sz w:val="18"/>
                      <w:szCs w:val="18"/>
                    </w:rPr>
                    <w:tab/>
                    <w:t>–  roczne koszty czasu użytkowników, w PLN,</w:t>
                  </w:r>
                </w:p>
                <w:p w14:paraId="2FF4ECEF"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SDR</w:t>
                  </w:r>
                  <w:r>
                    <w:rPr>
                      <w:rFonts w:ascii="Calibri" w:eastAsia="Calibri" w:hAnsi="Calibri" w:cs="Calibri"/>
                      <w:color w:val="4F81BD"/>
                      <w:sz w:val="18"/>
                      <w:szCs w:val="18"/>
                      <w:vertAlign w:val="subscript"/>
                    </w:rPr>
                    <w:t>i</w:t>
                  </w:r>
                  <w:r>
                    <w:rPr>
                      <w:rFonts w:ascii="Calibri" w:eastAsia="Calibri" w:hAnsi="Calibri" w:cs="Calibri"/>
                      <w:color w:val="4F81BD"/>
                      <w:sz w:val="18"/>
                      <w:szCs w:val="18"/>
                    </w:rPr>
                    <w:tab/>
                    <w:t xml:space="preserve">–  średnioroczne dobowe natężenie ruchu dla kategorii  </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użytkowników pojazdów „i” (np. LV and HGV), w pojazdach/dobę,</w:t>
                  </w:r>
                </w:p>
                <w:p w14:paraId="62325D98"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L</w:t>
                  </w:r>
                  <w:r>
                    <w:rPr>
                      <w:rFonts w:ascii="Calibri" w:eastAsia="Calibri" w:hAnsi="Calibri" w:cs="Calibri"/>
                      <w:color w:val="4F81BD"/>
                      <w:sz w:val="18"/>
                      <w:szCs w:val="18"/>
                    </w:rPr>
                    <w:tab/>
                    <w:t>–  długość odcinka drogi,  w km</w:t>
                  </w:r>
                </w:p>
                <w:p w14:paraId="413D8914"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i</w:t>
                  </w:r>
                  <w:r>
                    <w:rPr>
                      <w:rFonts w:ascii="Calibri" w:eastAsia="Calibri" w:hAnsi="Calibri" w:cs="Calibri"/>
                      <w:color w:val="4F81BD"/>
                      <w:sz w:val="18"/>
                      <w:szCs w:val="18"/>
                    </w:rPr>
                    <w:tab/>
                    <w:t xml:space="preserve">–  liczba kategorii użytkowników o różnej jednostkowej wartości </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czasu (służbowe, dom-praca-dom, inne, przewóz towarów)</w:t>
                  </w:r>
                </w:p>
                <w:p w14:paraId="70C09D94"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c,i</w:t>
                  </w:r>
                  <w:r>
                    <w:rPr>
                      <w:rFonts w:ascii="Calibri" w:eastAsia="Calibri" w:hAnsi="Calibri" w:cs="Calibri"/>
                      <w:color w:val="4F81BD"/>
                      <w:sz w:val="18"/>
                      <w:szCs w:val="18"/>
                    </w:rPr>
                    <w:tab/>
                    <w:t>–  jednostkowe koszty czasu „i” , w PLN/god.,</w:t>
                  </w:r>
                </w:p>
                <w:p w14:paraId="286A2463"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p</w:t>
                  </w:r>
                  <w:r>
                    <w:rPr>
                      <w:rFonts w:ascii="Calibri" w:eastAsia="Calibri" w:hAnsi="Calibri" w:cs="Calibri"/>
                      <w:color w:val="4F81BD"/>
                      <w:sz w:val="18"/>
                      <w:szCs w:val="18"/>
                      <w:vertAlign w:val="subscript"/>
                    </w:rPr>
                    <w:t>i</w:t>
                  </w:r>
                  <w:r>
                    <w:rPr>
                      <w:rFonts w:ascii="Calibri" w:eastAsia="Calibri" w:hAnsi="Calibri" w:cs="Calibri"/>
                      <w:color w:val="4F81BD"/>
                      <w:sz w:val="18"/>
                      <w:szCs w:val="18"/>
                    </w:rPr>
                    <w:tab/>
                    <w:t xml:space="preserve">– </w:t>
                  </w:r>
                  <w:r>
                    <w:rPr>
                      <w:rFonts w:ascii="Calibri" w:eastAsia="Calibri" w:hAnsi="Calibri" w:cs="Calibri"/>
                      <w:color w:val="4F81BD"/>
                      <w:sz w:val="21"/>
                      <w:szCs w:val="21"/>
                    </w:rPr>
                    <w:t xml:space="preserve"> </w:t>
                  </w:r>
                  <w:r>
                    <w:rPr>
                      <w:rFonts w:ascii="Calibri" w:eastAsia="Calibri" w:hAnsi="Calibri" w:cs="Calibri"/>
                      <w:color w:val="4F81BD"/>
                      <w:sz w:val="18"/>
                      <w:szCs w:val="18"/>
                    </w:rPr>
                    <w:t>wskaźniki napełnienia pojazdów,</w:t>
                  </w:r>
                </w:p>
                <w:p w14:paraId="0B02B9EB"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u</w:t>
                  </w:r>
                  <w:r>
                    <w:rPr>
                      <w:rFonts w:ascii="Calibri" w:eastAsia="Calibri" w:hAnsi="Calibri" w:cs="Calibri"/>
                      <w:color w:val="4F81BD"/>
                      <w:sz w:val="18"/>
                      <w:szCs w:val="18"/>
                      <w:vertAlign w:val="subscript"/>
                    </w:rPr>
                    <w:t>i</w:t>
                  </w:r>
                  <w:r>
                    <w:rPr>
                      <w:rFonts w:ascii="Calibri" w:eastAsia="Calibri" w:hAnsi="Calibri" w:cs="Calibri"/>
                      <w:color w:val="4F81BD"/>
                      <w:sz w:val="18"/>
                      <w:szCs w:val="18"/>
                    </w:rPr>
                    <w:tab/>
                    <w:t>–  udział w ruchu motywacji “i” w podróżach użytkowników pojazdów,</w:t>
                  </w:r>
                </w:p>
                <w:p w14:paraId="02A31895"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V</w:t>
                  </w:r>
                  <w:r>
                    <w:rPr>
                      <w:rFonts w:ascii="Calibri" w:eastAsia="Calibri" w:hAnsi="Calibri" w:cs="Calibri"/>
                      <w:color w:val="4F81BD"/>
                      <w:sz w:val="18"/>
                      <w:szCs w:val="18"/>
                      <w:vertAlign w:val="subscript"/>
                    </w:rPr>
                    <w:t>i</w:t>
                  </w:r>
                  <w:r>
                    <w:rPr>
                      <w:rFonts w:ascii="Calibri" w:eastAsia="Calibri" w:hAnsi="Calibri" w:cs="Calibri"/>
                      <w:color w:val="4F81BD"/>
                      <w:sz w:val="18"/>
                      <w:szCs w:val="18"/>
                      <w:vertAlign w:val="superscript"/>
                    </w:rPr>
                    <w:t>pdr</w:t>
                  </w:r>
                  <w:r>
                    <w:rPr>
                      <w:rFonts w:ascii="Calibri" w:eastAsia="Calibri" w:hAnsi="Calibri" w:cs="Calibri"/>
                      <w:color w:val="4F81BD"/>
                      <w:sz w:val="18"/>
                      <w:szCs w:val="18"/>
                    </w:rPr>
                    <w:tab/>
                    <w:t>–  prędkość podróży na analizowanym odcinku drogi, w km/h ,</w:t>
                  </w:r>
                </w:p>
                <w:p w14:paraId="45F2C60C" w14:textId="4273C305"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W</w:t>
                  </w:r>
                  <w:r>
                    <w:rPr>
                      <w:rFonts w:ascii="Calibri" w:eastAsia="Calibri" w:hAnsi="Calibri" w:cs="Calibri"/>
                      <w:color w:val="4F81BD"/>
                      <w:sz w:val="18"/>
                      <w:szCs w:val="18"/>
                      <w:vertAlign w:val="subscript"/>
                    </w:rPr>
                    <w:t>i</w:t>
                  </w:r>
                  <w:r>
                    <w:rPr>
                      <w:rFonts w:ascii="Calibri" w:eastAsia="Calibri" w:hAnsi="Calibri" w:cs="Calibri"/>
                      <w:color w:val="4F81BD"/>
                      <w:sz w:val="18"/>
                      <w:szCs w:val="18"/>
                      <w:vertAlign w:val="superscript"/>
                    </w:rPr>
                    <w:t>h</w:t>
                  </w:r>
                  <w:r>
                    <w:rPr>
                      <w:rFonts w:ascii="Calibri" w:eastAsia="Calibri" w:hAnsi="Calibri" w:cs="Calibri"/>
                      <w:color w:val="4F81BD"/>
                      <w:sz w:val="18"/>
                      <w:szCs w:val="18"/>
                    </w:rPr>
                    <w:tab/>
                    <w:t>–  praca przewozowa dla poszczególnych kategorii pojazdów/gałęzi i</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użytkowników, w  pojazdo</w:t>
                  </w:r>
                  <w:r w:rsidR="00B10112">
                    <w:rPr>
                      <w:rFonts w:ascii="Calibri" w:eastAsia="Calibri" w:hAnsi="Calibri" w:cs="Calibri"/>
                      <w:color w:val="4F81BD"/>
                      <w:sz w:val="18"/>
                      <w:szCs w:val="18"/>
                    </w:rPr>
                    <w:t>-</w:t>
                  </w:r>
                  <w:r>
                    <w:rPr>
                      <w:rFonts w:ascii="Calibri" w:eastAsia="Calibri" w:hAnsi="Calibri" w:cs="Calibri"/>
                      <w:color w:val="4F81BD"/>
                      <w:sz w:val="18"/>
                      <w:szCs w:val="18"/>
                    </w:rPr>
                    <w:t>godzinach.</w:t>
                  </w:r>
                </w:p>
                <w:p w14:paraId="0DA4A3DD"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W</w:t>
                  </w:r>
                  <w:r>
                    <w:rPr>
                      <w:rFonts w:ascii="Calibri" w:eastAsia="Calibri" w:hAnsi="Calibri" w:cs="Calibri"/>
                      <w:color w:val="4F81BD"/>
                      <w:sz w:val="18"/>
                      <w:szCs w:val="18"/>
                      <w:vertAlign w:val="subscript"/>
                    </w:rPr>
                    <w:t>i</w:t>
                  </w:r>
                  <w:r>
                    <w:rPr>
                      <w:rFonts w:ascii="Calibri" w:eastAsia="Calibri" w:hAnsi="Calibri" w:cs="Calibri"/>
                      <w:color w:val="4F81BD"/>
                      <w:sz w:val="18"/>
                      <w:szCs w:val="18"/>
                      <w:vertAlign w:val="superscript"/>
                    </w:rPr>
                    <w:t>h</w:t>
                  </w:r>
                  <w:r>
                    <w:rPr>
                      <w:rFonts w:ascii="Calibri" w:eastAsia="Calibri" w:hAnsi="Calibri" w:cs="Calibri"/>
                      <w:color w:val="4F81BD"/>
                      <w:sz w:val="18"/>
                      <w:szCs w:val="18"/>
                    </w:rPr>
                    <w:t xml:space="preserve"> = L * SDR</w:t>
                  </w:r>
                  <w:r>
                    <w:rPr>
                      <w:rFonts w:ascii="Calibri" w:eastAsia="Calibri" w:hAnsi="Calibri" w:cs="Calibri"/>
                      <w:color w:val="4F81BD"/>
                      <w:sz w:val="18"/>
                      <w:szCs w:val="18"/>
                      <w:vertAlign w:val="subscript"/>
                    </w:rPr>
                    <w:t>i</w:t>
                  </w:r>
                  <w:r>
                    <w:rPr>
                      <w:rFonts w:ascii="Calibri" w:eastAsia="Calibri" w:hAnsi="Calibri" w:cs="Calibri"/>
                      <w:color w:val="4F81BD"/>
                      <w:sz w:val="18"/>
                      <w:szCs w:val="18"/>
                    </w:rPr>
                    <w:t xml:space="preserve"> / V</w:t>
                  </w:r>
                  <w:r>
                    <w:rPr>
                      <w:rFonts w:ascii="Calibri" w:eastAsia="Calibri" w:hAnsi="Calibri" w:cs="Calibri"/>
                      <w:color w:val="4F81BD"/>
                      <w:sz w:val="18"/>
                      <w:szCs w:val="18"/>
                      <w:vertAlign w:val="subscript"/>
                    </w:rPr>
                    <w:t>i</w:t>
                  </w:r>
                  <w:r>
                    <w:rPr>
                      <w:rFonts w:ascii="Calibri" w:eastAsia="Calibri" w:hAnsi="Calibri" w:cs="Calibri"/>
                      <w:color w:val="4F81BD"/>
                      <w:sz w:val="18"/>
                      <w:szCs w:val="18"/>
                      <w:vertAlign w:val="superscript"/>
                    </w:rPr>
                    <w:t xml:space="preserve">pdr </w:t>
                  </w:r>
                  <w:r>
                    <w:rPr>
                      <w:rFonts w:ascii="Calibri" w:eastAsia="Calibri" w:hAnsi="Calibri" w:cs="Calibri"/>
                      <w:color w:val="4F81BD"/>
                      <w:sz w:val="18"/>
                      <w:szCs w:val="18"/>
                    </w:rPr>
                    <w:t>(dla metody odcinkowej)</w:t>
                  </w:r>
                </w:p>
              </w:tc>
            </w:tr>
          </w:tbl>
          <w:p w14:paraId="29727B5D"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p w14:paraId="27F36F69" w14:textId="59212EA9" w:rsidR="00600DEE" w:rsidRDefault="00B10112">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Uwaga: W</w:t>
            </w:r>
            <w:r w:rsidR="00641FB5">
              <w:rPr>
                <w:rFonts w:ascii="Calibri" w:eastAsia="Calibri" w:hAnsi="Calibri" w:cs="Calibri"/>
                <w:color w:val="000000"/>
                <w:sz w:val="20"/>
                <w:szCs w:val="20"/>
              </w:rPr>
              <w:t> miastach należy zwrócić uwagę na rozróżnienie korzyści w godzinach szczytu i poza szczytem.</w:t>
            </w:r>
          </w:p>
          <w:p w14:paraId="4105E217"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19BF691F" w14:textId="0169C984" w:rsidR="006C2564" w:rsidRDefault="006C2564">
            <w:pPr>
              <w:pBdr>
                <w:top w:val="nil"/>
                <w:left w:val="nil"/>
                <w:bottom w:val="nil"/>
                <w:right w:val="nil"/>
                <w:between w:val="nil"/>
              </w:pBdr>
              <w:spacing w:before="120"/>
              <w:jc w:val="both"/>
              <w:rPr>
                <w:rFonts w:ascii="Calibri" w:eastAsia="Calibri" w:hAnsi="Calibri" w:cs="Calibri"/>
                <w:color w:val="000000"/>
                <w:sz w:val="20"/>
                <w:szCs w:val="20"/>
              </w:rPr>
            </w:pPr>
          </w:p>
        </w:tc>
        <w:tc>
          <w:tcPr>
            <w:tcW w:w="7201" w:type="dxa"/>
            <w:tcBorders>
              <w:left w:val="single" w:sz="4" w:space="0" w:color="000000"/>
            </w:tcBorders>
            <w:tcMar>
              <w:left w:w="284" w:type="dxa"/>
              <w:right w:w="284" w:type="dxa"/>
            </w:tcMar>
          </w:tcPr>
          <w:p w14:paraId="5F3078CA" w14:textId="77777777" w:rsidR="00600DEE" w:rsidRPr="0045151D" w:rsidRDefault="00641FB5">
            <w:pPr>
              <w:pBdr>
                <w:top w:val="nil"/>
                <w:left w:val="nil"/>
                <w:bottom w:val="nil"/>
                <w:right w:val="nil"/>
                <w:between w:val="nil"/>
              </w:pBdr>
              <w:spacing w:before="120"/>
              <w:jc w:val="both"/>
              <w:rPr>
                <w:rFonts w:ascii="Calibri" w:eastAsia="Calibri" w:hAnsi="Calibri" w:cs="Calibri"/>
                <w:i/>
                <w:color w:val="000000"/>
                <w:sz w:val="20"/>
                <w:szCs w:val="20"/>
                <w:lang w:val="en-GB"/>
              </w:rPr>
            </w:pPr>
            <w:r w:rsidRPr="0045151D">
              <w:rPr>
                <w:rFonts w:ascii="Calibri" w:eastAsia="Calibri" w:hAnsi="Calibri" w:cs="Calibri"/>
                <w:i/>
                <w:color w:val="000000"/>
                <w:sz w:val="20"/>
                <w:szCs w:val="20"/>
                <w:lang w:val="en-GB"/>
              </w:rPr>
              <w:t>NOTE: Focus on users of road projects (to be considered in a multimodal prospective when relevant, i.e. as defined by the project demand assessment outcomes).</w:t>
            </w:r>
          </w:p>
          <w:p w14:paraId="6196D5D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economic costs of users’ time should be calculated separately for all options (W0 and Wn), for each year of analysis, and for each type of vehicle and trip motivation.</w:t>
            </w:r>
          </w:p>
          <w:p w14:paraId="7297827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costs of time of road infrastructure users (and users of other relevant modes) for both options (without investment option and project investment option) are total time costs of people travelling on the analysed network. Travellers are split up into categories because of different motivation of travels and, consequently, different costs of those travels. The users of passenger cars (and of buses if CBA is performed for more than the proposed two categories – LV and HGV) as well as any other relevant mode are split up into three travelling motivations:</w:t>
            </w:r>
          </w:p>
          <w:p w14:paraId="3975AAE9" w14:textId="77777777" w:rsidR="00600DEE" w:rsidRDefault="00641FB5" w:rsidP="00D5736B">
            <w:pPr>
              <w:numPr>
                <w:ilvl w:val="0"/>
                <w:numId w:val="70"/>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business travellers,</w:t>
            </w:r>
          </w:p>
          <w:p w14:paraId="722A7ACB" w14:textId="77777777" w:rsidR="00600DEE" w:rsidRPr="0045151D" w:rsidRDefault="00641FB5" w:rsidP="00D5736B">
            <w:pPr>
              <w:numPr>
                <w:ilvl w:val="0"/>
                <w:numId w:val="70"/>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daily travellers home-work-home (commuting),</w:t>
            </w:r>
          </w:p>
          <w:p w14:paraId="62B5A8E4" w14:textId="77777777" w:rsidR="00600DEE" w:rsidRPr="0045151D" w:rsidRDefault="00641FB5" w:rsidP="00D5736B">
            <w:pPr>
              <w:numPr>
                <w:ilvl w:val="0"/>
                <w:numId w:val="70"/>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travellers with other motivations (e.g. tourism, shopping, etc.).</w:t>
            </w:r>
          </w:p>
          <w:p w14:paraId="6E1D297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unit cost of time should ideally be set at the national level based on stated and/or revealed preference surveys as recommended in EU CBA guidances. Therefore, values for the unit cost of time for above travel motivations (and modes) included in Annex A result from the work commissioned by JASPERS to determine the value of time  for passengers in transport in Poland based on a large research carried out by CUPT in 2019 incluidng revealed and stated preference surveys</w:t>
            </w:r>
            <w:bookmarkStart w:id="67" w:name="_Ref91584528"/>
            <w:r>
              <w:rPr>
                <w:rFonts w:ascii="Calibri" w:eastAsia="Calibri" w:hAnsi="Calibri" w:cs="Calibri"/>
                <w:color w:val="000000"/>
                <w:sz w:val="20"/>
                <w:szCs w:val="20"/>
                <w:vertAlign w:val="superscript"/>
              </w:rPr>
              <w:footnoteReference w:id="9"/>
            </w:r>
            <w:bookmarkEnd w:id="67"/>
            <w:r w:rsidRPr="0045151D">
              <w:rPr>
                <w:rFonts w:ascii="Calibri" w:eastAsia="Calibri" w:hAnsi="Calibri" w:cs="Calibri"/>
                <w:color w:val="000000"/>
                <w:sz w:val="20"/>
                <w:szCs w:val="20"/>
                <w:lang w:val="en-GB"/>
              </w:rPr>
              <w:t xml:space="preserve">. The results of this work were proposed and agreed with Managing Authority and CUPT for application in the Blue Books.  </w:t>
            </w:r>
          </w:p>
          <w:p w14:paraId="6FCB9C2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costs of time for HGV category (alternatively, commercial vehicles and all types of trucks users when CBA is performed for more than the proposed two main vehicle categories) can be taken as for business travellers.</w:t>
            </w:r>
          </w:p>
          <w:p w14:paraId="7131944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222222"/>
                <w:sz w:val="20"/>
                <w:szCs w:val="20"/>
                <w:lang w:val="en-GB"/>
              </w:rPr>
              <w:t xml:space="preserve">Time unit costs are subject to indexation. </w:t>
            </w:r>
            <w:r w:rsidRPr="0045151D">
              <w:rPr>
                <w:rFonts w:ascii="Calibri" w:eastAsia="Calibri" w:hAnsi="Calibri" w:cs="Calibri"/>
                <w:color w:val="000000"/>
                <w:sz w:val="20"/>
                <w:szCs w:val="20"/>
                <w:lang w:val="en-GB"/>
              </w:rPr>
              <w:t>The time unit cost evolution over time is presented in Appendix A.</w:t>
            </w:r>
          </w:p>
          <w:p w14:paraId="1613209F"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Vehicle occupancy for passenger cars in different motivations will be based on studies and measurements from the analysed road corridor. For urban areas, it should be based on data for the analysed city. If no such data is available, the vehicle occupancies presented in the table below should be used in the calculations.</w:t>
            </w:r>
          </w:p>
          <w:p w14:paraId="76D734B9" w14:textId="77777777" w:rsidR="00600DEE" w:rsidRPr="0045151D" w:rsidRDefault="00600DEE" w:rsidP="00851559">
            <w:pPr>
              <w:pBdr>
                <w:top w:val="nil"/>
                <w:left w:val="nil"/>
                <w:bottom w:val="nil"/>
                <w:right w:val="nil"/>
                <w:between w:val="nil"/>
              </w:pBdr>
              <w:ind w:left="992" w:hanging="992"/>
              <w:jc w:val="both"/>
              <w:rPr>
                <w:rFonts w:ascii="Calibri" w:eastAsia="Calibri" w:hAnsi="Calibri" w:cs="Calibri"/>
                <w:b/>
                <w:color w:val="4F81BD"/>
                <w:sz w:val="20"/>
                <w:szCs w:val="20"/>
                <w:lang w:val="en-GB"/>
              </w:rPr>
            </w:pPr>
          </w:p>
          <w:p w14:paraId="390E898E" w14:textId="59E95856" w:rsidR="00600DEE" w:rsidRPr="0045151D" w:rsidRDefault="00DA7241" w:rsidP="00851559">
            <w:pPr>
              <w:pBdr>
                <w:top w:val="nil"/>
                <w:left w:val="nil"/>
                <w:bottom w:val="nil"/>
                <w:right w:val="nil"/>
                <w:between w:val="nil"/>
              </w:pBdr>
              <w:spacing w:before="240" w:after="120"/>
              <w:ind w:left="992" w:hanging="992"/>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15</w:t>
            </w:r>
            <w:r w:rsidR="00641FB5" w:rsidRPr="0045151D">
              <w:rPr>
                <w:rFonts w:ascii="Calibri" w:eastAsia="Calibri" w:hAnsi="Calibri" w:cs="Calibri"/>
                <w:b/>
                <w:color w:val="4F81BD"/>
                <w:sz w:val="20"/>
                <w:szCs w:val="20"/>
                <w:lang w:val="en-GB"/>
              </w:rPr>
              <w:t>. Occupancy values of passenger cars broken down into different</w:t>
            </w:r>
            <w:r w:rsidR="00641FB5" w:rsidRPr="0045151D">
              <w:rPr>
                <w:rFonts w:ascii="Calibri" w:eastAsia="Calibri" w:hAnsi="Calibri" w:cs="Calibri"/>
                <w:b/>
                <w:color w:val="4F81BD"/>
                <w:sz w:val="20"/>
                <w:szCs w:val="20"/>
                <w:lang w:val="en-GB"/>
              </w:rPr>
              <w:br/>
              <w:t>motivations for non-urban and urban trips [persons/vehicle]</w:t>
            </w:r>
          </w:p>
          <w:tbl>
            <w:tblPr>
              <w:tblStyle w:val="affff4"/>
              <w:tblW w:w="6538" w:type="dxa"/>
              <w:tblBorders>
                <w:insideH w:val="single" w:sz="4" w:space="0" w:color="FFFFFF"/>
                <w:insideV w:val="single" w:sz="4" w:space="0" w:color="FFFFFF"/>
              </w:tblBorders>
              <w:tblLayout w:type="fixed"/>
              <w:tblLook w:val="0400" w:firstRow="0" w:lastRow="0" w:firstColumn="0" w:lastColumn="0" w:noHBand="0" w:noVBand="1"/>
            </w:tblPr>
            <w:tblGrid>
              <w:gridCol w:w="2123"/>
              <w:gridCol w:w="2123"/>
              <w:gridCol w:w="2292"/>
            </w:tblGrid>
            <w:tr w:rsidR="00600DEE" w14:paraId="7A8924D9" w14:textId="77777777">
              <w:trPr>
                <w:trHeight w:val="271"/>
              </w:trPr>
              <w:tc>
                <w:tcPr>
                  <w:tcW w:w="2123" w:type="dxa"/>
                  <w:vMerge w:val="restart"/>
                  <w:tcBorders>
                    <w:top w:val="nil"/>
                    <w:bottom w:val="single" w:sz="4" w:space="0" w:color="FFFFFF"/>
                  </w:tcBorders>
                  <w:shd w:val="clear" w:color="auto" w:fill="A6A6A6"/>
                  <w:vAlign w:val="center"/>
                </w:tcPr>
                <w:p w14:paraId="7DBFD93C"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Motivation</w:t>
                  </w:r>
                </w:p>
              </w:tc>
              <w:tc>
                <w:tcPr>
                  <w:tcW w:w="4415" w:type="dxa"/>
                  <w:gridSpan w:val="2"/>
                  <w:tcBorders>
                    <w:top w:val="nil"/>
                    <w:bottom w:val="single" w:sz="4" w:space="0" w:color="FFFFFF"/>
                  </w:tcBorders>
                  <w:shd w:val="clear" w:color="auto" w:fill="A6A6A6"/>
                  <w:vAlign w:val="center"/>
                </w:tcPr>
                <w:p w14:paraId="43FDCC08"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Occupancy</w:t>
                  </w:r>
                </w:p>
              </w:tc>
            </w:tr>
            <w:tr w:rsidR="00600DEE" w14:paraId="3CF76019" w14:textId="77777777">
              <w:trPr>
                <w:trHeight w:val="271"/>
              </w:trPr>
              <w:tc>
                <w:tcPr>
                  <w:tcW w:w="2123" w:type="dxa"/>
                  <w:vMerge/>
                  <w:tcBorders>
                    <w:top w:val="nil"/>
                    <w:bottom w:val="single" w:sz="4" w:space="0" w:color="FFFFFF"/>
                  </w:tcBorders>
                  <w:shd w:val="clear" w:color="auto" w:fill="A6A6A6"/>
                  <w:vAlign w:val="center"/>
                </w:tcPr>
                <w:p w14:paraId="7A577FC8"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2123" w:type="dxa"/>
                  <w:tcBorders>
                    <w:top w:val="single" w:sz="4" w:space="0" w:color="FFFFFF"/>
                    <w:bottom w:val="single" w:sz="4" w:space="0" w:color="FFFFFF"/>
                  </w:tcBorders>
                  <w:shd w:val="clear" w:color="auto" w:fill="A6A6A6"/>
                  <w:vAlign w:val="center"/>
                </w:tcPr>
                <w:p w14:paraId="09CE0BAD"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Non-urban roads</w:t>
                  </w:r>
                </w:p>
              </w:tc>
              <w:tc>
                <w:tcPr>
                  <w:tcW w:w="2292" w:type="dxa"/>
                  <w:tcBorders>
                    <w:top w:val="single" w:sz="4" w:space="0" w:color="FFFFFF"/>
                    <w:bottom w:val="single" w:sz="4" w:space="0" w:color="FFFFFF"/>
                  </w:tcBorders>
                  <w:shd w:val="clear" w:color="auto" w:fill="A6A6A6"/>
                  <w:vAlign w:val="center"/>
                </w:tcPr>
                <w:p w14:paraId="40A2B49A" w14:textId="77777777" w:rsidR="00600DEE" w:rsidRDefault="00641FB5">
                  <w:pPr>
                    <w:spacing w:line="276" w:lineRule="auto"/>
                    <w:ind w:right="170"/>
                    <w:jc w:val="center"/>
                    <w:rPr>
                      <w:rFonts w:ascii="Calibri" w:eastAsia="Calibri" w:hAnsi="Calibri" w:cs="Calibri"/>
                      <w:b/>
                      <w:color w:val="FFFFFF"/>
                      <w:sz w:val="18"/>
                      <w:szCs w:val="18"/>
                    </w:rPr>
                  </w:pPr>
                  <w:r>
                    <w:rPr>
                      <w:rFonts w:ascii="Calibri" w:eastAsia="Calibri" w:hAnsi="Calibri" w:cs="Calibri"/>
                      <w:b/>
                      <w:color w:val="FFFFFF"/>
                      <w:sz w:val="18"/>
                      <w:szCs w:val="18"/>
                    </w:rPr>
                    <w:t>Urban roads/Streets</w:t>
                  </w:r>
                </w:p>
              </w:tc>
            </w:tr>
            <w:tr w:rsidR="00600DEE" w:rsidRPr="007463B9" w14:paraId="4FC6A246" w14:textId="77777777">
              <w:trPr>
                <w:trHeight w:val="308"/>
              </w:trPr>
              <w:tc>
                <w:tcPr>
                  <w:tcW w:w="2123" w:type="dxa"/>
                  <w:tcBorders>
                    <w:top w:val="single" w:sz="4" w:space="0" w:color="FFFFFF"/>
                  </w:tcBorders>
                  <w:shd w:val="clear" w:color="auto" w:fill="DBE5F1"/>
                  <w:vAlign w:val="center"/>
                </w:tcPr>
                <w:p w14:paraId="792E64FD" w14:textId="77777777" w:rsidR="00600DEE" w:rsidRPr="0045151D" w:rsidRDefault="00641FB5">
                  <w:pPr>
                    <w:ind w:right="-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Home-work-home trips (commuting)</w:t>
                  </w:r>
                </w:p>
              </w:tc>
              <w:tc>
                <w:tcPr>
                  <w:tcW w:w="2123" w:type="dxa"/>
                  <w:tcBorders>
                    <w:top w:val="single" w:sz="4" w:space="0" w:color="FFFFFF"/>
                  </w:tcBorders>
                  <w:shd w:val="clear" w:color="auto" w:fill="DBE5F1"/>
                  <w:vAlign w:val="center"/>
                </w:tcPr>
                <w:p w14:paraId="03E529D0" w14:textId="3E0E088E" w:rsidR="00600DEE" w:rsidRPr="0045151D" w:rsidRDefault="00B10112">
                  <w:pPr>
                    <w:ind w:right="952"/>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w:t>
                  </w:r>
                  <w:r w:rsidR="00641FB5" w:rsidRPr="0045151D">
                    <w:rPr>
                      <w:rFonts w:ascii="Calibri" w:eastAsia="Calibri" w:hAnsi="Calibri" w:cs="Calibri"/>
                      <w:color w:val="4F81BD"/>
                      <w:sz w:val="18"/>
                      <w:szCs w:val="18"/>
                      <w:lang w:val="en-GB"/>
                    </w:rPr>
                    <w:t>27</w:t>
                  </w:r>
                </w:p>
              </w:tc>
              <w:tc>
                <w:tcPr>
                  <w:tcW w:w="2292" w:type="dxa"/>
                  <w:tcBorders>
                    <w:top w:val="single" w:sz="4" w:space="0" w:color="FFFFFF"/>
                  </w:tcBorders>
                  <w:shd w:val="clear" w:color="auto" w:fill="DBE5F1"/>
                  <w:vAlign w:val="center"/>
                </w:tcPr>
                <w:p w14:paraId="0981B342" w14:textId="12D8A440" w:rsidR="00600DEE" w:rsidRPr="0045151D" w:rsidRDefault="00B10112">
                  <w:pPr>
                    <w:ind w:right="904"/>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w:t>
                  </w:r>
                  <w:r w:rsidR="00641FB5" w:rsidRPr="0045151D">
                    <w:rPr>
                      <w:rFonts w:ascii="Calibri" w:eastAsia="Calibri" w:hAnsi="Calibri" w:cs="Calibri"/>
                      <w:color w:val="4F81BD"/>
                      <w:sz w:val="18"/>
                      <w:szCs w:val="18"/>
                      <w:lang w:val="en-GB"/>
                    </w:rPr>
                    <w:t>69</w:t>
                  </w:r>
                </w:p>
              </w:tc>
            </w:tr>
            <w:tr w:rsidR="00600DEE" w:rsidRPr="007463B9" w14:paraId="65C73F38" w14:textId="77777777">
              <w:trPr>
                <w:trHeight w:val="325"/>
              </w:trPr>
              <w:tc>
                <w:tcPr>
                  <w:tcW w:w="2123" w:type="dxa"/>
                  <w:shd w:val="clear" w:color="auto" w:fill="DBE5F1"/>
                  <w:vAlign w:val="center"/>
                </w:tcPr>
                <w:p w14:paraId="124C3338" w14:textId="77777777" w:rsidR="00600DEE" w:rsidRPr="0045151D" w:rsidRDefault="00641FB5">
                  <w:pPr>
                    <w:ind w:right="-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Business trips</w:t>
                  </w:r>
                </w:p>
              </w:tc>
              <w:tc>
                <w:tcPr>
                  <w:tcW w:w="2123" w:type="dxa"/>
                  <w:shd w:val="clear" w:color="auto" w:fill="DBE5F1"/>
                  <w:vAlign w:val="center"/>
                </w:tcPr>
                <w:p w14:paraId="1055B261" w14:textId="13A0C33F" w:rsidR="00600DEE" w:rsidRPr="0045151D" w:rsidRDefault="00B10112">
                  <w:pPr>
                    <w:ind w:right="952"/>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w:t>
                  </w:r>
                  <w:r w:rsidR="00641FB5" w:rsidRPr="0045151D">
                    <w:rPr>
                      <w:rFonts w:ascii="Calibri" w:eastAsia="Calibri" w:hAnsi="Calibri" w:cs="Calibri"/>
                      <w:color w:val="4F81BD"/>
                      <w:sz w:val="18"/>
                      <w:szCs w:val="18"/>
                      <w:lang w:val="en-GB"/>
                    </w:rPr>
                    <w:t>27</w:t>
                  </w:r>
                </w:p>
              </w:tc>
              <w:tc>
                <w:tcPr>
                  <w:tcW w:w="2292" w:type="dxa"/>
                  <w:shd w:val="clear" w:color="auto" w:fill="DBE5F1"/>
                  <w:vAlign w:val="center"/>
                </w:tcPr>
                <w:p w14:paraId="42A8EE35" w14:textId="5D478F6A" w:rsidR="00600DEE" w:rsidRPr="0045151D" w:rsidRDefault="00B10112">
                  <w:pPr>
                    <w:ind w:right="904"/>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w:t>
                  </w:r>
                  <w:r w:rsidR="00641FB5" w:rsidRPr="0045151D">
                    <w:rPr>
                      <w:rFonts w:ascii="Calibri" w:eastAsia="Calibri" w:hAnsi="Calibri" w:cs="Calibri"/>
                      <w:color w:val="4F81BD"/>
                      <w:sz w:val="18"/>
                      <w:szCs w:val="18"/>
                      <w:lang w:val="en-GB"/>
                    </w:rPr>
                    <w:t>80</w:t>
                  </w:r>
                </w:p>
              </w:tc>
            </w:tr>
            <w:tr w:rsidR="00600DEE" w:rsidRPr="007463B9" w14:paraId="2C7C1311" w14:textId="77777777">
              <w:trPr>
                <w:trHeight w:val="325"/>
              </w:trPr>
              <w:tc>
                <w:tcPr>
                  <w:tcW w:w="2123" w:type="dxa"/>
                  <w:shd w:val="clear" w:color="auto" w:fill="DBE5F1"/>
                  <w:vAlign w:val="center"/>
                </w:tcPr>
                <w:p w14:paraId="27D12AA0" w14:textId="77777777" w:rsidR="00600DEE" w:rsidRPr="0045151D" w:rsidRDefault="00641FB5">
                  <w:pPr>
                    <w:ind w:right="-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Other trips</w:t>
                  </w:r>
                </w:p>
              </w:tc>
              <w:tc>
                <w:tcPr>
                  <w:tcW w:w="2123" w:type="dxa"/>
                  <w:shd w:val="clear" w:color="auto" w:fill="DBE5F1"/>
                  <w:vAlign w:val="center"/>
                </w:tcPr>
                <w:p w14:paraId="1E5D0974" w14:textId="4D532871" w:rsidR="00600DEE" w:rsidRPr="0045151D" w:rsidRDefault="00B10112">
                  <w:pPr>
                    <w:ind w:right="952"/>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w:t>
                  </w:r>
                  <w:r w:rsidR="00641FB5" w:rsidRPr="0045151D">
                    <w:rPr>
                      <w:rFonts w:ascii="Calibri" w:eastAsia="Calibri" w:hAnsi="Calibri" w:cs="Calibri"/>
                      <w:color w:val="4F81BD"/>
                      <w:sz w:val="18"/>
                      <w:szCs w:val="18"/>
                      <w:lang w:val="en-GB"/>
                    </w:rPr>
                    <w:t>69</w:t>
                  </w:r>
                </w:p>
              </w:tc>
              <w:tc>
                <w:tcPr>
                  <w:tcW w:w="2292" w:type="dxa"/>
                  <w:shd w:val="clear" w:color="auto" w:fill="DBE5F1"/>
                  <w:vAlign w:val="center"/>
                </w:tcPr>
                <w:p w14:paraId="72406BFF" w14:textId="5A58DBF9" w:rsidR="00600DEE" w:rsidRPr="0045151D" w:rsidRDefault="00B10112">
                  <w:pPr>
                    <w:ind w:right="904"/>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2.</w:t>
                  </w:r>
                  <w:r w:rsidR="00641FB5" w:rsidRPr="0045151D">
                    <w:rPr>
                      <w:rFonts w:ascii="Calibri" w:eastAsia="Calibri" w:hAnsi="Calibri" w:cs="Calibri"/>
                      <w:color w:val="4F81BD"/>
                      <w:sz w:val="18"/>
                      <w:szCs w:val="18"/>
                      <w:lang w:val="en-GB"/>
                    </w:rPr>
                    <w:t>33</w:t>
                  </w:r>
                </w:p>
              </w:tc>
            </w:tr>
          </w:tbl>
          <w:p w14:paraId="6DA2DF77" w14:textId="3B17D51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IKMR.</w:t>
            </w:r>
            <w:r w:rsidRPr="0045151D">
              <w:rPr>
                <w:rFonts w:ascii="Calibri" w:eastAsia="Calibri" w:hAnsi="Calibri" w:cs="Calibri"/>
                <w:color w:val="000000"/>
                <w:sz w:val="20"/>
                <w:szCs w:val="20"/>
                <w:lang w:val="en-GB"/>
              </w:rPr>
              <w:t xml:space="preserve"> </w:t>
            </w:r>
          </w:p>
          <w:p w14:paraId="1C63DD1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Vehicle occupancy for HGV category (alternatively, commercial vehicles, trucks and trucks with trailers when CBA is performed for more than the proposed two main vehicle categories) will be assumed as equal to 1. In case of absence of reliable data, occupancy of buses (only considered if CBA is performed for more than the two main vehicle categories) will be assumed as equal to 24 on non-urban roads (for urban roads with public transport please refer to ‘’Public Transport Blue Book’’).</w:t>
            </w:r>
          </w:p>
          <w:p w14:paraId="3E25240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investments using network/buffer approach, time costs of users are calculated on the basis of transport work obtained directly from the model in vehicle hours (transformed into passenger-hours considering the occupancy values above) or directly in passenger-hours for W0 and Wn. The calculation formula is presented in the Table below.</w:t>
            </w:r>
          </w:p>
          <w:p w14:paraId="31E4F41F" w14:textId="6B878076" w:rsidR="00600DEE"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485830CB" w14:textId="77777777" w:rsidR="00B10112" w:rsidRPr="0045151D" w:rsidRDefault="00B10112">
            <w:pPr>
              <w:pBdr>
                <w:top w:val="nil"/>
                <w:left w:val="nil"/>
                <w:bottom w:val="nil"/>
                <w:right w:val="nil"/>
                <w:between w:val="nil"/>
              </w:pBdr>
              <w:spacing w:before="120"/>
              <w:jc w:val="both"/>
              <w:rPr>
                <w:rFonts w:ascii="Calibri" w:eastAsia="Calibri" w:hAnsi="Calibri" w:cs="Calibri"/>
                <w:color w:val="000000"/>
                <w:sz w:val="20"/>
                <w:szCs w:val="20"/>
                <w:lang w:val="en-GB"/>
              </w:rPr>
            </w:pPr>
          </w:p>
          <w:p w14:paraId="3776043B" w14:textId="1763DF29" w:rsidR="00600DEE" w:rsidRPr="0045151D" w:rsidRDefault="00641FB5">
            <w:pPr>
              <w:pBdr>
                <w:top w:val="nil"/>
                <w:left w:val="nil"/>
                <w:bottom w:val="nil"/>
                <w:right w:val="nil"/>
                <w:between w:val="nil"/>
              </w:pBdr>
              <w:spacing w:before="120" w:after="120"/>
              <w:ind w:left="990" w:hanging="990"/>
              <w:jc w:val="both"/>
              <w:rPr>
                <w:rFonts w:ascii="Calibri" w:eastAsia="Calibri" w:hAnsi="Calibri" w:cs="Calibri"/>
                <w:color w:val="4F81BD"/>
                <w:sz w:val="20"/>
                <w:szCs w:val="20"/>
                <w:lang w:val="en-GB"/>
              </w:rPr>
            </w:pPr>
            <w:r w:rsidRPr="0045151D">
              <w:rPr>
                <w:rFonts w:ascii="Calibri" w:eastAsia="Calibri" w:hAnsi="Calibri" w:cs="Calibri"/>
                <w:b/>
                <w:color w:val="4F81BD"/>
                <w:sz w:val="20"/>
                <w:szCs w:val="20"/>
                <w:lang w:val="en-GB"/>
              </w:rPr>
              <w:t>Table</w:t>
            </w:r>
            <w:r w:rsidR="00B10112">
              <w:rPr>
                <w:rFonts w:ascii="Calibri" w:eastAsia="Calibri" w:hAnsi="Calibri" w:cs="Calibri"/>
                <w:b/>
                <w:color w:val="4F81BD"/>
                <w:sz w:val="20"/>
                <w:szCs w:val="20"/>
                <w:lang w:val="en-GB"/>
              </w:rPr>
              <w:t xml:space="preserve"> 16</w:t>
            </w:r>
            <w:r w:rsidRPr="0045151D">
              <w:rPr>
                <w:rFonts w:ascii="Calibri" w:eastAsia="Calibri" w:hAnsi="Calibri" w:cs="Calibri"/>
                <w:b/>
                <w:color w:val="4F81BD"/>
                <w:sz w:val="20"/>
                <w:szCs w:val="20"/>
                <w:lang w:val="en-GB"/>
              </w:rPr>
              <w:t>. Formula for calculating travel time costs for road projects where transport work is calculated based on</w:t>
            </w:r>
            <w:r w:rsidR="00B10112">
              <w:rPr>
                <w:rFonts w:ascii="Calibri" w:eastAsia="Calibri" w:hAnsi="Calibri" w:cs="Calibri"/>
                <w:b/>
                <w:color w:val="4F81BD"/>
                <w:sz w:val="20"/>
                <w:szCs w:val="20"/>
                <w:lang w:val="en-GB"/>
              </w:rPr>
              <w:t xml:space="preserve"> </w:t>
            </w:r>
            <w:r w:rsidRPr="0045151D">
              <w:rPr>
                <w:rFonts w:ascii="Calibri" w:eastAsia="Calibri" w:hAnsi="Calibri" w:cs="Calibri"/>
                <w:b/>
                <w:color w:val="4F81BD"/>
                <w:sz w:val="20"/>
                <w:szCs w:val="20"/>
                <w:lang w:val="en-GB"/>
              </w:rPr>
              <w:t xml:space="preserve">buffer/network </w:t>
            </w:r>
          </w:p>
          <w:tbl>
            <w:tblPr>
              <w:tblStyle w:val="affff5"/>
              <w:tblW w:w="648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480"/>
            </w:tblGrid>
            <w:tr w:rsidR="00600DEE" w:rsidRPr="007463B9" w14:paraId="5185D480" w14:textId="77777777" w:rsidTr="00851559">
              <w:trPr>
                <w:trHeight w:hRule="exact" w:val="2835"/>
              </w:trPr>
              <w:tc>
                <w:tcPr>
                  <w:tcW w:w="6480" w:type="dxa"/>
                  <w:shd w:val="clear" w:color="auto" w:fill="DBE5F1"/>
                  <w:vAlign w:val="center"/>
                </w:tcPr>
                <w:p w14:paraId="458D2366" w14:textId="77777777" w:rsidR="00600DEE" w:rsidRDefault="00641FB5">
                  <w:pPr>
                    <w:pBdr>
                      <w:top w:val="nil"/>
                      <w:left w:val="nil"/>
                      <w:bottom w:val="nil"/>
                      <w:right w:val="nil"/>
                      <w:between w:val="nil"/>
                    </w:pBdr>
                    <w:spacing w:before="120"/>
                    <w:jc w:val="center"/>
                    <w:rPr>
                      <w:rFonts w:ascii="Calibri" w:eastAsia="Calibri" w:hAnsi="Calibri" w:cs="Calibri"/>
                      <w:b/>
                      <w:color w:val="333399"/>
                      <w:sz w:val="20"/>
                      <w:szCs w:val="20"/>
                    </w:rPr>
                  </w:pPr>
                  <w:r>
                    <w:rPr>
                      <w:rFonts w:ascii="Calibri" w:eastAsia="Calibri" w:hAnsi="Calibri" w:cs="Calibri"/>
                      <w:b/>
                      <w:color w:val="333399"/>
                      <w:sz w:val="36"/>
                      <w:szCs w:val="36"/>
                      <w:vertAlign w:val="subscript"/>
                    </w:rPr>
                    <w:object w:dxaOrig="2168" w:dyaOrig="728" w14:anchorId="4456BCBD">
                      <v:shape id="_x0000_i1031" type="#_x0000_t75" style="width:108.45pt;height:36.45pt" o:ole="" filled="t">
                        <v:fill color2="black"/>
                        <v:imagedata r:id="rId116" o:title=""/>
                      </v:shape>
                      <o:OLEObject Type="Embed" ProgID="Equation.3" ShapeID="_x0000_i1031" DrawAspect="Content" ObjectID="_1747568778" r:id="rId117"/>
                    </w:object>
                  </w:r>
                </w:p>
                <w:p w14:paraId="5293E355"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where:</w:t>
                  </w:r>
                </w:p>
                <w:p w14:paraId="0E852792" w14:textId="77777777" w:rsidR="00600DEE" w:rsidRPr="0045151D" w:rsidRDefault="00600DEE">
                  <w:pPr>
                    <w:pBdr>
                      <w:top w:val="nil"/>
                      <w:left w:val="nil"/>
                      <w:bottom w:val="nil"/>
                      <w:right w:val="nil"/>
                      <w:between w:val="nil"/>
                    </w:pBdr>
                    <w:spacing w:before="40" w:after="40"/>
                    <w:rPr>
                      <w:rFonts w:ascii="Calibri" w:eastAsia="Calibri" w:hAnsi="Calibri" w:cs="Calibri"/>
                      <w:color w:val="4F81BD"/>
                      <w:sz w:val="18"/>
                      <w:szCs w:val="18"/>
                      <w:lang w:val="en-GB"/>
                    </w:rPr>
                  </w:pPr>
                </w:p>
                <w:p w14:paraId="254BD0E6"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perscript"/>
                      <w:lang w:val="en-GB"/>
                    </w:rPr>
                    <w:t>c</w:t>
                  </w:r>
                  <w:r w:rsidRPr="0045151D">
                    <w:rPr>
                      <w:rFonts w:ascii="Calibri" w:eastAsia="Calibri" w:hAnsi="Calibri" w:cs="Calibri"/>
                      <w:color w:val="4F81BD"/>
                      <w:sz w:val="18"/>
                      <w:szCs w:val="18"/>
                      <w:lang w:val="en-GB"/>
                    </w:rPr>
                    <w:tab/>
                    <w:t>–  annual cost of passengers’ and drivers’ travel time in PLN,</w:t>
                  </w:r>
                </w:p>
                <w:p w14:paraId="6899DE9F"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i</w:t>
                  </w:r>
                  <w:r w:rsidRPr="0045151D">
                    <w:rPr>
                      <w:rFonts w:ascii="Calibri" w:eastAsia="Calibri" w:hAnsi="Calibri" w:cs="Calibri"/>
                      <w:color w:val="4F81BD"/>
                      <w:sz w:val="18"/>
                      <w:szCs w:val="18"/>
                      <w:lang w:val="en-GB"/>
                    </w:rPr>
                    <w:tab/>
                    <w:t>–  number of user categories with different unit values of time,</w:t>
                  </w:r>
                </w:p>
                <w:p w14:paraId="71FE5625"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 xml:space="preserve">ci </w:t>
                  </w:r>
                  <w:r w:rsidRPr="0045151D">
                    <w:rPr>
                      <w:rFonts w:ascii="Calibri" w:eastAsia="Calibri" w:hAnsi="Calibri" w:cs="Calibri"/>
                      <w:color w:val="4F81BD"/>
                      <w:sz w:val="18"/>
                      <w:szCs w:val="18"/>
                      <w:lang w:val="en-GB"/>
                    </w:rPr>
                    <w:tab/>
                    <w:t>–  unit cost of time “i” in PLN/h,</w:t>
                  </w:r>
                </w:p>
                <w:p w14:paraId="453BC838"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w:t>
                  </w:r>
                  <w:r w:rsidRPr="0045151D">
                    <w:rPr>
                      <w:rFonts w:ascii="Calibri" w:eastAsia="Calibri" w:hAnsi="Calibri" w:cs="Calibri"/>
                      <w:color w:val="4F81BD"/>
                      <w:sz w:val="18"/>
                      <w:szCs w:val="18"/>
                      <w:vertAlign w:val="superscript"/>
                      <w:lang w:val="en-GB"/>
                    </w:rPr>
                    <w:t>h</w:t>
                  </w:r>
                  <w:r w:rsidRPr="0045151D">
                    <w:rPr>
                      <w:rFonts w:ascii="Calibri" w:eastAsia="Calibri" w:hAnsi="Calibri" w:cs="Calibri"/>
                      <w:color w:val="4F81BD"/>
                      <w:sz w:val="18"/>
                      <w:szCs w:val="18"/>
                      <w:vertAlign w:val="subscript"/>
                      <w:lang w:val="en-GB"/>
                    </w:rPr>
                    <w:t>i</w:t>
                  </w:r>
                  <w:r w:rsidRPr="0045151D">
                    <w:rPr>
                      <w:rFonts w:ascii="Calibri" w:eastAsia="Calibri" w:hAnsi="Calibri" w:cs="Calibri"/>
                      <w:color w:val="4F81BD"/>
                      <w:sz w:val="18"/>
                      <w:szCs w:val="18"/>
                      <w:lang w:val="en-GB"/>
                    </w:rPr>
                    <w:tab/>
                    <w:t>–  transport work of user categories “i” in passenger-hours/day.</w:t>
                  </w:r>
                </w:p>
                <w:p w14:paraId="217CF313" w14:textId="77777777" w:rsidR="00600DEE" w:rsidRPr="0045151D" w:rsidRDefault="00600DEE">
                  <w:pPr>
                    <w:pBdr>
                      <w:top w:val="nil"/>
                      <w:left w:val="nil"/>
                      <w:bottom w:val="nil"/>
                      <w:right w:val="nil"/>
                      <w:between w:val="nil"/>
                    </w:pBdr>
                    <w:spacing w:before="40" w:after="40"/>
                    <w:rPr>
                      <w:rFonts w:ascii="Calibri" w:eastAsia="Calibri" w:hAnsi="Calibri" w:cs="Calibri"/>
                      <w:color w:val="4F81BD"/>
                      <w:sz w:val="18"/>
                      <w:szCs w:val="18"/>
                      <w:lang w:val="en-GB"/>
                    </w:rPr>
                  </w:pPr>
                </w:p>
              </w:tc>
            </w:tr>
          </w:tbl>
          <w:p w14:paraId="16361FF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3575556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 case of missing data on the travel motivations share, this share should be taken from traffic measurement survey (if surveys were carried within last GPR) or from earlier measurements or others (e.g. from KBRs (Comprehensive Traffic Surveys for urban areas, </w:t>
            </w:r>
            <w:r w:rsidRPr="0045151D">
              <w:rPr>
                <w:rFonts w:ascii="Calibri" w:eastAsia="Calibri" w:hAnsi="Calibri" w:cs="Calibri"/>
                <w:i/>
                <w:color w:val="000000"/>
                <w:sz w:val="20"/>
                <w:szCs w:val="20"/>
                <w:lang w:val="en-GB"/>
              </w:rPr>
              <w:t>Kompleksowe Badanie Ruchu</w:t>
            </w:r>
            <w:r w:rsidRPr="0045151D">
              <w:rPr>
                <w:rFonts w:ascii="Calibri" w:eastAsia="Calibri" w:hAnsi="Calibri" w:cs="Calibri"/>
                <w:color w:val="000000"/>
                <w:sz w:val="20"/>
                <w:szCs w:val="20"/>
                <w:lang w:val="en-GB"/>
              </w:rPr>
              <w:t>)). Only if there is no such data, the proposed travel motivation shares below distinguishing urban and non-urban areas should be applied in the CBA.</w:t>
            </w:r>
          </w:p>
          <w:p w14:paraId="7159D789" w14:textId="2AB9128B" w:rsidR="00600DEE" w:rsidRPr="0045151D" w:rsidRDefault="00B10112" w:rsidP="00851559">
            <w:pPr>
              <w:pBdr>
                <w:top w:val="nil"/>
                <w:left w:val="nil"/>
                <w:bottom w:val="nil"/>
                <w:right w:val="nil"/>
                <w:between w:val="nil"/>
              </w:pBdr>
              <w:spacing w:before="240"/>
              <w:ind w:left="848" w:hanging="848"/>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17</w:t>
            </w:r>
            <w:r w:rsidR="00641FB5" w:rsidRPr="0045151D">
              <w:rPr>
                <w:rFonts w:ascii="Calibri" w:eastAsia="Calibri" w:hAnsi="Calibri" w:cs="Calibri"/>
                <w:b/>
                <w:color w:val="4F81BD"/>
                <w:sz w:val="20"/>
                <w:szCs w:val="20"/>
                <w:lang w:val="en-GB"/>
              </w:rPr>
              <w:t xml:space="preserve">. Share of travel motivations of passenger cars and bus users on different categories of roads </w:t>
            </w:r>
          </w:p>
          <w:p w14:paraId="1EAE866D"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sidRPr="0045151D">
              <w:rPr>
                <w:rFonts w:ascii="Calibri" w:eastAsia="Calibri" w:hAnsi="Calibri" w:cs="Calibri"/>
                <w:b/>
                <w:color w:val="000000"/>
                <w:sz w:val="20"/>
                <w:szCs w:val="20"/>
                <w:lang w:val="en-GB"/>
              </w:rPr>
              <w:t xml:space="preserve"> </w:t>
            </w:r>
            <w:r w:rsidRPr="0045151D">
              <w:rPr>
                <w:rFonts w:ascii="Calibri" w:eastAsia="Calibri" w:hAnsi="Calibri" w:cs="Calibri"/>
                <w:b/>
                <w:color w:val="4F81BD"/>
                <w:sz w:val="20"/>
                <w:szCs w:val="20"/>
                <w:lang w:val="en-GB"/>
              </w:rPr>
              <w:t xml:space="preserve">Passenger cars and buses on non-urban roads </w:t>
            </w:r>
          </w:p>
          <w:tbl>
            <w:tblPr>
              <w:tblStyle w:val="affff6"/>
              <w:tblW w:w="6396" w:type="dxa"/>
              <w:tblBorders>
                <w:insideH w:val="single" w:sz="4" w:space="0" w:color="FFFFFF"/>
                <w:insideV w:val="single" w:sz="4" w:space="0" w:color="FFFFFF"/>
              </w:tblBorders>
              <w:tblLayout w:type="fixed"/>
              <w:tblLook w:val="0400" w:firstRow="0" w:lastRow="0" w:firstColumn="0" w:lastColumn="0" w:noHBand="0" w:noVBand="1"/>
            </w:tblPr>
            <w:tblGrid>
              <w:gridCol w:w="1597"/>
              <w:gridCol w:w="1597"/>
              <w:gridCol w:w="1601"/>
              <w:gridCol w:w="1601"/>
            </w:tblGrid>
            <w:tr w:rsidR="00600DEE" w:rsidRPr="007463B9" w14:paraId="521D68FD" w14:textId="77777777">
              <w:trPr>
                <w:trHeight w:val="210"/>
              </w:trPr>
              <w:tc>
                <w:tcPr>
                  <w:tcW w:w="1597" w:type="dxa"/>
                  <w:vMerge w:val="restart"/>
                  <w:tcBorders>
                    <w:top w:val="nil"/>
                    <w:bottom w:val="single" w:sz="4" w:space="0" w:color="FFFFFF"/>
                  </w:tcBorders>
                  <w:shd w:val="clear" w:color="auto" w:fill="A6A6A6"/>
                  <w:vAlign w:val="center"/>
                </w:tcPr>
                <w:p w14:paraId="2867CD8E"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Road Category</w:t>
                  </w:r>
                </w:p>
              </w:tc>
              <w:tc>
                <w:tcPr>
                  <w:tcW w:w="4799" w:type="dxa"/>
                  <w:gridSpan w:val="3"/>
                  <w:tcBorders>
                    <w:top w:val="nil"/>
                    <w:bottom w:val="single" w:sz="4" w:space="0" w:color="FFFFFF"/>
                  </w:tcBorders>
                  <w:shd w:val="clear" w:color="auto" w:fill="A6A6A6"/>
                  <w:vAlign w:val="center"/>
                </w:tcPr>
                <w:p w14:paraId="31457EC7"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Travel motivation</w:t>
                  </w:r>
                </w:p>
              </w:tc>
            </w:tr>
            <w:tr w:rsidR="00600DEE" w:rsidRPr="007463B9" w14:paraId="36CFB3E5" w14:textId="77777777">
              <w:trPr>
                <w:trHeight w:val="210"/>
              </w:trPr>
              <w:tc>
                <w:tcPr>
                  <w:tcW w:w="1597" w:type="dxa"/>
                  <w:vMerge/>
                  <w:tcBorders>
                    <w:top w:val="nil"/>
                    <w:bottom w:val="single" w:sz="4" w:space="0" w:color="FFFFFF"/>
                  </w:tcBorders>
                  <w:shd w:val="clear" w:color="auto" w:fill="A6A6A6"/>
                  <w:vAlign w:val="center"/>
                </w:tcPr>
                <w:p w14:paraId="4D51A3CD"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lang w:val="en-GB"/>
                    </w:rPr>
                  </w:pPr>
                </w:p>
              </w:tc>
              <w:tc>
                <w:tcPr>
                  <w:tcW w:w="1597" w:type="dxa"/>
                  <w:tcBorders>
                    <w:top w:val="single" w:sz="4" w:space="0" w:color="FFFFFF"/>
                    <w:bottom w:val="single" w:sz="4" w:space="0" w:color="FFFFFF"/>
                  </w:tcBorders>
                  <w:shd w:val="clear" w:color="auto" w:fill="A6A6A6"/>
                  <w:vAlign w:val="center"/>
                </w:tcPr>
                <w:p w14:paraId="5005CCE8"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Home-work-home</w:t>
                  </w:r>
                </w:p>
              </w:tc>
              <w:tc>
                <w:tcPr>
                  <w:tcW w:w="1601" w:type="dxa"/>
                  <w:tcBorders>
                    <w:top w:val="single" w:sz="4" w:space="0" w:color="FFFFFF"/>
                    <w:bottom w:val="single" w:sz="4" w:space="0" w:color="FFFFFF"/>
                  </w:tcBorders>
                  <w:shd w:val="clear" w:color="auto" w:fill="A6A6A6"/>
                  <w:vAlign w:val="center"/>
                </w:tcPr>
                <w:p w14:paraId="0992CD88"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Business</w:t>
                  </w:r>
                </w:p>
              </w:tc>
              <w:tc>
                <w:tcPr>
                  <w:tcW w:w="1601" w:type="dxa"/>
                  <w:tcBorders>
                    <w:top w:val="single" w:sz="4" w:space="0" w:color="FFFFFF"/>
                    <w:bottom w:val="single" w:sz="4" w:space="0" w:color="FFFFFF"/>
                  </w:tcBorders>
                  <w:shd w:val="clear" w:color="auto" w:fill="A6A6A6"/>
                  <w:vAlign w:val="center"/>
                </w:tcPr>
                <w:p w14:paraId="5FE38770"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Other</w:t>
                  </w:r>
                </w:p>
              </w:tc>
            </w:tr>
            <w:tr w:rsidR="00600DEE" w:rsidRPr="007463B9" w14:paraId="61C4F608" w14:textId="77777777">
              <w:trPr>
                <w:trHeight w:val="237"/>
              </w:trPr>
              <w:tc>
                <w:tcPr>
                  <w:tcW w:w="1597" w:type="dxa"/>
                  <w:tcBorders>
                    <w:top w:val="single" w:sz="4" w:space="0" w:color="FFFFFF"/>
                  </w:tcBorders>
                  <w:shd w:val="clear" w:color="auto" w:fill="DBE5F1"/>
                </w:tcPr>
                <w:p w14:paraId="59353AB9" w14:textId="77777777" w:rsidR="00600DEE" w:rsidRPr="0045151D" w:rsidRDefault="00641FB5">
                  <w:pPr>
                    <w:pBdr>
                      <w:top w:val="nil"/>
                      <w:left w:val="nil"/>
                      <w:bottom w:val="nil"/>
                      <w:right w:val="nil"/>
                      <w:between w:val="nil"/>
                    </w:pBdr>
                    <w:jc w:val="both"/>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National</w:t>
                  </w:r>
                </w:p>
              </w:tc>
              <w:tc>
                <w:tcPr>
                  <w:tcW w:w="1597" w:type="dxa"/>
                  <w:tcBorders>
                    <w:top w:val="single" w:sz="4" w:space="0" w:color="FFFFFF"/>
                  </w:tcBorders>
                  <w:shd w:val="clear" w:color="auto" w:fill="DBE5F1"/>
                  <w:vAlign w:val="center"/>
                </w:tcPr>
                <w:p w14:paraId="6A1A9F93"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15%</w:t>
                  </w:r>
                </w:p>
              </w:tc>
              <w:tc>
                <w:tcPr>
                  <w:tcW w:w="1601" w:type="dxa"/>
                  <w:tcBorders>
                    <w:top w:val="single" w:sz="4" w:space="0" w:color="FFFFFF"/>
                  </w:tcBorders>
                  <w:shd w:val="clear" w:color="auto" w:fill="DBE5F1"/>
                  <w:vAlign w:val="center"/>
                </w:tcPr>
                <w:p w14:paraId="1A68B87A"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25%</w:t>
                  </w:r>
                </w:p>
              </w:tc>
              <w:tc>
                <w:tcPr>
                  <w:tcW w:w="1601" w:type="dxa"/>
                  <w:tcBorders>
                    <w:top w:val="single" w:sz="4" w:space="0" w:color="FFFFFF"/>
                  </w:tcBorders>
                  <w:shd w:val="clear" w:color="auto" w:fill="DBE5F1"/>
                  <w:vAlign w:val="center"/>
                </w:tcPr>
                <w:p w14:paraId="3E79CD47"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60%</w:t>
                  </w:r>
                </w:p>
              </w:tc>
            </w:tr>
            <w:tr w:rsidR="00600DEE" w:rsidRPr="007463B9" w14:paraId="06BD29BC" w14:textId="77777777">
              <w:trPr>
                <w:trHeight w:val="251"/>
              </w:trPr>
              <w:tc>
                <w:tcPr>
                  <w:tcW w:w="1597" w:type="dxa"/>
                  <w:shd w:val="clear" w:color="auto" w:fill="DBE5F1"/>
                </w:tcPr>
                <w:p w14:paraId="5C1F778E" w14:textId="77777777" w:rsidR="00600DEE" w:rsidRPr="0045151D" w:rsidRDefault="00641FB5">
                  <w:pPr>
                    <w:pBdr>
                      <w:top w:val="nil"/>
                      <w:left w:val="nil"/>
                      <w:bottom w:val="nil"/>
                      <w:right w:val="nil"/>
                      <w:between w:val="nil"/>
                    </w:pBdr>
                    <w:jc w:val="both"/>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Voivodeship</w:t>
                  </w:r>
                </w:p>
              </w:tc>
              <w:tc>
                <w:tcPr>
                  <w:tcW w:w="1597" w:type="dxa"/>
                  <w:shd w:val="clear" w:color="auto" w:fill="DBE5F1"/>
                  <w:vAlign w:val="center"/>
                </w:tcPr>
                <w:p w14:paraId="3E3A7CF2"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32%</w:t>
                  </w:r>
                </w:p>
              </w:tc>
              <w:tc>
                <w:tcPr>
                  <w:tcW w:w="1601" w:type="dxa"/>
                  <w:shd w:val="clear" w:color="auto" w:fill="DBE5F1"/>
                  <w:vAlign w:val="center"/>
                </w:tcPr>
                <w:p w14:paraId="64D81B24"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21%</w:t>
                  </w:r>
                </w:p>
              </w:tc>
              <w:tc>
                <w:tcPr>
                  <w:tcW w:w="1601" w:type="dxa"/>
                  <w:shd w:val="clear" w:color="auto" w:fill="DBE5F1"/>
                  <w:vAlign w:val="center"/>
                </w:tcPr>
                <w:p w14:paraId="51961C01"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47%</w:t>
                  </w:r>
                </w:p>
              </w:tc>
            </w:tr>
          </w:tbl>
          <w:p w14:paraId="21F6BCD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 based on available data and benchmarking</w:t>
            </w:r>
          </w:p>
          <w:p w14:paraId="11B6FF50" w14:textId="77777777" w:rsidR="00600DEE" w:rsidRPr="0045151D" w:rsidRDefault="00600DEE">
            <w:pPr>
              <w:pBdr>
                <w:top w:val="nil"/>
                <w:left w:val="nil"/>
                <w:bottom w:val="nil"/>
                <w:right w:val="nil"/>
                <w:between w:val="nil"/>
              </w:pBdr>
              <w:spacing w:after="120"/>
              <w:jc w:val="both"/>
              <w:rPr>
                <w:rFonts w:ascii="Calibri" w:eastAsia="Calibri" w:hAnsi="Calibri" w:cs="Calibri"/>
                <w:b/>
                <w:color w:val="4F81BD"/>
                <w:sz w:val="20"/>
                <w:szCs w:val="20"/>
                <w:lang w:val="en-GB"/>
              </w:rPr>
            </w:pPr>
          </w:p>
          <w:p w14:paraId="15F6289E" w14:textId="77777777" w:rsidR="00851559" w:rsidRPr="0045151D" w:rsidRDefault="00851559">
            <w:pPr>
              <w:pBdr>
                <w:top w:val="nil"/>
                <w:left w:val="nil"/>
                <w:bottom w:val="nil"/>
                <w:right w:val="nil"/>
                <w:between w:val="nil"/>
              </w:pBdr>
              <w:spacing w:after="120"/>
              <w:jc w:val="both"/>
              <w:rPr>
                <w:rFonts w:ascii="Calibri" w:eastAsia="Calibri" w:hAnsi="Calibri" w:cs="Calibri"/>
                <w:b/>
                <w:color w:val="4F81BD"/>
                <w:sz w:val="20"/>
                <w:szCs w:val="20"/>
                <w:lang w:val="en-GB"/>
              </w:rPr>
            </w:pPr>
          </w:p>
          <w:p w14:paraId="2EC632CF" w14:textId="77777777" w:rsidR="00851559" w:rsidRPr="0045151D" w:rsidRDefault="00851559">
            <w:pPr>
              <w:pBdr>
                <w:top w:val="nil"/>
                <w:left w:val="nil"/>
                <w:bottom w:val="nil"/>
                <w:right w:val="nil"/>
                <w:between w:val="nil"/>
              </w:pBdr>
              <w:spacing w:after="120"/>
              <w:jc w:val="both"/>
              <w:rPr>
                <w:rFonts w:ascii="Calibri" w:eastAsia="Calibri" w:hAnsi="Calibri" w:cs="Calibri"/>
                <w:b/>
                <w:color w:val="4F81BD"/>
                <w:sz w:val="20"/>
                <w:szCs w:val="20"/>
                <w:lang w:val="en-GB"/>
              </w:rPr>
            </w:pPr>
          </w:p>
          <w:p w14:paraId="346D61ED" w14:textId="1F80E461" w:rsidR="00600DEE" w:rsidRPr="0045151D" w:rsidRDefault="00641FB5">
            <w:pPr>
              <w:pBdr>
                <w:top w:val="nil"/>
                <w:left w:val="nil"/>
                <w:bottom w:val="nil"/>
                <w:right w:val="nil"/>
                <w:between w:val="nil"/>
              </w:pBdr>
              <w:spacing w:after="12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Passenger cars on urban roads</w:t>
            </w:r>
          </w:p>
          <w:tbl>
            <w:tblPr>
              <w:tblStyle w:val="affff7"/>
              <w:tblW w:w="6396" w:type="dxa"/>
              <w:tblBorders>
                <w:insideH w:val="single" w:sz="4" w:space="0" w:color="FFFFFF"/>
                <w:insideV w:val="single" w:sz="4" w:space="0" w:color="FFFFFF"/>
              </w:tblBorders>
              <w:tblLayout w:type="fixed"/>
              <w:tblLook w:val="0400" w:firstRow="0" w:lastRow="0" w:firstColumn="0" w:lastColumn="0" w:noHBand="0" w:noVBand="1"/>
            </w:tblPr>
            <w:tblGrid>
              <w:gridCol w:w="1597"/>
              <w:gridCol w:w="1597"/>
              <w:gridCol w:w="1601"/>
              <w:gridCol w:w="1601"/>
            </w:tblGrid>
            <w:tr w:rsidR="00600DEE" w:rsidRPr="007463B9" w14:paraId="118DD43B" w14:textId="77777777" w:rsidTr="00CE37CC">
              <w:trPr>
                <w:trHeight w:hRule="exact" w:val="227"/>
              </w:trPr>
              <w:tc>
                <w:tcPr>
                  <w:tcW w:w="1597" w:type="dxa"/>
                  <w:vMerge w:val="restart"/>
                  <w:tcBorders>
                    <w:top w:val="nil"/>
                    <w:bottom w:val="single" w:sz="4" w:space="0" w:color="FFFFFF"/>
                  </w:tcBorders>
                  <w:shd w:val="clear" w:color="auto" w:fill="A6A6A6"/>
                  <w:vAlign w:val="center"/>
                </w:tcPr>
                <w:p w14:paraId="63528DF9"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Road Category</w:t>
                  </w:r>
                </w:p>
              </w:tc>
              <w:tc>
                <w:tcPr>
                  <w:tcW w:w="4799" w:type="dxa"/>
                  <w:gridSpan w:val="3"/>
                  <w:tcBorders>
                    <w:top w:val="nil"/>
                    <w:bottom w:val="single" w:sz="4" w:space="0" w:color="FFFFFF"/>
                  </w:tcBorders>
                  <w:shd w:val="clear" w:color="auto" w:fill="A6A6A6"/>
                  <w:vAlign w:val="center"/>
                </w:tcPr>
                <w:p w14:paraId="711D713B"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Travel motivation</w:t>
                  </w:r>
                </w:p>
              </w:tc>
            </w:tr>
            <w:tr w:rsidR="00600DEE" w:rsidRPr="007463B9" w14:paraId="2BEF1766" w14:textId="77777777">
              <w:trPr>
                <w:trHeight w:val="210"/>
              </w:trPr>
              <w:tc>
                <w:tcPr>
                  <w:tcW w:w="1597" w:type="dxa"/>
                  <w:vMerge/>
                  <w:tcBorders>
                    <w:top w:val="nil"/>
                    <w:bottom w:val="single" w:sz="4" w:space="0" w:color="FFFFFF"/>
                  </w:tcBorders>
                  <w:shd w:val="clear" w:color="auto" w:fill="A6A6A6"/>
                  <w:vAlign w:val="center"/>
                </w:tcPr>
                <w:p w14:paraId="09138F36"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lang w:val="en-GB"/>
                    </w:rPr>
                  </w:pPr>
                </w:p>
              </w:tc>
              <w:tc>
                <w:tcPr>
                  <w:tcW w:w="1597" w:type="dxa"/>
                  <w:tcBorders>
                    <w:top w:val="single" w:sz="4" w:space="0" w:color="FFFFFF"/>
                    <w:bottom w:val="single" w:sz="4" w:space="0" w:color="FFFFFF"/>
                  </w:tcBorders>
                  <w:shd w:val="clear" w:color="auto" w:fill="A6A6A6"/>
                  <w:vAlign w:val="center"/>
                </w:tcPr>
                <w:p w14:paraId="4E69D1CC"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Home-work-home</w:t>
                  </w:r>
                </w:p>
              </w:tc>
              <w:tc>
                <w:tcPr>
                  <w:tcW w:w="1601" w:type="dxa"/>
                  <w:tcBorders>
                    <w:top w:val="single" w:sz="4" w:space="0" w:color="FFFFFF"/>
                    <w:bottom w:val="single" w:sz="4" w:space="0" w:color="FFFFFF"/>
                  </w:tcBorders>
                  <w:shd w:val="clear" w:color="auto" w:fill="A6A6A6"/>
                  <w:vAlign w:val="center"/>
                </w:tcPr>
                <w:p w14:paraId="4CA26E61"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Business</w:t>
                  </w:r>
                </w:p>
              </w:tc>
              <w:tc>
                <w:tcPr>
                  <w:tcW w:w="1601" w:type="dxa"/>
                  <w:tcBorders>
                    <w:top w:val="single" w:sz="4" w:space="0" w:color="FFFFFF"/>
                    <w:bottom w:val="single" w:sz="4" w:space="0" w:color="FFFFFF"/>
                  </w:tcBorders>
                  <w:shd w:val="clear" w:color="auto" w:fill="A6A6A6"/>
                  <w:vAlign w:val="center"/>
                </w:tcPr>
                <w:p w14:paraId="0E714EF7"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Other</w:t>
                  </w:r>
                </w:p>
              </w:tc>
            </w:tr>
            <w:tr w:rsidR="00600DEE" w:rsidRPr="007463B9" w14:paraId="7CB7A658" w14:textId="77777777" w:rsidTr="008F79AD">
              <w:trPr>
                <w:trHeight w:hRule="exact" w:val="454"/>
              </w:trPr>
              <w:tc>
                <w:tcPr>
                  <w:tcW w:w="1597" w:type="dxa"/>
                  <w:tcBorders>
                    <w:top w:val="single" w:sz="4" w:space="0" w:color="FFFFFF"/>
                  </w:tcBorders>
                  <w:shd w:val="clear" w:color="auto" w:fill="DBE5F1"/>
                  <w:vAlign w:val="center"/>
                </w:tcPr>
                <w:p w14:paraId="0E616A57" w14:textId="77777777" w:rsidR="00600DEE" w:rsidRPr="0045151D" w:rsidRDefault="00641FB5">
                  <w:pPr>
                    <w:pBdr>
                      <w:top w:val="nil"/>
                      <w:left w:val="nil"/>
                      <w:bottom w:val="nil"/>
                      <w:right w:val="nil"/>
                      <w:between w:val="nil"/>
                    </w:pBdr>
                    <w:jc w:val="both"/>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All road categories</w:t>
                  </w:r>
                </w:p>
              </w:tc>
              <w:tc>
                <w:tcPr>
                  <w:tcW w:w="1597" w:type="dxa"/>
                  <w:tcBorders>
                    <w:top w:val="single" w:sz="4" w:space="0" w:color="FFFFFF"/>
                  </w:tcBorders>
                  <w:shd w:val="clear" w:color="auto" w:fill="DBE5F1"/>
                  <w:vAlign w:val="center"/>
                </w:tcPr>
                <w:p w14:paraId="4A394D9E"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35%</w:t>
                  </w:r>
                </w:p>
              </w:tc>
              <w:tc>
                <w:tcPr>
                  <w:tcW w:w="1601" w:type="dxa"/>
                  <w:tcBorders>
                    <w:top w:val="single" w:sz="4" w:space="0" w:color="FFFFFF"/>
                  </w:tcBorders>
                  <w:shd w:val="clear" w:color="auto" w:fill="DBE5F1"/>
                  <w:vAlign w:val="center"/>
                </w:tcPr>
                <w:p w14:paraId="13638137"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w:t>
                  </w:r>
                </w:p>
              </w:tc>
              <w:tc>
                <w:tcPr>
                  <w:tcW w:w="1601" w:type="dxa"/>
                  <w:tcBorders>
                    <w:top w:val="single" w:sz="4" w:space="0" w:color="FFFFFF"/>
                  </w:tcBorders>
                  <w:shd w:val="clear" w:color="auto" w:fill="DBE5F1"/>
                  <w:vAlign w:val="center"/>
                </w:tcPr>
                <w:p w14:paraId="6B60D426"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55%</w:t>
                  </w:r>
                </w:p>
              </w:tc>
            </w:tr>
          </w:tbl>
          <w:p w14:paraId="2C757794" w14:textId="77777777" w:rsidR="00600DEE" w:rsidRPr="0045151D" w:rsidRDefault="00641FB5">
            <w:pPr>
              <w:spacing w:before="120" w:line="276" w:lineRule="auto"/>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proprietary work based on available data and benchmarking.</w:t>
            </w:r>
          </w:p>
          <w:p w14:paraId="31793B1D" w14:textId="77777777" w:rsidR="00600DEE" w:rsidRPr="0045151D" w:rsidRDefault="00600DEE">
            <w:pPr>
              <w:pBdr>
                <w:top w:val="nil"/>
                <w:left w:val="nil"/>
                <w:bottom w:val="nil"/>
                <w:right w:val="nil"/>
                <w:between w:val="nil"/>
              </w:pBdr>
              <w:jc w:val="both"/>
              <w:rPr>
                <w:rFonts w:ascii="Calibri" w:eastAsia="Calibri" w:hAnsi="Calibri" w:cs="Calibri"/>
                <w:b/>
                <w:color w:val="4F81BD"/>
                <w:sz w:val="20"/>
                <w:szCs w:val="20"/>
                <w:lang w:val="en-GB"/>
              </w:rPr>
            </w:pPr>
          </w:p>
          <w:p w14:paraId="12DD92EB" w14:textId="77777777" w:rsidR="00600DEE" w:rsidRPr="0045151D" w:rsidRDefault="00641FB5" w:rsidP="006C2564">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 xml:space="preserve">Buses on urban roads </w:t>
            </w:r>
          </w:p>
          <w:tbl>
            <w:tblPr>
              <w:tblStyle w:val="affff8"/>
              <w:tblW w:w="6396" w:type="dxa"/>
              <w:tblBorders>
                <w:insideH w:val="single" w:sz="4" w:space="0" w:color="FFFFFF"/>
                <w:insideV w:val="single" w:sz="4" w:space="0" w:color="FFFFFF"/>
              </w:tblBorders>
              <w:tblLayout w:type="fixed"/>
              <w:tblLook w:val="0400" w:firstRow="0" w:lastRow="0" w:firstColumn="0" w:lastColumn="0" w:noHBand="0" w:noVBand="1"/>
            </w:tblPr>
            <w:tblGrid>
              <w:gridCol w:w="1597"/>
              <w:gridCol w:w="1597"/>
              <w:gridCol w:w="1601"/>
              <w:gridCol w:w="1601"/>
            </w:tblGrid>
            <w:tr w:rsidR="00600DEE" w:rsidRPr="007463B9" w14:paraId="602BEB57" w14:textId="77777777">
              <w:trPr>
                <w:trHeight w:val="210"/>
              </w:trPr>
              <w:tc>
                <w:tcPr>
                  <w:tcW w:w="1597" w:type="dxa"/>
                  <w:vMerge w:val="restart"/>
                  <w:tcBorders>
                    <w:top w:val="nil"/>
                    <w:bottom w:val="single" w:sz="4" w:space="0" w:color="FFFFFF"/>
                  </w:tcBorders>
                  <w:shd w:val="clear" w:color="auto" w:fill="A6A6A6"/>
                  <w:vAlign w:val="center"/>
                </w:tcPr>
                <w:p w14:paraId="5959EA81"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Road Category</w:t>
                  </w:r>
                </w:p>
              </w:tc>
              <w:tc>
                <w:tcPr>
                  <w:tcW w:w="4799" w:type="dxa"/>
                  <w:gridSpan w:val="3"/>
                  <w:tcBorders>
                    <w:top w:val="nil"/>
                    <w:bottom w:val="single" w:sz="4" w:space="0" w:color="FFFFFF"/>
                  </w:tcBorders>
                  <w:shd w:val="clear" w:color="auto" w:fill="A6A6A6"/>
                  <w:vAlign w:val="center"/>
                </w:tcPr>
                <w:p w14:paraId="69864C59"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Travel motivation</w:t>
                  </w:r>
                </w:p>
              </w:tc>
            </w:tr>
            <w:tr w:rsidR="00600DEE" w:rsidRPr="007463B9" w14:paraId="27ED02D2" w14:textId="77777777">
              <w:trPr>
                <w:trHeight w:val="210"/>
              </w:trPr>
              <w:tc>
                <w:tcPr>
                  <w:tcW w:w="1597" w:type="dxa"/>
                  <w:vMerge/>
                  <w:tcBorders>
                    <w:top w:val="nil"/>
                    <w:bottom w:val="single" w:sz="4" w:space="0" w:color="FFFFFF"/>
                  </w:tcBorders>
                  <w:shd w:val="clear" w:color="auto" w:fill="A6A6A6"/>
                  <w:vAlign w:val="center"/>
                </w:tcPr>
                <w:p w14:paraId="0FF04FDC"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lang w:val="en-GB"/>
                    </w:rPr>
                  </w:pPr>
                </w:p>
              </w:tc>
              <w:tc>
                <w:tcPr>
                  <w:tcW w:w="1597" w:type="dxa"/>
                  <w:tcBorders>
                    <w:top w:val="single" w:sz="4" w:space="0" w:color="FFFFFF"/>
                    <w:bottom w:val="single" w:sz="4" w:space="0" w:color="FFFFFF"/>
                  </w:tcBorders>
                  <w:shd w:val="clear" w:color="auto" w:fill="A6A6A6"/>
                  <w:vAlign w:val="center"/>
                </w:tcPr>
                <w:p w14:paraId="113469F1"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Home-work-home</w:t>
                  </w:r>
                </w:p>
              </w:tc>
              <w:tc>
                <w:tcPr>
                  <w:tcW w:w="1601" w:type="dxa"/>
                  <w:tcBorders>
                    <w:top w:val="single" w:sz="4" w:space="0" w:color="FFFFFF"/>
                    <w:bottom w:val="single" w:sz="4" w:space="0" w:color="FFFFFF"/>
                  </w:tcBorders>
                  <w:shd w:val="clear" w:color="auto" w:fill="A6A6A6"/>
                  <w:vAlign w:val="center"/>
                </w:tcPr>
                <w:p w14:paraId="22D0ECD0"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Business</w:t>
                  </w:r>
                </w:p>
              </w:tc>
              <w:tc>
                <w:tcPr>
                  <w:tcW w:w="1601" w:type="dxa"/>
                  <w:tcBorders>
                    <w:top w:val="single" w:sz="4" w:space="0" w:color="FFFFFF"/>
                    <w:bottom w:val="single" w:sz="4" w:space="0" w:color="FFFFFF"/>
                  </w:tcBorders>
                  <w:shd w:val="clear" w:color="auto" w:fill="A6A6A6"/>
                  <w:vAlign w:val="center"/>
                </w:tcPr>
                <w:p w14:paraId="4419AC1F" w14:textId="77777777" w:rsidR="00600DEE" w:rsidRPr="0045151D" w:rsidRDefault="00641FB5">
                  <w:pPr>
                    <w:spacing w:line="276" w:lineRule="auto"/>
                    <w:ind w:right="17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Other</w:t>
                  </w:r>
                </w:p>
              </w:tc>
            </w:tr>
            <w:tr w:rsidR="00600DEE" w:rsidRPr="007463B9" w14:paraId="42F86F70" w14:textId="77777777" w:rsidTr="008F79AD">
              <w:trPr>
                <w:trHeight w:val="454"/>
              </w:trPr>
              <w:tc>
                <w:tcPr>
                  <w:tcW w:w="1597" w:type="dxa"/>
                  <w:tcBorders>
                    <w:top w:val="single" w:sz="4" w:space="0" w:color="FFFFFF"/>
                  </w:tcBorders>
                  <w:shd w:val="clear" w:color="auto" w:fill="DBE5F1"/>
                  <w:vAlign w:val="center"/>
                </w:tcPr>
                <w:p w14:paraId="4A91F8CC" w14:textId="77777777" w:rsidR="00600DEE" w:rsidRPr="0045151D" w:rsidRDefault="00641FB5">
                  <w:pPr>
                    <w:pBdr>
                      <w:top w:val="nil"/>
                      <w:left w:val="nil"/>
                      <w:bottom w:val="nil"/>
                      <w:right w:val="nil"/>
                      <w:between w:val="nil"/>
                    </w:pBdr>
                    <w:jc w:val="both"/>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All</w:t>
                  </w:r>
                </w:p>
              </w:tc>
              <w:tc>
                <w:tcPr>
                  <w:tcW w:w="1597" w:type="dxa"/>
                  <w:tcBorders>
                    <w:top w:val="single" w:sz="4" w:space="0" w:color="FFFFFF"/>
                  </w:tcBorders>
                  <w:shd w:val="clear" w:color="auto" w:fill="DBE5F1"/>
                  <w:vAlign w:val="center"/>
                </w:tcPr>
                <w:p w14:paraId="5D028106"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35%</w:t>
                  </w:r>
                </w:p>
              </w:tc>
              <w:tc>
                <w:tcPr>
                  <w:tcW w:w="1601" w:type="dxa"/>
                  <w:tcBorders>
                    <w:top w:val="single" w:sz="4" w:space="0" w:color="FFFFFF"/>
                  </w:tcBorders>
                  <w:shd w:val="clear" w:color="auto" w:fill="DBE5F1"/>
                  <w:vAlign w:val="center"/>
                </w:tcPr>
                <w:p w14:paraId="441CB7FE"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w:t>
                  </w:r>
                </w:p>
              </w:tc>
              <w:tc>
                <w:tcPr>
                  <w:tcW w:w="1601" w:type="dxa"/>
                  <w:tcBorders>
                    <w:top w:val="single" w:sz="4" w:space="0" w:color="FFFFFF"/>
                  </w:tcBorders>
                  <w:shd w:val="clear" w:color="auto" w:fill="DBE5F1"/>
                  <w:vAlign w:val="center"/>
                </w:tcPr>
                <w:p w14:paraId="1CCB6BEF" w14:textId="77777777" w:rsidR="00600DEE" w:rsidRPr="0045151D" w:rsidRDefault="00641FB5">
                  <w:pPr>
                    <w:pBdr>
                      <w:top w:val="nil"/>
                      <w:left w:val="nil"/>
                      <w:bottom w:val="nil"/>
                      <w:right w:val="nil"/>
                      <w:between w:val="nil"/>
                    </w:pBd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60%</w:t>
                  </w:r>
                </w:p>
              </w:tc>
            </w:tr>
          </w:tbl>
          <w:p w14:paraId="4FD7FDB1" w14:textId="77777777" w:rsidR="00600DEE" w:rsidRPr="0045151D" w:rsidRDefault="00641FB5">
            <w:pPr>
              <w:spacing w:before="120" w:line="276" w:lineRule="auto"/>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proprietary work based on available data and benchmarking.</w:t>
            </w:r>
          </w:p>
          <w:p w14:paraId="2C2C5F9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 order to calculate the transport work (passenger-hours) when using section method, first of all it is necessary to estimate the driving speeds on the analysed section (these are already included in the models for network/buffer analysis). For this purpose, tables with section speeds included in the </w:t>
            </w:r>
            <w:r w:rsidRPr="0045151D">
              <w:rPr>
                <w:rFonts w:ascii="Calibri" w:eastAsia="Calibri" w:hAnsi="Calibri" w:cs="Calibri"/>
                <w:i/>
                <w:color w:val="000000"/>
                <w:sz w:val="20"/>
                <w:szCs w:val="20"/>
                <w:lang w:val="en-GB"/>
              </w:rPr>
              <w:t>internal CBA instruction (published by GDDKiA in 2021) substituting IBDiM instruction dated 2008,</w:t>
            </w:r>
            <w:r w:rsidRPr="0045151D">
              <w:rPr>
                <w:rFonts w:ascii="Calibri" w:eastAsia="Calibri" w:hAnsi="Calibri" w:cs="Calibri"/>
                <w:color w:val="000000"/>
                <w:sz w:val="20"/>
                <w:szCs w:val="20"/>
                <w:lang w:val="en-GB"/>
              </w:rPr>
              <w:t xml:space="preserve"> should be used. The costs of passengers’ and drivers’ time should be calculated for the “without-the-project” option and for all project investment options selected for the present CBA.</w:t>
            </w:r>
          </w:p>
          <w:p w14:paraId="3D5D14F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 case of rail mode users, traffic analysis will usually provide pass-km for different options analysed. The travel motivation shares (if not provided by the model) might be applied the same as for roads with the same respective unit values of time. For the rail freight, recommended values of time are provided in the Rail Blue Book. </w:t>
            </w:r>
          </w:p>
          <w:p w14:paraId="36F9A55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table below presents the method for calculating costs of users’ time in case when the transport work (passenger-hours) is calculated using road section method.</w:t>
            </w:r>
          </w:p>
          <w:p w14:paraId="2248C623"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CE5E3C9"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7A608343" w14:textId="65033B67" w:rsidR="00600DEE" w:rsidRPr="0045151D" w:rsidRDefault="00B10112" w:rsidP="006C2564">
            <w:pPr>
              <w:keepNext/>
              <w:pBdr>
                <w:top w:val="nil"/>
                <w:left w:val="nil"/>
                <w:bottom w:val="nil"/>
                <w:right w:val="nil"/>
                <w:between w:val="nil"/>
              </w:pBdr>
              <w:spacing w:before="120" w:after="360"/>
              <w:ind w:left="851" w:hanging="851"/>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18</w:t>
            </w:r>
            <w:r w:rsidR="00641FB5" w:rsidRPr="0045151D">
              <w:rPr>
                <w:rFonts w:ascii="Calibri" w:eastAsia="Calibri" w:hAnsi="Calibri" w:cs="Calibri"/>
                <w:b/>
                <w:color w:val="4F81BD"/>
                <w:sz w:val="20"/>
                <w:szCs w:val="20"/>
                <w:lang w:val="en-GB"/>
              </w:rPr>
              <w:t>. Formula for calculating costs of travel time for projects where transport work is calculated by means of road section approach</w:t>
            </w:r>
          </w:p>
          <w:tbl>
            <w:tblPr>
              <w:tblStyle w:val="affff9"/>
              <w:tblW w:w="693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939"/>
            </w:tblGrid>
            <w:tr w:rsidR="00600DEE" w:rsidRPr="007463B9" w14:paraId="48415AFC" w14:textId="77777777" w:rsidTr="006C2564">
              <w:trPr>
                <w:trHeight w:hRule="exact" w:val="5103"/>
              </w:trPr>
              <w:tc>
                <w:tcPr>
                  <w:tcW w:w="6939" w:type="dxa"/>
                  <w:shd w:val="clear" w:color="auto" w:fill="DBE5F1"/>
                  <w:vAlign w:val="center"/>
                </w:tcPr>
                <w:p w14:paraId="7082EE5D" w14:textId="77777777" w:rsidR="00600DEE" w:rsidRPr="0045151D" w:rsidRDefault="00600DEE">
                  <w:pPr>
                    <w:pBdr>
                      <w:top w:val="nil"/>
                      <w:left w:val="nil"/>
                      <w:bottom w:val="nil"/>
                      <w:right w:val="nil"/>
                      <w:between w:val="nil"/>
                    </w:pBdr>
                    <w:spacing w:before="120" w:after="40"/>
                    <w:jc w:val="center"/>
                    <w:rPr>
                      <w:rFonts w:ascii="Calibri" w:eastAsia="Calibri" w:hAnsi="Calibri" w:cs="Calibri"/>
                      <w:color w:val="4F81BD"/>
                      <w:sz w:val="18"/>
                      <w:szCs w:val="18"/>
                      <w:lang w:val="en-GB"/>
                    </w:rPr>
                  </w:pPr>
                </w:p>
                <w:p w14:paraId="69FF4F48" w14:textId="77777777" w:rsidR="00600DEE" w:rsidRDefault="00641FB5">
                  <w:pPr>
                    <w:pBdr>
                      <w:top w:val="nil"/>
                      <w:left w:val="nil"/>
                      <w:bottom w:val="nil"/>
                      <w:right w:val="nil"/>
                      <w:between w:val="nil"/>
                    </w:pBdr>
                    <w:spacing w:before="40" w:after="40"/>
                    <w:jc w:val="center"/>
                    <w:rPr>
                      <w:rFonts w:ascii="Calibri" w:eastAsia="Calibri" w:hAnsi="Calibri" w:cs="Calibri"/>
                      <w:color w:val="4F81BD"/>
                      <w:sz w:val="18"/>
                      <w:szCs w:val="18"/>
                    </w:rPr>
                  </w:pPr>
                  <w:r>
                    <w:rPr>
                      <w:rFonts w:ascii="Calibri" w:eastAsia="Calibri" w:hAnsi="Calibri" w:cs="Calibri"/>
                      <w:color w:val="4F81BD"/>
                      <w:sz w:val="36"/>
                      <w:szCs w:val="36"/>
                      <w:vertAlign w:val="subscript"/>
                    </w:rPr>
                    <w:object w:dxaOrig="2985" w:dyaOrig="728" w14:anchorId="4E937EF1">
                      <v:shape id="_x0000_i1032" type="#_x0000_t75" style="width:149.6pt;height:36.45pt" o:ole="" filled="t">
                        <v:fill color2="black"/>
                        <v:imagedata r:id="rId118" o:title=""/>
                      </v:shape>
                      <o:OLEObject Type="Embed" ProgID="Equation.3" ShapeID="_x0000_i1032" DrawAspect="Content" ObjectID="_1747568779" r:id="rId119"/>
                    </w:object>
                  </w:r>
                </w:p>
                <w:p w14:paraId="029173C6"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where:</w:t>
                  </w:r>
                </w:p>
                <w:p w14:paraId="211314A6" w14:textId="77777777" w:rsidR="00600DEE" w:rsidRPr="0045151D" w:rsidRDefault="00600DEE">
                  <w:pPr>
                    <w:pBdr>
                      <w:top w:val="nil"/>
                      <w:left w:val="nil"/>
                      <w:bottom w:val="nil"/>
                      <w:right w:val="nil"/>
                      <w:between w:val="nil"/>
                    </w:pBdr>
                    <w:spacing w:before="40" w:after="40"/>
                    <w:rPr>
                      <w:rFonts w:ascii="Calibri" w:eastAsia="Calibri" w:hAnsi="Calibri" w:cs="Calibri"/>
                      <w:color w:val="4F81BD"/>
                      <w:sz w:val="18"/>
                      <w:szCs w:val="18"/>
                      <w:lang w:val="en-GB"/>
                    </w:rPr>
                  </w:pPr>
                </w:p>
                <w:p w14:paraId="740BF41A"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c</w:t>
                  </w:r>
                  <w:r w:rsidRPr="0045151D">
                    <w:rPr>
                      <w:rFonts w:ascii="Calibri" w:eastAsia="Calibri" w:hAnsi="Calibri" w:cs="Calibri"/>
                      <w:color w:val="4F81BD"/>
                      <w:sz w:val="18"/>
                      <w:szCs w:val="18"/>
                      <w:lang w:val="en-GB"/>
                    </w:rPr>
                    <w:tab/>
                    <w:t>–  annual costs of users’ travel time, in PLN,</w:t>
                  </w:r>
                </w:p>
                <w:p w14:paraId="09A08B73"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SDR</w:t>
                  </w:r>
                  <w:r w:rsidRPr="0045151D">
                    <w:rPr>
                      <w:rFonts w:ascii="Calibri" w:eastAsia="Calibri" w:hAnsi="Calibri" w:cs="Calibri"/>
                      <w:color w:val="4F81BD"/>
                      <w:sz w:val="18"/>
                      <w:szCs w:val="18"/>
                      <w:vertAlign w:val="subscript"/>
                      <w:lang w:val="en-GB"/>
                    </w:rPr>
                    <w:t>i</w:t>
                  </w:r>
                  <w:r w:rsidRPr="0045151D">
                    <w:rPr>
                      <w:rFonts w:ascii="Calibri" w:eastAsia="Calibri" w:hAnsi="Calibri" w:cs="Calibri"/>
                      <w:color w:val="4F81BD"/>
                      <w:sz w:val="18"/>
                      <w:szCs w:val="18"/>
                      <w:lang w:val="en-GB"/>
                    </w:rPr>
                    <w:tab/>
                    <w:t>–  annual average daily traffic by vehicle users category (AADT) “i”</w:t>
                  </w:r>
                  <w:r w:rsidRPr="0045151D">
                    <w:rPr>
                      <w:rFonts w:ascii="Calibri" w:eastAsia="Calibri" w:hAnsi="Calibri" w:cs="Calibri"/>
                      <w:color w:val="4F81BD"/>
                      <w:sz w:val="18"/>
                      <w:szCs w:val="18"/>
                      <w:lang w:val="en-GB"/>
                    </w:rPr>
                    <w:b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(e.g. LV and HGV), in vehicles/day,</w:t>
                  </w:r>
                </w:p>
                <w:p w14:paraId="6F1273F2"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w:t>
                  </w:r>
                  <w:r w:rsidRPr="0045151D">
                    <w:rPr>
                      <w:rFonts w:ascii="Calibri" w:eastAsia="Calibri" w:hAnsi="Calibri" w:cs="Calibri"/>
                      <w:color w:val="4F81BD"/>
                      <w:sz w:val="18"/>
                      <w:szCs w:val="18"/>
                      <w:lang w:val="en-GB"/>
                    </w:rPr>
                    <w:tab/>
                    <w:t>–  length of a road section in km,</w:t>
                  </w:r>
                </w:p>
                <w:p w14:paraId="31F6FB75"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i</w:t>
                  </w:r>
                  <w:r w:rsidRPr="0045151D">
                    <w:rPr>
                      <w:rFonts w:ascii="Calibri" w:eastAsia="Calibri" w:hAnsi="Calibri" w:cs="Calibri"/>
                      <w:color w:val="4F81BD"/>
                      <w:sz w:val="18"/>
                      <w:szCs w:val="18"/>
                      <w:lang w:val="en-GB"/>
                    </w:rPr>
                    <w:tab/>
                    <w:t>–  number of user categories with different unit values of time (business,</w:t>
                  </w:r>
                  <w:r w:rsidRPr="0045151D">
                    <w:rPr>
                      <w:rFonts w:ascii="Calibri" w:eastAsia="Calibri" w:hAnsi="Calibri" w:cs="Calibri"/>
                      <w:color w:val="4F81BD"/>
                      <w:sz w:val="18"/>
                      <w:szCs w:val="18"/>
                      <w:lang w:val="en-GB"/>
                    </w:rPr>
                    <w:b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commuting, other, freight), </w:t>
                  </w:r>
                </w:p>
                <w:p w14:paraId="6B198ABF"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c,i</w:t>
                  </w:r>
                  <w:r w:rsidRPr="0045151D">
                    <w:rPr>
                      <w:rFonts w:ascii="Calibri" w:eastAsia="Calibri" w:hAnsi="Calibri" w:cs="Calibri"/>
                      <w:color w:val="4F81BD"/>
                      <w:sz w:val="18"/>
                      <w:szCs w:val="18"/>
                      <w:lang w:val="en-GB"/>
                    </w:rPr>
                    <w:tab/>
                    <w:t>–  unit time costs “i” in PLN/h,</w:t>
                  </w:r>
                </w:p>
                <w:p w14:paraId="4DECBA05"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p</w:t>
                  </w:r>
                  <w:r w:rsidRPr="0045151D">
                    <w:rPr>
                      <w:rFonts w:ascii="Calibri" w:eastAsia="Calibri" w:hAnsi="Calibri" w:cs="Calibri"/>
                      <w:color w:val="4F81BD"/>
                      <w:sz w:val="18"/>
                      <w:szCs w:val="18"/>
                      <w:vertAlign w:val="subscript"/>
                      <w:lang w:val="en-GB"/>
                    </w:rPr>
                    <w:t>i</w:t>
                  </w:r>
                  <w:r w:rsidRPr="0045151D">
                    <w:rPr>
                      <w:rFonts w:ascii="Calibri" w:eastAsia="Calibri" w:hAnsi="Calibri" w:cs="Calibri"/>
                      <w:color w:val="4F81BD"/>
                      <w:sz w:val="18"/>
                      <w:szCs w:val="18"/>
                      <w:lang w:val="en-GB"/>
                    </w:rPr>
                    <w:tab/>
                    <w:t>–  vehicle occupancy values,</w:t>
                  </w:r>
                </w:p>
                <w:p w14:paraId="0DA93CBE"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u</w:t>
                  </w:r>
                  <w:r w:rsidRPr="0045151D">
                    <w:rPr>
                      <w:rFonts w:ascii="Calibri" w:eastAsia="Calibri" w:hAnsi="Calibri" w:cs="Calibri"/>
                      <w:color w:val="4F81BD"/>
                      <w:sz w:val="18"/>
                      <w:szCs w:val="18"/>
                      <w:vertAlign w:val="subscript"/>
                      <w:lang w:val="en-GB"/>
                    </w:rPr>
                    <w:t>i</w:t>
                  </w:r>
                  <w:r w:rsidRPr="0045151D">
                    <w:rPr>
                      <w:rFonts w:ascii="Calibri" w:eastAsia="Calibri" w:hAnsi="Calibri" w:cs="Calibri"/>
                      <w:color w:val="4F81BD"/>
                      <w:sz w:val="18"/>
                      <w:szCs w:val="18"/>
                      <w:lang w:val="en-GB"/>
                    </w:rPr>
                    <w:tab/>
                    <w:t>–  share of motivation “i” in trips of car users,</w:t>
                  </w:r>
                </w:p>
                <w:p w14:paraId="308C0038"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V</w:t>
                  </w:r>
                  <w:r w:rsidRPr="0045151D">
                    <w:rPr>
                      <w:rFonts w:ascii="Calibri" w:eastAsia="Calibri" w:hAnsi="Calibri" w:cs="Calibri"/>
                      <w:color w:val="4F81BD"/>
                      <w:sz w:val="18"/>
                      <w:szCs w:val="18"/>
                      <w:vertAlign w:val="subscript"/>
                      <w:lang w:val="en-GB"/>
                    </w:rPr>
                    <w:t>i</w:t>
                  </w:r>
                  <w:r w:rsidRPr="0045151D">
                    <w:rPr>
                      <w:rFonts w:ascii="Calibri" w:eastAsia="Calibri" w:hAnsi="Calibri" w:cs="Calibri"/>
                      <w:color w:val="4F81BD"/>
                      <w:sz w:val="18"/>
                      <w:szCs w:val="18"/>
                      <w:vertAlign w:val="superscript"/>
                      <w:lang w:val="en-GB"/>
                    </w:rPr>
                    <w:t>pdr</w:t>
                  </w:r>
                  <w:r w:rsidRPr="0045151D">
                    <w:rPr>
                      <w:rFonts w:ascii="Calibri" w:eastAsia="Calibri" w:hAnsi="Calibri" w:cs="Calibri"/>
                      <w:color w:val="4F81BD"/>
                      <w:sz w:val="18"/>
                      <w:szCs w:val="18"/>
                      <w:lang w:val="en-GB"/>
                    </w:rPr>
                    <w:tab/>
                    <w:t>–  travelling speed on the analysed section of road, in km/h,</w:t>
                  </w:r>
                </w:p>
                <w:p w14:paraId="05F12ADB"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w:t>
                  </w:r>
                  <w:r w:rsidRPr="0045151D">
                    <w:rPr>
                      <w:rFonts w:ascii="Calibri" w:eastAsia="Calibri" w:hAnsi="Calibri" w:cs="Calibri"/>
                      <w:color w:val="4F81BD"/>
                      <w:sz w:val="18"/>
                      <w:szCs w:val="18"/>
                      <w:vertAlign w:val="subscript"/>
                      <w:lang w:val="en-GB"/>
                    </w:rPr>
                    <w:t>i</w:t>
                  </w:r>
                  <w:r w:rsidRPr="0045151D">
                    <w:rPr>
                      <w:rFonts w:ascii="Calibri" w:eastAsia="Calibri" w:hAnsi="Calibri" w:cs="Calibri"/>
                      <w:color w:val="4F81BD"/>
                      <w:sz w:val="18"/>
                      <w:szCs w:val="18"/>
                      <w:vertAlign w:val="superscript"/>
                      <w:lang w:val="en-GB"/>
                    </w:rPr>
                    <w:t>h</w:t>
                  </w:r>
                  <w:r w:rsidRPr="0045151D">
                    <w:rPr>
                      <w:rFonts w:ascii="Calibri" w:eastAsia="Calibri" w:hAnsi="Calibri" w:cs="Calibri"/>
                      <w:color w:val="4F81BD"/>
                      <w:sz w:val="18"/>
                      <w:szCs w:val="18"/>
                      <w:lang w:val="en-GB"/>
                    </w:rPr>
                    <w:tab/>
                    <w:t xml:space="preserve">–  transport work of individual categories of vehicles/modes and users, in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vehicle hours,</w:t>
                  </w:r>
                </w:p>
                <w:p w14:paraId="1005C41E"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w:t>
                  </w:r>
                  <w:r w:rsidRPr="0045151D">
                    <w:rPr>
                      <w:rFonts w:ascii="Calibri" w:eastAsia="Calibri" w:hAnsi="Calibri" w:cs="Calibri"/>
                      <w:color w:val="4F81BD"/>
                      <w:sz w:val="18"/>
                      <w:szCs w:val="18"/>
                      <w:vertAlign w:val="subscript"/>
                      <w:lang w:val="en-GB"/>
                    </w:rPr>
                    <w:t>i</w:t>
                  </w:r>
                  <w:r w:rsidRPr="0045151D">
                    <w:rPr>
                      <w:rFonts w:ascii="Calibri" w:eastAsia="Calibri" w:hAnsi="Calibri" w:cs="Calibri"/>
                      <w:color w:val="4F81BD"/>
                      <w:sz w:val="18"/>
                      <w:szCs w:val="18"/>
                      <w:vertAlign w:val="superscript"/>
                      <w:lang w:val="en-GB"/>
                    </w:rPr>
                    <w:t>h</w:t>
                  </w:r>
                  <w:r w:rsidRPr="0045151D">
                    <w:rPr>
                      <w:rFonts w:ascii="Calibri" w:eastAsia="Calibri" w:hAnsi="Calibri" w:cs="Calibri"/>
                      <w:color w:val="4F81BD"/>
                      <w:sz w:val="18"/>
                      <w:szCs w:val="18"/>
                      <w:lang w:val="en-GB"/>
                    </w:rPr>
                    <w:t xml:space="preserve"> = L * SDR</w:t>
                  </w:r>
                  <w:r w:rsidRPr="0045151D">
                    <w:rPr>
                      <w:rFonts w:ascii="Calibri" w:eastAsia="Calibri" w:hAnsi="Calibri" w:cs="Calibri"/>
                      <w:color w:val="4F81BD"/>
                      <w:sz w:val="18"/>
                      <w:szCs w:val="18"/>
                      <w:vertAlign w:val="subscript"/>
                      <w:lang w:val="en-GB"/>
                    </w:rPr>
                    <w:t>i</w:t>
                  </w:r>
                  <w:r w:rsidRPr="0045151D">
                    <w:rPr>
                      <w:rFonts w:ascii="Calibri" w:eastAsia="Calibri" w:hAnsi="Calibri" w:cs="Calibri"/>
                      <w:color w:val="4F81BD"/>
                      <w:sz w:val="18"/>
                      <w:szCs w:val="18"/>
                      <w:lang w:val="en-GB"/>
                    </w:rPr>
                    <w:t xml:space="preserve"> / V</w:t>
                  </w:r>
                  <w:r w:rsidRPr="0045151D">
                    <w:rPr>
                      <w:rFonts w:ascii="Calibri" w:eastAsia="Calibri" w:hAnsi="Calibri" w:cs="Calibri"/>
                      <w:color w:val="4F81BD"/>
                      <w:sz w:val="18"/>
                      <w:szCs w:val="18"/>
                      <w:vertAlign w:val="subscript"/>
                      <w:lang w:val="en-GB"/>
                    </w:rPr>
                    <w:t>i</w:t>
                  </w:r>
                  <w:r w:rsidRPr="0045151D">
                    <w:rPr>
                      <w:rFonts w:ascii="Calibri" w:eastAsia="Calibri" w:hAnsi="Calibri" w:cs="Calibri"/>
                      <w:color w:val="4F81BD"/>
                      <w:sz w:val="18"/>
                      <w:szCs w:val="18"/>
                      <w:vertAlign w:val="superscript"/>
                      <w:lang w:val="en-GB"/>
                    </w:rPr>
                    <w:t xml:space="preserve">pdr </w:t>
                  </w:r>
                  <w:r w:rsidRPr="0045151D">
                    <w:rPr>
                      <w:rFonts w:ascii="Calibri" w:eastAsia="Calibri" w:hAnsi="Calibri" w:cs="Calibri"/>
                      <w:color w:val="4F81BD"/>
                      <w:sz w:val="18"/>
                      <w:szCs w:val="18"/>
                      <w:lang w:val="en-GB"/>
                    </w:rPr>
                    <w:t>(for road section approach)</w:t>
                  </w:r>
                </w:p>
              </w:tc>
            </w:tr>
          </w:tbl>
          <w:p w14:paraId="0E4C563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2193EED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NB: In case of cities, adequate attention should be paid to differentiation of the benefits during peak and non peak hours.</w:t>
            </w:r>
          </w:p>
          <w:p w14:paraId="433F9CA8"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419E821A" w14:textId="2BDE829D" w:rsidR="00600DEE" w:rsidRDefault="00641FB5" w:rsidP="00D5736B">
      <w:pPr>
        <w:pStyle w:val="Nagwek3"/>
        <w:numPr>
          <w:ilvl w:val="2"/>
          <w:numId w:val="17"/>
        </w:numPr>
        <w:ind w:left="0" w:firstLine="0"/>
        <w:rPr>
          <w:rFonts w:ascii="Calibri" w:eastAsia="Calibri" w:hAnsi="Calibri" w:cs="Calibri"/>
          <w:color w:val="4F81BD"/>
        </w:rPr>
      </w:pPr>
      <w:bookmarkStart w:id="68" w:name="_Toc95377988"/>
      <w:r>
        <w:rPr>
          <w:rFonts w:ascii="Calibri" w:eastAsia="Calibri" w:hAnsi="Calibri" w:cs="Calibri"/>
          <w:color w:val="4F81BD"/>
        </w:rPr>
        <w:t>Koszty wypadków drogowych</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2.1.3   Costs of accidents</w:t>
      </w:r>
      <w:bookmarkEnd w:id="68"/>
    </w:p>
    <w:tbl>
      <w:tblPr>
        <w:tblStyle w:val="affffa"/>
        <w:tblW w:w="14571" w:type="dxa"/>
        <w:tblLayout w:type="fixed"/>
        <w:tblLook w:val="0400" w:firstRow="0" w:lastRow="0" w:firstColumn="0" w:lastColumn="0" w:noHBand="0" w:noVBand="1"/>
      </w:tblPr>
      <w:tblGrid>
        <w:gridCol w:w="7205"/>
        <w:gridCol w:w="7366"/>
      </w:tblGrid>
      <w:tr w:rsidR="00600DEE" w:rsidRPr="007463B9" w14:paraId="380BDCF2" w14:textId="77777777">
        <w:tc>
          <w:tcPr>
            <w:tcW w:w="7205" w:type="dxa"/>
            <w:tcBorders>
              <w:right w:val="single" w:sz="4" w:space="0" w:color="000000"/>
            </w:tcBorders>
            <w:tcMar>
              <w:left w:w="284" w:type="dxa"/>
              <w:right w:w="284" w:type="dxa"/>
            </w:tcMar>
          </w:tcPr>
          <w:p w14:paraId="78F1F04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wypadków drogowych dla obu wariantów (Wn i W0) to koszty, jakie ponoszą wszyscy użytkownicy pojazdów w wyniku zdarzeń drogowych na drogach będących przedmiotem analizy jak również na tych, na których nastąpi zmiana wypadkowości wynikająca z realizacji analizowanej inwestycji.</w:t>
            </w:r>
          </w:p>
          <w:p w14:paraId="749C46B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wypadków w każdym wariancie obejmują:</w:t>
            </w:r>
          </w:p>
          <w:p w14:paraId="2A518976"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koszty zabitych w wypadkach drogowych,</w:t>
            </w:r>
          </w:p>
          <w:p w14:paraId="15134983"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koszty lekko rannych w wypadkach drogowych,</w:t>
            </w:r>
          </w:p>
          <w:p w14:paraId="1FF7F1AC"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koszty ciężko rannych w wypadkach drogowych,</w:t>
            </w:r>
          </w:p>
          <w:p w14:paraId="05FF071D"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koszty strat materialnych (ponoszonych w wypadkach z udziałem rannych i/lub ofiar).</w:t>
            </w:r>
          </w:p>
          <w:p w14:paraId="23C09CC8"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ujęte w analizie dotyczą poniższych aspektów: spadek produktywności, koszty administracyjne i sądowe, straty materialne, koszty pracodawców, koszty hospitalizacji, koszty pogrzebowe, koszty rekompensat i zadośćuczynienia. Niematerialne koszty związane z bólem i cierpieniem ludzkim nie są ujęte.</w:t>
            </w:r>
          </w:p>
          <w:p w14:paraId="2F4B75C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Korzyści ekonomiczne wynikające z oszczędności w kosztach wypadków (w rezultacie działań poprawiających BRD) wyliczane są jako różnica w łącznych kosztach skutków wypadków pomiędzy wariantem bezinwestycyjnym i inwestycyjnym.</w:t>
            </w:r>
          </w:p>
          <w:p w14:paraId="7CF32ECF"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1857A646"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759294A2"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135CF674"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70676D52"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4AD9D0EF"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21313B44"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5769344F"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7A089D87" w14:textId="17A74645"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073F71F4" w14:textId="475324D9" w:rsidR="00B10112" w:rsidRDefault="00B10112">
            <w:pPr>
              <w:pBdr>
                <w:top w:val="nil"/>
                <w:left w:val="nil"/>
                <w:bottom w:val="nil"/>
                <w:right w:val="nil"/>
                <w:between w:val="nil"/>
              </w:pBdr>
              <w:spacing w:before="120"/>
              <w:jc w:val="both"/>
              <w:rPr>
                <w:rFonts w:ascii="Calibri" w:eastAsia="Calibri" w:hAnsi="Calibri" w:cs="Calibri"/>
                <w:color w:val="000000"/>
                <w:sz w:val="20"/>
                <w:szCs w:val="20"/>
              </w:rPr>
            </w:pPr>
          </w:p>
          <w:p w14:paraId="5BB982DB" w14:textId="52BFB21A" w:rsidR="00B10112" w:rsidRDefault="00B10112">
            <w:pPr>
              <w:pBdr>
                <w:top w:val="nil"/>
                <w:left w:val="nil"/>
                <w:bottom w:val="nil"/>
                <w:right w:val="nil"/>
                <w:between w:val="nil"/>
              </w:pBdr>
              <w:spacing w:before="120"/>
              <w:jc w:val="both"/>
              <w:rPr>
                <w:rFonts w:ascii="Calibri" w:eastAsia="Calibri" w:hAnsi="Calibri" w:cs="Calibri"/>
                <w:color w:val="000000"/>
                <w:sz w:val="20"/>
                <w:szCs w:val="20"/>
              </w:rPr>
            </w:pPr>
          </w:p>
          <w:p w14:paraId="1F2063BE" w14:textId="77777777" w:rsidR="00B10112" w:rsidRDefault="00B10112">
            <w:pPr>
              <w:pBdr>
                <w:top w:val="nil"/>
                <w:left w:val="nil"/>
                <w:bottom w:val="nil"/>
                <w:right w:val="nil"/>
                <w:between w:val="nil"/>
              </w:pBdr>
              <w:spacing w:before="120"/>
              <w:jc w:val="both"/>
              <w:rPr>
                <w:rFonts w:ascii="Calibri" w:eastAsia="Calibri" w:hAnsi="Calibri" w:cs="Calibri"/>
                <w:color w:val="000000"/>
                <w:sz w:val="20"/>
                <w:szCs w:val="20"/>
              </w:rPr>
            </w:pPr>
          </w:p>
          <w:p w14:paraId="37903449" w14:textId="065B25CC" w:rsidR="00600DEE" w:rsidRDefault="00B10112">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19</w:t>
            </w:r>
            <w:r w:rsidR="00641FB5">
              <w:rPr>
                <w:rFonts w:ascii="Calibri" w:eastAsia="Calibri" w:hAnsi="Calibri" w:cs="Calibri"/>
                <w:b/>
                <w:color w:val="4F81BD"/>
                <w:sz w:val="20"/>
                <w:szCs w:val="20"/>
              </w:rPr>
              <w:t>. Wzór na obliczanie kosztów wypadków</w:t>
            </w:r>
          </w:p>
          <w:tbl>
            <w:tblPr>
              <w:tblStyle w:val="affffb"/>
              <w:tblW w:w="6774"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774"/>
            </w:tblGrid>
            <w:tr w:rsidR="00600DEE" w14:paraId="13081302" w14:textId="77777777" w:rsidTr="006C2564">
              <w:trPr>
                <w:trHeight w:hRule="exact" w:val="4706"/>
              </w:trPr>
              <w:tc>
                <w:tcPr>
                  <w:tcW w:w="6774" w:type="dxa"/>
                  <w:shd w:val="clear" w:color="auto" w:fill="DBE5F1"/>
                </w:tcPr>
                <w:p w14:paraId="3232B242" w14:textId="77777777" w:rsidR="00600DEE" w:rsidRDefault="00641FB5">
                  <w:pPr>
                    <w:shd w:val="clear" w:color="auto" w:fill="DBE5F1"/>
                    <w:spacing w:before="120" w:after="200" w:line="276" w:lineRule="auto"/>
                    <w:jc w:val="center"/>
                    <w:rPr>
                      <w:rFonts w:ascii="Calibri" w:eastAsia="Calibri" w:hAnsi="Calibri" w:cs="Calibri"/>
                      <w:color w:val="4F81BD"/>
                      <w:sz w:val="20"/>
                      <w:szCs w:val="20"/>
                    </w:rPr>
                  </w:pPr>
                  <w:r>
                    <w:rPr>
                      <w:rFonts w:ascii="Calibri" w:eastAsia="Calibri" w:hAnsi="Calibri" w:cs="Calibri"/>
                      <w:color w:val="4F81BD"/>
                      <w:sz w:val="36"/>
                      <w:szCs w:val="36"/>
                      <w:vertAlign w:val="subscript"/>
                    </w:rPr>
                    <w:object w:dxaOrig="5048" w:dyaOrig="728" w14:anchorId="0B79CD0E">
                      <v:shape id="_x0000_i1033" type="#_x0000_t75" style="width:252.45pt;height:36.45pt" o:ole="" filled="t">
                        <v:fill color2="black"/>
                        <v:imagedata r:id="rId120" o:title=""/>
                      </v:shape>
                      <o:OLEObject Type="Embed" ProgID="Equation.3" ShapeID="_x0000_i1033" DrawAspect="Content" ObjectID="_1747568780" r:id="rId121"/>
                    </w:object>
                  </w:r>
                </w:p>
                <w:p w14:paraId="5DED4A5E"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gdzie:</w:t>
                  </w:r>
                </w:p>
                <w:p w14:paraId="734AE16B" w14:textId="77777777" w:rsidR="00600DEE" w:rsidRDefault="00600DEE"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p>
                <w:p w14:paraId="1AB6CDF2"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i/>
                      <w:color w:val="4F81BD"/>
                      <w:sz w:val="18"/>
                      <w:szCs w:val="18"/>
                    </w:rPr>
                    <w:t>K</w:t>
                  </w:r>
                  <w:r>
                    <w:rPr>
                      <w:rFonts w:ascii="Calibri" w:eastAsia="Calibri" w:hAnsi="Calibri" w:cs="Calibri"/>
                      <w:i/>
                      <w:color w:val="4F81BD"/>
                      <w:sz w:val="18"/>
                      <w:szCs w:val="18"/>
                      <w:vertAlign w:val="subscript"/>
                    </w:rPr>
                    <w:t>W</w:t>
                  </w:r>
                  <w:r>
                    <w:rPr>
                      <w:rFonts w:ascii="Calibri" w:eastAsia="Calibri" w:hAnsi="Calibri" w:cs="Calibri"/>
                      <w:color w:val="4F81BD"/>
                      <w:sz w:val="18"/>
                      <w:szCs w:val="18"/>
                    </w:rPr>
                    <w:tab/>
                    <w:t xml:space="preserve">– koszty wypadków drogowych, rannych i ofiar poniesione w całym okresie </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analizy, w PLN,</w:t>
                  </w:r>
                </w:p>
                <w:p w14:paraId="72076AFE"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zt</w:t>
                  </w:r>
                  <w:r>
                    <w:rPr>
                      <w:rFonts w:ascii="Calibri" w:eastAsia="Calibri" w:hAnsi="Calibri" w:cs="Calibri"/>
                      <w:color w:val="4F81BD"/>
                      <w:sz w:val="18"/>
                      <w:szCs w:val="18"/>
                    </w:rPr>
                    <w:tab/>
                    <w:t>– jednostkowe koszty zabitych w danym roku, w PLN,</w:t>
                  </w:r>
                </w:p>
                <w:p w14:paraId="21A08750"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rt</w:t>
                  </w:r>
                  <w:r>
                    <w:rPr>
                      <w:rFonts w:ascii="Calibri" w:eastAsia="Calibri" w:hAnsi="Calibri" w:cs="Calibri"/>
                      <w:color w:val="4F81BD"/>
                      <w:sz w:val="18"/>
                      <w:szCs w:val="18"/>
                    </w:rPr>
                    <w:t xml:space="preserve"> </w:t>
                  </w:r>
                  <w:r>
                    <w:rPr>
                      <w:rFonts w:ascii="Calibri" w:eastAsia="Calibri" w:hAnsi="Calibri" w:cs="Calibri"/>
                      <w:color w:val="4F81BD"/>
                      <w:sz w:val="18"/>
                      <w:szCs w:val="18"/>
                    </w:rPr>
                    <w:tab/>
                    <w:t>– jednostkowe koszty lekko rannych w danym roku, w PLN,</w:t>
                  </w:r>
                </w:p>
                <w:p w14:paraId="2673D76A"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crt</w:t>
                  </w:r>
                  <w:r>
                    <w:rPr>
                      <w:rFonts w:ascii="Calibri" w:eastAsia="Calibri" w:hAnsi="Calibri" w:cs="Calibri"/>
                      <w:color w:val="4F81BD"/>
                      <w:sz w:val="18"/>
                      <w:szCs w:val="18"/>
                    </w:rPr>
                    <w:t xml:space="preserve"> </w:t>
                  </w:r>
                  <w:r>
                    <w:rPr>
                      <w:rFonts w:ascii="Calibri" w:eastAsia="Calibri" w:hAnsi="Calibri" w:cs="Calibri"/>
                      <w:color w:val="4F81BD"/>
                      <w:sz w:val="18"/>
                      <w:szCs w:val="18"/>
                    </w:rPr>
                    <w:tab/>
                    <w:t>– jednostkowe koszty ciężko rannych w danym roku, w PLN,</w:t>
                  </w:r>
                </w:p>
                <w:p w14:paraId="451BBEB2"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mt</w:t>
                  </w:r>
                  <w:r>
                    <w:rPr>
                      <w:rFonts w:ascii="Calibri" w:eastAsia="Calibri" w:hAnsi="Calibri" w:cs="Calibri"/>
                      <w:color w:val="4F81BD"/>
                      <w:sz w:val="18"/>
                      <w:szCs w:val="18"/>
                    </w:rPr>
                    <w:t xml:space="preserve"> </w:t>
                  </w:r>
                  <w:r>
                    <w:rPr>
                      <w:rFonts w:ascii="Calibri" w:eastAsia="Calibri" w:hAnsi="Calibri" w:cs="Calibri"/>
                      <w:color w:val="4F81BD"/>
                      <w:sz w:val="18"/>
                      <w:szCs w:val="18"/>
                    </w:rPr>
                    <w:tab/>
                    <w:t>– jednostkowe koszty strat materialnych w danym roku, w PLN,</w:t>
                  </w:r>
                </w:p>
                <w:p w14:paraId="546F8D8D"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a</w:t>
                  </w:r>
                  <w:r>
                    <w:rPr>
                      <w:rFonts w:ascii="Calibri" w:eastAsia="Calibri" w:hAnsi="Calibri" w:cs="Calibri"/>
                      <w:color w:val="4F81BD"/>
                      <w:sz w:val="18"/>
                      <w:szCs w:val="18"/>
                      <w:vertAlign w:val="subscript"/>
                    </w:rPr>
                    <w:t>zt</w:t>
                  </w:r>
                  <w:r>
                    <w:rPr>
                      <w:rFonts w:ascii="Calibri" w:eastAsia="Calibri" w:hAnsi="Calibri" w:cs="Calibri"/>
                      <w:color w:val="4F81BD"/>
                      <w:sz w:val="18"/>
                      <w:szCs w:val="18"/>
                    </w:rPr>
                    <w:tab/>
                    <w:t>– liczba zabitych w danym roku,</w:t>
                  </w:r>
                </w:p>
                <w:p w14:paraId="569640B9"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a</w:t>
                  </w:r>
                  <w:r>
                    <w:rPr>
                      <w:rFonts w:ascii="Calibri" w:eastAsia="Calibri" w:hAnsi="Calibri" w:cs="Calibri"/>
                      <w:color w:val="4F81BD"/>
                      <w:sz w:val="18"/>
                      <w:szCs w:val="18"/>
                      <w:vertAlign w:val="subscript"/>
                    </w:rPr>
                    <w:t>lrt</w:t>
                  </w:r>
                  <w:r>
                    <w:rPr>
                      <w:rFonts w:ascii="Calibri" w:eastAsia="Calibri" w:hAnsi="Calibri" w:cs="Calibri"/>
                      <w:color w:val="4F81BD"/>
                      <w:sz w:val="18"/>
                      <w:szCs w:val="18"/>
                    </w:rPr>
                    <w:t xml:space="preserve"> </w:t>
                  </w:r>
                  <w:r>
                    <w:rPr>
                      <w:rFonts w:ascii="Calibri" w:eastAsia="Calibri" w:hAnsi="Calibri" w:cs="Calibri"/>
                      <w:color w:val="4F81BD"/>
                      <w:sz w:val="18"/>
                      <w:szCs w:val="18"/>
                    </w:rPr>
                    <w:tab/>
                    <w:t>– liczba lekko rannych w danym roku,</w:t>
                  </w:r>
                </w:p>
                <w:p w14:paraId="5D3DE5A0"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a</w:t>
                  </w:r>
                  <w:r>
                    <w:rPr>
                      <w:rFonts w:ascii="Calibri" w:eastAsia="Calibri" w:hAnsi="Calibri" w:cs="Calibri"/>
                      <w:color w:val="4F81BD"/>
                      <w:sz w:val="18"/>
                      <w:szCs w:val="18"/>
                      <w:vertAlign w:val="subscript"/>
                    </w:rPr>
                    <w:t>crt</w:t>
                  </w:r>
                  <w:r>
                    <w:rPr>
                      <w:rFonts w:ascii="Calibri" w:eastAsia="Calibri" w:hAnsi="Calibri" w:cs="Calibri"/>
                      <w:color w:val="4F81BD"/>
                      <w:sz w:val="18"/>
                      <w:szCs w:val="18"/>
                    </w:rPr>
                    <w:t xml:space="preserve"> </w:t>
                  </w:r>
                  <w:r>
                    <w:rPr>
                      <w:rFonts w:ascii="Calibri" w:eastAsia="Calibri" w:hAnsi="Calibri" w:cs="Calibri"/>
                      <w:color w:val="4F81BD"/>
                      <w:sz w:val="18"/>
                      <w:szCs w:val="18"/>
                    </w:rPr>
                    <w:tab/>
                    <w:t>– liczba ciężko rannych w danym roku,</w:t>
                  </w:r>
                </w:p>
                <w:p w14:paraId="2A9F24F6" w14:textId="77777777" w:rsidR="00600DEE"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a</w:t>
                  </w:r>
                  <w:r>
                    <w:rPr>
                      <w:rFonts w:ascii="Calibri" w:eastAsia="Calibri" w:hAnsi="Calibri" w:cs="Calibri"/>
                      <w:color w:val="4F81BD"/>
                      <w:sz w:val="18"/>
                      <w:szCs w:val="18"/>
                      <w:vertAlign w:val="subscript"/>
                    </w:rPr>
                    <w:t>mt</w:t>
                  </w:r>
                  <w:r>
                    <w:rPr>
                      <w:rFonts w:ascii="Calibri" w:eastAsia="Calibri" w:hAnsi="Calibri" w:cs="Calibri"/>
                      <w:color w:val="4F81BD"/>
                      <w:sz w:val="18"/>
                      <w:szCs w:val="18"/>
                    </w:rPr>
                    <w:t xml:space="preserve"> </w:t>
                  </w:r>
                  <w:r>
                    <w:rPr>
                      <w:rFonts w:ascii="Calibri" w:eastAsia="Calibri" w:hAnsi="Calibri" w:cs="Calibri"/>
                      <w:color w:val="4F81BD"/>
                      <w:sz w:val="18"/>
                      <w:szCs w:val="18"/>
                    </w:rPr>
                    <w:tab/>
                    <w:t>– liczba wypadków drogowych ze stratami materialnymi w danym roku,</w:t>
                  </w:r>
                </w:p>
                <w:p w14:paraId="3659B22E" w14:textId="77777777" w:rsidR="00600DEE" w:rsidRDefault="00641FB5" w:rsidP="00B10112">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t</w:t>
                  </w:r>
                  <w:r>
                    <w:rPr>
                      <w:rFonts w:ascii="Calibri" w:eastAsia="Calibri" w:hAnsi="Calibri" w:cs="Calibri"/>
                      <w:color w:val="4F81BD"/>
                      <w:sz w:val="18"/>
                      <w:szCs w:val="18"/>
                      <w:vertAlign w:val="subscript"/>
                    </w:rPr>
                    <w:t xml:space="preserve">                        </w:t>
                  </w:r>
                  <w:r>
                    <w:rPr>
                      <w:rFonts w:ascii="Calibri" w:eastAsia="Calibri" w:hAnsi="Calibri" w:cs="Calibri"/>
                      <w:color w:val="4F81BD"/>
                      <w:sz w:val="18"/>
                      <w:szCs w:val="18"/>
                    </w:rPr>
                    <w:t>– kolejny rok analizy (okres analizy n=25).</w:t>
                  </w:r>
                </w:p>
                <w:p w14:paraId="2A156D1F" w14:textId="77777777" w:rsidR="00600DEE" w:rsidRDefault="00600DEE">
                  <w:pPr>
                    <w:pBdr>
                      <w:top w:val="nil"/>
                      <w:left w:val="nil"/>
                      <w:bottom w:val="nil"/>
                      <w:right w:val="nil"/>
                      <w:between w:val="nil"/>
                    </w:pBdr>
                    <w:spacing w:before="40" w:after="40"/>
                    <w:jc w:val="right"/>
                    <w:rPr>
                      <w:rFonts w:ascii="Calibri" w:eastAsia="Calibri" w:hAnsi="Calibri" w:cs="Calibri"/>
                      <w:color w:val="4F81BD"/>
                      <w:sz w:val="18"/>
                      <w:szCs w:val="18"/>
                    </w:rPr>
                  </w:pPr>
                </w:p>
              </w:tc>
            </w:tr>
          </w:tbl>
          <w:p w14:paraId="37CDF7E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highlight w:val="cyan"/>
              </w:rPr>
            </w:pPr>
            <w:r>
              <w:rPr>
                <w:rFonts w:ascii="Calibri" w:eastAsia="Calibri" w:hAnsi="Calibri" w:cs="Calibri"/>
                <w:b/>
                <w:i/>
                <w:color w:val="000000"/>
                <w:sz w:val="16"/>
                <w:szCs w:val="16"/>
              </w:rPr>
              <w:t>Źródło: opracowanie własne.</w:t>
            </w:r>
          </w:p>
          <w:p w14:paraId="73AC8AB8" w14:textId="77777777" w:rsidR="00600DEE" w:rsidRDefault="00641FB5">
            <w:pPr>
              <w:pBdr>
                <w:top w:val="nil"/>
                <w:left w:val="nil"/>
                <w:bottom w:val="nil"/>
                <w:right w:val="nil"/>
                <w:between w:val="nil"/>
              </w:pBdr>
              <w:spacing w:before="120"/>
              <w:jc w:val="both"/>
              <w:rPr>
                <w:rFonts w:ascii="Calibri" w:eastAsia="Calibri" w:hAnsi="Calibri" w:cs="Calibri"/>
                <w:color w:val="222222"/>
                <w:sz w:val="20"/>
                <w:szCs w:val="20"/>
              </w:rPr>
            </w:pPr>
            <w:r>
              <w:rPr>
                <w:rFonts w:ascii="Calibri" w:eastAsia="Calibri" w:hAnsi="Calibri" w:cs="Calibri"/>
                <w:color w:val="222222"/>
                <w:sz w:val="20"/>
                <w:szCs w:val="20"/>
              </w:rPr>
              <w:t xml:space="preserve">W załączniku E przedstawione są dwie uproszczone metody określania kosztów wypadków wraz z ich metodyką wyliczania. </w:t>
            </w:r>
            <w:r>
              <w:rPr>
                <w:rFonts w:ascii="Calibri" w:eastAsia="Calibri" w:hAnsi="Calibri" w:cs="Calibri"/>
                <w:b/>
                <w:color w:val="222222"/>
                <w:sz w:val="20"/>
                <w:szCs w:val="20"/>
              </w:rPr>
              <w:t>Obie metody powinny być stosowane wyłącznie dla celów AKK dla dróg zamiejskich</w:t>
            </w:r>
            <w:bookmarkStart w:id="69" w:name="_Ref91584565"/>
            <w:r>
              <w:rPr>
                <w:rFonts w:ascii="Calibri" w:eastAsia="Calibri" w:hAnsi="Calibri" w:cs="Calibri"/>
                <w:b/>
                <w:color w:val="222222"/>
                <w:sz w:val="20"/>
                <w:szCs w:val="20"/>
                <w:vertAlign w:val="superscript"/>
              </w:rPr>
              <w:footnoteReference w:id="10"/>
            </w:r>
            <w:bookmarkEnd w:id="69"/>
            <w:r>
              <w:rPr>
                <w:rFonts w:ascii="Calibri" w:eastAsia="Calibri" w:hAnsi="Calibri" w:cs="Calibri"/>
                <w:b/>
                <w:color w:val="222222"/>
                <w:sz w:val="20"/>
                <w:szCs w:val="20"/>
              </w:rPr>
              <w:t xml:space="preserve">, </w:t>
            </w:r>
            <w:r>
              <w:rPr>
                <w:rFonts w:ascii="Calibri" w:eastAsia="Calibri" w:hAnsi="Calibri" w:cs="Calibri"/>
                <w:color w:val="222222"/>
                <w:sz w:val="20"/>
                <w:szCs w:val="20"/>
              </w:rPr>
              <w:t xml:space="preserve">ciągów drogowych jedno- </w:t>
            </w:r>
            <w:r>
              <w:rPr>
                <w:rFonts w:ascii="Calibri" w:eastAsia="Calibri" w:hAnsi="Calibri" w:cs="Calibri"/>
                <w:color w:val="222222"/>
                <w:sz w:val="20"/>
                <w:szCs w:val="20"/>
              </w:rPr>
              <w:br/>
              <w:t xml:space="preserve">i dwujezdniowych o długości ok. 10 km lub większej oraz obwodnic. </w:t>
            </w:r>
            <w:r>
              <w:rPr>
                <w:rFonts w:ascii="Calibri" w:eastAsia="Calibri" w:hAnsi="Calibri" w:cs="Calibri"/>
                <w:color w:val="000000"/>
                <w:sz w:val="20"/>
                <w:szCs w:val="20"/>
              </w:rPr>
              <w:t xml:space="preserve">Dla dróg miejskich z transportem zbiorowym należy zapoznać się z </w:t>
            </w:r>
            <w:r>
              <w:rPr>
                <w:rFonts w:ascii="Calibri" w:eastAsia="Calibri" w:hAnsi="Calibri" w:cs="Calibri"/>
                <w:color w:val="222222"/>
                <w:sz w:val="20"/>
                <w:szCs w:val="20"/>
              </w:rPr>
              <w:t>‘’Niebieską Księgą dla Transportu Publicznego’’)</w:t>
            </w:r>
            <w:r>
              <w:rPr>
                <w:rFonts w:ascii="Calibri" w:eastAsia="Calibri" w:hAnsi="Calibri" w:cs="Calibri"/>
                <w:color w:val="000000"/>
                <w:sz w:val="20"/>
                <w:szCs w:val="20"/>
              </w:rPr>
              <w:t>.</w:t>
            </w:r>
          </w:p>
          <w:p w14:paraId="3D52B652" w14:textId="79228D49"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222222"/>
                <w:sz w:val="20"/>
                <w:szCs w:val="20"/>
              </w:rPr>
              <w:t>Metody te opierają się o </w:t>
            </w:r>
            <w:r>
              <w:rPr>
                <w:rFonts w:ascii="Calibri" w:eastAsia="Calibri" w:hAnsi="Calibri" w:cs="Calibri"/>
                <w:color w:val="000000"/>
                <w:sz w:val="20"/>
                <w:szCs w:val="20"/>
              </w:rPr>
              <w:t xml:space="preserve">krajową metodę prognozowania wskaźników bezpieczeństwa ruchu drogowego (metoda wskaźników BRD), przygotowaną </w:t>
            </w:r>
            <w:r>
              <w:rPr>
                <w:rFonts w:ascii="Calibri" w:eastAsia="Calibri" w:hAnsi="Calibri" w:cs="Calibri"/>
                <w:color w:val="000000"/>
                <w:sz w:val="20"/>
                <w:szCs w:val="20"/>
              </w:rPr>
              <w:br/>
              <w:t xml:space="preserve">w ramach zleconej przez GDDKiA w 2012 r. pracy badawczej wykonanej przez konsorcjum Fundacji Rozwoju Inżynierii Lądowej w Gdańsku, Politechniki Gdańskiej oraz Politechniki Krakowskiej. </w:t>
            </w:r>
          </w:p>
          <w:p w14:paraId="29293CD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pierwszej metodzie wykorzystana została metodyka oparta o prawdopodobieństwo wystąpienia wypadku (w odniesieniu do pracy przewozowej wyrażonej w poj-km) oraz wskaźniki dotkliwości wypadków (ofiary śmiertelne, lekko ranni, ciężko ranni) dla danej kategorii drogi. W załączniku E zostały zamieszczone tabele ze względnymi wskaźnikami wypadkowości RAI, przygotowane na podstawie metody wskaźników BRD (opisanej poniżej) oraz wskaźniki dotkliwości wypadków wyliczone w oparciu o wyniki najnowszych badań.</w:t>
            </w:r>
          </w:p>
          <w:p w14:paraId="2E0F977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222222"/>
                <w:sz w:val="20"/>
                <w:szCs w:val="20"/>
              </w:rPr>
              <w:t>Druga metoda (wskaźników BRD) jest uproszczeniem wspomnianej powyżej metody przedstawionej w pracy badawczej wykonanej na zlecenie GDDKiA.</w:t>
            </w:r>
            <w:r>
              <w:rPr>
                <w:rFonts w:ascii="Calibri" w:eastAsia="Calibri" w:hAnsi="Calibri" w:cs="Calibri"/>
                <w:color w:val="000000"/>
                <w:sz w:val="20"/>
                <w:szCs w:val="20"/>
              </w:rPr>
              <w:t xml:space="preserve"> W metodzie tej wprowadzono pojęcie miar BRD, które są miarami wielkości strat społecznych (liczba wypadków, liczba lekko rannych, liczba ciężko rannych, liczba ofiar śmiertelnych). Szczegóły dotyczące tej metody oraz uproszczone tabele ze współczynnikami dla tej metody znajdują się w załączniku E.</w:t>
            </w:r>
          </w:p>
          <w:p w14:paraId="2731784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Wszystkie jednostkowe koszty ekonomiczne wypadków, lekko rannych, ciężko rannych, zabitych i strat materialnych zamieszczone są w załączniku A - Jednostkowe koszty, ekonomiczne i finansowe. Wartości kosztów jednostkowych prognozowane w kolejnych latach także zawarto w tym załączniku.</w:t>
            </w:r>
          </w:p>
          <w:p w14:paraId="2FE03EC5" w14:textId="55C194BF" w:rsidR="00600DEE" w:rsidRDefault="00641FB5">
            <w:pPr>
              <w:pBdr>
                <w:top w:val="nil"/>
                <w:left w:val="nil"/>
                <w:bottom w:val="nil"/>
                <w:right w:val="nil"/>
                <w:between w:val="nil"/>
              </w:pBdr>
              <w:spacing w:before="120"/>
              <w:jc w:val="both"/>
              <w:rPr>
                <w:rFonts w:ascii="Calibri" w:eastAsia="Calibri" w:hAnsi="Calibri" w:cs="Calibri"/>
                <w:color w:val="0000FF"/>
                <w:sz w:val="20"/>
                <w:szCs w:val="20"/>
                <w:u w:val="single"/>
              </w:rPr>
            </w:pPr>
            <w:r>
              <w:rPr>
                <w:rFonts w:ascii="Calibri" w:eastAsia="Calibri" w:hAnsi="Calibri" w:cs="Calibri"/>
                <w:color w:val="000000"/>
                <w:sz w:val="20"/>
                <w:szCs w:val="20"/>
              </w:rPr>
              <w:t xml:space="preserve">Niektóre źródła danych (np. statystyki GUS) nie rozróżniają lekko i ciężko rannych. W takim przypadku należałoby odpowiednie koszty jednostkowe podane w Załączniku A uśrednić na podstawie danych policyjnych dotyczących udziału ciężkich i lekkich obrażeń w wypadkach drogowych. Takie dane są również dostępne w rocznych raportach Krajowej Rady Bezpieczeństwa Ruchu Drogowego, </w:t>
            </w:r>
            <w:hyperlink r:id="rId122">
              <w:r>
                <w:rPr>
                  <w:rFonts w:ascii="Calibri" w:eastAsia="Calibri" w:hAnsi="Calibri" w:cs="Calibri"/>
                  <w:color w:val="0000FF"/>
                  <w:sz w:val="20"/>
                  <w:szCs w:val="20"/>
                  <w:u w:val="single"/>
                </w:rPr>
                <w:t>https://www.krbrd.gov.pl/baza-wiedzy/raporty-o-stanie-brd/</w:t>
              </w:r>
            </w:hyperlink>
          </w:p>
          <w:p w14:paraId="4F7E41D7" w14:textId="39B0A68E" w:rsidR="006C2564" w:rsidRDefault="006C2564">
            <w:pPr>
              <w:pBdr>
                <w:top w:val="nil"/>
                <w:left w:val="nil"/>
                <w:bottom w:val="nil"/>
                <w:right w:val="nil"/>
                <w:between w:val="nil"/>
              </w:pBdr>
              <w:spacing w:before="120"/>
              <w:jc w:val="both"/>
              <w:rPr>
                <w:rFonts w:ascii="Calibri" w:eastAsia="Calibri" w:hAnsi="Calibri" w:cs="Calibri"/>
                <w:color w:val="0000FF"/>
                <w:sz w:val="20"/>
                <w:szCs w:val="20"/>
                <w:u w:val="single"/>
              </w:rPr>
            </w:pPr>
          </w:p>
          <w:p w14:paraId="48F25A12" w14:textId="14763F21" w:rsidR="006C2564" w:rsidRDefault="006C2564">
            <w:pPr>
              <w:pBdr>
                <w:top w:val="nil"/>
                <w:left w:val="nil"/>
                <w:bottom w:val="nil"/>
                <w:right w:val="nil"/>
                <w:between w:val="nil"/>
              </w:pBdr>
              <w:spacing w:before="120"/>
              <w:jc w:val="both"/>
              <w:rPr>
                <w:rFonts w:ascii="Calibri" w:eastAsia="Calibri" w:hAnsi="Calibri" w:cs="Calibri"/>
                <w:color w:val="0000FF"/>
                <w:sz w:val="20"/>
                <w:szCs w:val="20"/>
                <w:u w:val="single"/>
              </w:rPr>
            </w:pPr>
          </w:p>
          <w:p w14:paraId="17609F9F" w14:textId="70D846F0" w:rsidR="006C2564" w:rsidRDefault="006C2564">
            <w:pPr>
              <w:pBdr>
                <w:top w:val="nil"/>
                <w:left w:val="nil"/>
                <w:bottom w:val="nil"/>
                <w:right w:val="nil"/>
                <w:between w:val="nil"/>
              </w:pBdr>
              <w:spacing w:before="120"/>
              <w:jc w:val="both"/>
              <w:rPr>
                <w:rFonts w:ascii="Calibri" w:eastAsia="Calibri" w:hAnsi="Calibri" w:cs="Calibri"/>
                <w:color w:val="0000FF"/>
                <w:sz w:val="20"/>
                <w:szCs w:val="20"/>
                <w:u w:val="single"/>
              </w:rPr>
            </w:pPr>
          </w:p>
          <w:p w14:paraId="34265D86" w14:textId="77777777" w:rsidR="006C2564" w:rsidRDefault="006C2564">
            <w:pPr>
              <w:pBdr>
                <w:top w:val="nil"/>
                <w:left w:val="nil"/>
                <w:bottom w:val="nil"/>
                <w:right w:val="nil"/>
                <w:between w:val="nil"/>
              </w:pBdr>
              <w:spacing w:before="120"/>
              <w:jc w:val="both"/>
              <w:rPr>
                <w:rFonts w:ascii="Calibri" w:eastAsia="Calibri" w:hAnsi="Calibri" w:cs="Calibri"/>
                <w:color w:val="000000"/>
                <w:sz w:val="20"/>
                <w:szCs w:val="20"/>
                <w:highlight w:val="yellow"/>
              </w:rPr>
            </w:pPr>
          </w:p>
          <w:p w14:paraId="48D4D286"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tc>
        <w:tc>
          <w:tcPr>
            <w:tcW w:w="7366" w:type="dxa"/>
            <w:tcBorders>
              <w:left w:val="single" w:sz="4" w:space="0" w:color="000000"/>
            </w:tcBorders>
            <w:tcMar>
              <w:left w:w="284" w:type="dxa"/>
              <w:right w:w="284" w:type="dxa"/>
            </w:tcMar>
          </w:tcPr>
          <w:p w14:paraId="279D390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costs of road accidents for all analysed options (Wn and W0) include the costs incurred by all vehicle occupants and related vehicle damages resulting from any accident on roads under analysis, including those roads outside the project where the number of accidents changes as a result of the analysed project.</w:t>
            </w:r>
          </w:p>
          <w:p w14:paraId="55A2371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costs of accidents under each scenario distinguish:</w:t>
            </w:r>
          </w:p>
          <w:p w14:paraId="4B280389" w14:textId="77777777" w:rsidR="00600DEE" w:rsidRPr="0045151D" w:rsidRDefault="00641FB5" w:rsidP="00D5736B">
            <w:pPr>
              <w:numPr>
                <w:ilvl w:val="0"/>
                <w:numId w:val="67"/>
              </w:numPr>
              <w:pBdr>
                <w:top w:val="nil"/>
                <w:left w:val="nil"/>
                <w:bottom w:val="nil"/>
                <w:right w:val="nil"/>
                <w:between w:val="nil"/>
              </w:pBdr>
              <w:spacing w:before="120"/>
              <w:ind w:left="789" w:hanging="78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costs of fatalities in road accidents,</w:t>
            </w:r>
          </w:p>
          <w:p w14:paraId="591C6F9E" w14:textId="77777777" w:rsidR="00600DEE" w:rsidRPr="0045151D" w:rsidRDefault="00641FB5" w:rsidP="00D5736B">
            <w:pPr>
              <w:numPr>
                <w:ilvl w:val="0"/>
                <w:numId w:val="67"/>
              </w:numPr>
              <w:pBdr>
                <w:top w:val="nil"/>
                <w:left w:val="nil"/>
                <w:bottom w:val="nil"/>
                <w:right w:val="nil"/>
                <w:between w:val="nil"/>
              </w:pBdr>
              <w:spacing w:before="120"/>
              <w:ind w:left="789" w:hanging="78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costs of slightly injured in road accidents,</w:t>
            </w:r>
          </w:p>
          <w:p w14:paraId="32F2D9DD" w14:textId="77777777" w:rsidR="00600DEE" w:rsidRPr="0045151D" w:rsidRDefault="00641FB5" w:rsidP="00D5736B">
            <w:pPr>
              <w:numPr>
                <w:ilvl w:val="0"/>
                <w:numId w:val="67"/>
              </w:numPr>
              <w:pBdr>
                <w:top w:val="nil"/>
                <w:left w:val="nil"/>
                <w:bottom w:val="nil"/>
                <w:right w:val="nil"/>
                <w:between w:val="nil"/>
              </w:pBdr>
              <w:spacing w:before="120"/>
              <w:ind w:left="789" w:hanging="78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costs of seriously injured in road accidents, and</w:t>
            </w:r>
          </w:p>
          <w:p w14:paraId="299CC87B" w14:textId="77777777" w:rsidR="00600DEE" w:rsidRPr="0045151D" w:rsidRDefault="00641FB5" w:rsidP="00D5736B">
            <w:pPr>
              <w:numPr>
                <w:ilvl w:val="0"/>
                <w:numId w:val="67"/>
              </w:numPr>
              <w:pBdr>
                <w:top w:val="nil"/>
                <w:left w:val="nil"/>
                <w:bottom w:val="nil"/>
                <w:right w:val="nil"/>
                <w:between w:val="nil"/>
              </w:pBdr>
              <w:spacing w:before="120"/>
              <w:ind w:left="789" w:hanging="78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material damage costs (incurred in accidents involving injuries and/or fatalities).</w:t>
            </w:r>
          </w:p>
          <w:p w14:paraId="7EC3DE5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costs considered in the analysis include the following aspects: loss of productivity; administrative and court costs; material losses; employers’ losses; costs of hospitalization; funeral costs, costs compensations and redress. The intangible costs of pain and human suffering are not included.  </w:t>
            </w:r>
          </w:p>
          <w:p w14:paraId="3B3495C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Economic benefits of accident savings (resulting from road safety conditions improvements) are calculated as the difference between the total cost of accident consequences in the “without-the-project” option and the “with-the-project” option.</w:t>
            </w:r>
          </w:p>
          <w:p w14:paraId="6B62D0BA"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48EE5CD1"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7B6B9178"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68B896BC"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0C7BAB1A"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7F5FC122"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17813A80"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4EE1002F"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28D0E8A9" w14:textId="2F2FE721" w:rsidR="00600DEE"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BC2B88D" w14:textId="0FC0829E" w:rsidR="00B10112" w:rsidRDefault="00B10112">
            <w:pPr>
              <w:pBdr>
                <w:top w:val="nil"/>
                <w:left w:val="nil"/>
                <w:bottom w:val="nil"/>
                <w:right w:val="nil"/>
                <w:between w:val="nil"/>
              </w:pBdr>
              <w:spacing w:before="120"/>
              <w:jc w:val="both"/>
              <w:rPr>
                <w:rFonts w:ascii="Calibri" w:eastAsia="Calibri" w:hAnsi="Calibri" w:cs="Calibri"/>
                <w:color w:val="000000"/>
                <w:sz w:val="20"/>
                <w:szCs w:val="20"/>
                <w:lang w:val="en-GB"/>
              </w:rPr>
            </w:pPr>
          </w:p>
          <w:p w14:paraId="675FAFC7" w14:textId="7B31B355" w:rsidR="00B10112" w:rsidRDefault="00B10112">
            <w:pPr>
              <w:pBdr>
                <w:top w:val="nil"/>
                <w:left w:val="nil"/>
                <w:bottom w:val="nil"/>
                <w:right w:val="nil"/>
                <w:between w:val="nil"/>
              </w:pBdr>
              <w:spacing w:before="120"/>
              <w:jc w:val="both"/>
              <w:rPr>
                <w:rFonts w:ascii="Calibri" w:eastAsia="Calibri" w:hAnsi="Calibri" w:cs="Calibri"/>
                <w:color w:val="000000"/>
                <w:sz w:val="20"/>
                <w:szCs w:val="20"/>
                <w:lang w:val="en-GB"/>
              </w:rPr>
            </w:pPr>
          </w:p>
          <w:p w14:paraId="3CB9CB0D" w14:textId="77777777" w:rsidR="00B10112" w:rsidRPr="0045151D" w:rsidRDefault="00B10112">
            <w:pPr>
              <w:pBdr>
                <w:top w:val="nil"/>
                <w:left w:val="nil"/>
                <w:bottom w:val="nil"/>
                <w:right w:val="nil"/>
                <w:between w:val="nil"/>
              </w:pBdr>
              <w:spacing w:before="120"/>
              <w:jc w:val="both"/>
              <w:rPr>
                <w:rFonts w:ascii="Calibri" w:eastAsia="Calibri" w:hAnsi="Calibri" w:cs="Calibri"/>
                <w:color w:val="000000"/>
                <w:sz w:val="20"/>
                <w:szCs w:val="20"/>
                <w:lang w:val="en-GB"/>
              </w:rPr>
            </w:pPr>
          </w:p>
          <w:p w14:paraId="717A7036" w14:textId="6EAE6720" w:rsidR="00600DEE" w:rsidRPr="0045151D" w:rsidRDefault="00B10112">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19</w:t>
            </w:r>
            <w:r w:rsidR="00641FB5" w:rsidRPr="0045151D">
              <w:rPr>
                <w:rFonts w:ascii="Calibri" w:eastAsia="Calibri" w:hAnsi="Calibri" w:cs="Calibri"/>
                <w:b/>
                <w:color w:val="4F81BD"/>
                <w:sz w:val="20"/>
                <w:szCs w:val="20"/>
                <w:lang w:val="en-GB"/>
              </w:rPr>
              <w:t>. Formula for calculating accident costs</w:t>
            </w:r>
          </w:p>
          <w:tbl>
            <w:tblPr>
              <w:tblStyle w:val="affffc"/>
              <w:tblW w:w="693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939"/>
            </w:tblGrid>
            <w:tr w:rsidR="00600DEE" w:rsidRPr="007463B9" w14:paraId="1B145CA8" w14:textId="77777777" w:rsidTr="006C2564">
              <w:trPr>
                <w:trHeight w:hRule="exact" w:val="4706"/>
              </w:trPr>
              <w:tc>
                <w:tcPr>
                  <w:tcW w:w="6939" w:type="dxa"/>
                  <w:shd w:val="clear" w:color="auto" w:fill="DBE5F1"/>
                </w:tcPr>
                <w:p w14:paraId="012FB923" w14:textId="77777777" w:rsidR="00600DEE" w:rsidRDefault="00641FB5">
                  <w:pPr>
                    <w:shd w:val="clear" w:color="auto" w:fill="DBE5F1"/>
                    <w:spacing w:before="120" w:after="200" w:line="276" w:lineRule="auto"/>
                    <w:jc w:val="center"/>
                    <w:rPr>
                      <w:rFonts w:ascii="Calibri" w:eastAsia="Calibri" w:hAnsi="Calibri" w:cs="Calibri"/>
                      <w:color w:val="4F81BD"/>
                    </w:rPr>
                  </w:pPr>
                  <w:r>
                    <w:rPr>
                      <w:rFonts w:ascii="Calibri" w:eastAsia="Calibri" w:hAnsi="Calibri" w:cs="Calibri"/>
                      <w:color w:val="4F81BD"/>
                      <w:sz w:val="36"/>
                      <w:szCs w:val="36"/>
                      <w:vertAlign w:val="subscript"/>
                    </w:rPr>
                    <w:object w:dxaOrig="5048" w:dyaOrig="728" w14:anchorId="5ABC3BF8">
                      <v:shape id="_x0000_i1034" type="#_x0000_t75" style="width:252.45pt;height:36.45pt" o:ole="" filled="t">
                        <v:fill color2="black"/>
                        <v:imagedata r:id="rId123" o:title=""/>
                      </v:shape>
                      <o:OLEObject Type="Embed" ProgID="Equation.3" ShapeID="_x0000_i1034" DrawAspect="Content" ObjectID="_1747568781" r:id="rId124"/>
                    </w:object>
                  </w:r>
                </w:p>
                <w:p w14:paraId="1EDE2E63"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where:</w:t>
                  </w:r>
                </w:p>
                <w:p w14:paraId="4CA6480F" w14:textId="77777777" w:rsidR="00600DEE" w:rsidRPr="0045151D" w:rsidRDefault="00600DEE"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p>
                <w:p w14:paraId="2227405B"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i/>
                      <w:color w:val="4F81BD"/>
                      <w:sz w:val="18"/>
                      <w:szCs w:val="18"/>
                      <w:lang w:val="en-GB"/>
                    </w:rPr>
                    <w:t>K</w:t>
                  </w:r>
                  <w:r w:rsidRPr="0045151D">
                    <w:rPr>
                      <w:rFonts w:ascii="Calibri" w:eastAsia="Calibri" w:hAnsi="Calibri" w:cs="Calibri"/>
                      <w:i/>
                      <w:color w:val="4F81BD"/>
                      <w:sz w:val="18"/>
                      <w:szCs w:val="18"/>
                      <w:vertAlign w:val="subscript"/>
                      <w:lang w:val="en-GB"/>
                    </w:rPr>
                    <w:t xml:space="preserve">W                    </w:t>
                  </w:r>
                  <w:r w:rsidRPr="0045151D">
                    <w:rPr>
                      <w:rFonts w:ascii="Calibri" w:eastAsia="Calibri" w:hAnsi="Calibri" w:cs="Calibri"/>
                      <w:color w:val="4F81BD"/>
                      <w:sz w:val="18"/>
                      <w:szCs w:val="18"/>
                      <w:lang w:val="en-GB"/>
                    </w:rPr>
                    <w:t>–</w:t>
                  </w:r>
                  <w:r w:rsidRPr="0045151D">
                    <w:rPr>
                      <w:rFonts w:ascii="Calibri" w:eastAsia="Calibri" w:hAnsi="Calibri" w:cs="Calibri"/>
                      <w:i/>
                      <w:color w:val="4F81BD"/>
                      <w:sz w:val="18"/>
                      <w:szCs w:val="18"/>
                      <w:lang w:val="en-GB"/>
                    </w:rPr>
                    <w:t xml:space="preserve"> </w:t>
                  </w:r>
                  <w:r w:rsidRPr="0045151D">
                    <w:rPr>
                      <w:rFonts w:ascii="Calibri" w:eastAsia="Calibri" w:hAnsi="Calibri" w:cs="Calibri"/>
                      <w:color w:val="4F81BD"/>
                      <w:sz w:val="18"/>
                      <w:szCs w:val="18"/>
                      <w:lang w:val="en-GB"/>
                    </w:rPr>
                    <w:t xml:space="preserve">costs of road accidents, injuries and fatalities incurred over the whole </w:t>
                  </w:r>
                  <w:r w:rsidRPr="0045151D">
                    <w:rPr>
                      <w:rFonts w:ascii="Calibri" w:eastAsia="Calibri" w:hAnsi="Calibri" w:cs="Calibri"/>
                      <w:color w:val="4F81BD"/>
                      <w:sz w:val="18"/>
                      <w:szCs w:val="18"/>
                      <w:lang w:val="en-GB"/>
                    </w:rPr>
                    <w:b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analysis period, in PLN,</w:t>
                  </w:r>
                </w:p>
                <w:p w14:paraId="56DC9735"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 xml:space="preserve">zt                     </w:t>
                  </w:r>
                  <w:r w:rsidRPr="0045151D">
                    <w:rPr>
                      <w:rFonts w:ascii="Calibri" w:eastAsia="Calibri" w:hAnsi="Calibri" w:cs="Calibri"/>
                      <w:color w:val="4F81BD"/>
                      <w:sz w:val="18"/>
                      <w:szCs w:val="18"/>
                      <w:lang w:val="en-GB"/>
                    </w:rPr>
                    <w:t>–</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unit costs of fatalities in the year, in PLN.</w:t>
                  </w:r>
                </w:p>
                <w:p w14:paraId="67A1B646"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i/>
                      <w:color w:val="4F81BD"/>
                      <w:sz w:val="18"/>
                      <w:szCs w:val="18"/>
                      <w:vertAlign w:val="subscript"/>
                      <w:lang w:val="en-GB"/>
                    </w:rPr>
                    <w:t>rt</w:t>
                  </w:r>
                  <w:r w:rsidRPr="0045151D">
                    <w:rPr>
                      <w:rFonts w:ascii="Calibri" w:eastAsia="Calibri" w:hAnsi="Calibri" w:cs="Calibri"/>
                      <w:color w:val="4F81BD"/>
                      <w:sz w:val="18"/>
                      <w:szCs w:val="18"/>
                      <w:lang w:val="en-GB"/>
                    </w:rP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unit costs of slightly injured in the year, in PLN,</w:t>
                  </w:r>
                </w:p>
                <w:p w14:paraId="41DA9C75"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crt</w:t>
                  </w:r>
                  <w:r w:rsidRPr="0045151D">
                    <w:rPr>
                      <w:rFonts w:ascii="Calibri" w:eastAsia="Calibri" w:hAnsi="Calibri" w:cs="Calibri"/>
                      <w:color w:val="4F81BD"/>
                      <w:sz w:val="18"/>
                      <w:szCs w:val="18"/>
                      <w:lang w:val="en-GB"/>
                    </w:rPr>
                    <w:t xml:space="preserve">             – unit costs of seriously injured in the year, in PLN,</w:t>
                  </w:r>
                </w:p>
                <w:p w14:paraId="7AB10619"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mt</w:t>
                  </w:r>
                  <w:r w:rsidRPr="0045151D">
                    <w:rPr>
                      <w:rFonts w:ascii="Calibri" w:eastAsia="Calibri" w:hAnsi="Calibri" w:cs="Calibri"/>
                      <w:color w:val="4F81BD"/>
                      <w:sz w:val="18"/>
                      <w:szCs w:val="18"/>
                      <w:lang w:val="en-GB"/>
                    </w:rPr>
                    <w:t xml:space="preserve">             – unit cost of material losses in the year, in PLN,</w:t>
                  </w:r>
                </w:p>
                <w:p w14:paraId="7443E5DD"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w:t>
                  </w:r>
                  <w:r w:rsidRPr="0045151D">
                    <w:rPr>
                      <w:rFonts w:ascii="Calibri" w:eastAsia="Calibri" w:hAnsi="Calibri" w:cs="Calibri"/>
                      <w:color w:val="4F81BD"/>
                      <w:sz w:val="18"/>
                      <w:szCs w:val="18"/>
                      <w:vertAlign w:val="subscript"/>
                      <w:lang w:val="en-GB"/>
                    </w:rPr>
                    <w:t xml:space="preserve">zt                     </w:t>
                  </w:r>
                  <w:r w:rsidRPr="0045151D">
                    <w:rPr>
                      <w:rFonts w:ascii="Calibri" w:eastAsia="Calibri" w:hAnsi="Calibri" w:cs="Calibri"/>
                      <w:color w:val="4F81BD"/>
                      <w:sz w:val="18"/>
                      <w:szCs w:val="18"/>
                      <w:lang w:val="en-GB"/>
                    </w:rPr>
                    <w:t>– number of fatalities in the year,</w:t>
                  </w:r>
                </w:p>
                <w:p w14:paraId="6BD647FE"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w:t>
                  </w:r>
                  <w:r w:rsidRPr="0045151D">
                    <w:rPr>
                      <w:rFonts w:ascii="Calibri" w:eastAsia="Calibri" w:hAnsi="Calibri" w:cs="Calibri"/>
                      <w:color w:val="4F81BD"/>
                      <w:sz w:val="18"/>
                      <w:szCs w:val="18"/>
                      <w:vertAlign w:val="subscript"/>
                      <w:lang w:val="en-GB"/>
                    </w:rPr>
                    <w:t>lrt</w:t>
                  </w:r>
                  <w:r w:rsidRPr="0045151D">
                    <w:rPr>
                      <w:rFonts w:ascii="Calibri" w:eastAsia="Calibri" w:hAnsi="Calibri" w:cs="Calibri"/>
                      <w:color w:val="4F81BD"/>
                      <w:sz w:val="18"/>
                      <w:szCs w:val="18"/>
                      <w:lang w:val="en-GB"/>
                    </w:rPr>
                    <w:t xml:space="preserve"> </w:t>
                  </w:r>
                  <w:r w:rsidRPr="0045151D">
                    <w:rPr>
                      <w:rFonts w:ascii="Calibri" w:eastAsia="Calibri" w:hAnsi="Calibri" w:cs="Calibri"/>
                      <w:color w:val="4F81BD"/>
                      <w:sz w:val="18"/>
                      <w:szCs w:val="18"/>
                      <w:vertAlign w:val="subscript"/>
                      <w:lang w:val="en-GB"/>
                    </w:rPr>
                    <w:t xml:space="preserve">                   </w:t>
                  </w:r>
                  <w:r w:rsidRPr="0045151D">
                    <w:rPr>
                      <w:rFonts w:ascii="Calibri" w:eastAsia="Calibri" w:hAnsi="Calibri" w:cs="Calibri"/>
                      <w:color w:val="4F81BD"/>
                      <w:sz w:val="18"/>
                      <w:szCs w:val="18"/>
                      <w:lang w:val="en-GB"/>
                    </w:rPr>
                    <w:t>– number of slightly injured in the year,</w:t>
                  </w:r>
                </w:p>
                <w:p w14:paraId="1694CD18"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w:t>
                  </w:r>
                  <w:r w:rsidRPr="0045151D">
                    <w:rPr>
                      <w:rFonts w:ascii="Calibri" w:eastAsia="Calibri" w:hAnsi="Calibri" w:cs="Calibri"/>
                      <w:color w:val="4F81BD"/>
                      <w:sz w:val="18"/>
                      <w:szCs w:val="18"/>
                      <w:vertAlign w:val="subscript"/>
                      <w:lang w:val="en-GB"/>
                    </w:rPr>
                    <w:t xml:space="preserve">crt                    </w:t>
                  </w:r>
                  <w:r w:rsidRPr="0045151D">
                    <w:rPr>
                      <w:rFonts w:ascii="Calibri" w:eastAsia="Calibri" w:hAnsi="Calibri" w:cs="Calibri"/>
                      <w:color w:val="4F81BD"/>
                      <w:sz w:val="18"/>
                      <w:szCs w:val="18"/>
                      <w:lang w:val="en-GB"/>
                    </w:rPr>
                    <w:t>– number of seriously injured in the year,</w:t>
                  </w:r>
                </w:p>
                <w:p w14:paraId="658CC1E5"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w:t>
                  </w:r>
                  <w:r w:rsidRPr="0045151D">
                    <w:rPr>
                      <w:rFonts w:ascii="Calibri" w:eastAsia="Calibri" w:hAnsi="Calibri" w:cs="Calibri"/>
                      <w:i/>
                      <w:color w:val="4F81BD"/>
                      <w:sz w:val="18"/>
                      <w:szCs w:val="18"/>
                      <w:vertAlign w:val="subscript"/>
                      <w:lang w:val="en-GB"/>
                    </w:rPr>
                    <w:t>mt</w:t>
                  </w:r>
                  <w:r w:rsidRPr="0045151D">
                    <w:rPr>
                      <w:rFonts w:ascii="Calibri" w:eastAsia="Calibri" w:hAnsi="Calibri" w:cs="Calibri"/>
                      <w:i/>
                      <w:color w:val="4F81BD"/>
                      <w:sz w:val="18"/>
                      <w:szCs w:val="18"/>
                      <w:lang w:val="en-GB"/>
                    </w:rPr>
                    <w:t xml:space="preserve">            </w:t>
                  </w:r>
                  <w:r w:rsidRPr="0045151D">
                    <w:rPr>
                      <w:rFonts w:ascii="Calibri" w:eastAsia="Calibri" w:hAnsi="Calibri" w:cs="Calibri"/>
                      <w:i/>
                      <w:color w:val="4F81BD"/>
                      <w:sz w:val="18"/>
                      <w:szCs w:val="18"/>
                      <w:vertAlign w:val="superscript"/>
                      <w:lang w:val="en-GB"/>
                    </w:rPr>
                    <w:t xml:space="preserve"> </w:t>
                  </w:r>
                  <w:r w:rsidRPr="0045151D">
                    <w:rPr>
                      <w:rFonts w:ascii="Calibri" w:eastAsia="Calibri" w:hAnsi="Calibri" w:cs="Calibri"/>
                      <w:i/>
                      <w:color w:val="4F81BD"/>
                      <w:sz w:val="18"/>
                      <w:szCs w:val="18"/>
                      <w:lang w:val="en-GB"/>
                    </w:rPr>
                    <w:t xml:space="preserve"> </w:t>
                  </w:r>
                  <w:r w:rsidRPr="0045151D">
                    <w:rPr>
                      <w:rFonts w:ascii="Calibri" w:eastAsia="Calibri" w:hAnsi="Calibri" w:cs="Calibri"/>
                      <w:color w:val="4F81BD"/>
                      <w:sz w:val="18"/>
                      <w:szCs w:val="18"/>
                      <w:lang w:val="en-GB"/>
                    </w:rPr>
                    <w:t>– number of traffic accidents with material damage in the year,</w:t>
                  </w:r>
                </w:p>
                <w:p w14:paraId="63F76686" w14:textId="77777777" w:rsidR="00600DEE" w:rsidRPr="0045151D" w:rsidRDefault="00641FB5" w:rsidP="00B10112">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t</w:t>
                  </w:r>
                  <w:r w:rsidRPr="0045151D">
                    <w:rPr>
                      <w:rFonts w:ascii="Calibri" w:eastAsia="Calibri" w:hAnsi="Calibri" w:cs="Calibri"/>
                      <w:color w:val="4F81BD"/>
                      <w:sz w:val="18"/>
                      <w:szCs w:val="18"/>
                      <w:vertAlign w:val="subscript"/>
                      <w:lang w:val="en-GB"/>
                    </w:rPr>
                    <w:t xml:space="preserve">                          </w:t>
                  </w:r>
                  <w:r w:rsidRPr="0045151D">
                    <w:rPr>
                      <w:rFonts w:ascii="Calibri" w:eastAsia="Calibri" w:hAnsi="Calibri" w:cs="Calibri"/>
                      <w:color w:val="4F81BD"/>
                      <w:sz w:val="18"/>
                      <w:szCs w:val="18"/>
                      <w:lang w:val="en-GB"/>
                    </w:rPr>
                    <w:t xml:space="preserve">– number of the year of the analysis period (being n=25). </w:t>
                  </w:r>
                </w:p>
                <w:p w14:paraId="252517F2" w14:textId="77777777" w:rsidR="00600DEE" w:rsidRPr="0045151D" w:rsidRDefault="00600DEE">
                  <w:pPr>
                    <w:pBdr>
                      <w:top w:val="nil"/>
                      <w:left w:val="nil"/>
                      <w:bottom w:val="nil"/>
                      <w:right w:val="nil"/>
                      <w:between w:val="nil"/>
                    </w:pBdr>
                    <w:spacing w:before="40" w:after="40"/>
                    <w:jc w:val="right"/>
                    <w:rPr>
                      <w:rFonts w:ascii="Calibri" w:eastAsia="Calibri" w:hAnsi="Calibri" w:cs="Calibri"/>
                      <w:color w:val="4F81BD"/>
                      <w:sz w:val="18"/>
                      <w:szCs w:val="18"/>
                      <w:lang w:val="en-GB"/>
                    </w:rPr>
                  </w:pPr>
                </w:p>
              </w:tc>
            </w:tr>
          </w:tbl>
          <w:p w14:paraId="7733664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09E7BC6A" w14:textId="0BF5AF42"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Two simplified methods for accident costs estimations are proposed together with their respective calculation method described in Appendix E. </w:t>
            </w:r>
            <w:r w:rsidRPr="0045151D">
              <w:rPr>
                <w:rFonts w:ascii="Calibri" w:eastAsia="Calibri" w:hAnsi="Calibri" w:cs="Calibri"/>
                <w:b/>
                <w:color w:val="000000"/>
                <w:sz w:val="20"/>
                <w:szCs w:val="20"/>
                <w:lang w:val="en-GB"/>
              </w:rPr>
              <w:t>Both methods should be used only for CBA purposes for non-urban roads</w:t>
            </w:r>
            <w:r w:rsidR="00CB25CC" w:rsidRPr="00CB25CC">
              <w:rPr>
                <w:rFonts w:ascii="Calibri" w:eastAsia="Calibri" w:hAnsi="Calibri" w:cs="Calibri"/>
                <w:b/>
                <w:color w:val="000000"/>
                <w:sz w:val="20"/>
                <w:szCs w:val="20"/>
                <w:vertAlign w:val="superscript"/>
                <w:lang w:val="en-US"/>
              </w:rPr>
              <w:t>10</w:t>
            </w:r>
            <w:r w:rsidRPr="0045151D">
              <w:rPr>
                <w:rFonts w:ascii="Calibri" w:eastAsia="Calibri" w:hAnsi="Calibri" w:cs="Calibri"/>
                <w:color w:val="000000"/>
                <w:sz w:val="20"/>
                <w:szCs w:val="20"/>
                <w:lang w:val="en-GB"/>
              </w:rPr>
              <w:t>, single and dual carriageways of a length of about 10 km or more and by-passes. For urban roads with public t</w:t>
            </w:r>
            <w:r w:rsidR="00CB25CC">
              <w:rPr>
                <w:rFonts w:ascii="Calibri" w:eastAsia="Calibri" w:hAnsi="Calibri" w:cs="Calibri"/>
                <w:color w:val="000000"/>
                <w:sz w:val="20"/>
                <w:szCs w:val="20"/>
                <w:lang w:val="en-GB"/>
              </w:rPr>
              <w:t>ransport</w:t>
            </w:r>
            <w:r w:rsidRPr="0045151D">
              <w:rPr>
                <w:rFonts w:ascii="Calibri" w:eastAsia="Calibri" w:hAnsi="Calibri" w:cs="Calibri"/>
                <w:color w:val="000000"/>
                <w:sz w:val="20"/>
                <w:szCs w:val="20"/>
                <w:lang w:val="en-GB"/>
              </w:rPr>
              <w:t xml:space="preserve"> please refer to ‘’Public Transport Blue Book’’.</w:t>
            </w:r>
          </w:p>
          <w:p w14:paraId="1A33E37C" w14:textId="2596B2BE"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Both methods are based on the national Road Safety indicators forecasting method (RS indicat</w:t>
            </w:r>
            <w:r w:rsidR="00CB25CC">
              <w:rPr>
                <w:rFonts w:ascii="Calibri" w:eastAsia="Calibri" w:hAnsi="Calibri" w:cs="Calibri"/>
                <w:color w:val="000000"/>
                <w:sz w:val="20"/>
                <w:szCs w:val="20"/>
                <w:lang w:val="en-GB"/>
              </w:rPr>
              <w:t>ors method) developed under the</w:t>
            </w:r>
            <w:r w:rsidRPr="0045151D">
              <w:rPr>
                <w:rFonts w:ascii="Calibri" w:eastAsia="Calibri" w:hAnsi="Calibri" w:cs="Calibri"/>
                <w:color w:val="000000"/>
                <w:sz w:val="20"/>
                <w:szCs w:val="20"/>
                <w:lang w:val="en-GB"/>
              </w:rPr>
              <w:t xml:space="preserve"> 2012 GDDKiA-commissioned research project carried out by a consortium of the Foundation for Development of Civil Engineering in Gdansk, Gdansk University of Technology and Cracow University of Technology.</w:t>
            </w:r>
          </w:p>
          <w:p w14:paraId="53AACFA2" w14:textId="6095D11E"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first proposed method is based on calculation of probability parameters (i.e. accidents per veh-km) and accident severity factors per type of event (fatalities, slightly injured, seriously injured), all depending on the type of road. Appendix E</w:t>
            </w:r>
            <w:r w:rsidRPr="0045151D">
              <w:rPr>
                <w:rFonts w:ascii="Calibri" w:eastAsia="Calibri" w:hAnsi="Calibri" w:cs="Calibri"/>
                <w:color w:val="222222"/>
                <w:sz w:val="20"/>
                <w:szCs w:val="20"/>
                <w:lang w:val="en-GB"/>
              </w:rPr>
              <w:t xml:space="preserve">  describes the method application and presents (i) the tables with Rel</w:t>
            </w:r>
            <w:r w:rsidR="00CB25CC">
              <w:rPr>
                <w:rFonts w:ascii="Calibri" w:eastAsia="Calibri" w:hAnsi="Calibri" w:cs="Calibri"/>
                <w:color w:val="222222"/>
                <w:sz w:val="20"/>
                <w:szCs w:val="20"/>
                <w:lang w:val="en-GB"/>
              </w:rPr>
              <w:t>ative Accident Indicators (RAI)</w:t>
            </w:r>
            <w:r w:rsidRPr="0045151D">
              <w:rPr>
                <w:rFonts w:ascii="Calibri" w:eastAsia="Calibri" w:hAnsi="Calibri" w:cs="Calibri"/>
                <w:color w:val="222222"/>
                <w:sz w:val="20"/>
                <w:szCs w:val="20"/>
                <w:lang w:val="en-GB"/>
              </w:rPr>
              <w:t>, based on RS indicators meth</w:t>
            </w:r>
            <w:r w:rsidR="00CB25CC">
              <w:rPr>
                <w:rFonts w:ascii="Calibri" w:eastAsia="Calibri" w:hAnsi="Calibri" w:cs="Calibri"/>
                <w:color w:val="222222"/>
                <w:sz w:val="20"/>
                <w:szCs w:val="20"/>
                <w:lang w:val="en-GB"/>
              </w:rPr>
              <w:t>od (see below);</w:t>
            </w:r>
            <w:r w:rsidRPr="0045151D">
              <w:rPr>
                <w:rFonts w:ascii="Calibri" w:eastAsia="Calibri" w:hAnsi="Calibri" w:cs="Calibri"/>
                <w:color w:val="222222"/>
                <w:sz w:val="20"/>
                <w:szCs w:val="20"/>
                <w:lang w:val="en-GB"/>
              </w:rPr>
              <w:t xml:space="preserve"> and (ii) accident severity factors calculated based on the latest research results.</w:t>
            </w:r>
          </w:p>
          <w:p w14:paraId="5AEC4D8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222222"/>
                <w:sz w:val="20"/>
                <w:szCs w:val="20"/>
                <w:lang w:val="en-GB"/>
              </w:rPr>
              <w:t>The second method (RS indicators), is a direct simplification of the</w:t>
            </w:r>
            <w:r w:rsidRPr="0045151D">
              <w:rPr>
                <w:rFonts w:ascii="Calibri" w:eastAsia="Calibri" w:hAnsi="Calibri" w:cs="Calibri"/>
                <w:color w:val="000000"/>
                <w:sz w:val="20"/>
                <w:szCs w:val="20"/>
                <w:lang w:val="en-GB"/>
              </w:rPr>
              <w:t xml:space="preserve"> Road Safety indicators forecasting method </w:t>
            </w:r>
            <w:r w:rsidRPr="0045151D">
              <w:rPr>
                <w:rFonts w:ascii="Calibri" w:eastAsia="Calibri" w:hAnsi="Calibri" w:cs="Calibri"/>
                <w:color w:val="222222"/>
                <w:sz w:val="20"/>
                <w:szCs w:val="20"/>
                <w:lang w:val="en-GB"/>
              </w:rPr>
              <w:t>developed under the GDDKiA comissionned research referred above. In this method, the concept of RS indicators was introduced which refers to the social losses (the number of accidents, the number of</w:t>
            </w:r>
            <w:r w:rsidRPr="0045151D">
              <w:rPr>
                <w:rFonts w:ascii="Calibri" w:eastAsia="Calibri" w:hAnsi="Calibri" w:cs="Calibri"/>
                <w:color w:val="000000"/>
                <w:sz w:val="20"/>
                <w:szCs w:val="20"/>
                <w:lang w:val="en-GB"/>
              </w:rPr>
              <w:t xml:space="preserve"> slightly </w:t>
            </w:r>
            <w:r w:rsidRPr="0045151D">
              <w:rPr>
                <w:rFonts w:ascii="Calibri" w:eastAsia="Calibri" w:hAnsi="Calibri" w:cs="Calibri"/>
                <w:color w:val="222222"/>
                <w:sz w:val="20"/>
                <w:szCs w:val="20"/>
                <w:lang w:val="en-GB"/>
              </w:rPr>
              <w:t>injured, the number of seriously injured, the number of fatalities). Details of the method and simplified tables with the respective indicators for calculations are also included in Appendix E.</w:t>
            </w:r>
          </w:p>
          <w:p w14:paraId="3667C99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All individual economic unit costs of accidents (slightly injured, seriously injured, fatalities and material losses) are provided in Appendix A - Economic and financial unit costs. The forecasted evolution of these unit costs is also presented in this Appendix.</w:t>
            </w:r>
          </w:p>
          <w:p w14:paraId="46AD04D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Some data sources (e.g. GUS statistics) do not distinguish between slightly and seriously injured. In this case, the respective unit costs provided in Appendix A could be averaged, based on police data concerning the shares of heavy and slight injuries in road accidents.</w:t>
            </w:r>
            <w:r w:rsidRPr="0045151D">
              <w:rPr>
                <w:rFonts w:ascii="Arial" w:eastAsia="Arial" w:hAnsi="Arial" w:cs="Arial"/>
                <w:color w:val="000000"/>
                <w:sz w:val="20"/>
                <w:szCs w:val="20"/>
                <w:lang w:val="en-GB"/>
              </w:rPr>
              <w:t xml:space="preserve"> </w:t>
            </w:r>
            <w:r w:rsidRPr="0045151D">
              <w:rPr>
                <w:rFonts w:ascii="Calibri" w:eastAsia="Calibri" w:hAnsi="Calibri" w:cs="Calibri"/>
                <w:color w:val="000000"/>
                <w:sz w:val="20"/>
                <w:szCs w:val="20"/>
                <w:lang w:val="en-GB"/>
              </w:rPr>
              <w:t xml:space="preserve">Such data is also available on the website of National Road Safety council, </w:t>
            </w:r>
            <w:hyperlink r:id="rId125">
              <w:r w:rsidRPr="0045151D">
                <w:rPr>
                  <w:rFonts w:ascii="Calibri" w:eastAsia="Calibri" w:hAnsi="Calibri" w:cs="Calibri"/>
                  <w:color w:val="0000FF"/>
                  <w:sz w:val="20"/>
                  <w:szCs w:val="20"/>
                  <w:u w:val="single"/>
                  <w:lang w:val="en-GB"/>
                </w:rPr>
                <w:t>https://www.krbrd.gov.pl/baza-wiedzy/raporty-o-stanie-brd/</w:t>
              </w:r>
            </w:hyperlink>
          </w:p>
          <w:p w14:paraId="769E756D"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3A27FD9E" w14:textId="20156EA2" w:rsidR="00600DEE" w:rsidRDefault="00641FB5" w:rsidP="00D5736B">
      <w:pPr>
        <w:pStyle w:val="Nagwek3"/>
        <w:numPr>
          <w:ilvl w:val="2"/>
          <w:numId w:val="17"/>
        </w:numPr>
        <w:ind w:left="0" w:firstLine="0"/>
        <w:rPr>
          <w:rFonts w:ascii="Calibri" w:eastAsia="Calibri" w:hAnsi="Calibri" w:cs="Calibri"/>
          <w:color w:val="4F81BD"/>
        </w:rPr>
      </w:pPr>
      <w:bookmarkStart w:id="70" w:name="_Toc95377989"/>
      <w:r>
        <w:rPr>
          <w:rFonts w:ascii="Calibri" w:eastAsia="Calibri" w:hAnsi="Calibri" w:cs="Calibri"/>
          <w:color w:val="4F81BD"/>
        </w:rPr>
        <w:t>Koszty zanieczyszczenia powietrza</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2.1.4</w:t>
      </w:r>
      <w:r>
        <w:rPr>
          <w:rFonts w:ascii="Calibri" w:eastAsia="Calibri" w:hAnsi="Calibri" w:cs="Calibri"/>
          <w:color w:val="4F81BD"/>
        </w:rPr>
        <w:t xml:space="preserve">   </w:t>
      </w:r>
      <w:r>
        <w:rPr>
          <w:rFonts w:ascii="Calibri" w:eastAsia="Calibri" w:hAnsi="Calibri" w:cs="Calibri"/>
          <w:i/>
          <w:color w:val="4F81BD"/>
        </w:rPr>
        <w:t>Air pollution costs</w:t>
      </w:r>
      <w:bookmarkEnd w:id="70"/>
      <w:r>
        <w:rPr>
          <w:rFonts w:ascii="Calibri" w:eastAsia="Calibri" w:hAnsi="Calibri" w:cs="Calibri"/>
          <w:color w:val="4F81BD"/>
        </w:rPr>
        <w:t xml:space="preserve"> </w:t>
      </w:r>
    </w:p>
    <w:tbl>
      <w:tblPr>
        <w:tblStyle w:val="affffd"/>
        <w:tblW w:w="14571" w:type="dxa"/>
        <w:tblLayout w:type="fixed"/>
        <w:tblLook w:val="0400" w:firstRow="0" w:lastRow="0" w:firstColumn="0" w:lastColumn="0" w:noHBand="0" w:noVBand="1"/>
      </w:tblPr>
      <w:tblGrid>
        <w:gridCol w:w="7096"/>
        <w:gridCol w:w="7475"/>
      </w:tblGrid>
      <w:tr w:rsidR="00600DEE" w14:paraId="3F30450F" w14:textId="77777777">
        <w:tc>
          <w:tcPr>
            <w:tcW w:w="7096" w:type="dxa"/>
            <w:tcBorders>
              <w:right w:val="single" w:sz="4" w:space="0" w:color="000000"/>
            </w:tcBorders>
            <w:tcMar>
              <w:left w:w="284" w:type="dxa"/>
              <w:right w:w="284" w:type="dxa"/>
            </w:tcMar>
          </w:tcPr>
          <w:p w14:paraId="2B3957BD" w14:textId="1401D985"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zanieczyszczenia powietrza dla wszystkich wariantów (W0 i Wn) to łączne koszty generowane przez wszystkie pojazdy poruszające się po drogach będących przedmiotem analizy. Na koszty zanieczyszczenia powietrza składają się koszty związane z oddziaływaniem transportu na środowisko naturalne, obejmujące</w:t>
            </w:r>
            <w:r w:rsidR="00CB25CC">
              <w:rPr>
                <w:rFonts w:ascii="Calibri" w:eastAsia="Calibri" w:hAnsi="Calibri" w:cs="Calibri"/>
                <w:color w:val="000000"/>
                <w:sz w:val="20"/>
                <w:szCs w:val="20"/>
                <w:vertAlign w:val="superscript"/>
              </w:rPr>
              <w:t>11</w:t>
            </w:r>
            <w:r>
              <w:rPr>
                <w:rFonts w:ascii="Calibri" w:eastAsia="Calibri" w:hAnsi="Calibri" w:cs="Calibri"/>
                <w:color w:val="000000"/>
                <w:sz w:val="20"/>
                <w:szCs w:val="20"/>
              </w:rPr>
              <w:t>:</w:t>
            </w:r>
          </w:p>
          <w:p w14:paraId="51E7B01F"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przede wszystkim ujemny wpływ na zdrowie ludzkie (schorzenia układu sercowo-naczyniowego oraz układu oddechowego),</w:t>
            </w:r>
          </w:p>
          <w:p w14:paraId="405C7386"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bookmarkStart w:id="71" w:name="_heading=h.2zbgiuw" w:colFirst="0" w:colLast="0"/>
            <w:bookmarkEnd w:id="71"/>
            <w:r>
              <w:rPr>
                <w:rFonts w:ascii="Calibri" w:eastAsia="Calibri" w:hAnsi="Calibri" w:cs="Calibri"/>
                <w:color w:val="000000"/>
                <w:sz w:val="20"/>
                <w:szCs w:val="20"/>
              </w:rPr>
              <w:t>straty w uprawach, negatywny wpływ na uprawy rolnicze prowadzące do obniżenia plonów,</w:t>
            </w:r>
          </w:p>
          <w:p w14:paraId="35C8A27D"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straty materialne (uszkodzenia budynków i obiektów),</w:t>
            </w:r>
          </w:p>
          <w:p w14:paraId="6D0E61D6" w14:textId="77777777" w:rsidR="00600DEE" w:rsidRDefault="00641FB5" w:rsidP="00D5736B">
            <w:pPr>
              <w:numPr>
                <w:ilvl w:val="0"/>
                <w:numId w:val="8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szkody środowiskowe (negatywny wpływ na bioróżnorodność i ekosystemy).</w:t>
            </w:r>
          </w:p>
          <w:p w14:paraId="5BCC331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Do najistotniejszych zanieczyszczeń powietrza związanych z transportem zalicza się pyły (PM10, PM2.5), tlenki azotu (NOx), dwutlenek siarki (SO</w:t>
            </w:r>
            <w:r>
              <w:rPr>
                <w:rFonts w:ascii="Calibri" w:eastAsia="Calibri" w:hAnsi="Calibri" w:cs="Calibri"/>
                <w:color w:val="000000"/>
                <w:sz w:val="20"/>
                <w:szCs w:val="20"/>
                <w:vertAlign w:val="subscript"/>
              </w:rPr>
              <w:t>2</w:t>
            </w:r>
            <w:r>
              <w:rPr>
                <w:rFonts w:ascii="Calibri" w:eastAsia="Calibri" w:hAnsi="Calibri" w:cs="Calibri"/>
                <w:color w:val="000000"/>
                <w:sz w:val="20"/>
                <w:szCs w:val="20"/>
              </w:rPr>
              <w:t>), niemetanowe lotne związki organiczne (NMVOC). Gazy cieplarniane (GHG) nie są uwzględniane w grupie kosztów związanych z zanieczyszczeniami powietrza, gdyż nie mają właściwości toksycznych. Wszystkie natomiast zostały uwzględnione w kosztach związanych ze zmianami klimatu opisanymi poniżej.</w:t>
            </w:r>
          </w:p>
          <w:p w14:paraId="43D01BC5" w14:textId="515C784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72" w:name="_heading=h.1egqt2p" w:colFirst="0" w:colLast="0"/>
            <w:bookmarkEnd w:id="72"/>
            <w:r>
              <w:rPr>
                <w:rFonts w:ascii="Calibri" w:eastAsia="Calibri" w:hAnsi="Calibri" w:cs="Calibri"/>
                <w:color w:val="000000"/>
                <w:sz w:val="20"/>
                <w:szCs w:val="20"/>
              </w:rPr>
              <w:t>Podstawą obliczenia kosztów zanieczyszczenia powietrza są jednostkowe koszty ekonomiczne zanieczyszczenia powietrza. Koszty te są bezpośrednio związane z eksploatacją pojazdów (głównie o napędzie spalinowym)</w:t>
            </w:r>
            <w:r w:rsidR="00CB25CC" w:rsidRPr="00CB25CC">
              <w:rPr>
                <w:rFonts w:ascii="Calibri" w:eastAsia="Calibri" w:hAnsi="Calibri" w:cs="Calibri"/>
                <w:color w:val="000000"/>
                <w:sz w:val="20"/>
                <w:szCs w:val="20"/>
                <w:vertAlign w:val="superscript"/>
              </w:rPr>
              <w:t>12</w:t>
            </w:r>
            <w:r>
              <w:rPr>
                <w:rFonts w:ascii="Calibri" w:eastAsia="Calibri" w:hAnsi="Calibri" w:cs="Calibri"/>
                <w:color w:val="000000"/>
                <w:sz w:val="20"/>
                <w:szCs w:val="20"/>
                <w:vertAlign w:val="superscript"/>
              </w:rPr>
              <w:t xml:space="preserve"> </w:t>
            </w:r>
            <w:r>
              <w:rPr>
                <w:rFonts w:ascii="Calibri" w:eastAsia="Calibri" w:hAnsi="Calibri" w:cs="Calibri"/>
                <w:color w:val="000000"/>
                <w:sz w:val="20"/>
                <w:szCs w:val="20"/>
              </w:rPr>
              <w:t>i zależą od typów pojazdów, stanu drogi, nachylenia podłużnego drogi oraz jej lokalizacji (droga miejska lub zamiejska). Jednostkowe koszty ekonomiczne zanieczyszczenia powietrza (w podziale na takie same kategorie pojazdów, jak w przypadku kosztów eksploatacji) są podane w załączniku A – Jednostkowe koszty finansowe i ekonomiczne, wyliczone w oparciu o Podręcznik zewnętrznych kosztów transportu, wersja 2019. Dla uproszczenia nie rozróżnia się ich ze względu na zakresy prędkości. W rozdziale poświęconym kosztom eksploatacji pojazdów opisano założenia dla aktualnego składu floty pojazdów drogowych z uwzględnieniem jego spodziewanej ewolucji. Założenia te w całości mają również zastosowanie do obliczeń w zakresie zanieczyszczenia powietrza. W załączniku A podano właściwe koszty jednostkowe zanieczyszczenia powietrza wraz z zasadami ich obliczania.</w:t>
            </w:r>
          </w:p>
          <w:p w14:paraId="21C6336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te podlegają indeksacji. Zmienność kosztów jednostkowych zanieczyszczenia powietrza w czasie przedstawiono w załączniku A.</w:t>
            </w:r>
          </w:p>
          <w:p w14:paraId="4BAFB4C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73" w:name="_heading=h.3ygebqi" w:colFirst="0" w:colLast="0"/>
            <w:bookmarkEnd w:id="73"/>
            <w:r>
              <w:rPr>
                <w:rFonts w:ascii="Calibri" w:eastAsia="Calibri" w:hAnsi="Calibri" w:cs="Calibri"/>
                <w:color w:val="000000"/>
                <w:sz w:val="20"/>
                <w:szCs w:val="20"/>
              </w:rPr>
              <w:t>Koszty ekonomiczne zanieczyszczenia powietrza oblicza się z uwzględnieniem poszczególnych kategorii pojazdów, oddzielnie dla każdego wariantu i każdego roku analizy ekonomicznej zgodnie z prognozami ruchu dla wszystkich kategorii oddziaływań ekonomicznych.</w:t>
            </w:r>
          </w:p>
          <w:p w14:paraId="2EB77B35" w14:textId="77777777" w:rsidR="00600DEE" w:rsidRDefault="00600DEE">
            <w:pPr>
              <w:pBdr>
                <w:top w:val="nil"/>
                <w:left w:val="nil"/>
                <w:bottom w:val="nil"/>
                <w:right w:val="nil"/>
                <w:between w:val="nil"/>
              </w:pBdr>
              <w:spacing w:before="120"/>
              <w:jc w:val="both"/>
              <w:rPr>
                <w:rFonts w:ascii="Calibri" w:eastAsia="Calibri" w:hAnsi="Calibri" w:cs="Calibri"/>
                <w:b/>
                <w:color w:val="333399"/>
                <w:sz w:val="20"/>
                <w:szCs w:val="20"/>
              </w:rPr>
            </w:pPr>
          </w:p>
          <w:p w14:paraId="4FFE6137" w14:textId="5B6A3245" w:rsidR="00600DEE" w:rsidRDefault="00B10112">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20</w:t>
            </w:r>
            <w:r w:rsidR="00641FB5">
              <w:rPr>
                <w:rFonts w:ascii="Calibri" w:eastAsia="Calibri" w:hAnsi="Calibri" w:cs="Calibri"/>
                <w:b/>
                <w:color w:val="4F81BD"/>
                <w:sz w:val="20"/>
                <w:szCs w:val="20"/>
              </w:rPr>
              <w:t>. Wzory do obliczania kosztów zanieczyszczeń powietrza</w:t>
            </w:r>
          </w:p>
          <w:tbl>
            <w:tblPr>
              <w:tblStyle w:val="affffe"/>
              <w:tblW w:w="6557"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557"/>
            </w:tblGrid>
            <w:tr w:rsidR="00600DEE" w14:paraId="35A9BFE5" w14:textId="77777777" w:rsidTr="00CE2D79">
              <w:trPr>
                <w:trHeight w:hRule="exact" w:val="4536"/>
              </w:trPr>
              <w:tc>
                <w:tcPr>
                  <w:tcW w:w="6557" w:type="dxa"/>
                  <w:shd w:val="clear" w:color="auto" w:fill="D3E3F4"/>
                </w:tcPr>
                <w:p w14:paraId="6CE46753" w14:textId="77777777" w:rsidR="00600DEE" w:rsidRDefault="00600DEE">
                  <w:pPr>
                    <w:pBdr>
                      <w:top w:val="nil"/>
                      <w:left w:val="nil"/>
                      <w:bottom w:val="nil"/>
                      <w:right w:val="nil"/>
                      <w:between w:val="nil"/>
                    </w:pBdr>
                    <w:shd w:val="clear" w:color="auto" w:fill="DBE5F1"/>
                    <w:spacing w:before="120" w:after="40"/>
                    <w:jc w:val="center"/>
                    <w:rPr>
                      <w:rFonts w:ascii="Calibri" w:eastAsia="Calibri" w:hAnsi="Calibri" w:cs="Calibri"/>
                      <w:color w:val="4F81BD"/>
                      <w:sz w:val="18"/>
                      <w:szCs w:val="18"/>
                    </w:rPr>
                  </w:pPr>
                </w:p>
                <w:p w14:paraId="7D46650F" w14:textId="77777777" w:rsidR="00FF6918" w:rsidRPr="00A97395" w:rsidRDefault="00896BA3" w:rsidP="00FF6918">
                  <w:pPr>
                    <w:pStyle w:val="TableBullet1a"/>
                    <w:shd w:val="clear" w:color="auto" w:fill="DBE5F1" w:themeFill="accent1" w:themeFillTint="33"/>
                    <w:snapToGrid w:val="0"/>
                    <w:spacing w:before="40" w:after="40"/>
                    <w:jc w:val="center"/>
                    <w:rPr>
                      <w:rFonts w:asciiTheme="minorHAnsi" w:hAnsiTheme="minorHAnsi"/>
                      <w:color w:val="4F81BD" w:themeColor="accent1"/>
                      <w:szCs w:val="18"/>
                      <w:lang w:val="pl-PL"/>
                    </w:rPr>
                  </w:pPr>
                  <m:oMathPara>
                    <m:oMath>
                      <m:sSub>
                        <m:sSubPr>
                          <m:ctrlPr>
                            <w:rPr>
                              <w:rFonts w:ascii="Cambria Math" w:hAnsi="Cambria Math"/>
                              <w:i/>
                              <w:color w:val="4F81BD" w:themeColor="accent1"/>
                              <w:sz w:val="20"/>
                              <w:lang w:val="en-GB"/>
                            </w:rPr>
                          </m:ctrlPr>
                        </m:sSubPr>
                        <m:e>
                          <m:r>
                            <w:rPr>
                              <w:rFonts w:ascii="Cambria Math" w:hAnsi="Cambria Math"/>
                              <w:color w:val="4F81BD" w:themeColor="accent1"/>
                              <w:sz w:val="20"/>
                              <w:lang w:val="en-GB"/>
                            </w:rPr>
                            <m:t>K</m:t>
                          </m:r>
                        </m:e>
                        <m:sub>
                          <m:r>
                            <w:rPr>
                              <w:rFonts w:ascii="Cambria Math" w:hAnsi="Cambria Math"/>
                              <w:color w:val="4F81BD" w:themeColor="accent1"/>
                              <w:sz w:val="20"/>
                              <w:lang w:val="en-GB"/>
                            </w:rPr>
                            <m:t>Z</m:t>
                          </m:r>
                        </m:sub>
                      </m:sSub>
                      <m:r>
                        <w:rPr>
                          <w:rFonts w:ascii="Cambria Math" w:hAnsi="Cambria Math"/>
                          <w:color w:val="4F81BD" w:themeColor="accent1"/>
                          <w:sz w:val="20"/>
                          <w:lang w:val="en-GB"/>
                        </w:rPr>
                        <m:t>=365∙</m:t>
                      </m:r>
                      <m:nary>
                        <m:naryPr>
                          <m:chr m:val="∑"/>
                          <m:limLoc m:val="undOvr"/>
                          <m:ctrlPr>
                            <w:rPr>
                              <w:rFonts w:ascii="Cambria Math" w:hAnsi="Cambria Math"/>
                              <w:i/>
                              <w:color w:val="4F81BD" w:themeColor="accent1"/>
                              <w:sz w:val="20"/>
                              <w:lang w:val="en-GB"/>
                            </w:rPr>
                          </m:ctrlPr>
                        </m:naryPr>
                        <m:sub>
                          <m:r>
                            <w:rPr>
                              <w:rFonts w:ascii="Cambria Math" w:hAnsi="Cambria Math"/>
                              <w:color w:val="4F81BD" w:themeColor="accent1"/>
                              <w:sz w:val="20"/>
                              <w:lang w:val="en-GB"/>
                            </w:rPr>
                            <m:t>j=1</m:t>
                          </m:r>
                        </m:sub>
                        <m:sup>
                          <m:r>
                            <w:rPr>
                              <w:rFonts w:ascii="Cambria Math" w:hAnsi="Cambria Math"/>
                              <w:color w:val="4F81BD" w:themeColor="accent1"/>
                              <w:sz w:val="20"/>
                              <w:lang w:val="en-GB"/>
                            </w:rPr>
                            <m:t>2</m:t>
                          </m:r>
                        </m:sup>
                        <m:e>
                          <m:sSub>
                            <m:sSubPr>
                              <m:ctrlPr>
                                <w:rPr>
                                  <w:rFonts w:ascii="Cambria Math" w:hAnsi="Cambria Math"/>
                                  <w:i/>
                                  <w:color w:val="4F81BD" w:themeColor="accent1"/>
                                  <w:sz w:val="20"/>
                                  <w:lang w:val="en-GB"/>
                                </w:rPr>
                              </m:ctrlPr>
                            </m:sSubPr>
                            <m:e>
                              <m:r>
                                <w:rPr>
                                  <w:rFonts w:ascii="Cambria Math" w:hAnsi="Cambria Math"/>
                                  <w:color w:val="4F81BD" w:themeColor="accent1"/>
                                  <w:sz w:val="20"/>
                                  <w:lang w:val="en-GB"/>
                                </w:rPr>
                                <m:t>k</m:t>
                              </m:r>
                            </m:e>
                            <m:sub>
                              <m:r>
                                <w:rPr>
                                  <w:rFonts w:ascii="Cambria Math" w:hAnsi="Cambria Math"/>
                                  <w:color w:val="4F81BD" w:themeColor="accent1"/>
                                  <w:sz w:val="20"/>
                                  <w:lang w:val="en-GB"/>
                                </w:rPr>
                                <m:t>s,j</m:t>
                              </m:r>
                            </m:sub>
                          </m:sSub>
                          <m:d>
                            <m:dPr>
                              <m:ctrlPr>
                                <w:rPr>
                                  <w:rFonts w:ascii="Cambria Math" w:hAnsi="Cambria Math"/>
                                  <w:i/>
                                  <w:color w:val="4F81BD" w:themeColor="accent1"/>
                                  <w:sz w:val="20"/>
                                  <w:lang w:val="en-GB"/>
                                </w:rPr>
                              </m:ctrlPr>
                            </m:dPr>
                            <m:e>
                              <m:r>
                                <w:rPr>
                                  <w:rFonts w:ascii="Cambria Math" w:hAnsi="Cambria Math"/>
                                  <w:color w:val="4F81BD" w:themeColor="accent1"/>
                                  <w:sz w:val="20"/>
                                  <w:lang w:val="en-GB"/>
                                </w:rPr>
                                <m:t>T,S</m:t>
                              </m:r>
                            </m:e>
                          </m:d>
                          <m:r>
                            <w:rPr>
                              <w:rFonts w:ascii="Cambria Math" w:hAnsi="Cambria Math"/>
                              <w:color w:val="4F81BD" w:themeColor="accent1"/>
                              <w:sz w:val="20"/>
                              <w:lang w:val="en-GB"/>
                            </w:rPr>
                            <m:t>∙</m:t>
                          </m:r>
                          <m:sSubSup>
                            <m:sSubSupPr>
                              <m:ctrlPr>
                                <w:rPr>
                                  <w:rFonts w:ascii="Cambria Math" w:hAnsi="Cambria Math"/>
                                  <w:i/>
                                  <w:color w:val="4F81BD" w:themeColor="accent1"/>
                                  <w:sz w:val="20"/>
                                  <w:lang w:val="en-GB"/>
                                </w:rPr>
                              </m:ctrlPr>
                            </m:sSubSupPr>
                            <m:e>
                              <m:r>
                                <w:rPr>
                                  <w:rFonts w:ascii="Cambria Math" w:hAnsi="Cambria Math"/>
                                  <w:color w:val="4F81BD" w:themeColor="accent1"/>
                                  <w:sz w:val="20"/>
                                  <w:lang w:val="en-GB"/>
                                </w:rPr>
                                <m:t>W</m:t>
                              </m:r>
                            </m:e>
                            <m:sub>
                              <m:r>
                                <w:rPr>
                                  <w:rFonts w:ascii="Cambria Math" w:hAnsi="Cambria Math"/>
                                  <w:color w:val="4F81BD" w:themeColor="accent1"/>
                                  <w:sz w:val="20"/>
                                  <w:lang w:val="en-GB"/>
                                </w:rPr>
                                <m:t>j</m:t>
                              </m:r>
                            </m:sub>
                            <m:sup>
                              <m:r>
                                <w:rPr>
                                  <w:rFonts w:ascii="Cambria Math" w:hAnsi="Cambria Math"/>
                                  <w:color w:val="4F81BD" w:themeColor="accent1"/>
                                  <w:sz w:val="20"/>
                                  <w:lang w:val="en-GB"/>
                                </w:rPr>
                                <m:t>km</m:t>
                              </m:r>
                            </m:sup>
                          </m:sSubSup>
                        </m:e>
                      </m:nary>
                    </m:oMath>
                  </m:oMathPara>
                </w:p>
                <w:p w14:paraId="30585AD4"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gdzie:</w:t>
                  </w:r>
                </w:p>
                <w:p w14:paraId="48A135A8"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Z</w:t>
                  </w:r>
                  <w:r>
                    <w:rPr>
                      <w:rFonts w:ascii="Calibri" w:eastAsia="Calibri" w:hAnsi="Calibri" w:cs="Calibri"/>
                      <w:color w:val="4F81BD"/>
                      <w:sz w:val="18"/>
                      <w:szCs w:val="18"/>
                    </w:rPr>
                    <w:tab/>
                    <w:t xml:space="preserve">          – roczne koszty zanieczyszczeń powietrza, w PLN,</w:t>
                  </w:r>
                </w:p>
                <w:p w14:paraId="6B94422C"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 xml:space="preserve">j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 liczba kategorii pojazdów,</w:t>
                  </w:r>
                </w:p>
                <w:p w14:paraId="31BB9183"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s,j</w:t>
                  </w:r>
                  <w:r>
                    <w:rPr>
                      <w:rFonts w:ascii="Calibri" w:eastAsia="Calibri" w:hAnsi="Calibri" w:cs="Calibri"/>
                      <w:color w:val="4F81BD"/>
                      <w:sz w:val="18"/>
                      <w:szCs w:val="18"/>
                    </w:rPr>
                    <w:t>(,T,S)              – jednostkowe koszty  zanieczyszczeń powietrza dla kategorii pojazdów</w:t>
                  </w:r>
                  <w:r>
                    <w:rPr>
                      <w:rFonts w:ascii="Calibri" w:eastAsia="Calibri" w:hAnsi="Calibri" w:cs="Calibri"/>
                      <w:color w:val="4F81BD"/>
                      <w:sz w:val="18"/>
                      <w:szCs w:val="18"/>
                    </w:rPr>
                    <w:br/>
                    <w:t xml:space="preserve">                               samochodowych „j” w funkcji ukształtowania </w:t>
                  </w:r>
                  <w:r>
                    <w:rPr>
                      <w:rFonts w:ascii="Calibri" w:eastAsia="Calibri" w:hAnsi="Calibri" w:cs="Calibri"/>
                      <w:color w:val="4F81BD"/>
                      <w:sz w:val="18"/>
                      <w:szCs w:val="18"/>
                    </w:rPr>
                    <w:br/>
                    <w:t xml:space="preserve">                               terenu T i stanu technicznego nawierzchni S, w PLN/poj-km,</w:t>
                  </w:r>
                </w:p>
                <w:p w14:paraId="03CA2E6D"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SDR</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 średnioroczne dobowe natężenie ruchu dla kategorii pojazdów „j”, w</w:t>
                  </w:r>
                  <w:r>
                    <w:rPr>
                      <w:rFonts w:ascii="Calibri" w:eastAsia="Calibri" w:hAnsi="Calibri" w:cs="Calibri"/>
                      <w:color w:val="4F81BD"/>
                      <w:sz w:val="18"/>
                      <w:szCs w:val="18"/>
                    </w:rPr>
                    <w:br/>
                    <w:t xml:space="preserve">                               pojazdach/dobę,</w:t>
                  </w:r>
                </w:p>
                <w:p w14:paraId="7E63CB49"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L                          – długość odcinka drogi, w km,</w:t>
                  </w:r>
                </w:p>
                <w:p w14:paraId="557A987E"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W</w:t>
                  </w:r>
                  <w:r>
                    <w:rPr>
                      <w:rFonts w:ascii="Calibri" w:eastAsia="Calibri" w:hAnsi="Calibri" w:cs="Calibri"/>
                      <w:color w:val="4F81BD"/>
                      <w:sz w:val="18"/>
                      <w:szCs w:val="18"/>
                      <w:vertAlign w:val="superscript"/>
                    </w:rPr>
                    <w:t>km</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 praca przewozowa  dla pojazdów kategorii „j” w zależności od  </w:t>
                  </w:r>
                </w:p>
                <w:p w14:paraId="5B39060B" w14:textId="2095ACC2"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 xml:space="preserve">                               długości odcinka drogi w pojazdo</w:t>
                  </w:r>
                  <w:r w:rsidR="00B10112">
                    <w:rPr>
                      <w:rFonts w:ascii="Calibri" w:eastAsia="Calibri" w:hAnsi="Calibri" w:cs="Calibri"/>
                      <w:color w:val="4F81BD"/>
                      <w:sz w:val="18"/>
                      <w:szCs w:val="18"/>
                    </w:rPr>
                    <w:t>-</w:t>
                  </w:r>
                  <w:r>
                    <w:rPr>
                      <w:rFonts w:ascii="Calibri" w:eastAsia="Calibri" w:hAnsi="Calibri" w:cs="Calibri"/>
                      <w:color w:val="4F81BD"/>
                      <w:sz w:val="18"/>
                      <w:szCs w:val="18"/>
                    </w:rPr>
                    <w:t>kilometrach/dobę, W</w:t>
                  </w:r>
                  <w:r>
                    <w:rPr>
                      <w:rFonts w:ascii="Calibri" w:eastAsia="Calibri" w:hAnsi="Calibri" w:cs="Calibri"/>
                      <w:color w:val="4F81BD"/>
                      <w:sz w:val="18"/>
                      <w:szCs w:val="18"/>
                      <w:vertAlign w:val="superscript"/>
                    </w:rPr>
                    <w:t>km</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 L* SDR</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w:t>
                  </w:r>
                </w:p>
              </w:tc>
            </w:tr>
          </w:tbl>
          <w:p w14:paraId="4C337D3F"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tc>
        <w:tc>
          <w:tcPr>
            <w:tcW w:w="7475" w:type="dxa"/>
            <w:tcBorders>
              <w:left w:val="single" w:sz="4" w:space="0" w:color="000000"/>
            </w:tcBorders>
            <w:tcMar>
              <w:left w:w="284" w:type="dxa"/>
              <w:right w:w="284" w:type="dxa"/>
            </w:tcMar>
          </w:tcPr>
          <w:p w14:paraId="6E58B78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air pollution costs for all scenarios (without-the-project scenario W0 and project investment options Wn) are represented by the total costs generated by all vehicles on the analysed roads. Costs of air pollution are made up by costs related to the effects of transport on the natural environment, including</w:t>
            </w:r>
            <w:bookmarkStart w:id="74" w:name="_Ref91584607"/>
            <w:r>
              <w:rPr>
                <w:rFonts w:ascii="Calibri" w:eastAsia="Calibri" w:hAnsi="Calibri" w:cs="Calibri"/>
                <w:color w:val="000000"/>
                <w:sz w:val="20"/>
                <w:szCs w:val="20"/>
                <w:vertAlign w:val="superscript"/>
              </w:rPr>
              <w:footnoteReference w:id="11"/>
            </w:r>
            <w:bookmarkEnd w:id="74"/>
            <w:r w:rsidRPr="0045151D">
              <w:rPr>
                <w:rFonts w:ascii="Calibri" w:eastAsia="Calibri" w:hAnsi="Calibri" w:cs="Calibri"/>
                <w:color w:val="000000"/>
                <w:sz w:val="20"/>
                <w:szCs w:val="20"/>
                <w:lang w:val="en-GB"/>
              </w:rPr>
              <w:t>:</w:t>
            </w:r>
          </w:p>
          <w:p w14:paraId="5C8651A5" w14:textId="77777777" w:rsidR="00600DEE" w:rsidRPr="0045151D" w:rsidRDefault="00641FB5" w:rsidP="00D5736B">
            <w:pPr>
              <w:numPr>
                <w:ilvl w:val="0"/>
                <w:numId w:val="72"/>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mainly, negative influence on human health (cardiovascular and respiratory diseases),</w:t>
            </w:r>
          </w:p>
          <w:p w14:paraId="27F7146A" w14:textId="77777777" w:rsidR="00600DEE" w:rsidRPr="0045151D" w:rsidRDefault="00641FB5" w:rsidP="00D5736B">
            <w:pPr>
              <w:numPr>
                <w:ilvl w:val="0"/>
                <w:numId w:val="72"/>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crop losses, negative influence on agricultural crops leading to lower crop yields,</w:t>
            </w:r>
          </w:p>
          <w:p w14:paraId="4CD6E872" w14:textId="77777777" w:rsidR="00600DEE" w:rsidRPr="0045151D" w:rsidRDefault="00641FB5" w:rsidP="00D5736B">
            <w:pPr>
              <w:numPr>
                <w:ilvl w:val="0"/>
                <w:numId w:val="72"/>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material losses (building and material damages),</w:t>
            </w:r>
          </w:p>
          <w:p w14:paraId="6BA03142" w14:textId="77777777" w:rsidR="00600DEE" w:rsidRPr="0045151D" w:rsidRDefault="00641FB5" w:rsidP="00D5736B">
            <w:pPr>
              <w:numPr>
                <w:ilvl w:val="0"/>
                <w:numId w:val="72"/>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environmental damages (impacts on biodiversity and ecosystems).</w:t>
            </w:r>
          </w:p>
          <w:p w14:paraId="7B8E94A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most important transport-related air pollutants are: particulate matter (PM10, PM2.5), nitrogen oxides (NOx), sulphur dioxide (SO</w:t>
            </w:r>
            <w:r w:rsidRPr="0045151D">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 non-methane volatile organic compounds (NMVOC). Greenhouse gases (GHG) are not included in the air pollution costs since they do not have any toxic effects. They are covered by the climate change cost category detailed below.</w:t>
            </w:r>
          </w:p>
          <w:p w14:paraId="27E8D4C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Costs of air pollution are calculated based on economic unit costs of air pollution. Those are related to direct vehicles operation (mainly engine combustion)</w:t>
            </w:r>
            <w:bookmarkStart w:id="76" w:name="_Ref91584591"/>
            <w:r>
              <w:rPr>
                <w:rFonts w:ascii="Calibri" w:eastAsia="Calibri" w:hAnsi="Calibri" w:cs="Calibri"/>
                <w:color w:val="000000"/>
                <w:sz w:val="20"/>
                <w:szCs w:val="20"/>
                <w:vertAlign w:val="superscript"/>
              </w:rPr>
              <w:footnoteReference w:id="12"/>
            </w:r>
            <w:bookmarkEnd w:id="76"/>
            <w:r w:rsidRPr="0045151D">
              <w:rPr>
                <w:rFonts w:ascii="Calibri" w:eastAsia="Calibri" w:hAnsi="Calibri" w:cs="Calibri"/>
                <w:color w:val="000000"/>
                <w:sz w:val="20"/>
                <w:szCs w:val="20"/>
                <w:lang w:val="en-GB"/>
              </w:rPr>
              <w:t xml:space="preserve"> and depend on vehicles types, road condition and gradient as well as road location (urban or non-urban area). Economic unit costs of air pollution (distinguishing same road vehicles categories as for VOC) are presented in Appendix A – Economic and Financial Unit Costs, based on Handbook on the external costs of transport, version 2019. For simplification purposes, those do not distinguish speed ranges. VOC chapter describes assumptions related to current road vehicle fleet composition and its expected evolution; those are as well of full applicability for air pollution calculations. Appendix A provides respective air pollution unit costs and calculation principles.</w:t>
            </w:r>
          </w:p>
          <w:p w14:paraId="2A38C77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222222"/>
                <w:sz w:val="20"/>
                <w:szCs w:val="20"/>
                <w:lang w:val="en-GB"/>
              </w:rPr>
              <w:t xml:space="preserve">These costs are subject to indexation. </w:t>
            </w:r>
            <w:r w:rsidRPr="0045151D">
              <w:rPr>
                <w:rFonts w:ascii="Calibri" w:eastAsia="Calibri" w:hAnsi="Calibri" w:cs="Calibri"/>
                <w:color w:val="000000"/>
                <w:sz w:val="20"/>
                <w:szCs w:val="20"/>
                <w:lang w:val="en-GB"/>
              </w:rPr>
              <w:t>The unit cost evolution over time is also presented in this Appendix A.</w:t>
            </w:r>
          </w:p>
          <w:p w14:paraId="5F48F7E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Economic costs of air pollution are calculated for individual categories of vehicles and ought to be determined separately for each of the options, and separately for each year of economic analysis, as per traffic forecasts for all economic impacts categories. </w:t>
            </w:r>
          </w:p>
          <w:p w14:paraId="0D5AF9F7" w14:textId="3EDEACBB" w:rsidR="00600DEE" w:rsidRPr="0045151D" w:rsidRDefault="00600DEE">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7F954D9C" w14:textId="1DCF450C" w:rsidR="006C2564" w:rsidRPr="0045151D" w:rsidRDefault="006C2564">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33989C13" w14:textId="00A86005" w:rsidR="006C2564" w:rsidRPr="0045151D" w:rsidRDefault="006C2564">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56784E7F" w14:textId="60683E32" w:rsidR="006C2564" w:rsidRPr="0045151D" w:rsidRDefault="006C2564">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1A26E43A" w14:textId="77777777" w:rsidR="006C2564" w:rsidRPr="0045151D" w:rsidRDefault="006C2564" w:rsidP="006C2564">
            <w:pPr>
              <w:pBdr>
                <w:top w:val="nil"/>
                <w:left w:val="nil"/>
                <w:bottom w:val="nil"/>
                <w:right w:val="nil"/>
                <w:between w:val="nil"/>
              </w:pBdr>
              <w:spacing w:before="120"/>
              <w:jc w:val="both"/>
              <w:rPr>
                <w:rFonts w:ascii="Calibri" w:eastAsia="Calibri" w:hAnsi="Calibri" w:cs="Calibri"/>
                <w:b/>
                <w:color w:val="4F81BD"/>
                <w:sz w:val="20"/>
                <w:szCs w:val="20"/>
                <w:lang w:val="en-GB"/>
              </w:rPr>
            </w:pPr>
          </w:p>
          <w:p w14:paraId="7634302D" w14:textId="77777777" w:rsidR="00600DEE" w:rsidRPr="0045151D" w:rsidRDefault="00600DEE" w:rsidP="006C2564">
            <w:pPr>
              <w:pBdr>
                <w:top w:val="nil"/>
                <w:left w:val="nil"/>
                <w:bottom w:val="nil"/>
                <w:right w:val="nil"/>
                <w:between w:val="nil"/>
              </w:pBdr>
              <w:jc w:val="both"/>
              <w:rPr>
                <w:rFonts w:ascii="Calibri" w:eastAsia="Calibri" w:hAnsi="Calibri" w:cs="Calibri"/>
                <w:b/>
                <w:color w:val="4F81BD"/>
                <w:sz w:val="20"/>
                <w:szCs w:val="20"/>
                <w:lang w:val="en-GB"/>
              </w:rPr>
            </w:pPr>
          </w:p>
          <w:p w14:paraId="028D4FC5" w14:textId="2CAA3F22" w:rsidR="00600DEE" w:rsidRPr="0045151D" w:rsidRDefault="00B10112" w:rsidP="006C2564">
            <w:pPr>
              <w:pBdr>
                <w:top w:val="nil"/>
                <w:left w:val="nil"/>
                <w:bottom w:val="nil"/>
                <w:right w:val="nil"/>
                <w:between w:val="nil"/>
              </w:pBdr>
              <w:spacing w:after="120"/>
              <w:jc w:val="both"/>
              <w:rPr>
                <w:rFonts w:ascii="Calibri" w:eastAsia="Calibri" w:hAnsi="Calibri" w:cs="Calibri"/>
                <w:color w:val="4F81BD"/>
                <w:sz w:val="20"/>
                <w:szCs w:val="20"/>
                <w:lang w:val="en-GB"/>
              </w:rPr>
            </w:pPr>
            <w:r>
              <w:rPr>
                <w:rFonts w:ascii="Calibri" w:eastAsia="Calibri" w:hAnsi="Calibri" w:cs="Calibri"/>
                <w:b/>
                <w:color w:val="4F81BD"/>
                <w:sz w:val="20"/>
                <w:szCs w:val="20"/>
                <w:lang w:val="en-GB"/>
              </w:rPr>
              <w:t>Table 20</w:t>
            </w:r>
            <w:r w:rsidR="00641FB5" w:rsidRPr="0045151D">
              <w:rPr>
                <w:rFonts w:ascii="Calibri" w:eastAsia="Calibri" w:hAnsi="Calibri" w:cs="Calibri"/>
                <w:b/>
                <w:color w:val="4F81BD"/>
                <w:sz w:val="20"/>
                <w:szCs w:val="20"/>
                <w:lang w:val="en-GB"/>
              </w:rPr>
              <w:t>. Formulas for the calculation of air pollution costs</w:t>
            </w:r>
          </w:p>
          <w:tbl>
            <w:tblPr>
              <w:tblStyle w:val="afffff"/>
              <w:tblW w:w="693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939"/>
            </w:tblGrid>
            <w:tr w:rsidR="00600DEE" w:rsidRPr="007463B9" w14:paraId="0C7953A2" w14:textId="77777777" w:rsidTr="00CE2D79">
              <w:trPr>
                <w:trHeight w:hRule="exact" w:val="4536"/>
              </w:trPr>
              <w:tc>
                <w:tcPr>
                  <w:tcW w:w="6939" w:type="dxa"/>
                  <w:shd w:val="clear" w:color="auto" w:fill="D3E3F4"/>
                </w:tcPr>
                <w:p w14:paraId="0239FB42" w14:textId="77777777" w:rsidR="00600DEE" w:rsidRPr="0045151D" w:rsidRDefault="00600DEE">
                  <w:pPr>
                    <w:pBdr>
                      <w:top w:val="nil"/>
                      <w:left w:val="nil"/>
                      <w:bottom w:val="nil"/>
                      <w:right w:val="nil"/>
                      <w:between w:val="nil"/>
                    </w:pBdr>
                    <w:shd w:val="clear" w:color="auto" w:fill="DBE5F1"/>
                    <w:spacing w:before="120" w:after="40"/>
                    <w:jc w:val="center"/>
                    <w:rPr>
                      <w:rFonts w:ascii="Calibri" w:eastAsia="Calibri" w:hAnsi="Calibri" w:cs="Calibri"/>
                      <w:color w:val="4F81BD"/>
                      <w:sz w:val="18"/>
                      <w:szCs w:val="18"/>
                      <w:lang w:val="en-GB"/>
                    </w:rPr>
                  </w:pPr>
                </w:p>
                <w:p w14:paraId="4C06CBA7" w14:textId="77777777" w:rsidR="00FF6918" w:rsidRPr="00A97395" w:rsidRDefault="00896BA3" w:rsidP="00FF6918">
                  <w:pPr>
                    <w:pStyle w:val="TableBullet1a"/>
                    <w:shd w:val="clear" w:color="auto" w:fill="DBE5F1" w:themeFill="accent1" w:themeFillTint="33"/>
                    <w:snapToGrid w:val="0"/>
                    <w:spacing w:before="40" w:after="40"/>
                    <w:jc w:val="center"/>
                    <w:rPr>
                      <w:rFonts w:asciiTheme="minorHAnsi" w:hAnsiTheme="minorHAnsi"/>
                      <w:color w:val="4F81BD" w:themeColor="accent1"/>
                      <w:szCs w:val="18"/>
                      <w:lang w:val="pl-PL"/>
                    </w:rPr>
                  </w:pPr>
                  <m:oMathPara>
                    <m:oMath>
                      <m:sSub>
                        <m:sSubPr>
                          <m:ctrlPr>
                            <w:rPr>
                              <w:rFonts w:ascii="Cambria Math" w:hAnsi="Cambria Math"/>
                              <w:i/>
                              <w:color w:val="4F81BD" w:themeColor="accent1"/>
                              <w:sz w:val="20"/>
                              <w:lang w:val="en-GB"/>
                            </w:rPr>
                          </m:ctrlPr>
                        </m:sSubPr>
                        <m:e>
                          <m:r>
                            <w:rPr>
                              <w:rFonts w:ascii="Cambria Math" w:hAnsi="Cambria Math"/>
                              <w:color w:val="4F81BD" w:themeColor="accent1"/>
                              <w:sz w:val="20"/>
                              <w:lang w:val="en-GB"/>
                            </w:rPr>
                            <m:t>K</m:t>
                          </m:r>
                        </m:e>
                        <m:sub>
                          <m:r>
                            <w:rPr>
                              <w:rFonts w:ascii="Cambria Math" w:hAnsi="Cambria Math"/>
                              <w:color w:val="4F81BD" w:themeColor="accent1"/>
                              <w:sz w:val="20"/>
                              <w:lang w:val="en-GB"/>
                            </w:rPr>
                            <m:t>Z</m:t>
                          </m:r>
                        </m:sub>
                      </m:sSub>
                      <m:r>
                        <w:rPr>
                          <w:rFonts w:ascii="Cambria Math" w:hAnsi="Cambria Math"/>
                          <w:color w:val="4F81BD" w:themeColor="accent1"/>
                          <w:sz w:val="20"/>
                          <w:lang w:val="en-GB"/>
                        </w:rPr>
                        <m:t>=365∙</m:t>
                      </m:r>
                      <m:nary>
                        <m:naryPr>
                          <m:chr m:val="∑"/>
                          <m:limLoc m:val="undOvr"/>
                          <m:ctrlPr>
                            <w:rPr>
                              <w:rFonts w:ascii="Cambria Math" w:hAnsi="Cambria Math"/>
                              <w:i/>
                              <w:color w:val="4F81BD" w:themeColor="accent1"/>
                              <w:sz w:val="20"/>
                              <w:lang w:val="en-GB"/>
                            </w:rPr>
                          </m:ctrlPr>
                        </m:naryPr>
                        <m:sub>
                          <m:r>
                            <w:rPr>
                              <w:rFonts w:ascii="Cambria Math" w:hAnsi="Cambria Math"/>
                              <w:color w:val="4F81BD" w:themeColor="accent1"/>
                              <w:sz w:val="20"/>
                              <w:lang w:val="en-GB"/>
                            </w:rPr>
                            <m:t>j=1</m:t>
                          </m:r>
                        </m:sub>
                        <m:sup>
                          <m:r>
                            <w:rPr>
                              <w:rFonts w:ascii="Cambria Math" w:hAnsi="Cambria Math"/>
                              <w:color w:val="4F81BD" w:themeColor="accent1"/>
                              <w:sz w:val="20"/>
                              <w:lang w:val="en-GB"/>
                            </w:rPr>
                            <m:t>2</m:t>
                          </m:r>
                        </m:sup>
                        <m:e>
                          <m:sSub>
                            <m:sSubPr>
                              <m:ctrlPr>
                                <w:rPr>
                                  <w:rFonts w:ascii="Cambria Math" w:hAnsi="Cambria Math"/>
                                  <w:i/>
                                  <w:color w:val="4F81BD" w:themeColor="accent1"/>
                                  <w:sz w:val="20"/>
                                  <w:lang w:val="en-GB"/>
                                </w:rPr>
                              </m:ctrlPr>
                            </m:sSubPr>
                            <m:e>
                              <m:r>
                                <w:rPr>
                                  <w:rFonts w:ascii="Cambria Math" w:hAnsi="Cambria Math"/>
                                  <w:color w:val="4F81BD" w:themeColor="accent1"/>
                                  <w:sz w:val="20"/>
                                  <w:lang w:val="en-GB"/>
                                </w:rPr>
                                <m:t>k</m:t>
                              </m:r>
                            </m:e>
                            <m:sub>
                              <m:r>
                                <w:rPr>
                                  <w:rFonts w:ascii="Cambria Math" w:hAnsi="Cambria Math"/>
                                  <w:color w:val="4F81BD" w:themeColor="accent1"/>
                                  <w:sz w:val="20"/>
                                  <w:lang w:val="en-GB"/>
                                </w:rPr>
                                <m:t>s,j</m:t>
                              </m:r>
                            </m:sub>
                          </m:sSub>
                          <m:d>
                            <m:dPr>
                              <m:ctrlPr>
                                <w:rPr>
                                  <w:rFonts w:ascii="Cambria Math" w:hAnsi="Cambria Math"/>
                                  <w:i/>
                                  <w:color w:val="4F81BD" w:themeColor="accent1"/>
                                  <w:sz w:val="20"/>
                                  <w:lang w:val="en-GB"/>
                                </w:rPr>
                              </m:ctrlPr>
                            </m:dPr>
                            <m:e>
                              <m:r>
                                <w:rPr>
                                  <w:rFonts w:ascii="Cambria Math" w:hAnsi="Cambria Math"/>
                                  <w:color w:val="4F81BD" w:themeColor="accent1"/>
                                  <w:sz w:val="20"/>
                                  <w:lang w:val="en-GB"/>
                                </w:rPr>
                                <m:t>T,S</m:t>
                              </m:r>
                            </m:e>
                          </m:d>
                          <m:r>
                            <w:rPr>
                              <w:rFonts w:ascii="Cambria Math" w:hAnsi="Cambria Math"/>
                              <w:color w:val="4F81BD" w:themeColor="accent1"/>
                              <w:sz w:val="20"/>
                              <w:lang w:val="en-GB"/>
                            </w:rPr>
                            <m:t>∙</m:t>
                          </m:r>
                          <m:sSubSup>
                            <m:sSubSupPr>
                              <m:ctrlPr>
                                <w:rPr>
                                  <w:rFonts w:ascii="Cambria Math" w:hAnsi="Cambria Math"/>
                                  <w:i/>
                                  <w:color w:val="4F81BD" w:themeColor="accent1"/>
                                  <w:sz w:val="20"/>
                                  <w:lang w:val="en-GB"/>
                                </w:rPr>
                              </m:ctrlPr>
                            </m:sSubSupPr>
                            <m:e>
                              <m:r>
                                <w:rPr>
                                  <w:rFonts w:ascii="Cambria Math" w:hAnsi="Cambria Math"/>
                                  <w:color w:val="4F81BD" w:themeColor="accent1"/>
                                  <w:sz w:val="20"/>
                                  <w:lang w:val="en-GB"/>
                                </w:rPr>
                                <m:t>W</m:t>
                              </m:r>
                            </m:e>
                            <m:sub>
                              <m:r>
                                <w:rPr>
                                  <w:rFonts w:ascii="Cambria Math" w:hAnsi="Cambria Math"/>
                                  <w:color w:val="4F81BD" w:themeColor="accent1"/>
                                  <w:sz w:val="20"/>
                                  <w:lang w:val="en-GB"/>
                                </w:rPr>
                                <m:t>j</m:t>
                              </m:r>
                            </m:sub>
                            <m:sup>
                              <m:r>
                                <w:rPr>
                                  <w:rFonts w:ascii="Cambria Math" w:hAnsi="Cambria Math"/>
                                  <w:color w:val="4F81BD" w:themeColor="accent1"/>
                                  <w:sz w:val="20"/>
                                  <w:lang w:val="en-GB"/>
                                </w:rPr>
                                <m:t>km</m:t>
                              </m:r>
                            </m:sup>
                          </m:sSubSup>
                        </m:e>
                      </m:nary>
                    </m:oMath>
                  </m:oMathPara>
                </w:p>
                <w:p w14:paraId="1D9E0F51" w14:textId="77777777" w:rsidR="00600DEE" w:rsidRPr="0045151D"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where:</w:t>
                  </w:r>
                </w:p>
                <w:p w14:paraId="53BE5348" w14:textId="77777777" w:rsidR="00600DEE" w:rsidRPr="0045151D"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Z</w:t>
                  </w:r>
                  <w:r w:rsidRPr="0045151D">
                    <w:rPr>
                      <w:rFonts w:ascii="Calibri" w:eastAsia="Calibri" w:hAnsi="Calibri" w:cs="Calibri"/>
                      <w:color w:val="4F81BD"/>
                      <w:sz w:val="18"/>
                      <w:szCs w:val="18"/>
                      <w:lang w:val="en-GB"/>
                    </w:rPr>
                    <w:tab/>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annual air pollution costs, in PLN,</w:t>
                  </w:r>
                </w:p>
                <w:p w14:paraId="478DCE68" w14:textId="77777777" w:rsidR="00600DEE" w:rsidRPr="0045151D"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j                            – number of categories of vehicles,</w:t>
                  </w:r>
                </w:p>
                <w:p w14:paraId="26343477" w14:textId="77777777" w:rsidR="00600DEE" w:rsidRPr="0045151D"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s,j</w:t>
                  </w:r>
                  <w:r w:rsidRPr="0045151D">
                    <w:rPr>
                      <w:rFonts w:ascii="Calibri" w:eastAsia="Calibri" w:hAnsi="Calibri" w:cs="Calibri"/>
                      <w:color w:val="4F81BD"/>
                      <w:sz w:val="18"/>
                      <w:szCs w:val="18"/>
                      <w:lang w:val="en-GB"/>
                    </w:rPr>
                    <w:t xml:space="preserve">(T,S)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unit costs of the air pollution of vehicles category “j” in the function of </w:t>
                  </w:r>
                  <w:r w:rsidRPr="0045151D">
                    <w:rPr>
                      <w:rFonts w:ascii="Calibri" w:eastAsia="Calibri" w:hAnsi="Calibri" w:cs="Calibri"/>
                      <w:color w:val="4F81BD"/>
                      <w:sz w:val="18"/>
                      <w:szCs w:val="18"/>
                      <w:lang w:val="en-GB"/>
                    </w:rPr>
                    <w:b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slope of terrain T and technical condition of </w:t>
                  </w:r>
                  <w:r w:rsidRPr="0045151D">
                    <w:rPr>
                      <w:rFonts w:ascii="Calibri" w:eastAsia="Calibri" w:hAnsi="Calibri" w:cs="Calibri"/>
                      <w:color w:val="4F81BD"/>
                      <w:sz w:val="18"/>
                      <w:szCs w:val="18"/>
                      <w:lang w:val="en-GB"/>
                    </w:rPr>
                    <w:b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pavement S, in PLN/veh-km, </w:t>
                  </w:r>
                </w:p>
                <w:p w14:paraId="3BCD740D" w14:textId="77777777" w:rsidR="00600DEE" w:rsidRPr="0045151D"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SDR</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 average daily traffic of vehicles category “j”, in vehicles/day (AADT),</w:t>
                  </w:r>
                </w:p>
                <w:p w14:paraId="53E9E0C0" w14:textId="77777777" w:rsidR="00600DEE" w:rsidRPr="0045151D"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w:t>
                  </w:r>
                  <w:r w:rsidRPr="0045151D">
                    <w:rPr>
                      <w:rFonts w:ascii="Calibri" w:eastAsia="Calibri" w:hAnsi="Calibri" w:cs="Calibri"/>
                      <w:color w:val="4F81BD"/>
                      <w:sz w:val="18"/>
                      <w:szCs w:val="18"/>
                      <w:lang w:val="en-GB"/>
                    </w:rPr>
                    <w:tab/>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 length of road section, in km,</w:t>
                  </w:r>
                </w:p>
                <w:p w14:paraId="4E601146" w14:textId="77777777" w:rsidR="00600DEE" w:rsidRPr="0045151D"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w:t>
                  </w:r>
                  <w:r w:rsidRPr="0045151D">
                    <w:rPr>
                      <w:rFonts w:ascii="Calibri" w:eastAsia="Calibri" w:hAnsi="Calibri" w:cs="Calibri"/>
                      <w:color w:val="4F81BD"/>
                      <w:sz w:val="18"/>
                      <w:szCs w:val="18"/>
                      <w:vertAlign w:val="superscript"/>
                      <w:lang w:val="en-GB"/>
                    </w:rPr>
                    <w:t>km</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ab/>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 transport work depending on the road section length, vehicle category </w:t>
                  </w:r>
                  <w:r w:rsidRPr="0045151D">
                    <w:rPr>
                      <w:rFonts w:ascii="Calibri" w:eastAsia="Calibri" w:hAnsi="Calibri" w:cs="Calibri"/>
                      <w:color w:val="4F81BD"/>
                      <w:sz w:val="18"/>
                      <w:szCs w:val="18"/>
                      <w:lang w:val="en-GB"/>
                    </w:rPr>
                    <w:b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“j”, in vehicles-kilometres/day,W</w:t>
                  </w:r>
                  <w:r w:rsidRPr="0045151D">
                    <w:rPr>
                      <w:rFonts w:ascii="Calibri" w:eastAsia="Calibri" w:hAnsi="Calibri" w:cs="Calibri"/>
                      <w:color w:val="4F81BD"/>
                      <w:sz w:val="18"/>
                      <w:szCs w:val="18"/>
                      <w:vertAlign w:val="superscript"/>
                      <w:lang w:val="en-GB"/>
                    </w:rPr>
                    <w:t>km</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 xml:space="preserve"> = L* SDR</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 xml:space="preserve"> . </w:t>
                  </w:r>
                </w:p>
                <w:p w14:paraId="56837701" w14:textId="6E0239CD" w:rsidR="00C57C6B" w:rsidRPr="0045151D" w:rsidRDefault="00C57C6B">
                  <w:pPr>
                    <w:pBdr>
                      <w:top w:val="nil"/>
                      <w:left w:val="nil"/>
                      <w:bottom w:val="nil"/>
                      <w:right w:val="nil"/>
                      <w:between w:val="nil"/>
                    </w:pBdr>
                    <w:shd w:val="clear" w:color="auto" w:fill="DBE5F1"/>
                    <w:spacing w:before="40" w:after="40"/>
                    <w:rPr>
                      <w:rFonts w:ascii="Calibri" w:eastAsia="Calibri" w:hAnsi="Calibri" w:cs="Calibri"/>
                      <w:color w:val="4F81BD"/>
                      <w:sz w:val="18"/>
                      <w:szCs w:val="18"/>
                      <w:lang w:val="en-GB"/>
                    </w:rPr>
                  </w:pPr>
                </w:p>
              </w:tc>
            </w:tr>
          </w:tbl>
          <w:p w14:paraId="258A216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i/>
                <w:color w:val="000000"/>
                <w:sz w:val="16"/>
                <w:szCs w:val="16"/>
              </w:rPr>
              <w:t>Source: proprietary work.</w:t>
            </w:r>
          </w:p>
        </w:tc>
      </w:tr>
    </w:tbl>
    <w:p w14:paraId="39D625B8" w14:textId="2CEF9891" w:rsidR="00600DEE" w:rsidRPr="00E301CF" w:rsidRDefault="00641FB5" w:rsidP="00D5736B">
      <w:pPr>
        <w:pStyle w:val="Nagwek3"/>
        <w:numPr>
          <w:ilvl w:val="2"/>
          <w:numId w:val="17"/>
        </w:numPr>
        <w:ind w:left="0" w:firstLine="0"/>
        <w:rPr>
          <w:rFonts w:ascii="Calibri" w:eastAsia="Calibri" w:hAnsi="Calibri" w:cs="Calibri"/>
          <w:color w:val="4F81BD"/>
          <w:lang w:val="en-US"/>
        </w:rPr>
      </w:pPr>
      <w:bookmarkStart w:id="77" w:name="_Toc95377990"/>
      <w:r w:rsidRPr="00E301CF">
        <w:rPr>
          <w:rFonts w:ascii="Calibri" w:eastAsia="Calibri" w:hAnsi="Calibri" w:cs="Calibri"/>
          <w:color w:val="4F81BD"/>
          <w:lang w:val="en-US"/>
        </w:rPr>
        <w:t>Koszty zmian klimatu</w:t>
      </w:r>
      <w:r w:rsidRPr="00E301CF">
        <w:rPr>
          <w:rFonts w:ascii="Calibri" w:eastAsia="Calibri" w:hAnsi="Calibri" w:cs="Calibri"/>
          <w:color w:val="4F81BD"/>
          <w:lang w:val="en-US"/>
        </w:rPr>
        <w:tab/>
      </w:r>
      <w:r w:rsidRPr="00E301CF">
        <w:rPr>
          <w:rFonts w:ascii="Calibri" w:eastAsia="Calibri" w:hAnsi="Calibri" w:cs="Calibri"/>
          <w:color w:val="4F81BD"/>
          <w:lang w:val="en-US"/>
        </w:rPr>
        <w:tab/>
      </w:r>
      <w:r w:rsidRPr="00E301CF">
        <w:rPr>
          <w:rFonts w:ascii="Calibri" w:eastAsia="Calibri" w:hAnsi="Calibri" w:cs="Calibri"/>
          <w:color w:val="4F81BD"/>
          <w:lang w:val="en-US"/>
        </w:rPr>
        <w:tab/>
      </w:r>
      <w:r w:rsidRPr="00E301CF">
        <w:rPr>
          <w:rFonts w:ascii="Calibri" w:eastAsia="Calibri" w:hAnsi="Calibri" w:cs="Calibri"/>
          <w:color w:val="4F81BD"/>
          <w:lang w:val="en-US"/>
        </w:rPr>
        <w:tab/>
      </w:r>
      <w:r w:rsidRPr="00E301CF">
        <w:rPr>
          <w:rFonts w:ascii="Calibri" w:eastAsia="Calibri" w:hAnsi="Calibri" w:cs="Calibri"/>
          <w:color w:val="4F81BD"/>
          <w:lang w:val="en-US"/>
        </w:rPr>
        <w:tab/>
      </w:r>
      <w:r w:rsidRPr="00E301CF">
        <w:rPr>
          <w:rFonts w:ascii="Calibri" w:eastAsia="Calibri" w:hAnsi="Calibri" w:cs="Calibri"/>
          <w:color w:val="4F81BD"/>
          <w:lang w:val="en-US"/>
        </w:rPr>
        <w:tab/>
      </w:r>
      <w:r w:rsidRPr="00E301CF">
        <w:rPr>
          <w:rFonts w:ascii="Calibri" w:eastAsia="Calibri" w:hAnsi="Calibri" w:cs="Calibri"/>
          <w:i/>
          <w:color w:val="4F81BD"/>
          <w:lang w:val="en-US"/>
        </w:rPr>
        <w:t xml:space="preserve">          2.1.5</w:t>
      </w:r>
      <w:r w:rsidRPr="00E301CF">
        <w:rPr>
          <w:rFonts w:ascii="Calibri" w:eastAsia="Calibri" w:hAnsi="Calibri" w:cs="Calibri"/>
          <w:i/>
          <w:color w:val="4F81BD"/>
          <w:lang w:val="en-US"/>
        </w:rPr>
        <w:tab/>
        <w:t>Climate change costs</w:t>
      </w:r>
      <w:bookmarkEnd w:id="77"/>
    </w:p>
    <w:tbl>
      <w:tblPr>
        <w:tblStyle w:val="afffff0"/>
        <w:tblW w:w="14571" w:type="dxa"/>
        <w:jc w:val="center"/>
        <w:tblLayout w:type="fixed"/>
        <w:tblLook w:val="0400" w:firstRow="0" w:lastRow="0" w:firstColumn="0" w:lastColumn="0" w:noHBand="0" w:noVBand="1"/>
      </w:tblPr>
      <w:tblGrid>
        <w:gridCol w:w="7356"/>
        <w:gridCol w:w="7215"/>
      </w:tblGrid>
      <w:tr w:rsidR="00600DEE" w:rsidRPr="007463B9" w14:paraId="448DC4D0" w14:textId="77777777">
        <w:trPr>
          <w:jc w:val="center"/>
        </w:trPr>
        <w:tc>
          <w:tcPr>
            <w:tcW w:w="7356" w:type="dxa"/>
            <w:tcBorders>
              <w:right w:val="single" w:sz="4" w:space="0" w:color="000000"/>
            </w:tcBorders>
            <w:tcMar>
              <w:left w:w="284" w:type="dxa"/>
              <w:right w:w="284" w:type="dxa"/>
            </w:tcMar>
          </w:tcPr>
          <w:p w14:paraId="6771D271" w14:textId="7ADD0DBB"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zmian klimatu, wpływu emisji gazów cieplarnianych (GHG) dla wszystk</w:t>
            </w:r>
            <w:r w:rsidR="00B10112">
              <w:rPr>
                <w:rFonts w:ascii="Calibri" w:eastAsia="Calibri" w:hAnsi="Calibri" w:cs="Calibri"/>
                <w:color w:val="000000"/>
                <w:sz w:val="20"/>
                <w:szCs w:val="20"/>
              </w:rPr>
              <w:t>ich wariantów (W0 i W</w:t>
            </w:r>
            <w:r>
              <w:rPr>
                <w:rFonts w:ascii="Calibri" w:eastAsia="Calibri" w:hAnsi="Calibri" w:cs="Calibri"/>
                <w:color w:val="000000"/>
                <w:sz w:val="20"/>
                <w:szCs w:val="20"/>
              </w:rPr>
              <w:t xml:space="preserve">n) to łączne koszty generowane przez wszystkich użytkowników poruszających się po sieciach transportowych będących przedmiotem analizy. </w:t>
            </w:r>
          </w:p>
          <w:p w14:paraId="14A327A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Na koszty zmian klimatu (wyrażonych jako ekwiwalent CO</w:t>
            </w:r>
            <w:r>
              <w:rPr>
                <w:rFonts w:ascii="Calibri" w:eastAsia="Calibri" w:hAnsi="Calibri" w:cs="Calibri"/>
                <w:color w:val="000000"/>
                <w:sz w:val="20"/>
                <w:szCs w:val="20"/>
                <w:vertAlign w:val="subscript"/>
              </w:rPr>
              <w:t>2</w:t>
            </w:r>
            <w:r>
              <w:rPr>
                <w:rFonts w:ascii="Calibri" w:eastAsia="Calibri" w:hAnsi="Calibri" w:cs="Calibri"/>
                <w:color w:val="000000"/>
                <w:sz w:val="20"/>
                <w:szCs w:val="20"/>
              </w:rPr>
              <w:t>) składa się całkowita ekwiwalentna emisja CO</w:t>
            </w:r>
            <w:r>
              <w:rPr>
                <w:rFonts w:ascii="Calibri" w:eastAsia="Calibri" w:hAnsi="Calibri" w:cs="Calibri"/>
                <w:color w:val="000000"/>
                <w:sz w:val="20"/>
                <w:szCs w:val="20"/>
                <w:vertAlign w:val="subscript"/>
              </w:rPr>
              <w:t>2</w:t>
            </w:r>
            <w:r>
              <w:rPr>
                <w:rFonts w:ascii="Calibri" w:eastAsia="Calibri" w:hAnsi="Calibri" w:cs="Calibri"/>
                <w:color w:val="000000"/>
                <w:sz w:val="20"/>
                <w:szCs w:val="20"/>
              </w:rPr>
              <w:t xml:space="preserve"> pomnożona przez koszt jednostkowy. </w:t>
            </w:r>
          </w:p>
          <w:p w14:paraId="5234C2AD" w14:textId="224BC1D1"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78" w:name="_heading=h.sqyw64" w:colFirst="0" w:colLast="0"/>
            <w:bookmarkEnd w:id="78"/>
            <w:r>
              <w:rPr>
                <w:rFonts w:ascii="Calibri" w:eastAsia="Calibri" w:hAnsi="Calibri" w:cs="Calibri"/>
                <w:color w:val="000000"/>
                <w:sz w:val="20"/>
                <w:szCs w:val="20"/>
              </w:rPr>
              <w:t>Zaproponowana metodologia jest zgodna z Metodologią Kalkulacji Śladu Węglowego Projektu stosowaną przez EBI, wersja 11.1, Lipiec 2020, która polega na ocenie oddziaływania emisji gazów cieplarnianych z projektów infrastruktury drogowej wynikającego  głównie z fazy eksploatacyjnej projektu (ruchu pojazdów</w:t>
            </w:r>
            <w:r w:rsidR="0010419F">
              <w:rPr>
                <w:rFonts w:ascii="Calibri" w:eastAsia="Calibri" w:hAnsi="Calibri" w:cs="Calibri"/>
                <w:color w:val="000000"/>
                <w:sz w:val="20"/>
                <w:szCs w:val="20"/>
              </w:rPr>
              <w:t xml:space="preserve"> na różnych sieciach, drogowych</w:t>
            </w:r>
            <w:r>
              <w:rPr>
                <w:rFonts w:ascii="Calibri" w:eastAsia="Calibri" w:hAnsi="Calibri" w:cs="Calibri"/>
                <w:color w:val="000000"/>
                <w:sz w:val="20"/>
                <w:szCs w:val="20"/>
              </w:rPr>
              <w:t xml:space="preserve"> i kolejowych). </w:t>
            </w:r>
          </w:p>
          <w:p w14:paraId="4D1D499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79" w:name="_heading=h.3cqmetx" w:colFirst="0" w:colLast="0"/>
            <w:bookmarkEnd w:id="79"/>
            <w:r>
              <w:rPr>
                <w:rFonts w:ascii="Calibri" w:eastAsia="Calibri" w:hAnsi="Calibri" w:cs="Calibri"/>
                <w:color w:val="000000"/>
                <w:sz w:val="20"/>
                <w:szCs w:val="20"/>
              </w:rPr>
              <w:t>Zgodnie z powyższą metodologią, emisje gazów cieplarnianych innych niż dwutlenek węgla CO</w:t>
            </w:r>
            <w:r>
              <w:rPr>
                <w:rFonts w:ascii="Calibri" w:eastAsia="Calibri" w:hAnsi="Calibri" w:cs="Calibri"/>
                <w:color w:val="000000"/>
                <w:sz w:val="20"/>
                <w:szCs w:val="20"/>
                <w:vertAlign w:val="subscript"/>
              </w:rPr>
              <w:t>2</w:t>
            </w:r>
            <w:r>
              <w:rPr>
                <w:rFonts w:ascii="Calibri" w:eastAsia="Calibri" w:hAnsi="Calibri" w:cs="Calibri"/>
                <w:color w:val="000000"/>
                <w:sz w:val="20"/>
                <w:szCs w:val="20"/>
              </w:rPr>
              <w:t xml:space="preserve"> (tj. metan CH</w:t>
            </w:r>
            <w:r>
              <w:rPr>
                <w:rFonts w:ascii="Calibri" w:eastAsia="Calibri" w:hAnsi="Calibri" w:cs="Calibri"/>
                <w:color w:val="000000"/>
                <w:sz w:val="20"/>
                <w:szCs w:val="20"/>
                <w:vertAlign w:val="subscript"/>
              </w:rPr>
              <w:t>4</w:t>
            </w:r>
            <w:r>
              <w:rPr>
                <w:rFonts w:ascii="Calibri" w:eastAsia="Calibri" w:hAnsi="Calibri" w:cs="Calibri"/>
                <w:color w:val="000000"/>
                <w:sz w:val="20"/>
                <w:szCs w:val="20"/>
              </w:rPr>
              <w:t xml:space="preserve"> i podtlenek azotu N</w:t>
            </w:r>
            <w:r>
              <w:rPr>
                <w:rFonts w:ascii="Calibri" w:eastAsia="Calibri" w:hAnsi="Calibri" w:cs="Calibri"/>
                <w:color w:val="000000"/>
                <w:sz w:val="20"/>
                <w:szCs w:val="20"/>
                <w:vertAlign w:val="subscript"/>
              </w:rPr>
              <w:t>2</w:t>
            </w:r>
            <w:r>
              <w:rPr>
                <w:rFonts w:ascii="Calibri" w:eastAsia="Calibri" w:hAnsi="Calibri" w:cs="Calibri"/>
                <w:color w:val="000000"/>
                <w:sz w:val="20"/>
                <w:szCs w:val="20"/>
              </w:rPr>
              <w:t>O) nie są uwzględnione, ponieważ ich wpływ uznaje się za pomijalny. Do celów obliczeniowych współczynniki emisji GHG można uznać jako dotyczące CO</w:t>
            </w:r>
            <w:r>
              <w:rPr>
                <w:rFonts w:ascii="Calibri" w:eastAsia="Calibri" w:hAnsi="Calibri" w:cs="Calibri"/>
                <w:color w:val="000000"/>
                <w:sz w:val="20"/>
                <w:szCs w:val="20"/>
                <w:vertAlign w:val="subscript"/>
              </w:rPr>
              <w:t>2</w:t>
            </w:r>
            <w:r>
              <w:rPr>
                <w:rFonts w:ascii="Calibri" w:eastAsia="Calibri" w:hAnsi="Calibri" w:cs="Calibri"/>
                <w:color w:val="000000"/>
                <w:sz w:val="20"/>
                <w:szCs w:val="20"/>
              </w:rPr>
              <w:t>e.</w:t>
            </w:r>
          </w:p>
          <w:p w14:paraId="779D823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Szacowanie emisji gazów cieplarnianych dla projektów według metodologii, o której mowa powyżej wymaga oceny i przedstawienia informacji na temat:</w:t>
            </w:r>
          </w:p>
          <w:p w14:paraId="7099800C" w14:textId="5CD85811" w:rsidR="00600DEE" w:rsidRDefault="00641FB5" w:rsidP="00D5736B">
            <w:pPr>
              <w:numPr>
                <w:ilvl w:val="0"/>
                <w:numId w:val="64"/>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Emisji bezwzględnych</w:t>
            </w:r>
            <w:r>
              <w:rPr>
                <w:rFonts w:ascii="Calibri" w:eastAsia="Calibri" w:hAnsi="Calibri" w:cs="Calibri"/>
                <w:color w:val="000000"/>
                <w:sz w:val="20"/>
                <w:szCs w:val="20"/>
              </w:rPr>
              <w:t>: całkowi</w:t>
            </w:r>
            <w:r w:rsidR="0010419F">
              <w:rPr>
                <w:rFonts w:ascii="Calibri" w:eastAsia="Calibri" w:hAnsi="Calibri" w:cs="Calibri"/>
                <w:color w:val="000000"/>
                <w:sz w:val="20"/>
                <w:szCs w:val="20"/>
              </w:rPr>
              <w:t>t</w:t>
            </w:r>
            <w:r>
              <w:rPr>
                <w:rFonts w:ascii="Calibri" w:eastAsia="Calibri" w:hAnsi="Calibri" w:cs="Calibri"/>
                <w:color w:val="000000"/>
                <w:sz w:val="20"/>
                <w:szCs w:val="20"/>
              </w:rPr>
              <w:t>ej emisji wytworzonej przez projekt w typowym roku eksploatacji</w:t>
            </w:r>
            <w:r w:rsidR="00784B01">
              <w:rPr>
                <w:rFonts w:ascii="Calibri" w:eastAsia="Calibri" w:hAnsi="Calibri" w:cs="Calibri"/>
                <w:color w:val="000000"/>
                <w:sz w:val="20"/>
                <w:szCs w:val="20"/>
                <w:vertAlign w:val="superscript"/>
              </w:rPr>
              <w:t>13</w:t>
            </w:r>
            <w:r>
              <w:rPr>
                <w:rFonts w:ascii="Calibri" w:eastAsia="Calibri" w:hAnsi="Calibri" w:cs="Calibri"/>
                <w:color w:val="000000"/>
                <w:sz w:val="20"/>
                <w:szCs w:val="20"/>
              </w:rPr>
              <w:t xml:space="preserve"> (tCO</w:t>
            </w:r>
            <w:r w:rsidRPr="0010419F">
              <w:rPr>
                <w:rFonts w:ascii="Calibri" w:eastAsia="Calibri" w:hAnsi="Calibri" w:cs="Calibri"/>
                <w:color w:val="000000"/>
                <w:sz w:val="20"/>
                <w:szCs w:val="20"/>
                <w:vertAlign w:val="subscript"/>
              </w:rPr>
              <w:t>2</w:t>
            </w:r>
            <w:r>
              <w:rPr>
                <w:rFonts w:ascii="Calibri" w:eastAsia="Calibri" w:hAnsi="Calibri" w:cs="Calibri"/>
                <w:color w:val="000000"/>
                <w:sz w:val="20"/>
                <w:szCs w:val="20"/>
              </w:rPr>
              <w:t>e);</w:t>
            </w:r>
          </w:p>
          <w:p w14:paraId="4BD2472B" w14:textId="3FBC52A1" w:rsidR="00600DEE" w:rsidRDefault="00641FB5" w:rsidP="00D5736B">
            <w:pPr>
              <w:numPr>
                <w:ilvl w:val="0"/>
                <w:numId w:val="64"/>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Emisji względnych</w:t>
            </w:r>
            <w:r>
              <w:rPr>
                <w:rFonts w:ascii="Calibri" w:eastAsia="Calibri" w:hAnsi="Calibri" w:cs="Calibri"/>
                <w:color w:val="000000"/>
                <w:sz w:val="20"/>
                <w:szCs w:val="20"/>
              </w:rPr>
              <w:t>: podanej w ujęciu przyrostowym (zwiększenia/zmniejszenia) różnicy w emisjach pomi</w:t>
            </w:r>
            <w:r w:rsidR="0010419F">
              <w:rPr>
                <w:rFonts w:ascii="Calibri" w:eastAsia="Calibri" w:hAnsi="Calibri" w:cs="Calibri"/>
                <w:color w:val="000000"/>
                <w:sz w:val="20"/>
                <w:szCs w:val="20"/>
              </w:rPr>
              <w:t>ędzy wariantem inwestycyjnym (W</w:t>
            </w:r>
            <w:r>
              <w:rPr>
                <w:rFonts w:ascii="Calibri" w:eastAsia="Calibri" w:hAnsi="Calibri" w:cs="Calibri"/>
                <w:color w:val="000000"/>
                <w:sz w:val="20"/>
                <w:szCs w:val="20"/>
              </w:rPr>
              <w:t>n) i bezinwestycyjnym (W0) opisanym w AKK w typowym roku eksploatacji (tCO</w:t>
            </w:r>
            <w:r w:rsidRPr="0010419F">
              <w:rPr>
                <w:rFonts w:ascii="Calibri" w:eastAsia="Calibri" w:hAnsi="Calibri" w:cs="Calibri"/>
                <w:color w:val="000000"/>
                <w:sz w:val="20"/>
                <w:szCs w:val="20"/>
                <w:vertAlign w:val="subscript"/>
              </w:rPr>
              <w:t>2</w:t>
            </w:r>
            <w:r>
              <w:rPr>
                <w:rFonts w:ascii="Calibri" w:eastAsia="Calibri" w:hAnsi="Calibri" w:cs="Calibri"/>
                <w:color w:val="000000"/>
                <w:sz w:val="20"/>
                <w:szCs w:val="20"/>
              </w:rPr>
              <w:t>e).</w:t>
            </w:r>
          </w:p>
          <w:p w14:paraId="5D010B5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Jak przedstawiono powyżej, koszty emisji gazów cieplarnianych, tzn. CO</w:t>
            </w:r>
            <w:r>
              <w:rPr>
                <w:rFonts w:ascii="Calibri" w:eastAsia="Calibri" w:hAnsi="Calibri" w:cs="Calibri"/>
                <w:color w:val="000000"/>
                <w:sz w:val="20"/>
                <w:szCs w:val="20"/>
                <w:vertAlign w:val="subscript"/>
              </w:rPr>
              <w:t xml:space="preserve">2, </w:t>
            </w:r>
            <w:r>
              <w:rPr>
                <w:rFonts w:ascii="Calibri" w:eastAsia="Calibri" w:hAnsi="Calibri" w:cs="Calibri"/>
                <w:color w:val="000000"/>
                <w:sz w:val="20"/>
                <w:szCs w:val="20"/>
              </w:rPr>
              <w:t>będą wynikiem pomnożenia rocznych względnych emisji projektu przez koszty jednostkowe. Szacowanie rocznych względnych emisji uzależnione będzie od emisji wytworzonych przez użytkowników różnych pojazdów (i środków transportu) na danej sieci (analogicznie, jak w przypadku kosztów eksploatacji). W tym przypadku mowa jest o „współczynnikach emisji gazów cieplarnianych”, które mnoży się przez odpowiednią pracę przewozową (jak podano w poniższych wzorach).</w:t>
            </w:r>
          </w:p>
          <w:p w14:paraId="0C1E11AF" w14:textId="50ADDD92"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Współczynniki emisji uzależnione są od pojazdów (i środków transportu) użytkowników, w zakresie zużycia paliwa/</w:t>
            </w:r>
            <w:r w:rsidR="00784B01">
              <w:rPr>
                <w:rFonts w:ascii="Calibri" w:eastAsia="Calibri" w:hAnsi="Calibri" w:cs="Calibri"/>
                <w:color w:val="000000"/>
                <w:sz w:val="20"/>
                <w:szCs w:val="20"/>
              </w:rPr>
              <w:t xml:space="preserve"> </w:t>
            </w:r>
            <w:r>
              <w:rPr>
                <w:rFonts w:ascii="Calibri" w:eastAsia="Calibri" w:hAnsi="Calibri" w:cs="Calibri"/>
                <w:color w:val="000000"/>
                <w:sz w:val="20"/>
                <w:szCs w:val="20"/>
              </w:rPr>
              <w:t xml:space="preserve">energii. W przypadku pojazdów drogowych, zgodnie z opisem rozdziału o kosztach eksploatacji pojazdu, zużycie paliwa zależy przede wszystkim od prędkości, kategorii pojazdu, jak również stanu nawierzchni i geometrii drogi. W rozdziale na temat kosztów eksploatacji opisano założenia dla aktualnego składu floty pojazdów drogowych i jego spodziewaną ewolucję – założenia te mają również w pełni zastosowanie do współczynników emisji gazów cieplarnianych (ponieważ są ściśle uzależnione od zużycia paliwa/energii). W załączniku A znaleźć można wartości współczynników emisji gazów cieplarnianych wraz z zasadami obliczeń. </w:t>
            </w:r>
          </w:p>
          <w:p w14:paraId="01C31FEA" w14:textId="77777777" w:rsidR="00FF6918" w:rsidRPr="00371A33" w:rsidRDefault="00FF6918" w:rsidP="00FF6918">
            <w:pPr>
              <w:pStyle w:val="anxnormal"/>
              <w:ind w:left="0"/>
              <w:rPr>
                <w:rFonts w:asciiTheme="minorHAnsi" w:hAnsiTheme="minorHAnsi"/>
              </w:rPr>
            </w:pPr>
            <w:r w:rsidRPr="00EA6879">
              <w:rPr>
                <w:rFonts w:asciiTheme="minorHAnsi" w:hAnsiTheme="minorHAnsi"/>
              </w:rPr>
              <w:t>W przypadku ruchu drogowego metodologia obliczania kosztów emisji gazów cieplarnianych opiera się na oszacowaniu konsekwencji fazy operacyjnej projektu dla pojazdów z silnikiem spalinowym (LV i HGV) oraz pojazdów elektrycznych (tylko LV). W przypadku pojazdów z silniki</w:t>
            </w:r>
            <w:r w:rsidRPr="00371A33">
              <w:rPr>
                <w:rFonts w:asciiTheme="minorHAnsi" w:hAnsiTheme="minorHAnsi"/>
              </w:rPr>
              <w:t xml:space="preserve">em spalinowym uwzględnia się bezpośrednie emisje związane z fazą eksploatacji, natomiast w przypadku pojazdów elektrycznych uwzględnia się pośrednie emisje gazów cieplarnianych związane z wytwarzaniem i dostarczaniem energii służącej eksploatacji pojazdów elektrycznych (tj. współczynnik sieci). </w:t>
            </w:r>
          </w:p>
          <w:p w14:paraId="35ABF846" w14:textId="77777777" w:rsidR="00FF6918" w:rsidRPr="00755C01" w:rsidRDefault="00FF6918" w:rsidP="00FF6918">
            <w:pPr>
              <w:pStyle w:val="anxnormal"/>
              <w:ind w:left="0"/>
              <w:rPr>
                <w:rFonts w:asciiTheme="minorHAnsi" w:hAnsiTheme="minorHAnsi"/>
              </w:rPr>
            </w:pPr>
            <w:r w:rsidRPr="00371A33">
              <w:rPr>
                <w:rFonts w:asciiTheme="minorHAnsi" w:hAnsiTheme="minorHAnsi"/>
              </w:rPr>
              <w:t>W przypadku transportu kolejowego stosuje się analogiczne zasady, odpowiednio dla spalinowych i elektrycznych pojazdów trakcyjnych. Właściwe współczynniki emisji gazów cieplarnianych dla transportu kolejowego również podano w załączniku A.</w:t>
            </w:r>
          </w:p>
          <w:p w14:paraId="22F1BA18" w14:textId="519FA21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Roczne wartości emisji gazów cieplarnianych należy pomnożyć przez jednostkowe koszty ekonomiczne ekwiwalentu CO</w:t>
            </w:r>
            <w:r>
              <w:rPr>
                <w:rFonts w:ascii="Calibri" w:eastAsia="Calibri" w:hAnsi="Calibri" w:cs="Calibri"/>
                <w:color w:val="000000"/>
                <w:sz w:val="20"/>
                <w:szCs w:val="20"/>
                <w:vertAlign w:val="subscript"/>
              </w:rPr>
              <w:t>2</w:t>
            </w:r>
            <w:r>
              <w:rPr>
                <w:rFonts w:ascii="Calibri" w:eastAsia="Calibri" w:hAnsi="Calibri" w:cs="Calibri"/>
                <w:color w:val="000000"/>
                <w:sz w:val="20"/>
                <w:szCs w:val="20"/>
              </w:rPr>
              <w:t xml:space="preserve"> podany w tym samym załączniku, a oparty na Mapie Drogowej na lata 2021-2025 grupy ds. klimatu EBI (listopad 2020 r.), tzn.: 80 EUR/t CO</w:t>
            </w:r>
            <w:r>
              <w:rPr>
                <w:rFonts w:ascii="Calibri" w:eastAsia="Calibri" w:hAnsi="Calibri" w:cs="Calibri"/>
                <w:color w:val="000000"/>
                <w:sz w:val="20"/>
                <w:szCs w:val="20"/>
                <w:vertAlign w:val="subscript"/>
              </w:rPr>
              <w:t>2</w:t>
            </w:r>
            <w:r w:rsidRPr="00FF6918">
              <w:rPr>
                <w:rFonts w:ascii="Calibri" w:eastAsia="Calibri" w:hAnsi="Calibri" w:cs="Calibri"/>
                <w:color w:val="000000"/>
                <w:sz w:val="20"/>
                <w:szCs w:val="20"/>
              </w:rPr>
              <w:t>e</w:t>
            </w:r>
            <w:r>
              <w:rPr>
                <w:rFonts w:ascii="Calibri" w:eastAsia="Calibri" w:hAnsi="Calibri" w:cs="Calibri"/>
                <w:color w:val="000000"/>
                <w:sz w:val="20"/>
                <w:szCs w:val="20"/>
              </w:rPr>
              <w:t xml:space="preserve"> w 2020 do 800 EUR/t CO</w:t>
            </w:r>
            <w:r>
              <w:rPr>
                <w:rFonts w:ascii="Calibri" w:eastAsia="Calibri" w:hAnsi="Calibri" w:cs="Calibri"/>
                <w:color w:val="000000"/>
                <w:sz w:val="20"/>
                <w:szCs w:val="20"/>
                <w:vertAlign w:val="subscript"/>
              </w:rPr>
              <w:t>2</w:t>
            </w:r>
            <w:r w:rsidR="0010419F">
              <w:rPr>
                <w:rFonts w:ascii="Calibri" w:eastAsia="Calibri" w:hAnsi="Calibri" w:cs="Calibri"/>
                <w:color w:val="000000"/>
                <w:sz w:val="20"/>
                <w:szCs w:val="20"/>
              </w:rPr>
              <w:t>e</w:t>
            </w:r>
            <w:r>
              <w:rPr>
                <w:rFonts w:ascii="Calibri" w:eastAsia="Calibri" w:hAnsi="Calibri" w:cs="Calibri"/>
                <w:color w:val="000000"/>
                <w:sz w:val="20"/>
                <w:szCs w:val="20"/>
              </w:rPr>
              <w:t xml:space="preserve"> w 2050 r.; poziom cen 2016 r. W załączniku A kwoty te zostały przeliczone na PLN z uwzględnieniem odpowiednich poziomów cen w obliczeniach.</w:t>
            </w:r>
          </w:p>
          <w:p w14:paraId="2E7D02E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Ponieważ szkody wywołane przez globalne ocieplenie mają charakter globalny, nie ma znaczenia jakie jest źródło gazów cieplarnianych oraz gdzie w Europie dochodzi do ich emisji. Z tego względu we wszystkich krajach UE stosuje się takie same współczynniki kosztowe. </w:t>
            </w:r>
          </w:p>
          <w:p w14:paraId="0CE57678"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te podlegają indeksacji. Zmienność kosztów jednostkowych w czasie jest przedstawiona w załączniku A.</w:t>
            </w:r>
          </w:p>
          <w:p w14:paraId="59FE9A8E" w14:textId="05944EFC"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Sposób wyliczania tych kosztów zarówno dla analizy odcinkowej jak i analizy wykonanej metodą sieciową/buforową </w:t>
            </w:r>
            <w:r>
              <w:rPr>
                <w:rFonts w:ascii="Calibri" w:eastAsia="Calibri" w:hAnsi="Calibri" w:cs="Calibri"/>
                <w:color w:val="222222"/>
                <w:sz w:val="20"/>
                <w:szCs w:val="20"/>
              </w:rPr>
              <w:t xml:space="preserve">wymaga pomnożenia całkowitej rocznej </w:t>
            </w:r>
            <w:r w:rsidRPr="0010419F">
              <w:rPr>
                <w:rFonts w:asciiTheme="minorHAnsi" w:eastAsia="Calibri" w:hAnsiTheme="minorHAnsi" w:cs="Calibri"/>
                <w:color w:val="222222"/>
                <w:sz w:val="20"/>
                <w:szCs w:val="20"/>
              </w:rPr>
              <w:t>emisji </w:t>
            </w:r>
            <w:r w:rsidR="0010419F" w:rsidRPr="0010419F">
              <w:rPr>
                <w:rStyle w:val="hps"/>
                <w:rFonts w:asciiTheme="minorHAnsi" w:hAnsiTheme="minorHAnsi"/>
                <w:sz w:val="20"/>
                <w:szCs w:val="20"/>
              </w:rPr>
              <w:t>obliczonej z wykorzystaniem współczynników emisji</w:t>
            </w:r>
            <w:r w:rsidR="0010419F" w:rsidRPr="008A4B8D">
              <w:rPr>
                <w:rStyle w:val="hps"/>
                <w:rFonts w:asciiTheme="minorHAnsi" w:hAnsiTheme="minorHAnsi"/>
              </w:rPr>
              <w:t> </w:t>
            </w:r>
            <w:r w:rsidR="0010419F">
              <w:rPr>
                <w:rFonts w:ascii="Calibri" w:eastAsia="Calibri" w:hAnsi="Calibri" w:cs="Calibri"/>
                <w:color w:val="000000"/>
                <w:sz w:val="20"/>
                <w:szCs w:val="20"/>
              </w:rPr>
              <w:t xml:space="preserve"> </w:t>
            </w:r>
            <w:r>
              <w:rPr>
                <w:rFonts w:ascii="Calibri" w:eastAsia="Calibri" w:hAnsi="Calibri" w:cs="Calibri"/>
                <w:color w:val="000000"/>
                <w:sz w:val="20"/>
                <w:szCs w:val="20"/>
              </w:rPr>
              <w:t>–</w:t>
            </w:r>
            <w:r w:rsidR="0010419F">
              <w:rPr>
                <w:rFonts w:ascii="Calibri" w:eastAsia="Calibri" w:hAnsi="Calibri" w:cs="Calibri"/>
                <w:color w:val="000000"/>
                <w:sz w:val="20"/>
                <w:szCs w:val="20"/>
              </w:rPr>
              <w:t xml:space="preserve"> </w:t>
            </w:r>
            <w:r>
              <w:rPr>
                <w:rFonts w:ascii="Calibri" w:eastAsia="Calibri" w:hAnsi="Calibri" w:cs="Calibri"/>
                <w:color w:val="000000"/>
                <w:sz w:val="20"/>
                <w:szCs w:val="20"/>
              </w:rPr>
              <w:t>w tCO</w:t>
            </w:r>
            <w:r>
              <w:rPr>
                <w:rFonts w:ascii="Calibri" w:eastAsia="Calibri" w:hAnsi="Calibri" w:cs="Calibri"/>
                <w:color w:val="000000"/>
                <w:sz w:val="20"/>
                <w:szCs w:val="20"/>
                <w:vertAlign w:val="subscript"/>
              </w:rPr>
              <w:t>2</w:t>
            </w:r>
            <w:r w:rsidR="0010419F">
              <w:rPr>
                <w:rFonts w:ascii="Calibri" w:eastAsia="Calibri" w:hAnsi="Calibri" w:cs="Calibri"/>
                <w:color w:val="000000"/>
                <w:sz w:val="20"/>
                <w:szCs w:val="20"/>
              </w:rPr>
              <w:t>e</w:t>
            </w:r>
            <w:r>
              <w:rPr>
                <w:rFonts w:ascii="Calibri" w:eastAsia="Calibri" w:hAnsi="Calibri" w:cs="Calibri"/>
                <w:color w:val="000000"/>
                <w:sz w:val="20"/>
                <w:szCs w:val="20"/>
              </w:rPr>
              <w:t>/pojkm–przez koszt jednostkowy CO</w:t>
            </w:r>
            <w:r>
              <w:rPr>
                <w:rFonts w:ascii="Calibri" w:eastAsia="Calibri" w:hAnsi="Calibri" w:cs="Calibri"/>
                <w:color w:val="000000"/>
                <w:sz w:val="20"/>
                <w:szCs w:val="20"/>
                <w:vertAlign w:val="subscript"/>
              </w:rPr>
              <w:t>2</w:t>
            </w:r>
            <w:r w:rsidR="0010419F">
              <w:rPr>
                <w:rFonts w:ascii="Calibri" w:eastAsia="Calibri" w:hAnsi="Calibri" w:cs="Calibri"/>
                <w:color w:val="000000"/>
                <w:sz w:val="20"/>
                <w:szCs w:val="20"/>
              </w:rPr>
              <w:t>e</w:t>
            </w:r>
            <w:r>
              <w:rPr>
                <w:rFonts w:ascii="Calibri" w:eastAsia="Calibri" w:hAnsi="Calibri" w:cs="Calibri"/>
                <w:color w:val="000000"/>
                <w:sz w:val="20"/>
                <w:szCs w:val="20"/>
                <w:vertAlign w:val="subscript"/>
              </w:rPr>
              <w:t xml:space="preserve"> w </w:t>
            </w:r>
            <w:r>
              <w:rPr>
                <w:rFonts w:ascii="Calibri" w:eastAsia="Calibri" w:hAnsi="Calibri" w:cs="Calibri"/>
                <w:color w:val="000000"/>
                <w:sz w:val="20"/>
                <w:szCs w:val="20"/>
              </w:rPr>
              <w:t>PLN/ tCO</w:t>
            </w:r>
            <w:r>
              <w:rPr>
                <w:rFonts w:ascii="Calibri" w:eastAsia="Calibri" w:hAnsi="Calibri" w:cs="Calibri"/>
                <w:color w:val="000000"/>
                <w:sz w:val="20"/>
                <w:szCs w:val="20"/>
                <w:vertAlign w:val="subscript"/>
              </w:rPr>
              <w:t>2</w:t>
            </w:r>
            <w:r w:rsidR="0010419F">
              <w:rPr>
                <w:rFonts w:ascii="Calibri" w:eastAsia="Calibri" w:hAnsi="Calibri" w:cs="Calibri"/>
                <w:color w:val="000000"/>
                <w:sz w:val="20"/>
                <w:szCs w:val="20"/>
              </w:rPr>
              <w:t xml:space="preserve">e </w:t>
            </w:r>
            <w:r>
              <w:rPr>
                <w:rFonts w:ascii="Calibri" w:eastAsia="Calibri" w:hAnsi="Calibri" w:cs="Calibri"/>
                <w:color w:val="000000"/>
                <w:sz w:val="20"/>
                <w:szCs w:val="20"/>
              </w:rPr>
              <w:t xml:space="preserve">– podany w załączniku A, </w:t>
            </w:r>
            <w:r>
              <w:rPr>
                <w:rFonts w:ascii="Calibri" w:eastAsia="Calibri" w:hAnsi="Calibri" w:cs="Calibri"/>
                <w:color w:val="222222"/>
                <w:sz w:val="20"/>
                <w:szCs w:val="20"/>
              </w:rPr>
              <w:t>oraz zgodnie z poniższymi wzorami</w:t>
            </w:r>
            <w:r>
              <w:rPr>
                <w:rFonts w:ascii="Calibri" w:eastAsia="Calibri" w:hAnsi="Calibri" w:cs="Calibri"/>
                <w:color w:val="000000"/>
                <w:sz w:val="20"/>
                <w:szCs w:val="20"/>
              </w:rPr>
              <w:t xml:space="preserve">. </w:t>
            </w:r>
          </w:p>
          <w:p w14:paraId="083F26D1" w14:textId="617D1255" w:rsidR="00600DEE" w:rsidRDefault="0010419F">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21</w:t>
            </w:r>
            <w:r w:rsidR="00641FB5">
              <w:rPr>
                <w:rFonts w:ascii="Calibri" w:eastAsia="Calibri" w:hAnsi="Calibri" w:cs="Calibri"/>
                <w:b/>
                <w:color w:val="4F81BD"/>
                <w:sz w:val="20"/>
                <w:szCs w:val="20"/>
              </w:rPr>
              <w:t>. Wzory do obliczania kosztów zmian klimatu</w:t>
            </w:r>
          </w:p>
          <w:tbl>
            <w:tblPr>
              <w:tblStyle w:val="afffff1"/>
              <w:tblW w:w="6894"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894"/>
            </w:tblGrid>
            <w:tr w:rsidR="00600DEE" w14:paraId="22D7CAD5" w14:textId="77777777" w:rsidTr="005C3677">
              <w:trPr>
                <w:trHeight w:val="4826"/>
              </w:trPr>
              <w:tc>
                <w:tcPr>
                  <w:tcW w:w="6894" w:type="dxa"/>
                  <w:shd w:val="clear" w:color="auto" w:fill="DBE5F1"/>
                </w:tcPr>
                <w:p w14:paraId="79C0D1D3" w14:textId="77777777" w:rsidR="00600DEE" w:rsidRDefault="00641FB5">
                  <w:pPr>
                    <w:pBdr>
                      <w:top w:val="nil"/>
                      <w:left w:val="nil"/>
                      <w:bottom w:val="nil"/>
                      <w:right w:val="nil"/>
                      <w:between w:val="nil"/>
                    </w:pBdr>
                    <w:tabs>
                      <w:tab w:val="center" w:pos="3439"/>
                      <w:tab w:val="right" w:pos="6420"/>
                    </w:tabs>
                    <w:spacing w:before="120" w:after="40"/>
                    <w:rPr>
                      <w:rFonts w:ascii="Calibri" w:eastAsia="Calibri" w:hAnsi="Calibri" w:cs="Calibri"/>
                      <w:color w:val="4F81BD"/>
                      <w:sz w:val="18"/>
                      <w:szCs w:val="18"/>
                    </w:rPr>
                  </w:pPr>
                  <w:r>
                    <w:rPr>
                      <w:rFonts w:ascii="Calibri" w:eastAsia="Calibri" w:hAnsi="Calibri" w:cs="Calibri"/>
                      <w:color w:val="4F81BD"/>
                      <w:sz w:val="18"/>
                      <w:szCs w:val="18"/>
                    </w:rPr>
                    <w:tab/>
                  </w:r>
                  <w:r>
                    <w:rPr>
                      <w:rFonts w:ascii="Calibri" w:eastAsia="Calibri" w:hAnsi="Calibri" w:cs="Calibri"/>
                      <w:color w:val="4F81BD"/>
                      <w:sz w:val="18"/>
                      <w:szCs w:val="18"/>
                    </w:rPr>
                    <w:tab/>
                  </w:r>
                </w:p>
                <w:p w14:paraId="753E8ACE" w14:textId="77777777" w:rsidR="00600DEE" w:rsidRDefault="00641FB5">
                  <w:pPr>
                    <w:pBdr>
                      <w:top w:val="nil"/>
                      <w:left w:val="nil"/>
                      <w:bottom w:val="nil"/>
                      <w:right w:val="nil"/>
                      <w:between w:val="nil"/>
                    </w:pBdr>
                    <w:spacing w:before="40" w:after="40"/>
                    <w:jc w:val="center"/>
                    <w:rPr>
                      <w:rFonts w:ascii="Calibri" w:eastAsia="Calibri" w:hAnsi="Calibri" w:cs="Calibri"/>
                      <w:color w:val="4F81BD"/>
                      <w:sz w:val="18"/>
                      <w:szCs w:val="18"/>
                    </w:rPr>
                  </w:pPr>
                  <w:r>
                    <w:rPr>
                      <w:rFonts w:ascii="Calibri" w:eastAsia="Calibri" w:hAnsi="Calibri" w:cs="Calibri"/>
                      <w:color w:val="4F81BD"/>
                      <w:sz w:val="36"/>
                      <w:szCs w:val="36"/>
                      <w:vertAlign w:val="subscript"/>
                    </w:rPr>
                    <w:object w:dxaOrig="4110" w:dyaOrig="728" w14:anchorId="0255878B">
                      <v:shape id="_x0000_i1035" type="#_x0000_t75" style="width:205.7pt;height:36.45pt" o:ole="" filled="t">
                        <v:fill color2="black"/>
                        <v:imagedata r:id="rId126" o:title=""/>
                      </v:shape>
                      <o:OLEObject Type="Embed" ProgID="Equation.3" ShapeID="_x0000_i1035" DrawAspect="Content" ObjectID="_1747568782" r:id="rId127"/>
                    </w:object>
                  </w:r>
                </w:p>
                <w:p w14:paraId="7B5FE41D"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gdzie:</w:t>
                  </w:r>
                </w:p>
                <w:p w14:paraId="28BF204D"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ZK</w:t>
                  </w:r>
                  <w:r>
                    <w:rPr>
                      <w:rFonts w:ascii="Calibri" w:eastAsia="Calibri" w:hAnsi="Calibri" w:cs="Calibri"/>
                      <w:color w:val="4F81BD"/>
                      <w:sz w:val="18"/>
                      <w:szCs w:val="18"/>
                    </w:rPr>
                    <w:tab/>
                    <w:t xml:space="preserve">        – roczne  koszty  zmian klimatu spowodowanych przez pojazdy samochodowe, </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w PLN,</w:t>
                  </w:r>
                </w:p>
                <w:p w14:paraId="4746F5E0"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j                        – liczba kategorii pojazdów, (także dla innych gałęzi transportu jeżeli ma to  zastosowanie)</w:t>
                  </w:r>
                </w:p>
                <w:p w14:paraId="08536C4B"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zk,j</w:t>
                  </w:r>
                  <w:r>
                    <w:rPr>
                      <w:rFonts w:ascii="Calibri" w:eastAsia="Calibri" w:hAnsi="Calibri" w:cs="Calibri"/>
                      <w:color w:val="4F81BD"/>
                      <w:sz w:val="18"/>
                      <w:szCs w:val="18"/>
                    </w:rPr>
                    <w:t>(V</w:t>
                  </w:r>
                  <w:r>
                    <w:rPr>
                      <w:rFonts w:ascii="Calibri" w:eastAsia="Calibri" w:hAnsi="Calibri" w:cs="Calibri"/>
                      <w:color w:val="4F81BD"/>
                      <w:sz w:val="18"/>
                      <w:szCs w:val="18"/>
                      <w:vertAlign w:val="subscript"/>
                    </w:rPr>
                    <w:t>pdrt j</w:t>
                  </w:r>
                  <w:r>
                    <w:rPr>
                      <w:rFonts w:ascii="Calibri" w:eastAsia="Calibri" w:hAnsi="Calibri" w:cs="Calibri"/>
                      <w:color w:val="4F81BD"/>
                      <w:sz w:val="18"/>
                      <w:szCs w:val="18"/>
                    </w:rPr>
                    <w:t>,T,S)</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 jednostkowe koszty  zmian klimatu dla kategorii pojazdów samochodowych</w:t>
                  </w:r>
                  <w:r>
                    <w:rPr>
                      <w:rFonts w:ascii="Calibri" w:eastAsia="Calibri" w:hAnsi="Calibri" w:cs="Calibri"/>
                      <w:color w:val="4F81BD"/>
                      <w:sz w:val="18"/>
                      <w:szCs w:val="18"/>
                    </w:rPr>
                    <w:br/>
                    <w:t xml:space="preserve">                            „j” w funkcji prędkości podróży V</w:t>
                  </w:r>
                  <w:r>
                    <w:rPr>
                      <w:rFonts w:ascii="Calibri" w:eastAsia="Calibri" w:hAnsi="Calibri" w:cs="Calibri"/>
                      <w:color w:val="4F81BD"/>
                      <w:sz w:val="18"/>
                      <w:szCs w:val="18"/>
                      <w:vertAlign w:val="subscript"/>
                    </w:rPr>
                    <w:t>pdrt,j</w:t>
                  </w:r>
                  <w:r>
                    <w:rPr>
                      <w:rFonts w:ascii="Calibri" w:eastAsia="Calibri" w:hAnsi="Calibri" w:cs="Calibri"/>
                      <w:color w:val="4F81BD"/>
                      <w:sz w:val="18"/>
                      <w:szCs w:val="18"/>
                    </w:rPr>
                    <w:t>, ukształtowania terenu T i stanu</w:t>
                  </w:r>
                  <w:r>
                    <w:rPr>
                      <w:rFonts w:ascii="Calibri" w:eastAsia="Calibri" w:hAnsi="Calibri" w:cs="Calibri"/>
                      <w:color w:val="4F81BD"/>
                      <w:sz w:val="18"/>
                      <w:szCs w:val="18"/>
                    </w:rPr>
                    <w:br/>
                    <w:t xml:space="preserve">                            technicznego nawierzchni S, w PLN/poj-km, (także dla innych gałęzi transportu jeżeli ma to zastosowanie)</w:t>
                  </w:r>
                </w:p>
                <w:p w14:paraId="036E2B87"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SDR</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 średnioroczne dobowe natężenie ruchu dla kategorii pojazdów „j” ,</w:t>
                  </w:r>
                  <w:r>
                    <w:rPr>
                      <w:rFonts w:ascii="Calibri" w:eastAsia="Calibri" w:hAnsi="Calibri" w:cs="Calibri"/>
                      <w:color w:val="4F81BD"/>
                      <w:sz w:val="18"/>
                      <w:szCs w:val="18"/>
                    </w:rPr>
                    <w:br/>
                    <w:t xml:space="preserve">                            w pojazdach/dobę,</w:t>
                  </w:r>
                </w:p>
                <w:p w14:paraId="348888F3"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 xml:space="preserve">L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 długość odcinka drogi w km,</w:t>
                  </w:r>
                </w:p>
                <w:p w14:paraId="74FAA0E0"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W</w:t>
                  </w:r>
                  <w:r>
                    <w:rPr>
                      <w:rFonts w:ascii="Calibri" w:eastAsia="Calibri" w:hAnsi="Calibri" w:cs="Calibri"/>
                      <w:color w:val="4F81BD"/>
                      <w:sz w:val="18"/>
                      <w:szCs w:val="18"/>
                      <w:vertAlign w:val="superscript"/>
                    </w:rPr>
                    <w:t>km</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 praca przewozowa dla pojazdów kategorii „j” w zależności od długości </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odcinka</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drogi oraz przedziału prędkości V</w:t>
                  </w:r>
                  <w:r>
                    <w:rPr>
                      <w:rFonts w:ascii="Calibri" w:eastAsia="Calibri" w:hAnsi="Calibri" w:cs="Calibri"/>
                      <w:color w:val="4F81BD"/>
                      <w:sz w:val="18"/>
                      <w:szCs w:val="18"/>
                      <w:vertAlign w:val="subscript"/>
                    </w:rPr>
                    <w:t>pdrt, j</w:t>
                  </w:r>
                  <w:r>
                    <w:rPr>
                      <w:rFonts w:ascii="Calibri" w:eastAsia="Calibri" w:hAnsi="Calibri" w:cs="Calibri"/>
                      <w:color w:val="4F81BD"/>
                      <w:sz w:val="18"/>
                      <w:szCs w:val="18"/>
                    </w:rPr>
                    <w:t>, w pojazdokilometrach/dobę.</w:t>
                  </w:r>
                </w:p>
                <w:p w14:paraId="4DFA9FF8" w14:textId="77777777" w:rsidR="00600DEE" w:rsidRDefault="00641FB5">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W</w:t>
                  </w:r>
                  <w:r>
                    <w:rPr>
                      <w:rFonts w:ascii="Calibri" w:eastAsia="Calibri" w:hAnsi="Calibri" w:cs="Calibri"/>
                      <w:color w:val="4F81BD"/>
                      <w:sz w:val="18"/>
                      <w:szCs w:val="18"/>
                      <w:vertAlign w:val="superscript"/>
                    </w:rPr>
                    <w:t>km</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 L* SDR</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w:t>
                  </w:r>
                </w:p>
              </w:tc>
            </w:tr>
          </w:tbl>
          <w:p w14:paraId="4B8D09C5"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tc>
        <w:tc>
          <w:tcPr>
            <w:tcW w:w="7215" w:type="dxa"/>
            <w:tcBorders>
              <w:left w:val="single" w:sz="4" w:space="0" w:color="000000"/>
            </w:tcBorders>
            <w:tcMar>
              <w:left w:w="284" w:type="dxa"/>
              <w:right w:w="284" w:type="dxa"/>
            </w:tcMar>
          </w:tcPr>
          <w:p w14:paraId="7CBCB3D6" w14:textId="5090B57E"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cost of climate change impact of greenhouse gases (GHG) emissions for both scenarios (without-the-project scenario W0 an</w:t>
            </w:r>
            <w:r w:rsidR="00B10112">
              <w:rPr>
                <w:rFonts w:ascii="Calibri" w:eastAsia="Calibri" w:hAnsi="Calibri" w:cs="Calibri"/>
                <w:color w:val="000000"/>
                <w:sz w:val="20"/>
                <w:szCs w:val="20"/>
                <w:lang w:val="en-GB"/>
              </w:rPr>
              <w:t>d project investment option/s W</w:t>
            </w:r>
            <w:r w:rsidRPr="0045151D">
              <w:rPr>
                <w:rFonts w:ascii="Calibri" w:eastAsia="Calibri" w:hAnsi="Calibri" w:cs="Calibri"/>
                <w:color w:val="000000"/>
                <w:sz w:val="20"/>
                <w:szCs w:val="20"/>
                <w:lang w:val="en-GB"/>
              </w:rPr>
              <w:t>n) is the total cost generated by all users on the analysed transport networks.</w:t>
            </w:r>
          </w:p>
          <w:p w14:paraId="6E4C20C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Costs of greenhouse gases emissions (expressed as CO</w:t>
            </w:r>
            <w:r w:rsidRPr="0045151D">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 xml:space="preserve"> equivalent) consist of the product of the total equivalent amount of CO</w:t>
            </w:r>
            <w:r w:rsidRPr="0045151D">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 xml:space="preserve"> emitted multiplied by its unit cost.</w:t>
            </w:r>
          </w:p>
          <w:p w14:paraId="2F6E3B7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proposed calculation method follows the approach described in the EIB Project Carbon Footprint Methodologies (version 11.1, July 2020) where GHG emissions impact assessment for transport infrastructure projects refers mainly to those emissions that are the consequence of the project operation phase (traffic running on the different road and rail networks). </w:t>
            </w:r>
          </w:p>
          <w:p w14:paraId="32EC8D9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accordance with the above methodology, emissions of greenhouse gases other than carbon dioxide CO</w:t>
            </w:r>
            <w:r w:rsidRPr="0045151D">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 xml:space="preserve"> (i.e. methane CH</w:t>
            </w:r>
            <w:r w:rsidRPr="0045151D">
              <w:rPr>
                <w:rFonts w:ascii="Calibri" w:eastAsia="Calibri" w:hAnsi="Calibri" w:cs="Calibri"/>
                <w:color w:val="000000"/>
                <w:sz w:val="20"/>
                <w:szCs w:val="20"/>
                <w:vertAlign w:val="subscript"/>
                <w:lang w:val="en-GB"/>
              </w:rPr>
              <w:t>4</w:t>
            </w:r>
            <w:r w:rsidRPr="0045151D">
              <w:rPr>
                <w:rFonts w:ascii="Calibri" w:eastAsia="Calibri" w:hAnsi="Calibri" w:cs="Calibri"/>
                <w:color w:val="000000"/>
                <w:sz w:val="20"/>
                <w:szCs w:val="20"/>
                <w:lang w:val="en-GB"/>
              </w:rPr>
              <w:t xml:space="preserve"> and dinitrogen monoxide N</w:t>
            </w:r>
            <w:r w:rsidRPr="0045151D">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O) are not included because their impact is regarded negligible. For calculation purposes, the GHG emission factors can be considered as CO</w:t>
            </w:r>
            <w:r w:rsidRPr="0045151D">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 xml:space="preserve">e. </w:t>
            </w:r>
          </w:p>
          <w:p w14:paraId="37FFA9C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estimation of projects GHG emissions according to above referred methodology requires assessing and reporting on:</w:t>
            </w:r>
          </w:p>
          <w:p w14:paraId="6620F050" w14:textId="0ADD48B3" w:rsidR="00600DEE" w:rsidRPr="0045151D" w:rsidRDefault="00641FB5" w:rsidP="00D5736B">
            <w:pPr>
              <w:numPr>
                <w:ilvl w:val="0"/>
                <w:numId w:val="42"/>
              </w:num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Absolute emissions: </w:t>
            </w:r>
            <w:r w:rsidRPr="0045151D">
              <w:rPr>
                <w:rFonts w:ascii="Calibri" w:eastAsia="Calibri" w:hAnsi="Calibri" w:cs="Calibri"/>
                <w:color w:val="000000"/>
                <w:sz w:val="20"/>
                <w:szCs w:val="20"/>
                <w:lang w:val="en-GB"/>
              </w:rPr>
              <w:t>total emissions produced by the project in a typical operating year</w:t>
            </w:r>
            <w:bookmarkStart w:id="80" w:name="_Ref91584661"/>
            <w:r>
              <w:rPr>
                <w:rFonts w:ascii="Calibri" w:eastAsia="Calibri" w:hAnsi="Calibri" w:cs="Calibri"/>
                <w:color w:val="000000"/>
                <w:sz w:val="20"/>
                <w:szCs w:val="20"/>
                <w:vertAlign w:val="superscript"/>
              </w:rPr>
              <w:footnoteReference w:id="13"/>
            </w:r>
            <w:bookmarkEnd w:id="80"/>
            <w:r w:rsidRPr="0045151D">
              <w:rPr>
                <w:rFonts w:ascii="Calibri" w:eastAsia="Calibri" w:hAnsi="Calibri" w:cs="Calibri"/>
                <w:color w:val="000000"/>
                <w:sz w:val="20"/>
                <w:szCs w:val="20"/>
                <w:lang w:val="en-GB"/>
              </w:rPr>
              <w:t xml:space="preserve"> (tCO</w:t>
            </w:r>
            <w:r w:rsidRPr="0010419F">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e);</w:t>
            </w:r>
          </w:p>
          <w:p w14:paraId="18B00FAC" w14:textId="38E8F632" w:rsidR="00600DEE" w:rsidRPr="0045151D" w:rsidRDefault="00641FB5" w:rsidP="00D5736B">
            <w:pPr>
              <w:numPr>
                <w:ilvl w:val="0"/>
                <w:numId w:val="42"/>
              </w:num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Relative emissions: </w:t>
            </w:r>
            <w:r w:rsidRPr="0045151D">
              <w:rPr>
                <w:rFonts w:ascii="Calibri" w:eastAsia="Calibri" w:hAnsi="Calibri" w:cs="Calibri"/>
                <w:color w:val="000000"/>
                <w:sz w:val="20"/>
                <w:szCs w:val="20"/>
                <w:lang w:val="en-GB"/>
              </w:rPr>
              <w:t>incremental emissions (increase/</w:t>
            </w:r>
            <w:r w:rsidR="0010419F">
              <w:rPr>
                <w:rFonts w:ascii="Calibri" w:eastAsia="Calibri" w:hAnsi="Calibri" w:cs="Calibri"/>
                <w:color w:val="000000"/>
                <w:sz w:val="20"/>
                <w:szCs w:val="20"/>
                <w:lang w:val="en-GB"/>
              </w:rPr>
              <w:t>decrease) between investment (W</w:t>
            </w:r>
            <w:r w:rsidRPr="0045151D">
              <w:rPr>
                <w:rFonts w:ascii="Calibri" w:eastAsia="Calibri" w:hAnsi="Calibri" w:cs="Calibri"/>
                <w:color w:val="000000"/>
                <w:sz w:val="20"/>
                <w:szCs w:val="20"/>
                <w:lang w:val="en-GB"/>
              </w:rPr>
              <w:t xml:space="preserve">n) and non-investment options (W0) considered in the </w:t>
            </w:r>
            <w:r w:rsidR="00784B01">
              <w:rPr>
                <w:rFonts w:ascii="Calibri" w:eastAsia="Calibri" w:hAnsi="Calibri" w:cs="Calibri"/>
                <w:color w:val="000000"/>
                <w:sz w:val="20"/>
                <w:szCs w:val="20"/>
                <w:lang w:val="en-GB"/>
              </w:rPr>
              <w:t>CBA in a typical operating year</w:t>
            </w:r>
            <w:r w:rsidRPr="0045151D">
              <w:rPr>
                <w:rFonts w:ascii="Calibri" w:eastAsia="Calibri" w:hAnsi="Calibri" w:cs="Calibri"/>
                <w:color w:val="000000"/>
                <w:sz w:val="20"/>
                <w:szCs w:val="20"/>
                <w:lang w:val="en-GB"/>
              </w:rPr>
              <w:t xml:space="preserve"> (tCO</w:t>
            </w:r>
            <w:r w:rsidRPr="0010419F">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e).</w:t>
            </w:r>
          </w:p>
          <w:p w14:paraId="3555EE76" w14:textId="13B1D09E"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As mentioned above, economic costs of greenhouse gas emission, i.e. of CO</w:t>
            </w:r>
            <w:r w:rsidRPr="0045151D">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 will result from multiplying the yearly relative project emissions by their unit costs. The estimation of yearly relative emissions will depend on the emissions produced by the users of different vehicles (and modes) of the network considered (similarly, as for VOC). For the present case, it is referred to as “GHG emissions factor</w:t>
            </w:r>
            <w:r w:rsidR="0010419F">
              <w:rPr>
                <w:rFonts w:ascii="Calibri" w:eastAsia="Calibri" w:hAnsi="Calibri" w:cs="Calibri"/>
                <w:color w:val="000000"/>
                <w:sz w:val="20"/>
                <w:szCs w:val="20"/>
                <w:lang w:val="en-GB"/>
              </w:rPr>
              <w:t>s</w:t>
            </w:r>
            <w:r w:rsidRPr="0045151D">
              <w:rPr>
                <w:rFonts w:ascii="Calibri" w:eastAsia="Calibri" w:hAnsi="Calibri" w:cs="Calibri"/>
                <w:color w:val="000000"/>
                <w:sz w:val="20"/>
                <w:szCs w:val="20"/>
                <w:lang w:val="en-GB"/>
              </w:rPr>
              <w:t xml:space="preserve">” to be multiplied by respective transport work (as presented in formulas below). </w:t>
            </w:r>
          </w:p>
          <w:p w14:paraId="3CA9E874" w14:textId="168A2748"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Emissions factors depend on users vehicles (and modes), as per their fuel/energy consumption. For road vehicles, as described in VOC chapter, fuel consumption will mainly depend on the speed, on the vehicle category as well as on the pavement condition and geometry of the road. VOC chapter describes assumptions related to current road vehicle fleet composition and its expected evolution, those are as well of full applicability for GHG emissions factors (being strictly dependent on fuel/energy consumption). Appendix A provides GHG emission factor</w:t>
            </w:r>
            <w:r w:rsidR="00784B01">
              <w:rPr>
                <w:rFonts w:ascii="Calibri" w:eastAsia="Calibri" w:hAnsi="Calibri" w:cs="Calibri"/>
                <w:color w:val="000000"/>
                <w:sz w:val="20"/>
                <w:szCs w:val="20"/>
                <w:lang w:val="en-GB"/>
              </w:rPr>
              <w:t>s</w:t>
            </w:r>
            <w:r w:rsidRPr="0045151D">
              <w:rPr>
                <w:rFonts w:ascii="Calibri" w:eastAsia="Calibri" w:hAnsi="Calibri" w:cs="Calibri"/>
                <w:color w:val="000000"/>
                <w:sz w:val="20"/>
                <w:szCs w:val="20"/>
                <w:lang w:val="en-GB"/>
              </w:rPr>
              <w:t xml:space="preserve"> respective values and calculation principles.</w:t>
            </w:r>
          </w:p>
          <w:p w14:paraId="5D477DD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 the case of road traffic, the methodology for calculating the costs of GHG emissions is based on estimating the consequences of the project operational phase of combustion motor vehicles (LV and HGV) as well as electric vehicles (LV only). For combustion motor vehicles the direct emissions associated with the operational phase are included, whereas for electric vehicles the indirect greenhouse gas emissions associated with energy production and supply for related electric vehicles operation are taken into account (i.e. the grid factor). </w:t>
            </w:r>
          </w:p>
          <w:p w14:paraId="1AB3507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rail mode,  similar principles are applied, for combustion or electric powered traction vehicles respectively. For rail mode, respective GHG emission factors are also included in Appendix A.</w:t>
            </w:r>
          </w:p>
          <w:p w14:paraId="6C2290E9" w14:textId="2F3172C0"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Yearly GHG emissions will need to be multiplied by economic unit costs of CO</w:t>
            </w:r>
            <w:r w:rsidRPr="0045151D">
              <w:rPr>
                <w:rFonts w:ascii="Calibri" w:eastAsia="Calibri" w:hAnsi="Calibri" w:cs="Calibri"/>
                <w:color w:val="000000"/>
                <w:sz w:val="20"/>
                <w:szCs w:val="20"/>
                <w:vertAlign w:val="subscript"/>
                <w:lang w:val="en-GB"/>
              </w:rPr>
              <w:t>2</w:t>
            </w:r>
            <w:r w:rsidRPr="0045151D">
              <w:rPr>
                <w:rFonts w:ascii="Calibri" w:eastAsia="Calibri" w:hAnsi="Calibri" w:cs="Calibri"/>
                <w:color w:val="000000"/>
                <w:sz w:val="20"/>
                <w:szCs w:val="20"/>
                <w:lang w:val="en-GB"/>
              </w:rPr>
              <w:t xml:space="preserve"> equivalent as provided in same Appendix and based on EIB Group Climate Bank Roadmap 2021-2025 (November 2020), i.e.: 80 EUR/t CO</w:t>
            </w:r>
            <w:r w:rsidRPr="0045151D">
              <w:rPr>
                <w:rFonts w:ascii="Calibri" w:eastAsia="Calibri" w:hAnsi="Calibri" w:cs="Calibri"/>
                <w:color w:val="000000"/>
                <w:sz w:val="20"/>
                <w:szCs w:val="20"/>
                <w:vertAlign w:val="subscript"/>
                <w:lang w:val="en-GB"/>
              </w:rPr>
              <w:t>2</w:t>
            </w:r>
            <w:r w:rsidR="0010419F" w:rsidRPr="0010419F">
              <w:rPr>
                <w:rFonts w:ascii="Calibri" w:eastAsia="Calibri" w:hAnsi="Calibri" w:cs="Calibri"/>
                <w:color w:val="000000"/>
                <w:sz w:val="20"/>
                <w:szCs w:val="20"/>
                <w:lang w:val="en-GB"/>
              </w:rPr>
              <w:t>e</w:t>
            </w:r>
            <w:r w:rsidRPr="0045151D">
              <w:rPr>
                <w:rFonts w:ascii="Calibri" w:eastAsia="Calibri" w:hAnsi="Calibri" w:cs="Calibri"/>
                <w:color w:val="000000"/>
                <w:sz w:val="20"/>
                <w:szCs w:val="20"/>
                <w:vertAlign w:val="subscript"/>
                <w:lang w:val="en-GB"/>
              </w:rPr>
              <w:t xml:space="preserve"> </w:t>
            </w:r>
            <w:r w:rsidRPr="0045151D">
              <w:rPr>
                <w:rFonts w:ascii="Calibri" w:eastAsia="Calibri" w:hAnsi="Calibri" w:cs="Calibri"/>
                <w:color w:val="000000"/>
                <w:sz w:val="20"/>
                <w:szCs w:val="20"/>
                <w:lang w:val="en-GB"/>
              </w:rPr>
              <w:t>in 2020 till 800 EUR/t CO</w:t>
            </w:r>
            <w:r w:rsidRPr="0045151D">
              <w:rPr>
                <w:rFonts w:ascii="Calibri" w:eastAsia="Calibri" w:hAnsi="Calibri" w:cs="Calibri"/>
                <w:color w:val="000000"/>
                <w:sz w:val="20"/>
                <w:szCs w:val="20"/>
                <w:vertAlign w:val="subscript"/>
                <w:lang w:val="en-GB"/>
              </w:rPr>
              <w:t>2</w:t>
            </w:r>
            <w:r w:rsidR="0010419F" w:rsidRPr="0010419F">
              <w:rPr>
                <w:rFonts w:ascii="Calibri" w:eastAsia="Calibri" w:hAnsi="Calibri" w:cs="Calibri"/>
                <w:color w:val="000000"/>
                <w:sz w:val="20"/>
                <w:szCs w:val="20"/>
                <w:lang w:val="en-GB"/>
              </w:rPr>
              <w:t>e</w:t>
            </w:r>
            <w:r w:rsidRPr="0045151D">
              <w:rPr>
                <w:rFonts w:ascii="Calibri" w:eastAsia="Calibri" w:hAnsi="Calibri" w:cs="Calibri"/>
                <w:color w:val="000000"/>
                <w:sz w:val="20"/>
                <w:szCs w:val="20"/>
                <w:lang w:val="en-GB"/>
              </w:rPr>
              <w:t xml:space="preserve"> in 2050; price level 2016. Those are converted into PLN and to relevant price level for calculations in Appendix A.</w:t>
            </w:r>
          </w:p>
          <w:p w14:paraId="051E36E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Due to the global effect of the damage caused by global warming, there is no difference how and where in Europe the emissions of greenhouse gases take place. For this reason, the same unit costs are applied in all EU Member States.</w:t>
            </w:r>
          </w:p>
          <w:p w14:paraId="732C0F8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These costs are subject to indexation. The calculation of the forecasted unit costs over the reference period is presented in Appendix A.  </w:t>
            </w:r>
          </w:p>
          <w:p w14:paraId="7C5BC9C9" w14:textId="4AE5DB2D" w:rsidR="00600DEE" w:rsidRPr="0045151D" w:rsidRDefault="00641FB5">
            <w:pPr>
              <w:pBdr>
                <w:top w:val="nil"/>
                <w:left w:val="nil"/>
                <w:bottom w:val="nil"/>
                <w:right w:val="nil"/>
                <w:between w:val="nil"/>
              </w:pBdr>
              <w:spacing w:before="120"/>
              <w:jc w:val="both"/>
              <w:rPr>
                <w:rFonts w:ascii="Calibri" w:eastAsia="Calibri" w:hAnsi="Calibri" w:cs="Calibri"/>
                <w:b/>
                <w:color w:val="333399"/>
                <w:sz w:val="20"/>
                <w:szCs w:val="20"/>
                <w:lang w:val="en-GB"/>
              </w:rPr>
            </w:pPr>
            <w:r w:rsidRPr="0045151D">
              <w:rPr>
                <w:rFonts w:ascii="Calibri" w:eastAsia="Calibri" w:hAnsi="Calibri" w:cs="Calibri"/>
                <w:color w:val="000000"/>
                <w:sz w:val="20"/>
                <w:szCs w:val="20"/>
                <w:lang w:val="en-GB"/>
              </w:rPr>
              <w:t>The calculation approach  for both section and network/buffer analysis consists of multiplying the total yearly emissions obtained by applying the emission factor</w:t>
            </w:r>
            <w:r w:rsidR="0010419F">
              <w:rPr>
                <w:rFonts w:ascii="Calibri" w:eastAsia="Calibri" w:hAnsi="Calibri" w:cs="Calibri"/>
                <w:color w:val="000000"/>
                <w:sz w:val="20"/>
                <w:szCs w:val="20"/>
                <w:lang w:val="en-GB"/>
              </w:rPr>
              <w:t>s</w:t>
            </w:r>
            <w:r w:rsidRPr="0045151D">
              <w:rPr>
                <w:rFonts w:ascii="Calibri" w:eastAsia="Calibri" w:hAnsi="Calibri" w:cs="Calibri"/>
                <w:color w:val="000000"/>
                <w:sz w:val="20"/>
                <w:szCs w:val="20"/>
                <w:lang w:val="en-GB"/>
              </w:rPr>
              <w:t xml:space="preserve"> –</w:t>
            </w:r>
            <w:r w:rsidR="0010419F">
              <w:rPr>
                <w:rFonts w:ascii="Calibri" w:eastAsia="Calibri" w:hAnsi="Calibri" w:cs="Calibri"/>
                <w:color w:val="000000"/>
                <w:sz w:val="20"/>
                <w:szCs w:val="20"/>
                <w:lang w:val="en-GB"/>
              </w:rPr>
              <w:t xml:space="preserve"> </w:t>
            </w:r>
            <w:r w:rsidRPr="0045151D">
              <w:rPr>
                <w:rFonts w:ascii="Calibri" w:eastAsia="Calibri" w:hAnsi="Calibri" w:cs="Calibri"/>
                <w:color w:val="000000"/>
                <w:sz w:val="20"/>
                <w:szCs w:val="20"/>
                <w:lang w:val="en-GB"/>
              </w:rPr>
              <w:t>in tCO</w:t>
            </w:r>
            <w:r w:rsidRPr="0045151D">
              <w:rPr>
                <w:rFonts w:ascii="Calibri" w:eastAsia="Calibri" w:hAnsi="Calibri" w:cs="Calibri"/>
                <w:color w:val="000000"/>
                <w:sz w:val="20"/>
                <w:szCs w:val="20"/>
                <w:vertAlign w:val="subscript"/>
                <w:lang w:val="en-GB"/>
              </w:rPr>
              <w:t>2</w:t>
            </w:r>
            <w:r w:rsidR="0010419F" w:rsidRPr="0010419F">
              <w:rPr>
                <w:rFonts w:ascii="Calibri" w:eastAsia="Calibri" w:hAnsi="Calibri" w:cs="Calibri"/>
                <w:color w:val="000000"/>
                <w:sz w:val="20"/>
                <w:szCs w:val="20"/>
                <w:lang w:val="en-GB"/>
              </w:rPr>
              <w:t>e</w:t>
            </w:r>
            <w:r w:rsidRPr="0045151D">
              <w:rPr>
                <w:rFonts w:ascii="Calibri" w:eastAsia="Calibri" w:hAnsi="Calibri" w:cs="Calibri"/>
                <w:color w:val="000000"/>
                <w:sz w:val="20"/>
                <w:szCs w:val="20"/>
                <w:lang w:val="en-GB"/>
              </w:rPr>
              <w:t>/vehkm</w:t>
            </w:r>
            <w:r w:rsidR="0010419F">
              <w:rPr>
                <w:rFonts w:ascii="Calibri" w:eastAsia="Calibri" w:hAnsi="Calibri" w:cs="Calibri"/>
                <w:color w:val="000000"/>
                <w:sz w:val="20"/>
                <w:szCs w:val="20"/>
                <w:lang w:val="en-GB"/>
              </w:rPr>
              <w:t xml:space="preserve"> </w:t>
            </w:r>
            <w:r w:rsidRPr="0045151D">
              <w:rPr>
                <w:rFonts w:ascii="Calibri" w:eastAsia="Calibri" w:hAnsi="Calibri" w:cs="Calibri"/>
                <w:color w:val="000000"/>
                <w:sz w:val="20"/>
                <w:szCs w:val="20"/>
                <w:lang w:val="en-GB"/>
              </w:rPr>
              <w:t>– times the respective CO</w:t>
            </w:r>
            <w:r w:rsidRPr="0045151D">
              <w:rPr>
                <w:rFonts w:ascii="Calibri" w:eastAsia="Calibri" w:hAnsi="Calibri" w:cs="Calibri"/>
                <w:color w:val="000000"/>
                <w:sz w:val="20"/>
                <w:szCs w:val="20"/>
                <w:vertAlign w:val="subscript"/>
                <w:lang w:val="en-GB"/>
              </w:rPr>
              <w:t>2e</w:t>
            </w:r>
            <w:r w:rsidR="0010419F" w:rsidRPr="0010419F">
              <w:rPr>
                <w:rFonts w:ascii="Calibri" w:eastAsia="Calibri" w:hAnsi="Calibri" w:cs="Calibri"/>
                <w:color w:val="000000"/>
                <w:sz w:val="20"/>
                <w:szCs w:val="20"/>
                <w:lang w:val="en-GB"/>
              </w:rPr>
              <w:t>e</w:t>
            </w:r>
            <w:r w:rsidRPr="0045151D">
              <w:rPr>
                <w:rFonts w:ascii="Calibri" w:eastAsia="Calibri" w:hAnsi="Calibri" w:cs="Calibri"/>
                <w:color w:val="000000"/>
                <w:sz w:val="20"/>
                <w:szCs w:val="20"/>
                <w:vertAlign w:val="subscript"/>
                <w:lang w:val="en-GB"/>
              </w:rPr>
              <w:t xml:space="preserve"> </w:t>
            </w:r>
            <w:r w:rsidRPr="0045151D">
              <w:rPr>
                <w:rFonts w:ascii="Calibri" w:eastAsia="Calibri" w:hAnsi="Calibri" w:cs="Calibri"/>
                <w:color w:val="000000"/>
                <w:sz w:val="20"/>
                <w:szCs w:val="20"/>
                <w:lang w:val="en-GB"/>
              </w:rPr>
              <w:t>shadow unit cost in PLN/ tCO</w:t>
            </w:r>
            <w:r w:rsidRPr="0045151D">
              <w:rPr>
                <w:rFonts w:ascii="Calibri" w:eastAsia="Calibri" w:hAnsi="Calibri" w:cs="Calibri"/>
                <w:color w:val="000000"/>
                <w:sz w:val="20"/>
                <w:szCs w:val="20"/>
                <w:vertAlign w:val="subscript"/>
                <w:lang w:val="en-GB"/>
              </w:rPr>
              <w:t>2e</w:t>
            </w:r>
            <w:r w:rsidRPr="0045151D">
              <w:rPr>
                <w:rFonts w:ascii="Calibri" w:eastAsia="Calibri" w:hAnsi="Calibri" w:cs="Calibri"/>
                <w:color w:val="000000"/>
                <w:sz w:val="20"/>
                <w:szCs w:val="20"/>
                <w:lang w:val="en-GB"/>
              </w:rPr>
              <w:t xml:space="preserve">–) provided in Appendix A, and following the formulas below. </w:t>
            </w:r>
          </w:p>
          <w:p w14:paraId="68592305" w14:textId="77777777" w:rsidR="00600DEE" w:rsidRPr="0045151D" w:rsidRDefault="00600DEE">
            <w:pPr>
              <w:pBdr>
                <w:top w:val="nil"/>
                <w:left w:val="nil"/>
                <w:bottom w:val="nil"/>
                <w:right w:val="nil"/>
                <w:between w:val="nil"/>
              </w:pBdr>
              <w:spacing w:before="120"/>
              <w:jc w:val="both"/>
              <w:rPr>
                <w:rFonts w:ascii="Calibri" w:eastAsia="Calibri" w:hAnsi="Calibri" w:cs="Calibri"/>
                <w:b/>
                <w:color w:val="333399"/>
                <w:sz w:val="20"/>
                <w:szCs w:val="20"/>
                <w:lang w:val="en-GB"/>
              </w:rPr>
            </w:pPr>
          </w:p>
          <w:p w14:paraId="3EA17286" w14:textId="77777777" w:rsidR="00600DEE" w:rsidRPr="0045151D" w:rsidRDefault="00600DEE">
            <w:pPr>
              <w:pBdr>
                <w:top w:val="nil"/>
                <w:left w:val="nil"/>
                <w:bottom w:val="nil"/>
                <w:right w:val="nil"/>
                <w:between w:val="nil"/>
              </w:pBdr>
              <w:spacing w:before="120"/>
              <w:jc w:val="both"/>
              <w:rPr>
                <w:rFonts w:ascii="Calibri" w:eastAsia="Calibri" w:hAnsi="Calibri" w:cs="Calibri"/>
                <w:b/>
                <w:color w:val="333399"/>
                <w:sz w:val="20"/>
                <w:szCs w:val="20"/>
                <w:lang w:val="en-GB"/>
              </w:rPr>
            </w:pPr>
          </w:p>
          <w:p w14:paraId="52B3543F" w14:textId="77777777" w:rsidR="00600DEE" w:rsidRPr="0045151D" w:rsidRDefault="00600DEE">
            <w:pPr>
              <w:pBdr>
                <w:top w:val="nil"/>
                <w:left w:val="nil"/>
                <w:bottom w:val="nil"/>
                <w:right w:val="nil"/>
                <w:between w:val="nil"/>
              </w:pBdr>
              <w:spacing w:before="120"/>
              <w:jc w:val="both"/>
              <w:rPr>
                <w:rFonts w:ascii="Calibri" w:eastAsia="Calibri" w:hAnsi="Calibri" w:cs="Calibri"/>
                <w:b/>
                <w:color w:val="333399"/>
                <w:sz w:val="20"/>
                <w:szCs w:val="20"/>
                <w:lang w:val="en-GB"/>
              </w:rPr>
            </w:pPr>
          </w:p>
          <w:p w14:paraId="44B3DF5C" w14:textId="77777777" w:rsidR="00600DEE" w:rsidRPr="0045151D" w:rsidRDefault="00600DEE">
            <w:pPr>
              <w:pBdr>
                <w:top w:val="nil"/>
                <w:left w:val="nil"/>
                <w:bottom w:val="nil"/>
                <w:right w:val="nil"/>
                <w:between w:val="nil"/>
              </w:pBdr>
              <w:spacing w:before="120"/>
              <w:jc w:val="both"/>
              <w:rPr>
                <w:rFonts w:ascii="Calibri" w:eastAsia="Calibri" w:hAnsi="Calibri" w:cs="Calibri"/>
                <w:b/>
                <w:color w:val="333399"/>
                <w:sz w:val="20"/>
                <w:szCs w:val="20"/>
                <w:lang w:val="en-GB"/>
              </w:rPr>
            </w:pPr>
          </w:p>
          <w:p w14:paraId="438CAA88" w14:textId="77777777" w:rsidR="00600DEE" w:rsidRPr="0045151D" w:rsidRDefault="00600DEE">
            <w:pPr>
              <w:pBdr>
                <w:top w:val="nil"/>
                <w:left w:val="nil"/>
                <w:bottom w:val="nil"/>
                <w:right w:val="nil"/>
                <w:between w:val="nil"/>
              </w:pBdr>
              <w:spacing w:before="120"/>
              <w:jc w:val="both"/>
              <w:rPr>
                <w:rFonts w:ascii="Calibri" w:eastAsia="Calibri" w:hAnsi="Calibri" w:cs="Calibri"/>
                <w:b/>
                <w:color w:val="333399"/>
                <w:sz w:val="20"/>
                <w:szCs w:val="20"/>
                <w:lang w:val="en-GB"/>
              </w:rPr>
            </w:pPr>
          </w:p>
          <w:p w14:paraId="067702A5" w14:textId="77777777" w:rsidR="00600DEE" w:rsidRPr="0045151D" w:rsidRDefault="00600DEE">
            <w:pPr>
              <w:pBdr>
                <w:top w:val="nil"/>
                <w:left w:val="nil"/>
                <w:bottom w:val="nil"/>
                <w:right w:val="nil"/>
                <w:between w:val="nil"/>
              </w:pBdr>
              <w:spacing w:before="120"/>
              <w:jc w:val="both"/>
              <w:rPr>
                <w:rFonts w:ascii="Calibri" w:eastAsia="Calibri" w:hAnsi="Calibri" w:cs="Calibri"/>
                <w:b/>
                <w:color w:val="333399"/>
                <w:sz w:val="20"/>
                <w:szCs w:val="20"/>
                <w:lang w:val="en-GB"/>
              </w:rPr>
            </w:pPr>
          </w:p>
          <w:p w14:paraId="78D2ED95" w14:textId="77777777" w:rsidR="006C2564" w:rsidRPr="0045151D" w:rsidRDefault="006C2564">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1C27C838" w14:textId="77777777" w:rsidR="006C2564" w:rsidRPr="0045151D" w:rsidRDefault="006C2564" w:rsidP="006C2564">
            <w:pPr>
              <w:pBdr>
                <w:top w:val="nil"/>
                <w:left w:val="nil"/>
                <w:bottom w:val="nil"/>
                <w:right w:val="nil"/>
                <w:between w:val="nil"/>
              </w:pBdr>
              <w:spacing w:before="120"/>
              <w:jc w:val="both"/>
              <w:rPr>
                <w:rFonts w:ascii="Calibri" w:eastAsia="Calibri" w:hAnsi="Calibri" w:cs="Calibri"/>
                <w:b/>
                <w:color w:val="4F81BD"/>
                <w:sz w:val="20"/>
                <w:szCs w:val="20"/>
                <w:lang w:val="en-GB"/>
              </w:rPr>
            </w:pPr>
          </w:p>
          <w:p w14:paraId="1EAD2240" w14:textId="4B68EB00" w:rsidR="00600DEE" w:rsidRPr="0045151D" w:rsidRDefault="0010419F" w:rsidP="006C2564">
            <w:pPr>
              <w:pBdr>
                <w:top w:val="nil"/>
                <w:left w:val="nil"/>
                <w:bottom w:val="nil"/>
                <w:right w:val="nil"/>
                <w:between w:val="nil"/>
              </w:pBdr>
              <w:spacing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21</w:t>
            </w:r>
            <w:r w:rsidR="00641FB5" w:rsidRPr="0045151D">
              <w:rPr>
                <w:rFonts w:ascii="Calibri" w:eastAsia="Calibri" w:hAnsi="Calibri" w:cs="Calibri"/>
                <w:b/>
                <w:color w:val="4F81BD"/>
                <w:sz w:val="20"/>
                <w:szCs w:val="20"/>
                <w:lang w:val="en-GB"/>
              </w:rPr>
              <w:t>. Formulas for the calculation of climate change costs</w:t>
            </w:r>
          </w:p>
          <w:tbl>
            <w:tblPr>
              <w:tblStyle w:val="afffff2"/>
              <w:tblW w:w="6935"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935"/>
            </w:tblGrid>
            <w:tr w:rsidR="00600DEE" w:rsidRPr="007463B9" w14:paraId="7BF1EC20" w14:textId="77777777">
              <w:trPr>
                <w:trHeight w:val="4886"/>
              </w:trPr>
              <w:tc>
                <w:tcPr>
                  <w:tcW w:w="6935" w:type="dxa"/>
                  <w:shd w:val="clear" w:color="auto" w:fill="DBE5F1"/>
                </w:tcPr>
                <w:p w14:paraId="7307AE77" w14:textId="77777777" w:rsidR="00600DEE" w:rsidRPr="0045151D" w:rsidRDefault="00600DEE">
                  <w:pPr>
                    <w:pBdr>
                      <w:top w:val="nil"/>
                      <w:left w:val="nil"/>
                      <w:bottom w:val="nil"/>
                      <w:right w:val="nil"/>
                      <w:between w:val="nil"/>
                    </w:pBdr>
                    <w:spacing w:before="40" w:after="40"/>
                    <w:rPr>
                      <w:rFonts w:ascii="Calibri" w:eastAsia="Calibri" w:hAnsi="Calibri" w:cs="Calibri"/>
                      <w:color w:val="4F81BD"/>
                      <w:sz w:val="18"/>
                      <w:szCs w:val="18"/>
                      <w:lang w:val="en-GB"/>
                    </w:rPr>
                  </w:pPr>
                </w:p>
                <w:p w14:paraId="08BCF46F" w14:textId="77777777" w:rsidR="00600DEE" w:rsidRDefault="00641FB5">
                  <w:pPr>
                    <w:pBdr>
                      <w:top w:val="nil"/>
                      <w:left w:val="nil"/>
                      <w:bottom w:val="nil"/>
                      <w:right w:val="nil"/>
                      <w:between w:val="nil"/>
                    </w:pBdr>
                    <w:spacing w:before="40" w:after="40"/>
                    <w:jc w:val="center"/>
                    <w:rPr>
                      <w:rFonts w:ascii="Calibri" w:eastAsia="Calibri" w:hAnsi="Calibri" w:cs="Calibri"/>
                      <w:color w:val="4F81BD"/>
                      <w:sz w:val="18"/>
                      <w:szCs w:val="18"/>
                    </w:rPr>
                  </w:pPr>
                  <w:r>
                    <w:rPr>
                      <w:rFonts w:ascii="Calibri" w:eastAsia="Calibri" w:hAnsi="Calibri" w:cs="Calibri"/>
                      <w:color w:val="4F81BD"/>
                      <w:sz w:val="36"/>
                      <w:szCs w:val="36"/>
                      <w:vertAlign w:val="subscript"/>
                    </w:rPr>
                    <w:object w:dxaOrig="4110" w:dyaOrig="825" w14:anchorId="263D88EF">
                      <v:shape id="_x0000_i1036" type="#_x0000_t75" style="width:205.7pt;height:41.15pt" o:ole="" filled="t">
                        <v:fill color2="black"/>
                        <v:imagedata r:id="rId128" o:title=""/>
                      </v:shape>
                      <o:OLEObject Type="Embed" ProgID="Equation.3" ShapeID="_x0000_i1036" DrawAspect="Content" ObjectID="_1747568783" r:id="rId129"/>
                    </w:object>
                  </w:r>
                </w:p>
                <w:p w14:paraId="53F9FAB3"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where:</w:t>
                  </w:r>
                </w:p>
                <w:p w14:paraId="38137D98"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ZK</w:t>
                  </w:r>
                  <w:r w:rsidRPr="0045151D">
                    <w:rPr>
                      <w:rFonts w:ascii="Calibri" w:eastAsia="Calibri" w:hAnsi="Calibri" w:cs="Calibri"/>
                      <w:color w:val="4F81BD"/>
                      <w:sz w:val="18"/>
                      <w:szCs w:val="18"/>
                      <w:lang w:val="en-GB"/>
                    </w:rPr>
                    <w:tab/>
                    <w:t xml:space="preserve">         – annual climate change costs caused by vehicles, in PLN,</w:t>
                  </w:r>
                </w:p>
                <w:p w14:paraId="5EC5FE84"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j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 number of categories of vehicles (also for other modes when relevant),</w:t>
                  </w:r>
                </w:p>
                <w:p w14:paraId="6CC20709"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zk,j</w:t>
                  </w:r>
                  <w:r w:rsidRPr="0045151D">
                    <w:rPr>
                      <w:rFonts w:ascii="Calibri" w:eastAsia="Calibri" w:hAnsi="Calibri" w:cs="Calibri"/>
                      <w:color w:val="4F81BD"/>
                      <w:sz w:val="18"/>
                      <w:szCs w:val="18"/>
                      <w:lang w:val="en-GB"/>
                    </w:rPr>
                    <w:t>(V</w:t>
                  </w:r>
                  <w:r w:rsidRPr="0045151D">
                    <w:rPr>
                      <w:rFonts w:ascii="Calibri" w:eastAsia="Calibri" w:hAnsi="Calibri" w:cs="Calibri"/>
                      <w:color w:val="4F81BD"/>
                      <w:sz w:val="18"/>
                      <w:szCs w:val="18"/>
                      <w:vertAlign w:val="subscript"/>
                      <w:lang w:val="en-GB"/>
                    </w:rPr>
                    <w:t xml:space="preserve">pdrt,j </w:t>
                  </w:r>
                  <w:r w:rsidRPr="0045151D">
                    <w:rPr>
                      <w:rFonts w:ascii="Calibri" w:eastAsia="Calibri" w:hAnsi="Calibri" w:cs="Calibri"/>
                      <w:color w:val="4F81BD"/>
                      <w:sz w:val="18"/>
                      <w:szCs w:val="18"/>
                      <w:lang w:val="en-GB"/>
                    </w:rPr>
                    <w:t>,T,S)  – unit costs of the climate change of vehicles category “j” in the function of</w:t>
                  </w:r>
                  <w:r w:rsidRPr="0045151D">
                    <w:rPr>
                      <w:rFonts w:ascii="Calibri" w:eastAsia="Calibri" w:hAnsi="Calibri" w:cs="Calibri"/>
                      <w:color w:val="4F81BD"/>
                      <w:sz w:val="18"/>
                      <w:szCs w:val="18"/>
                      <w:lang w:val="en-GB"/>
                    </w:rPr>
                    <w:br/>
                    <w:t xml:space="preserve">                              travel speed V</w:t>
                  </w:r>
                  <w:r w:rsidRPr="0045151D">
                    <w:rPr>
                      <w:rFonts w:ascii="Calibri" w:eastAsia="Calibri" w:hAnsi="Calibri" w:cs="Calibri"/>
                      <w:color w:val="4F81BD"/>
                      <w:sz w:val="18"/>
                      <w:szCs w:val="18"/>
                      <w:vertAlign w:val="subscript"/>
                      <w:lang w:val="en-GB"/>
                    </w:rPr>
                    <w:t>pdrt, j</w:t>
                  </w:r>
                  <w:r w:rsidRPr="0045151D">
                    <w:rPr>
                      <w:rFonts w:ascii="Calibri" w:eastAsia="Calibri" w:hAnsi="Calibri" w:cs="Calibri"/>
                      <w:color w:val="4F81BD"/>
                      <w:sz w:val="18"/>
                      <w:szCs w:val="18"/>
                      <w:lang w:val="en-GB"/>
                    </w:rPr>
                    <w:t>, slope of terrain T and technical condition of</w:t>
                  </w:r>
                  <w:r w:rsidRPr="0045151D">
                    <w:rPr>
                      <w:rFonts w:ascii="Calibri" w:eastAsia="Calibri" w:hAnsi="Calibri" w:cs="Calibri"/>
                      <w:color w:val="4F81BD"/>
                      <w:sz w:val="18"/>
                      <w:szCs w:val="18"/>
                      <w:lang w:val="en-GB"/>
                    </w:rPr>
                    <w:br/>
                    <w:t xml:space="preserve">                              pavement S, in PLN/veh-km, (also for other modes when relevant)</w:t>
                  </w:r>
                </w:p>
                <w:p w14:paraId="6A94D27D"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SDR</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 xml:space="preserve">                   – average daily traffic of vehicles category “j”, in vehicles/day (AADT),</w:t>
                  </w:r>
                </w:p>
                <w:p w14:paraId="6A5BE6BD"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w:t>
                  </w:r>
                  <w:r w:rsidRPr="0045151D">
                    <w:rPr>
                      <w:rFonts w:ascii="Calibri" w:eastAsia="Calibri" w:hAnsi="Calibri" w:cs="Calibri"/>
                      <w:color w:val="4F81BD"/>
                      <w:sz w:val="18"/>
                      <w:szCs w:val="18"/>
                      <w:lang w:val="en-GB"/>
                    </w:rPr>
                    <w:tab/>
                    <w:t xml:space="preserve">          – length of road section, in km,</w:t>
                  </w:r>
                </w:p>
                <w:p w14:paraId="62AFDEFD"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 W</w:t>
                  </w:r>
                  <w:r w:rsidRPr="0045151D">
                    <w:rPr>
                      <w:rFonts w:ascii="Calibri" w:eastAsia="Calibri" w:hAnsi="Calibri" w:cs="Calibri"/>
                      <w:color w:val="4F81BD"/>
                      <w:sz w:val="18"/>
                      <w:szCs w:val="18"/>
                      <w:vertAlign w:val="superscript"/>
                      <w:lang w:val="en-GB"/>
                    </w:rPr>
                    <w:t>km</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ab/>
                    <w:t xml:space="preserve">          – transport work depending on the road section length, vehicle category</w:t>
                  </w:r>
                  <w:r w:rsidRPr="0045151D">
                    <w:rPr>
                      <w:rFonts w:ascii="Calibri" w:eastAsia="Calibri" w:hAnsi="Calibri" w:cs="Calibri"/>
                      <w:color w:val="4F81BD"/>
                      <w:sz w:val="18"/>
                      <w:szCs w:val="18"/>
                      <w:lang w:val="en-GB"/>
                    </w:rPr>
                    <w:b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“j” and speed range V</w:t>
                  </w:r>
                  <w:r w:rsidRPr="0045151D">
                    <w:rPr>
                      <w:rFonts w:ascii="Calibri" w:eastAsia="Calibri" w:hAnsi="Calibri" w:cs="Calibri"/>
                      <w:color w:val="4F81BD"/>
                      <w:sz w:val="18"/>
                      <w:szCs w:val="18"/>
                      <w:vertAlign w:val="subscript"/>
                      <w:lang w:val="en-GB"/>
                    </w:rPr>
                    <w:t>pdrt, j</w:t>
                  </w:r>
                  <w:r w:rsidRPr="0045151D">
                    <w:rPr>
                      <w:rFonts w:ascii="Calibri" w:eastAsia="Calibri" w:hAnsi="Calibri" w:cs="Calibri"/>
                      <w:color w:val="4F81BD"/>
                      <w:sz w:val="18"/>
                      <w:szCs w:val="18"/>
                      <w:lang w:val="en-GB"/>
                    </w:rPr>
                    <w:t>, in vehicles-kilometres/day</w:t>
                  </w:r>
                </w:p>
                <w:p w14:paraId="100A7332"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w:t>
                  </w:r>
                  <w:r w:rsidRPr="0045151D">
                    <w:rPr>
                      <w:rFonts w:ascii="Calibri" w:eastAsia="Calibri" w:hAnsi="Calibri" w:cs="Calibri"/>
                      <w:color w:val="4F81BD"/>
                      <w:sz w:val="18"/>
                      <w:szCs w:val="18"/>
                      <w:vertAlign w:val="superscript"/>
                      <w:lang w:val="en-GB"/>
                    </w:rPr>
                    <w:t>km</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 xml:space="preserve"> = L* SDR</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 xml:space="preserve">.  </w:t>
                  </w:r>
                </w:p>
              </w:tc>
            </w:tr>
          </w:tbl>
          <w:p w14:paraId="0AFC72D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11CEC5FA"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0DC433DC" w14:textId="5C735ADF" w:rsidR="00600DEE" w:rsidRDefault="00641FB5" w:rsidP="00D5736B">
      <w:pPr>
        <w:pStyle w:val="Nagwek3"/>
        <w:numPr>
          <w:ilvl w:val="2"/>
          <w:numId w:val="17"/>
        </w:numPr>
        <w:ind w:left="0" w:firstLine="0"/>
        <w:rPr>
          <w:rFonts w:ascii="Calibri" w:eastAsia="Calibri" w:hAnsi="Calibri" w:cs="Calibri"/>
          <w:color w:val="4F81BD"/>
        </w:rPr>
      </w:pPr>
      <w:bookmarkStart w:id="81" w:name="_Toc95377991"/>
      <w:r>
        <w:rPr>
          <w:rFonts w:ascii="Calibri" w:eastAsia="Calibri" w:hAnsi="Calibri" w:cs="Calibri"/>
          <w:color w:val="4F81BD"/>
        </w:rPr>
        <w:t>Koszty hałasu</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2.1.6</w:t>
      </w:r>
      <w:r>
        <w:rPr>
          <w:rFonts w:ascii="Calibri" w:eastAsia="Calibri" w:hAnsi="Calibri" w:cs="Calibri"/>
          <w:color w:val="4F81BD"/>
        </w:rPr>
        <w:t xml:space="preserve">   </w:t>
      </w:r>
      <w:r>
        <w:rPr>
          <w:rFonts w:ascii="Calibri" w:eastAsia="Calibri" w:hAnsi="Calibri" w:cs="Calibri"/>
          <w:i/>
          <w:color w:val="4F81BD"/>
        </w:rPr>
        <w:t>Noise costs</w:t>
      </w:r>
      <w:bookmarkEnd w:id="81"/>
      <w:r>
        <w:rPr>
          <w:rFonts w:ascii="Calibri" w:eastAsia="Calibri" w:hAnsi="Calibri" w:cs="Calibri"/>
          <w:color w:val="4F81BD"/>
        </w:rPr>
        <w:t xml:space="preserve"> </w:t>
      </w:r>
    </w:p>
    <w:tbl>
      <w:tblPr>
        <w:tblStyle w:val="afffff3"/>
        <w:tblW w:w="14571" w:type="dxa"/>
        <w:tblLayout w:type="fixed"/>
        <w:tblLook w:val="0400" w:firstRow="0" w:lastRow="0" w:firstColumn="0" w:lastColumn="0" w:noHBand="0" w:noVBand="1"/>
      </w:tblPr>
      <w:tblGrid>
        <w:gridCol w:w="7356"/>
        <w:gridCol w:w="7215"/>
      </w:tblGrid>
      <w:tr w:rsidR="00600DEE" w:rsidRPr="007463B9" w14:paraId="131C6A2F" w14:textId="77777777">
        <w:trPr>
          <w:trHeight w:val="3119"/>
        </w:trPr>
        <w:tc>
          <w:tcPr>
            <w:tcW w:w="7356" w:type="dxa"/>
            <w:tcBorders>
              <w:right w:val="single" w:sz="4" w:space="0" w:color="000000"/>
            </w:tcBorders>
            <w:tcMar>
              <w:left w:w="284" w:type="dxa"/>
              <w:right w:w="284" w:type="dxa"/>
            </w:tcMar>
          </w:tcPr>
          <w:p w14:paraId="3B063FA9" w14:textId="7FC68B04"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Hałas jest definiowany jako niechciane/niepożądane dźwięki o nadmiernym natężeniu, częstotliwości lub innym negatywnym oddziały</w:t>
            </w:r>
            <w:r w:rsidR="0010419F">
              <w:rPr>
                <w:rFonts w:ascii="Calibri" w:eastAsia="Calibri" w:hAnsi="Calibri" w:cs="Calibri"/>
                <w:color w:val="000000"/>
                <w:sz w:val="20"/>
                <w:szCs w:val="20"/>
              </w:rPr>
              <w:t>waniu lub inną cechą wywołującą</w:t>
            </w:r>
            <w:r>
              <w:rPr>
                <w:rFonts w:ascii="Calibri" w:eastAsia="Calibri" w:hAnsi="Calibri" w:cs="Calibri"/>
                <w:color w:val="000000"/>
                <w:sz w:val="20"/>
                <w:szCs w:val="20"/>
              </w:rPr>
              <w:t xml:space="preserve"> u odbiorcy szkodliwe skutki fizyczne lub psychiczne. </w:t>
            </w:r>
          </w:p>
          <w:p w14:paraId="79C50DD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Hałas o natężeniu powyżej 85 dB(A), może wywołać trwałe osłabienie i ubytek słuchu. Natomiast niższy poziom (powyżej 60 dB) może wpływać negatywnie na psychikę, być źródłem stresu, nerwowych reakcji, przyspieszonego tętna, zwiększonego ciśnienia krwi, zmian hormonalnych itd., a trwałe zmiany i uszkodzenia mogą wystąpić w wyniku dłuższej ekspozycji. </w:t>
            </w:r>
          </w:p>
          <w:p w14:paraId="17B0A39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Obliczenie kosztów wpływu nadmiernego hałasu powinno być przeprowadzone dla wszystkich projektów zlokalizowanych w obszarach miejskich lub dla obszarów o wysokiej gęstości zaludnienia osób potencjalnie narażonych oraz w przypadkach, gdzie takie oddziaływania są uznane za istotne. Niniejszy podręcznik przedstawia dwie metody obliczeń.</w:t>
            </w:r>
          </w:p>
          <w:p w14:paraId="6E815BA1" w14:textId="0E234A9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82" w:name="_heading=h.4bvk7pj" w:colFirst="0" w:colLast="0"/>
            <w:bookmarkEnd w:id="82"/>
            <w:r>
              <w:rPr>
                <w:rFonts w:ascii="Calibri" w:eastAsia="Calibri" w:hAnsi="Calibri" w:cs="Calibri"/>
                <w:color w:val="000000"/>
                <w:sz w:val="20"/>
                <w:szCs w:val="20"/>
              </w:rPr>
              <w:t>Pierwsza metoda jest oparta o tzw. krańcowe koszty wpływu hałasu. Te koszty jednostkowe są silnie zróżnicowane w zależności od ruchu, lokalnych warunków (obszar miejski/ zamiejski) i pory dnia. Proponowane podejście opiera się na kosztach krańcowych podanych w Podręczniku kosztów zewnętrznych w transporcie, wersja 2019, z rozróżnieniem na typ pojazdu, porę dnia, sytuację ruchową i rodzaj obszaru. Ponieważ jednostkowe koszty krańcowe wyrażone są w PLN/poj-km, należy zwrócić uwagę na</w:t>
            </w:r>
            <w:r w:rsidR="00FF6918">
              <w:rPr>
                <w:rFonts w:ascii="Calibri" w:eastAsia="Calibri" w:hAnsi="Calibri" w:cs="Calibri"/>
                <w:color w:val="000000"/>
                <w:sz w:val="20"/>
                <w:szCs w:val="20"/>
              </w:rPr>
              <w:t xml:space="preserve"> korzystanie z</w:t>
            </w:r>
            <w:r>
              <w:rPr>
                <w:rFonts w:ascii="Calibri" w:eastAsia="Calibri" w:hAnsi="Calibri" w:cs="Calibri"/>
                <w:color w:val="000000"/>
                <w:sz w:val="20"/>
                <w:szCs w:val="20"/>
              </w:rPr>
              <w:t xml:space="preserve"> tych samych formuł obliczeniowych, jakie były stosowane przy wcześniej opisanych kategoriach kosztów środowiskowych tak, aby koszty jednostkowe hałasu były również wyrażone w tych jednostkach (patrz formuły poniżej). Koszty ekonomiczne hałasu oblicza się z uwzględnieniem poszczególnych kategorii pojazdów, oddzielnie dla każdego wariantu i każdego roku analizy ekonomicznej, zgodnie z analizą ruchu.</w:t>
            </w:r>
          </w:p>
          <w:p w14:paraId="73A52606"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11769097" w14:textId="77777777" w:rsidR="00FF6918" w:rsidRPr="00EA6879" w:rsidRDefault="00FF6918" w:rsidP="00FF6918">
            <w:pPr>
              <w:pStyle w:val="anxnormal"/>
              <w:ind w:left="0"/>
              <w:rPr>
                <w:rFonts w:asciiTheme="minorHAnsi" w:hAnsiTheme="minorHAnsi"/>
              </w:rPr>
            </w:pPr>
            <w:r w:rsidRPr="00EA6879">
              <w:rPr>
                <w:rFonts w:asciiTheme="minorHAnsi" w:hAnsiTheme="minorHAnsi"/>
              </w:rPr>
              <w:t>Przedstawione koszty hałasu dla kategorii pojazdów drogowych związane są z pojazdami z </w:t>
            </w:r>
            <w:r w:rsidRPr="00371A33">
              <w:rPr>
                <w:rFonts w:asciiTheme="minorHAnsi" w:hAnsiTheme="minorHAnsi"/>
              </w:rPr>
              <w:t>silnikiem spalinowym. Zakłada się, że można pominąć oddziaływania hałasu związane z pojazdami elektrycznymi</w:t>
            </w:r>
            <w:r w:rsidRPr="00371A33">
              <w:rPr>
                <w:rFonts w:asciiTheme="minorHAnsi" w:hAnsiTheme="minorHAnsi"/>
                <w:vertAlign w:val="superscript"/>
              </w:rPr>
              <w:t>14</w:t>
            </w:r>
            <w:r w:rsidRPr="00EA6879">
              <w:rPr>
                <w:rFonts w:asciiTheme="minorHAnsi" w:hAnsiTheme="minorHAnsi"/>
              </w:rPr>
              <w:t>.</w:t>
            </w:r>
          </w:p>
          <w:p w14:paraId="0C95B199" w14:textId="77777777" w:rsidR="00FF6918" w:rsidRDefault="00FF6918" w:rsidP="00FF6918">
            <w:pPr>
              <w:pStyle w:val="anxnormal"/>
              <w:ind w:left="0"/>
              <w:rPr>
                <w:rFonts w:asciiTheme="minorHAnsi" w:hAnsiTheme="minorHAnsi"/>
              </w:rPr>
            </w:pPr>
            <w:r w:rsidRPr="00371A33">
              <w:rPr>
                <w:rFonts w:asciiTheme="minorHAnsi" w:hAnsiTheme="minorHAnsi"/>
              </w:rPr>
              <w:t>W przypadku transportu kolejowego odpowiednie koszty jednostkowe dla metody (i) opartej na kosztach krańcowych oraz metody (ii) opisanej poniżej (koszty średnie) przedstawiono w załączniku A.</w:t>
            </w:r>
          </w:p>
          <w:p w14:paraId="73A7BB8D" w14:textId="77777777" w:rsidR="00600DEE" w:rsidRDefault="00600DEE">
            <w:pPr>
              <w:pBdr>
                <w:top w:val="nil"/>
                <w:left w:val="nil"/>
                <w:bottom w:val="nil"/>
                <w:right w:val="nil"/>
                <w:between w:val="nil"/>
              </w:pBdr>
              <w:spacing w:before="120"/>
              <w:jc w:val="both"/>
              <w:rPr>
                <w:rFonts w:ascii="Calibri" w:eastAsia="Calibri" w:hAnsi="Calibri" w:cs="Calibri"/>
                <w:b/>
                <w:color w:val="333399"/>
                <w:sz w:val="20"/>
                <w:szCs w:val="20"/>
              </w:rPr>
            </w:pPr>
          </w:p>
          <w:p w14:paraId="04D2F8E7" w14:textId="7BA10B25" w:rsidR="00600DEE" w:rsidRDefault="0010419F">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22</w:t>
            </w:r>
            <w:r w:rsidR="00641FB5">
              <w:rPr>
                <w:rFonts w:ascii="Calibri" w:eastAsia="Calibri" w:hAnsi="Calibri" w:cs="Calibri"/>
                <w:b/>
                <w:color w:val="4F81BD"/>
                <w:sz w:val="20"/>
                <w:szCs w:val="20"/>
              </w:rPr>
              <w:t>. Wzory do obliczania kosztów hałasu</w:t>
            </w:r>
          </w:p>
          <w:tbl>
            <w:tblPr>
              <w:tblStyle w:val="afffff4"/>
              <w:tblW w:w="6894"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894"/>
            </w:tblGrid>
            <w:tr w:rsidR="00600DEE" w14:paraId="351A5861" w14:textId="77777777" w:rsidTr="00ED6E07">
              <w:trPr>
                <w:trHeight w:hRule="exact" w:val="4961"/>
              </w:trPr>
              <w:tc>
                <w:tcPr>
                  <w:tcW w:w="6894" w:type="dxa"/>
                  <w:shd w:val="clear" w:color="auto" w:fill="D3E3F4"/>
                  <w:vAlign w:val="center"/>
                </w:tcPr>
                <w:p w14:paraId="2CA35FF4" w14:textId="77777777" w:rsidR="00600DEE" w:rsidRDefault="00600DEE">
                  <w:pPr>
                    <w:pBdr>
                      <w:top w:val="nil"/>
                      <w:left w:val="nil"/>
                      <w:bottom w:val="nil"/>
                      <w:right w:val="nil"/>
                      <w:between w:val="nil"/>
                    </w:pBdr>
                    <w:shd w:val="clear" w:color="auto" w:fill="DBE5F1"/>
                    <w:spacing w:before="120" w:after="40"/>
                    <w:jc w:val="center"/>
                    <w:rPr>
                      <w:rFonts w:ascii="Calibri" w:eastAsia="Calibri" w:hAnsi="Calibri" w:cs="Calibri"/>
                      <w:color w:val="4F81BD"/>
                      <w:sz w:val="18"/>
                      <w:szCs w:val="18"/>
                    </w:rPr>
                  </w:pPr>
                </w:p>
                <w:p w14:paraId="12A4E9A9" w14:textId="77777777" w:rsidR="00600DEE" w:rsidRDefault="00641FB5">
                  <w:pPr>
                    <w:pBdr>
                      <w:top w:val="nil"/>
                      <w:left w:val="nil"/>
                      <w:bottom w:val="nil"/>
                      <w:right w:val="nil"/>
                      <w:between w:val="nil"/>
                    </w:pBdr>
                    <w:shd w:val="clear" w:color="auto" w:fill="DBE5F1"/>
                    <w:spacing w:before="40" w:after="40"/>
                    <w:jc w:val="center"/>
                    <w:rPr>
                      <w:rFonts w:ascii="Calibri" w:eastAsia="Calibri" w:hAnsi="Calibri" w:cs="Calibri"/>
                      <w:color w:val="4F81BD"/>
                      <w:sz w:val="18"/>
                      <w:szCs w:val="18"/>
                    </w:rPr>
                  </w:pPr>
                  <w:r>
                    <w:rPr>
                      <w:rFonts w:ascii="Calibri" w:eastAsia="Calibri" w:hAnsi="Calibri" w:cs="Calibri"/>
                      <w:color w:val="4F81BD"/>
                      <w:sz w:val="36"/>
                      <w:szCs w:val="36"/>
                      <w:vertAlign w:val="subscript"/>
                    </w:rPr>
                    <w:object w:dxaOrig="3083" w:dyaOrig="825" w14:anchorId="21BAFD77">
                      <v:shape id="_x0000_i1037" type="#_x0000_t75" style="width:154.3pt;height:41.15pt" o:ole="" filled="t">
                        <v:fill color2="black"/>
                        <v:imagedata r:id="rId130" o:title=""/>
                      </v:shape>
                      <o:OLEObject Type="Embed" ProgID="Equation.3" ShapeID="_x0000_i1037" DrawAspect="Content" ObjectID="_1747568784" r:id="rId131"/>
                    </w:object>
                  </w:r>
                </w:p>
                <w:p w14:paraId="5BA4BFF3"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gdzie:</w:t>
                  </w:r>
                </w:p>
                <w:p w14:paraId="5A64B906"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Pr>
                      <w:rFonts w:ascii="Calibri" w:eastAsia="Calibri" w:hAnsi="Calibri" w:cs="Calibri"/>
                      <w:color w:val="4F81BD"/>
                      <w:sz w:val="18"/>
                      <w:szCs w:val="18"/>
                      <w:vertAlign w:val="subscript"/>
                    </w:rPr>
                    <w:t>H</w:t>
                  </w:r>
                  <w:r>
                    <w:rPr>
                      <w:rFonts w:ascii="Calibri" w:eastAsia="Calibri" w:hAnsi="Calibri" w:cs="Calibri"/>
                      <w:color w:val="4F81BD"/>
                      <w:sz w:val="18"/>
                      <w:szCs w:val="18"/>
                    </w:rPr>
                    <w:tab/>
                    <w:t xml:space="preserve">        –  roczne  koszty hałasu emitowanego przez pojazdy samochodowe,</w:t>
                  </w:r>
                  <w:r>
                    <w:rPr>
                      <w:rFonts w:ascii="Calibri" w:eastAsia="Calibri" w:hAnsi="Calibri" w:cs="Calibri"/>
                      <w:color w:val="4F81BD"/>
                      <w:sz w:val="18"/>
                      <w:szCs w:val="18"/>
                    </w:rPr>
                    <w:br/>
                    <w:t xml:space="preserve">                             </w:t>
                  </w:r>
                  <w:r>
                    <w:rPr>
                      <w:rFonts w:ascii="Calibri" w:eastAsia="Calibri" w:hAnsi="Calibri" w:cs="Calibri"/>
                      <w:color w:val="4F81BD"/>
                      <w:sz w:val="18"/>
                      <w:szCs w:val="18"/>
                      <w:vertAlign w:val="superscript"/>
                    </w:rPr>
                    <w:t xml:space="preserve"> w </w:t>
                  </w:r>
                  <w:r>
                    <w:rPr>
                      <w:rFonts w:ascii="Calibri" w:eastAsia="Calibri" w:hAnsi="Calibri" w:cs="Calibri"/>
                      <w:color w:val="4F81BD"/>
                      <w:sz w:val="18"/>
                      <w:szCs w:val="18"/>
                    </w:rPr>
                    <w:t>PLN,</w:t>
                  </w:r>
                </w:p>
                <w:p w14:paraId="651AFCA9"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 xml:space="preserve">j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 liczba kategorii pojazdów,</w:t>
                  </w:r>
                </w:p>
                <w:p w14:paraId="575BC54C" w14:textId="26CEEC39" w:rsidR="00600DEE" w:rsidRDefault="00F102E8">
                  <w:pPr>
                    <w:pBdr>
                      <w:top w:val="nil"/>
                      <w:left w:val="nil"/>
                      <w:bottom w:val="nil"/>
                      <w:right w:val="nil"/>
                      <w:between w:val="nil"/>
                    </w:pBdr>
                    <w:spacing w:before="40" w:after="40"/>
                    <w:rPr>
                      <w:rFonts w:ascii="Calibri" w:eastAsia="Calibri" w:hAnsi="Calibri" w:cs="Calibri"/>
                      <w:color w:val="4F81BD"/>
                      <w:sz w:val="18"/>
                      <w:szCs w:val="18"/>
                    </w:rPr>
                  </w:pPr>
                  <w:r>
                    <w:rPr>
                      <w:rFonts w:ascii="Calibri" w:eastAsia="Calibri" w:hAnsi="Calibri" w:cs="Calibri"/>
                      <w:color w:val="4F81BD"/>
                      <w:sz w:val="18"/>
                      <w:szCs w:val="18"/>
                    </w:rPr>
                    <w:t>k</w:t>
                  </w:r>
                  <w:r w:rsidR="00641FB5">
                    <w:rPr>
                      <w:rFonts w:ascii="Calibri" w:eastAsia="Calibri" w:hAnsi="Calibri" w:cs="Calibri"/>
                      <w:color w:val="4F81BD"/>
                      <w:sz w:val="18"/>
                      <w:szCs w:val="18"/>
                      <w:vertAlign w:val="subscript"/>
                    </w:rPr>
                    <w:t>h,j</w:t>
                  </w:r>
                  <w:r w:rsidR="00641FB5">
                    <w:rPr>
                      <w:rFonts w:ascii="Calibri" w:eastAsia="Calibri" w:hAnsi="Calibri" w:cs="Calibri"/>
                      <w:color w:val="4F81BD"/>
                      <w:sz w:val="18"/>
                      <w:szCs w:val="18"/>
                    </w:rPr>
                    <w:t xml:space="preserve">(Z)             </w:t>
                  </w:r>
                  <w:r w:rsidR="00641FB5">
                    <w:rPr>
                      <w:rFonts w:ascii="Calibri" w:eastAsia="Calibri" w:hAnsi="Calibri" w:cs="Calibri"/>
                      <w:color w:val="4F81BD"/>
                      <w:sz w:val="18"/>
                      <w:szCs w:val="18"/>
                      <w:vertAlign w:val="superscript"/>
                    </w:rPr>
                    <w:t xml:space="preserve"> </w:t>
                  </w:r>
                  <w:r w:rsidR="00641FB5">
                    <w:rPr>
                      <w:rFonts w:ascii="Calibri" w:eastAsia="Calibri" w:hAnsi="Calibri" w:cs="Calibri"/>
                      <w:color w:val="4F81BD"/>
                      <w:sz w:val="18"/>
                      <w:szCs w:val="18"/>
                    </w:rPr>
                    <w:t xml:space="preserve">  – jednostkowe koszty  hałasu wg. kategorii pojazdów </w:t>
                  </w:r>
                  <w:r w:rsidR="00641FB5">
                    <w:rPr>
                      <w:rFonts w:ascii="Calibri" w:eastAsia="Calibri" w:hAnsi="Calibri" w:cs="Calibri"/>
                      <w:color w:val="4F81BD"/>
                      <w:sz w:val="18"/>
                      <w:szCs w:val="18"/>
                    </w:rPr>
                    <w:br/>
                    <w:t xml:space="preserve">                        </w:t>
                  </w:r>
                  <w:r w:rsidR="00641FB5">
                    <w:rPr>
                      <w:rFonts w:ascii="Calibri" w:eastAsia="Calibri" w:hAnsi="Calibri" w:cs="Calibri"/>
                      <w:color w:val="4F81BD"/>
                      <w:sz w:val="18"/>
                      <w:szCs w:val="18"/>
                      <w:vertAlign w:val="superscript"/>
                    </w:rPr>
                    <w:t xml:space="preserve"> </w:t>
                  </w:r>
                  <w:r w:rsidR="00641FB5">
                    <w:rPr>
                      <w:rFonts w:ascii="Calibri" w:eastAsia="Calibri" w:hAnsi="Calibri" w:cs="Calibri"/>
                      <w:color w:val="4F81BD"/>
                      <w:sz w:val="18"/>
                      <w:szCs w:val="18"/>
                    </w:rPr>
                    <w:t xml:space="preserve">    samochodowych „j”, w obszarze Z, (miejski/ zamiejski), w PLN/poj-km, z uwzględnieniem innych gałęzi transportu jeżeli ma to zastosowanie)</w:t>
                  </w:r>
                </w:p>
                <w:p w14:paraId="76ACCFA5" w14:textId="77777777" w:rsidR="00600DEE" w:rsidRDefault="00600DEE">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p>
                <w:p w14:paraId="5EA6E161"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SDR</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 średnioroczne dobowe natężenie ruchu dla kategorii pojazdów „j”, </w:t>
                  </w:r>
                  <w:r>
                    <w:rPr>
                      <w:rFonts w:ascii="Calibri" w:eastAsia="Calibri" w:hAnsi="Calibri" w:cs="Calibri"/>
                      <w:color w:val="4F81BD"/>
                      <w:sz w:val="18"/>
                      <w:szCs w:val="18"/>
                    </w:rPr>
                    <w:br/>
                    <w:t xml:space="preserve">                             w pojazdach/dobę,</w:t>
                  </w:r>
                </w:p>
                <w:p w14:paraId="43212A91"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L                        – długość odcinka drogi, w km,</w:t>
                  </w:r>
                </w:p>
                <w:p w14:paraId="6A6ADED4"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W</w:t>
                  </w:r>
                  <w:r>
                    <w:rPr>
                      <w:rFonts w:ascii="Calibri" w:eastAsia="Calibri" w:hAnsi="Calibri" w:cs="Calibri"/>
                      <w:color w:val="4F81BD"/>
                      <w:sz w:val="18"/>
                      <w:szCs w:val="18"/>
                      <w:vertAlign w:val="superscript"/>
                    </w:rPr>
                    <w:t>km</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w:t>
                  </w:r>
                  <w:r>
                    <w:rPr>
                      <w:rFonts w:ascii="Calibri" w:eastAsia="Calibri" w:hAnsi="Calibri" w:cs="Calibri"/>
                      <w:color w:val="4F81BD"/>
                      <w:sz w:val="18"/>
                      <w:szCs w:val="18"/>
                      <w:vertAlign w:val="superscript"/>
                    </w:rPr>
                    <w:t xml:space="preserve"> </w:t>
                  </w:r>
                  <w:r>
                    <w:rPr>
                      <w:rFonts w:ascii="Calibri" w:eastAsia="Calibri" w:hAnsi="Calibri" w:cs="Calibri"/>
                      <w:color w:val="4F81BD"/>
                      <w:sz w:val="18"/>
                      <w:szCs w:val="18"/>
                    </w:rPr>
                    <w:t xml:space="preserve">         – praca przewozowa  dla pojazdów kategorii „j” w zależności od długości</w:t>
                  </w:r>
                  <w:r>
                    <w:rPr>
                      <w:rFonts w:ascii="Calibri" w:eastAsia="Calibri" w:hAnsi="Calibri" w:cs="Calibri"/>
                      <w:color w:val="4F81BD"/>
                      <w:sz w:val="18"/>
                      <w:szCs w:val="18"/>
                    </w:rPr>
                    <w:br/>
                    <w:t xml:space="preserve">                             odcinka drogi, w pojazdokilometrach/dobę.</w:t>
                  </w:r>
                </w:p>
                <w:p w14:paraId="20F36946" w14:textId="77777777" w:rsidR="00600DEE" w:rsidRDefault="00641FB5">
                  <w:pPr>
                    <w:pBdr>
                      <w:top w:val="nil"/>
                      <w:left w:val="nil"/>
                      <w:bottom w:val="nil"/>
                      <w:right w:val="nil"/>
                      <w:between w:val="nil"/>
                    </w:pBdr>
                    <w:shd w:val="clear" w:color="auto" w:fill="DBE5F1"/>
                    <w:spacing w:before="40" w:after="40"/>
                    <w:rPr>
                      <w:rFonts w:ascii="Calibri" w:eastAsia="Calibri" w:hAnsi="Calibri" w:cs="Calibri"/>
                      <w:color w:val="4F81BD"/>
                      <w:sz w:val="18"/>
                      <w:szCs w:val="18"/>
                    </w:rPr>
                  </w:pPr>
                  <w:r>
                    <w:rPr>
                      <w:rFonts w:ascii="Calibri" w:eastAsia="Calibri" w:hAnsi="Calibri" w:cs="Calibri"/>
                      <w:color w:val="4F81BD"/>
                      <w:sz w:val="18"/>
                      <w:szCs w:val="18"/>
                    </w:rPr>
                    <w:t>W</w:t>
                  </w:r>
                  <w:r>
                    <w:rPr>
                      <w:rFonts w:ascii="Calibri" w:eastAsia="Calibri" w:hAnsi="Calibri" w:cs="Calibri"/>
                      <w:color w:val="4F81BD"/>
                      <w:sz w:val="18"/>
                      <w:szCs w:val="18"/>
                      <w:vertAlign w:val="superscript"/>
                    </w:rPr>
                    <w:t>km</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xml:space="preserve"> = L* SDR</w:t>
                  </w:r>
                  <w:r>
                    <w:rPr>
                      <w:rFonts w:ascii="Calibri" w:eastAsia="Calibri" w:hAnsi="Calibri" w:cs="Calibri"/>
                      <w:color w:val="4F81BD"/>
                      <w:sz w:val="18"/>
                      <w:szCs w:val="18"/>
                      <w:vertAlign w:val="subscript"/>
                    </w:rPr>
                    <w:t>j</w:t>
                  </w:r>
                  <w:r>
                    <w:rPr>
                      <w:rFonts w:ascii="Calibri" w:eastAsia="Calibri" w:hAnsi="Calibri" w:cs="Calibri"/>
                      <w:color w:val="4F81BD"/>
                      <w:sz w:val="18"/>
                      <w:szCs w:val="18"/>
                    </w:rPr>
                    <w:t>. (dla metody odcinkowej)</w:t>
                  </w:r>
                </w:p>
              </w:tc>
            </w:tr>
          </w:tbl>
          <w:p w14:paraId="4EBD52AF"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p w14:paraId="5019EE6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Zmienność kosztów jednostkowych hałasu w czasie jest przedstawiona w załączniku A.</w:t>
            </w:r>
          </w:p>
          <w:p w14:paraId="0DDC7FD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Druga metoda oparta jest o tzw. średnie koszty hałasu. Jest to metoda dwuetapowa:</w:t>
            </w:r>
          </w:p>
          <w:p w14:paraId="5F208C48"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(i) Oszacowanie dla W0 i Wn liczby osób narażonych na ponadnormatywny hałas drogowy w rozbiciu na poszczególne grupy pojazdów. Szacunki można przeprowadzić w oparciu o mapy hałasu (jeżeli dostępne) i odpowiednie izofony dla różnych przedziałów 55-59 dB(A), 60-64 dB(A), 65-69 dB(A), 70-74 dB(A) oraz powyżej 75 dB(A). Dla obszarów poniżej 55 dB(A) zakłada się brak negatywnych efektów. Po ustaleniu liczby osób narażonych na poszczególne poziomy hałasu, należy zastosować współczynnik pozwalający obliczyć liczbę osób, których problem hałasu faktycznie dotyczy (patrz załącznik A odnośnie do rekomendowanych wartości).</w:t>
            </w:r>
          </w:p>
          <w:p w14:paraId="7EB27CB2" w14:textId="04142D13"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(ii) Określenie całkowitych kosztów poprzez przemnożenie liczby osób narażonych na ponadnormatywny hałas przez odpowiadające poszczególnym przedziałom koszty jednostkowe w oparciu o Podręcznik zewnętrz</w:t>
            </w:r>
            <w:r w:rsidR="00F102E8">
              <w:rPr>
                <w:rFonts w:ascii="Calibri" w:eastAsia="Calibri" w:hAnsi="Calibri" w:cs="Calibri"/>
                <w:color w:val="000000"/>
                <w:sz w:val="20"/>
                <w:szCs w:val="20"/>
              </w:rPr>
              <w:t>n</w:t>
            </w:r>
            <w:r>
              <w:rPr>
                <w:rFonts w:ascii="Calibri" w:eastAsia="Calibri" w:hAnsi="Calibri" w:cs="Calibri"/>
                <w:color w:val="000000"/>
                <w:sz w:val="20"/>
                <w:szCs w:val="20"/>
              </w:rPr>
              <w:t>ych kosztów transportu, wersja 2019; podano je w załączniku A –</w:t>
            </w:r>
            <w:r w:rsidR="00F102E8">
              <w:rPr>
                <w:rFonts w:ascii="Calibri" w:eastAsia="Calibri" w:hAnsi="Calibri" w:cs="Calibri"/>
                <w:color w:val="000000"/>
                <w:sz w:val="20"/>
                <w:szCs w:val="20"/>
              </w:rPr>
              <w:t xml:space="preserve"> J</w:t>
            </w:r>
            <w:r>
              <w:rPr>
                <w:rFonts w:ascii="Calibri" w:eastAsia="Calibri" w:hAnsi="Calibri" w:cs="Calibri"/>
                <w:color w:val="000000"/>
                <w:sz w:val="20"/>
                <w:szCs w:val="20"/>
              </w:rPr>
              <w:t>ednostkowe koszty ekonomiczne i finansowe.</w:t>
            </w:r>
          </w:p>
          <w:p w14:paraId="2066B100" w14:textId="1A4AE1FA"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Powyższe obliczenia przeprowadza się w oparciu o mapy akustyczne (jeżeli dostępne) dla prognozy pierwszego roku po oddaniu projektu do użytkowania. Dla okresu referencyjnego należy uwzględnić (i) przewidywane zmiany demograficzne oraz (ii) dostępne prognozy lub mapy</w:t>
            </w:r>
            <w:r w:rsidR="00F102E8">
              <w:rPr>
                <w:rFonts w:ascii="Calibri" w:eastAsia="Calibri" w:hAnsi="Calibri" w:cs="Calibri"/>
                <w:color w:val="000000"/>
                <w:sz w:val="20"/>
                <w:szCs w:val="20"/>
              </w:rPr>
              <w:t xml:space="preserve"> przyszłych odziaływań hałasu. W</w:t>
            </w:r>
            <w:r>
              <w:rPr>
                <w:rFonts w:ascii="Calibri" w:eastAsia="Calibri" w:hAnsi="Calibri" w:cs="Calibri"/>
                <w:color w:val="000000"/>
                <w:sz w:val="20"/>
                <w:szCs w:val="20"/>
              </w:rPr>
              <w:t> przypadku lat, dla których brak jest danych, należy zastosować interpolację liniową.</w:t>
            </w:r>
          </w:p>
          <w:p w14:paraId="1EA11C0D" w14:textId="438AA0BC"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Powyższe koszty jednostkowe wraz z odpowiednią prognozą czasową zostały uwzględnion</w:t>
            </w:r>
            <w:r w:rsidR="00F102E8">
              <w:rPr>
                <w:rFonts w:ascii="Calibri" w:eastAsia="Calibri" w:hAnsi="Calibri" w:cs="Calibri"/>
                <w:color w:val="000000"/>
                <w:sz w:val="20"/>
                <w:szCs w:val="20"/>
              </w:rPr>
              <w:t>e w załączniku A – J</w:t>
            </w:r>
            <w:r>
              <w:rPr>
                <w:rFonts w:ascii="Calibri" w:eastAsia="Calibri" w:hAnsi="Calibri" w:cs="Calibri"/>
                <w:color w:val="000000"/>
                <w:sz w:val="20"/>
                <w:szCs w:val="20"/>
              </w:rPr>
              <w:t>ednostkowe koszty ekonomiczne i finansowe.</w:t>
            </w:r>
          </w:p>
        </w:tc>
        <w:tc>
          <w:tcPr>
            <w:tcW w:w="7215" w:type="dxa"/>
            <w:tcBorders>
              <w:left w:val="single" w:sz="4" w:space="0" w:color="000000"/>
            </w:tcBorders>
            <w:tcMar>
              <w:left w:w="284" w:type="dxa"/>
              <w:right w:w="284" w:type="dxa"/>
            </w:tcMar>
          </w:tcPr>
          <w:p w14:paraId="25BDEA6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Noise can be defined as the unwanted sound or sounds of duration, intensity or other quality that causes physical or psychological harm to humans. </w:t>
            </w:r>
          </w:p>
          <w:p w14:paraId="01D6366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Permanent hearing damage may be caused by noise levels higher than 85 dB(A), whilst lower levels (above 60 dB) may have negative mental impact, cause stress, nervous  reactions, increased heart rate, increased blood pressure and hormonal changes, etc. Finally, permanent damage occurs particularly when exposure to noise is continued over a long period of time.</w:t>
            </w:r>
          </w:p>
          <w:p w14:paraId="11F2D89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calculation of noise impact costs should be performed in all projects in urban areas or with a high density of people exposed and/or in all those projects where noise impact is considered relevant. The present manual proposes two methods of calculation.</w:t>
            </w:r>
          </w:p>
          <w:p w14:paraId="2C6C601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first method proposed is based on the marginal cost of noise impact. These unit values are highly differentiated according to different traffic situations, local conditions (urban/non-urban) and time of the day. The proposed approach is based on marginal costs from Handbook on the external costs of transport, Version 2019, differentiating vehicle type, time of the day, traffic situation and area type. As these marginal unit costs are expressed in PLN/vehkm, same calculations approach as presented in the previous environmental economic cost categories should be applied considering the respective noise unit costs (see formulas below).  Economic costs of noise are calculated for individual categories of vehicles, separately for each of the options, and separately for each year of economic analysis, as per traffic analysis.</w:t>
            </w:r>
          </w:p>
          <w:p w14:paraId="54AF428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Costs of noise for road vehicle categories presented are associated with combustion-engine vehicles. It is assumed that noise impacts related to electric vehicles can be omitted</w:t>
            </w:r>
            <w:bookmarkStart w:id="83" w:name="_Ref91584717"/>
            <w:r>
              <w:rPr>
                <w:rFonts w:ascii="Calibri" w:eastAsia="Calibri" w:hAnsi="Calibri" w:cs="Calibri"/>
                <w:color w:val="000000"/>
                <w:sz w:val="20"/>
                <w:szCs w:val="20"/>
                <w:vertAlign w:val="superscript"/>
              </w:rPr>
              <w:footnoteReference w:id="14"/>
            </w:r>
            <w:bookmarkEnd w:id="83"/>
            <w:r w:rsidRPr="0045151D">
              <w:rPr>
                <w:rFonts w:ascii="Calibri" w:eastAsia="Calibri" w:hAnsi="Calibri" w:cs="Calibri"/>
                <w:color w:val="000000"/>
                <w:sz w:val="20"/>
                <w:szCs w:val="20"/>
                <w:lang w:val="en-GB"/>
              </w:rPr>
              <w:t xml:space="preserve">. </w:t>
            </w:r>
          </w:p>
          <w:p w14:paraId="6647788F" w14:textId="77777777" w:rsidR="00CE2D79" w:rsidRPr="0045151D" w:rsidRDefault="00CE2D79">
            <w:pPr>
              <w:pBdr>
                <w:top w:val="nil"/>
                <w:left w:val="nil"/>
                <w:bottom w:val="nil"/>
                <w:right w:val="nil"/>
                <w:between w:val="nil"/>
              </w:pBdr>
              <w:tabs>
                <w:tab w:val="left" w:pos="1911"/>
              </w:tabs>
              <w:spacing w:before="120"/>
              <w:jc w:val="both"/>
              <w:rPr>
                <w:rFonts w:ascii="Calibri" w:eastAsia="Calibri" w:hAnsi="Calibri" w:cs="Calibri"/>
                <w:color w:val="000000"/>
                <w:sz w:val="20"/>
                <w:szCs w:val="20"/>
                <w:lang w:val="en-GB"/>
              </w:rPr>
            </w:pPr>
          </w:p>
          <w:p w14:paraId="449A35A1" w14:textId="1CD6EBBA" w:rsidR="00600DEE" w:rsidRPr="0045151D" w:rsidRDefault="00641FB5" w:rsidP="00CE2D79">
            <w:pPr>
              <w:pBdr>
                <w:top w:val="nil"/>
                <w:left w:val="nil"/>
                <w:bottom w:val="nil"/>
                <w:right w:val="nil"/>
                <w:between w:val="nil"/>
              </w:pBdr>
              <w:tabs>
                <w:tab w:val="left" w:pos="1911"/>
              </w:tabs>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rail modes, respective unit costs for method (i) based on marginal costs and method (ii) described below (average costs) are provided in Appendix A.</w:t>
            </w:r>
          </w:p>
          <w:p w14:paraId="7C1DEE5F" w14:textId="77777777" w:rsidR="00CE2D79" w:rsidRPr="0045151D" w:rsidRDefault="00CE2D79" w:rsidP="00CE2D79">
            <w:pPr>
              <w:pBdr>
                <w:top w:val="nil"/>
                <w:left w:val="nil"/>
                <w:bottom w:val="nil"/>
                <w:right w:val="nil"/>
                <w:between w:val="nil"/>
              </w:pBdr>
              <w:tabs>
                <w:tab w:val="left" w:pos="1911"/>
              </w:tabs>
              <w:jc w:val="both"/>
              <w:rPr>
                <w:rFonts w:ascii="Calibri" w:eastAsia="Calibri" w:hAnsi="Calibri" w:cs="Calibri"/>
                <w:b/>
                <w:color w:val="333399"/>
                <w:sz w:val="20"/>
                <w:szCs w:val="20"/>
                <w:lang w:val="en-GB"/>
              </w:rPr>
            </w:pPr>
          </w:p>
          <w:p w14:paraId="6B08393A" w14:textId="77777777" w:rsidR="00600DEE" w:rsidRPr="0045151D" w:rsidRDefault="00600DEE">
            <w:pPr>
              <w:pBdr>
                <w:top w:val="nil"/>
                <w:left w:val="nil"/>
                <w:bottom w:val="nil"/>
                <w:right w:val="nil"/>
                <w:between w:val="nil"/>
              </w:pBdr>
              <w:spacing w:before="120"/>
              <w:jc w:val="both"/>
              <w:rPr>
                <w:rFonts w:ascii="Calibri" w:eastAsia="Calibri" w:hAnsi="Calibri" w:cs="Calibri"/>
                <w:b/>
                <w:color w:val="333399"/>
                <w:sz w:val="20"/>
                <w:szCs w:val="20"/>
                <w:lang w:val="en-GB"/>
              </w:rPr>
            </w:pPr>
          </w:p>
          <w:p w14:paraId="1E685661" w14:textId="77777777" w:rsidR="00307C29" w:rsidRPr="0045151D" w:rsidRDefault="00307C29">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12C8945A" w14:textId="77777777" w:rsidR="00307C29" w:rsidRPr="0045151D" w:rsidRDefault="00307C29">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35885ACF" w14:textId="71816477" w:rsidR="00600DEE" w:rsidRPr="0045151D" w:rsidRDefault="0010419F">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22</w:t>
            </w:r>
            <w:r w:rsidR="00641FB5" w:rsidRPr="0045151D">
              <w:rPr>
                <w:rFonts w:ascii="Calibri" w:eastAsia="Calibri" w:hAnsi="Calibri" w:cs="Calibri"/>
                <w:b/>
                <w:color w:val="4F81BD"/>
                <w:sz w:val="20"/>
                <w:szCs w:val="20"/>
                <w:lang w:val="en-GB"/>
              </w:rPr>
              <w:t>. Formulas for the calculation of noise costs</w:t>
            </w:r>
          </w:p>
          <w:tbl>
            <w:tblPr>
              <w:tblStyle w:val="afffff5"/>
              <w:tblW w:w="6935"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935"/>
            </w:tblGrid>
            <w:tr w:rsidR="00600DEE" w:rsidRPr="007463B9" w14:paraId="5D0208F3" w14:textId="77777777" w:rsidTr="006C2564">
              <w:trPr>
                <w:trHeight w:hRule="exact" w:val="5103"/>
              </w:trPr>
              <w:tc>
                <w:tcPr>
                  <w:tcW w:w="6935" w:type="dxa"/>
                  <w:shd w:val="clear" w:color="auto" w:fill="DBE5F1"/>
                  <w:vAlign w:val="center"/>
                </w:tcPr>
                <w:p w14:paraId="6960CFB9" w14:textId="3D38C909" w:rsidR="00600DEE" w:rsidRPr="0045151D" w:rsidRDefault="00600DEE">
                  <w:pPr>
                    <w:pBdr>
                      <w:top w:val="nil"/>
                      <w:left w:val="nil"/>
                      <w:bottom w:val="nil"/>
                      <w:right w:val="nil"/>
                      <w:between w:val="nil"/>
                    </w:pBdr>
                    <w:spacing w:before="40" w:after="40"/>
                    <w:rPr>
                      <w:rFonts w:ascii="Calibri" w:eastAsia="Calibri" w:hAnsi="Calibri" w:cs="Calibri"/>
                      <w:color w:val="4F81BD"/>
                      <w:sz w:val="18"/>
                      <w:szCs w:val="18"/>
                      <w:lang w:val="en-GB"/>
                    </w:rPr>
                  </w:pPr>
                </w:p>
                <w:p w14:paraId="46853D0E" w14:textId="77777777" w:rsidR="006C2564" w:rsidRPr="0045151D" w:rsidRDefault="006C2564">
                  <w:pPr>
                    <w:pBdr>
                      <w:top w:val="nil"/>
                      <w:left w:val="nil"/>
                      <w:bottom w:val="nil"/>
                      <w:right w:val="nil"/>
                      <w:between w:val="nil"/>
                    </w:pBdr>
                    <w:spacing w:before="40" w:after="40"/>
                    <w:rPr>
                      <w:rFonts w:ascii="Calibri" w:eastAsia="Calibri" w:hAnsi="Calibri" w:cs="Calibri"/>
                      <w:color w:val="4F81BD"/>
                      <w:sz w:val="18"/>
                      <w:szCs w:val="18"/>
                      <w:lang w:val="en-GB"/>
                    </w:rPr>
                  </w:pPr>
                </w:p>
                <w:p w14:paraId="420DE0CC" w14:textId="77777777" w:rsidR="00600DEE" w:rsidRDefault="00641FB5">
                  <w:pPr>
                    <w:pBdr>
                      <w:top w:val="nil"/>
                      <w:left w:val="nil"/>
                      <w:bottom w:val="nil"/>
                      <w:right w:val="nil"/>
                      <w:between w:val="nil"/>
                    </w:pBdr>
                    <w:spacing w:before="40" w:after="40"/>
                    <w:jc w:val="center"/>
                    <w:rPr>
                      <w:rFonts w:ascii="Calibri" w:eastAsia="Calibri" w:hAnsi="Calibri" w:cs="Calibri"/>
                      <w:color w:val="4F81BD"/>
                      <w:sz w:val="18"/>
                      <w:szCs w:val="18"/>
                    </w:rPr>
                  </w:pPr>
                  <w:r>
                    <w:rPr>
                      <w:rFonts w:ascii="Calibri" w:eastAsia="Calibri" w:hAnsi="Calibri" w:cs="Calibri"/>
                      <w:color w:val="4F81BD"/>
                      <w:sz w:val="36"/>
                      <w:szCs w:val="36"/>
                      <w:vertAlign w:val="subscript"/>
                    </w:rPr>
                    <w:object w:dxaOrig="2978" w:dyaOrig="825" w14:anchorId="1D9A7109">
                      <v:shape id="_x0000_i1038" type="#_x0000_t75" style="width:149.6pt;height:41.15pt" o:ole="" filled="t">
                        <v:fill color2="black"/>
                        <v:imagedata r:id="rId132" o:title=""/>
                      </v:shape>
                      <o:OLEObject Type="Embed" ProgID="Equation.3" ShapeID="_x0000_i1038" DrawAspect="Content" ObjectID="_1747568785" r:id="rId133"/>
                    </w:object>
                  </w:r>
                </w:p>
                <w:p w14:paraId="2975BDDD" w14:textId="77777777" w:rsidR="00600DEE" w:rsidRDefault="00600DEE">
                  <w:pPr>
                    <w:pBdr>
                      <w:top w:val="nil"/>
                      <w:left w:val="nil"/>
                      <w:bottom w:val="nil"/>
                      <w:right w:val="nil"/>
                      <w:between w:val="nil"/>
                    </w:pBdr>
                    <w:spacing w:before="40" w:after="40"/>
                    <w:jc w:val="center"/>
                    <w:rPr>
                      <w:rFonts w:ascii="Calibri" w:eastAsia="Calibri" w:hAnsi="Calibri" w:cs="Calibri"/>
                      <w:color w:val="4F81BD"/>
                      <w:sz w:val="18"/>
                      <w:szCs w:val="18"/>
                    </w:rPr>
                  </w:pPr>
                </w:p>
                <w:p w14:paraId="25019344"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where:</w:t>
                  </w:r>
                </w:p>
                <w:p w14:paraId="487B5239"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H</w:t>
                  </w:r>
                  <w:r w:rsidRPr="0045151D">
                    <w:rPr>
                      <w:rFonts w:ascii="Calibri" w:eastAsia="Calibri" w:hAnsi="Calibri" w:cs="Calibri"/>
                      <w:color w:val="4F81BD"/>
                      <w:sz w:val="18"/>
                      <w:szCs w:val="18"/>
                      <w:lang w:val="en-GB"/>
                    </w:rPr>
                    <w:tab/>
                    <w:t xml:space="preserve">          – annual noise costs for road vehicles, in PLN,</w:t>
                  </w:r>
                </w:p>
                <w:p w14:paraId="3E0E293A"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j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 number of categories of vehicles,</w:t>
                  </w:r>
                </w:p>
                <w:p w14:paraId="40506BB7"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k</w:t>
                  </w:r>
                  <w:r w:rsidRPr="0045151D">
                    <w:rPr>
                      <w:rFonts w:ascii="Calibri" w:eastAsia="Calibri" w:hAnsi="Calibri" w:cs="Calibri"/>
                      <w:color w:val="4F81BD"/>
                      <w:sz w:val="18"/>
                      <w:szCs w:val="18"/>
                      <w:vertAlign w:val="subscript"/>
                      <w:lang w:val="en-GB"/>
                    </w:rPr>
                    <w:t>h,j</w:t>
                  </w:r>
                  <w:r w:rsidRPr="0045151D">
                    <w:rPr>
                      <w:rFonts w:ascii="Calibri" w:eastAsia="Calibri" w:hAnsi="Calibri" w:cs="Calibri"/>
                      <w:color w:val="4F81BD"/>
                      <w:sz w:val="18"/>
                      <w:szCs w:val="18"/>
                      <w:lang w:val="en-GB"/>
                    </w:rPr>
                    <w:t>(Z)</w:t>
                  </w:r>
                  <w:r w:rsidRPr="0045151D">
                    <w:rPr>
                      <w:rFonts w:ascii="Calibri" w:eastAsia="Calibri" w:hAnsi="Calibri" w:cs="Calibri"/>
                      <w:color w:val="4F81BD"/>
                      <w:sz w:val="18"/>
                      <w:szCs w:val="18"/>
                      <w:lang w:val="en-GB"/>
                    </w:rPr>
                    <w:tab/>
                    <w:t xml:space="preserve">          – unit costs of noise of vehicles category “j” in area Z (urban/non-urban),</w:t>
                  </w:r>
                  <w:r w:rsidRPr="0045151D">
                    <w:rPr>
                      <w:rFonts w:ascii="Calibri" w:eastAsia="Calibri" w:hAnsi="Calibri" w:cs="Calibri"/>
                      <w:color w:val="4F81BD"/>
                      <w:sz w:val="18"/>
                      <w:szCs w:val="18"/>
                      <w:lang w:val="en-GB"/>
                    </w:rPr>
                    <w:br/>
                    <w:t xml:space="preserve">                               in PLN/veh-km, including other modes if relevant</w:t>
                  </w:r>
                </w:p>
                <w:p w14:paraId="6841168E"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SDR</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 xml:space="preserve">                    – average daily traffic of vehicles category “j”, in vehicles/day (AADT),</w:t>
                  </w:r>
                </w:p>
                <w:p w14:paraId="240B45F1"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w:t>
                  </w:r>
                  <w:r w:rsidRPr="0045151D">
                    <w:rPr>
                      <w:rFonts w:ascii="Calibri" w:eastAsia="Calibri" w:hAnsi="Calibri" w:cs="Calibri"/>
                      <w:color w:val="4F81BD"/>
                      <w:sz w:val="18"/>
                      <w:szCs w:val="18"/>
                      <w:lang w:val="en-GB"/>
                    </w:rPr>
                    <w:tab/>
                    <w:t xml:space="preserve">           – length of road section, in km,</w:t>
                  </w:r>
                </w:p>
                <w:p w14:paraId="5F86E7CB"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w:t>
                  </w:r>
                  <w:r w:rsidRPr="0045151D">
                    <w:rPr>
                      <w:rFonts w:ascii="Calibri" w:eastAsia="Calibri" w:hAnsi="Calibri" w:cs="Calibri"/>
                      <w:color w:val="4F81BD"/>
                      <w:sz w:val="18"/>
                      <w:szCs w:val="18"/>
                      <w:vertAlign w:val="superscript"/>
                      <w:lang w:val="en-GB"/>
                    </w:rPr>
                    <w:t>km</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ab/>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transport work depending on the road section length and vehicle</w:t>
                  </w:r>
                  <w:r w:rsidRPr="0045151D">
                    <w:rPr>
                      <w:rFonts w:ascii="Calibri" w:eastAsia="Calibri" w:hAnsi="Calibri" w:cs="Calibri"/>
                      <w:color w:val="4F81BD"/>
                      <w:sz w:val="18"/>
                      <w:szCs w:val="18"/>
                      <w:lang w:val="en-GB"/>
                    </w:rPr>
                    <w:br/>
                    <w:t xml:space="preserve">                             </w:t>
                  </w:r>
                  <w:r w:rsidRPr="0045151D">
                    <w:rPr>
                      <w:rFonts w:ascii="Calibri" w:eastAsia="Calibri" w:hAnsi="Calibri" w:cs="Calibri"/>
                      <w:color w:val="4F81BD"/>
                      <w:sz w:val="18"/>
                      <w:szCs w:val="18"/>
                      <w:vertAlign w:val="superscript"/>
                      <w:lang w:val="en-GB"/>
                    </w:rPr>
                    <w:t xml:space="preserve"> </w:t>
                  </w:r>
                  <w:r w:rsidRPr="0045151D">
                    <w:rPr>
                      <w:rFonts w:ascii="Calibri" w:eastAsia="Calibri" w:hAnsi="Calibri" w:cs="Calibri"/>
                      <w:color w:val="4F81BD"/>
                      <w:sz w:val="18"/>
                      <w:szCs w:val="18"/>
                      <w:lang w:val="en-GB"/>
                    </w:rPr>
                    <w:t xml:space="preserve"> category “j”, in vehicles-kilometres/day</w:t>
                  </w:r>
                </w:p>
                <w:p w14:paraId="55774E41" w14:textId="77777777" w:rsidR="00600DEE" w:rsidRPr="0045151D" w:rsidRDefault="00641FB5">
                  <w:pPr>
                    <w:pBdr>
                      <w:top w:val="nil"/>
                      <w:left w:val="nil"/>
                      <w:bottom w:val="nil"/>
                      <w:right w:val="nil"/>
                      <w:between w:val="nil"/>
                    </w:pBdr>
                    <w:spacing w:before="40" w:after="4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W</w:t>
                  </w:r>
                  <w:r w:rsidRPr="0045151D">
                    <w:rPr>
                      <w:rFonts w:ascii="Calibri" w:eastAsia="Calibri" w:hAnsi="Calibri" w:cs="Calibri"/>
                      <w:color w:val="4F81BD"/>
                      <w:sz w:val="18"/>
                      <w:szCs w:val="18"/>
                      <w:vertAlign w:val="superscript"/>
                      <w:lang w:val="en-GB"/>
                    </w:rPr>
                    <w:t>km</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 xml:space="preserve"> = L* SDR</w:t>
                  </w:r>
                  <w:r w:rsidRPr="0045151D">
                    <w:rPr>
                      <w:rFonts w:ascii="Calibri" w:eastAsia="Calibri" w:hAnsi="Calibri" w:cs="Calibri"/>
                      <w:color w:val="4F81BD"/>
                      <w:sz w:val="18"/>
                      <w:szCs w:val="18"/>
                      <w:vertAlign w:val="subscript"/>
                      <w:lang w:val="en-GB"/>
                    </w:rPr>
                    <w:t>j</w:t>
                  </w:r>
                  <w:r w:rsidRPr="0045151D">
                    <w:rPr>
                      <w:rFonts w:ascii="Calibri" w:eastAsia="Calibri" w:hAnsi="Calibri" w:cs="Calibri"/>
                      <w:color w:val="4F81BD"/>
                      <w:sz w:val="18"/>
                      <w:szCs w:val="18"/>
                      <w:lang w:val="en-GB"/>
                    </w:rPr>
                    <w:t>.  (for section approach)</w:t>
                  </w:r>
                </w:p>
              </w:tc>
            </w:tr>
          </w:tbl>
          <w:p w14:paraId="321E3D5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4D246ED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noise unit cost evolution over time is described in Appendix A.</w:t>
            </w:r>
          </w:p>
          <w:p w14:paraId="09BC794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second method proposed is based on using the average noise cost. This method consists of the following stages:</w:t>
            </w:r>
          </w:p>
          <w:p w14:paraId="1E8596D3" w14:textId="7A02AC98"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 Estimation for W0 and Wn of the number of people affected by excessive noise per vehicle category. According to the noise map data (if available), the following noise classes are distinguished for calculation of the total noise costs: 55-59 dB(A), 60-64 dB(A), 65-69 dB(A), 70-74 dB(A) and more than 75 dB(A). For noise levels below 55 dB(A) it is assumed that there are no adverse</w:t>
            </w:r>
            <w:r w:rsidR="00F102E8">
              <w:rPr>
                <w:rFonts w:ascii="Calibri" w:eastAsia="Calibri" w:hAnsi="Calibri" w:cs="Calibri"/>
                <w:color w:val="000000"/>
                <w:sz w:val="20"/>
                <w:szCs w:val="20"/>
                <w:lang w:val="en-GB"/>
              </w:rPr>
              <w:t xml:space="preserve"> effects</w:t>
            </w:r>
            <w:r w:rsidRPr="0045151D">
              <w:rPr>
                <w:rFonts w:ascii="Calibri" w:eastAsia="Calibri" w:hAnsi="Calibri" w:cs="Calibri"/>
                <w:color w:val="000000"/>
                <w:sz w:val="20"/>
                <w:szCs w:val="20"/>
                <w:lang w:val="en-GB"/>
              </w:rPr>
              <w:t>. Once the total number of people exposed under the different noise level areas is obtained, a factor must be applied to establish the number of actually affected people in the total exposed population (see Appendix A for recommended values).</w:t>
            </w:r>
          </w:p>
          <w:p w14:paraId="05F7E41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(ii)  Estimation of total noise costs by multiplying the number of people affected by the noise costs per person exposed to a given noise class; the proposed cost factors to be used are the ones based on Handbook on the external costs of transport, Version 2019, and included in Appendix A –Economic and Financial Unit Costs.</w:t>
            </w:r>
          </w:p>
          <w:p w14:paraId="11F4F14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exercise described above will be done for the year the project enters into service based on the forecasted noise maps (if available). The estimation for the reference period will need to consider: (i) forecasted growth of exposed population; and (ii) available forecasts or maps of future noise levels, using linear interpolation for the years when the respective data is not presented. </w:t>
            </w:r>
          </w:p>
          <w:p w14:paraId="7CD85AB2"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above referred unit costs, their respective forecast over time and factors are presented in Appendix A – Economic and Financial Unit Costs.</w:t>
            </w:r>
          </w:p>
        </w:tc>
      </w:tr>
    </w:tbl>
    <w:p w14:paraId="442248F1" w14:textId="016AA72B" w:rsidR="00600DEE" w:rsidRDefault="00641FB5" w:rsidP="00D5736B">
      <w:pPr>
        <w:pStyle w:val="Nagwek3"/>
        <w:numPr>
          <w:ilvl w:val="2"/>
          <w:numId w:val="17"/>
        </w:numPr>
        <w:ind w:left="0" w:firstLine="0"/>
        <w:rPr>
          <w:rFonts w:ascii="Calibri" w:eastAsia="Calibri" w:hAnsi="Calibri" w:cs="Calibri"/>
          <w:color w:val="4F81BD"/>
        </w:rPr>
      </w:pPr>
      <w:bookmarkStart w:id="84" w:name="_Toc95377992"/>
      <w:r>
        <w:rPr>
          <w:rFonts w:ascii="Calibri" w:eastAsia="Calibri" w:hAnsi="Calibri" w:cs="Calibri"/>
          <w:color w:val="4F81BD"/>
        </w:rPr>
        <w:t>Koszty eksploatacji i utrzymania infrastruktury</w:t>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2.1.7   Costs of infrastructure operation and maintenance</w:t>
      </w:r>
      <w:bookmarkEnd w:id="84"/>
    </w:p>
    <w:tbl>
      <w:tblPr>
        <w:tblStyle w:val="afffff6"/>
        <w:tblW w:w="14571" w:type="dxa"/>
        <w:tblLayout w:type="fixed"/>
        <w:tblLook w:val="0400" w:firstRow="0" w:lastRow="0" w:firstColumn="0" w:lastColumn="0" w:noHBand="0" w:noVBand="1"/>
      </w:tblPr>
      <w:tblGrid>
        <w:gridCol w:w="7370"/>
        <w:gridCol w:w="7201"/>
      </w:tblGrid>
      <w:tr w:rsidR="00600DEE" w:rsidRPr="007463B9" w14:paraId="2EE0BD24" w14:textId="77777777">
        <w:tc>
          <w:tcPr>
            <w:tcW w:w="7370" w:type="dxa"/>
            <w:tcBorders>
              <w:right w:val="single" w:sz="4" w:space="0" w:color="000000"/>
            </w:tcBorders>
            <w:tcMar>
              <w:left w:w="284" w:type="dxa"/>
              <w:right w:w="284" w:type="dxa"/>
            </w:tcMar>
          </w:tcPr>
          <w:p w14:paraId="2A3F96E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celu uzyskania kosztów ekonomicznych utrzymania i eksploatacji infrastruktury należy wykorzystać koszty zestawione w rozdziale 1.9, a następnie dokonać korekty tych kosztów przy użyciu Współczynników Konwersji (patrz rozdział 2.2.2. poniżej).</w:t>
            </w:r>
          </w:p>
          <w:p w14:paraId="72552468" w14:textId="15CF70BA" w:rsidR="00F102E8" w:rsidRPr="00F102E8" w:rsidRDefault="00F102E8">
            <w:pPr>
              <w:pBdr>
                <w:top w:val="nil"/>
                <w:left w:val="nil"/>
                <w:bottom w:val="nil"/>
                <w:right w:val="nil"/>
                <w:between w:val="nil"/>
              </w:pBdr>
              <w:spacing w:before="120"/>
              <w:jc w:val="both"/>
              <w:rPr>
                <w:rFonts w:asciiTheme="minorHAnsi" w:eastAsia="Calibri" w:hAnsiTheme="minorHAnsi" w:cs="Calibri"/>
                <w:color w:val="000000"/>
                <w:sz w:val="20"/>
                <w:szCs w:val="20"/>
              </w:rPr>
            </w:pPr>
            <w:r w:rsidRPr="00F102E8">
              <w:rPr>
                <w:rFonts w:asciiTheme="minorHAnsi" w:hAnsiTheme="minorHAnsi"/>
                <w:sz w:val="20"/>
                <w:szCs w:val="20"/>
              </w:rPr>
              <w:t>Zaproponowane jednostkowe koszty eksploatacji i utrzymania infrastruktury drogowej, w cenach netto, znajdują się w załączniku A – Jednostkowe koszty ekonomiczne i finansowe.</w:t>
            </w:r>
          </w:p>
        </w:tc>
        <w:tc>
          <w:tcPr>
            <w:tcW w:w="7201" w:type="dxa"/>
            <w:tcBorders>
              <w:left w:val="single" w:sz="4" w:space="0" w:color="000000"/>
            </w:tcBorders>
            <w:tcMar>
              <w:left w:w="284" w:type="dxa"/>
              <w:right w:w="284" w:type="dxa"/>
            </w:tcMar>
          </w:tcPr>
          <w:p w14:paraId="66671672"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order to estimate the economic costs of infrastructure operation and maintenance (O&amp;M costs), use the unit costs and approach presented in chapter 1.9, and then correct these costs using the Conversion Factors (see chapter 2.2.2 below).</w:t>
            </w:r>
          </w:p>
          <w:p w14:paraId="52FAA425" w14:textId="04927048" w:rsidR="006C2564" w:rsidRPr="00F102E8" w:rsidRDefault="00F102E8">
            <w:pPr>
              <w:pBdr>
                <w:top w:val="nil"/>
                <w:left w:val="nil"/>
                <w:bottom w:val="nil"/>
                <w:right w:val="nil"/>
                <w:between w:val="nil"/>
              </w:pBdr>
              <w:spacing w:before="120"/>
              <w:jc w:val="both"/>
              <w:rPr>
                <w:rFonts w:ascii="Calibri" w:eastAsia="Calibri" w:hAnsi="Calibri" w:cs="Calibri"/>
                <w:color w:val="000000"/>
                <w:sz w:val="20"/>
                <w:szCs w:val="20"/>
                <w:lang w:val="en-GB"/>
              </w:rPr>
            </w:pPr>
            <w:r w:rsidRPr="00F102E8">
              <w:rPr>
                <w:rFonts w:asciiTheme="minorHAnsi" w:hAnsiTheme="minorHAnsi"/>
                <w:sz w:val="20"/>
                <w:szCs w:val="20"/>
                <w:lang w:val="en-GB"/>
              </w:rPr>
              <w:t>The proposed unit maintenance costs for road infrastructure are presented in net prices in Appendix A – Unit economic and financial costs.</w:t>
            </w:r>
          </w:p>
          <w:p w14:paraId="43145047" w14:textId="77777777" w:rsidR="006C2564" w:rsidRPr="0045151D" w:rsidRDefault="006C2564">
            <w:pPr>
              <w:pBdr>
                <w:top w:val="nil"/>
                <w:left w:val="nil"/>
                <w:bottom w:val="nil"/>
                <w:right w:val="nil"/>
                <w:between w:val="nil"/>
              </w:pBdr>
              <w:spacing w:before="120"/>
              <w:jc w:val="both"/>
              <w:rPr>
                <w:rFonts w:ascii="Calibri" w:eastAsia="Calibri" w:hAnsi="Calibri" w:cs="Calibri"/>
                <w:color w:val="000000"/>
                <w:sz w:val="20"/>
                <w:szCs w:val="20"/>
                <w:lang w:val="en-GB"/>
              </w:rPr>
            </w:pPr>
          </w:p>
          <w:p w14:paraId="48F954A1" w14:textId="77777777" w:rsidR="006C2564" w:rsidRPr="0045151D" w:rsidRDefault="006C2564">
            <w:pPr>
              <w:pBdr>
                <w:top w:val="nil"/>
                <w:left w:val="nil"/>
                <w:bottom w:val="nil"/>
                <w:right w:val="nil"/>
                <w:between w:val="nil"/>
              </w:pBdr>
              <w:spacing w:before="120"/>
              <w:jc w:val="both"/>
              <w:rPr>
                <w:rFonts w:ascii="Calibri" w:eastAsia="Calibri" w:hAnsi="Calibri" w:cs="Calibri"/>
                <w:color w:val="000000"/>
                <w:sz w:val="20"/>
                <w:szCs w:val="20"/>
                <w:lang w:val="en-GB"/>
              </w:rPr>
            </w:pPr>
          </w:p>
          <w:p w14:paraId="18741509" w14:textId="77777777" w:rsidR="006C2564" w:rsidRPr="0045151D" w:rsidRDefault="006C2564" w:rsidP="00307C29">
            <w:pPr>
              <w:pBdr>
                <w:top w:val="nil"/>
                <w:left w:val="nil"/>
                <w:bottom w:val="nil"/>
                <w:right w:val="nil"/>
                <w:between w:val="nil"/>
              </w:pBdr>
              <w:jc w:val="both"/>
              <w:rPr>
                <w:rFonts w:ascii="Calibri" w:eastAsia="Calibri" w:hAnsi="Calibri" w:cs="Calibri"/>
                <w:color w:val="000000"/>
                <w:sz w:val="20"/>
                <w:szCs w:val="20"/>
                <w:lang w:val="en-GB"/>
              </w:rPr>
            </w:pPr>
          </w:p>
          <w:p w14:paraId="1B2C3676" w14:textId="77777777" w:rsidR="00CE2D79" w:rsidRPr="0045151D" w:rsidRDefault="00CE2D79" w:rsidP="00307C29">
            <w:pPr>
              <w:pBdr>
                <w:top w:val="nil"/>
                <w:left w:val="nil"/>
                <w:bottom w:val="nil"/>
                <w:right w:val="nil"/>
                <w:between w:val="nil"/>
              </w:pBdr>
              <w:jc w:val="both"/>
              <w:rPr>
                <w:rFonts w:ascii="Calibri" w:eastAsia="Calibri" w:hAnsi="Calibri" w:cs="Calibri"/>
                <w:color w:val="000000"/>
                <w:sz w:val="20"/>
                <w:szCs w:val="20"/>
                <w:lang w:val="en-GB"/>
              </w:rPr>
            </w:pPr>
          </w:p>
          <w:p w14:paraId="4762A856" w14:textId="3857CBA4" w:rsidR="00CE2D79" w:rsidRPr="0045151D" w:rsidRDefault="00CE2D79" w:rsidP="00307C29">
            <w:pPr>
              <w:pBdr>
                <w:top w:val="nil"/>
                <w:left w:val="nil"/>
                <w:bottom w:val="nil"/>
                <w:right w:val="nil"/>
                <w:between w:val="nil"/>
              </w:pBdr>
              <w:jc w:val="both"/>
              <w:rPr>
                <w:rFonts w:ascii="Calibri" w:eastAsia="Calibri" w:hAnsi="Calibri" w:cs="Calibri"/>
                <w:color w:val="000000"/>
                <w:sz w:val="20"/>
                <w:szCs w:val="20"/>
                <w:lang w:val="en-GB"/>
              </w:rPr>
            </w:pPr>
          </w:p>
        </w:tc>
      </w:tr>
    </w:tbl>
    <w:p w14:paraId="6052F2F3" w14:textId="290753E6" w:rsidR="00600DEE" w:rsidRPr="00E301CF" w:rsidRDefault="00641FB5" w:rsidP="00D5736B">
      <w:pPr>
        <w:pStyle w:val="Nagwek2"/>
        <w:numPr>
          <w:ilvl w:val="1"/>
          <w:numId w:val="17"/>
        </w:numPr>
        <w:spacing w:before="0" w:after="0"/>
        <w:ind w:left="0" w:firstLine="0"/>
        <w:rPr>
          <w:rFonts w:ascii="Calibri" w:eastAsia="Calibri" w:hAnsi="Calibri" w:cs="Calibri"/>
          <w:color w:val="4F81BD"/>
          <w:lang w:val="pl-PL"/>
        </w:rPr>
      </w:pPr>
      <w:bookmarkStart w:id="85" w:name="_Toc95377993"/>
      <w:r w:rsidRPr="00E301CF">
        <w:rPr>
          <w:rFonts w:ascii="Calibri" w:eastAsia="Calibri" w:hAnsi="Calibri" w:cs="Calibri"/>
          <w:color w:val="4F81BD"/>
          <w:lang w:val="pl-PL"/>
        </w:rPr>
        <w:t>Etapy analizy społeczno-ekonomicznej</w:t>
      </w:r>
      <w:r w:rsidRPr="00E301CF">
        <w:rPr>
          <w:rFonts w:ascii="Calibri" w:eastAsia="Calibri" w:hAnsi="Calibri" w:cs="Calibri"/>
          <w:color w:val="4F81BD"/>
          <w:lang w:val="pl-PL"/>
        </w:rPr>
        <w:tab/>
        <w:t xml:space="preserve">        </w:t>
      </w:r>
      <w:r w:rsidR="00307C29" w:rsidRPr="00E301CF">
        <w:rPr>
          <w:rFonts w:ascii="Calibri" w:eastAsia="Calibri" w:hAnsi="Calibri" w:cs="Calibri"/>
          <w:color w:val="4F81BD"/>
          <w:lang w:val="pl-PL"/>
        </w:rPr>
        <w:tab/>
      </w:r>
      <w:r w:rsidR="00307C29" w:rsidRPr="00E301CF">
        <w:rPr>
          <w:rFonts w:ascii="Calibri" w:eastAsia="Calibri" w:hAnsi="Calibri" w:cs="Calibri"/>
          <w:color w:val="4F81BD"/>
          <w:lang w:val="pl-PL"/>
        </w:rPr>
        <w:tab/>
      </w:r>
      <w:r w:rsidR="00F102E8" w:rsidRPr="00E301CF">
        <w:rPr>
          <w:rFonts w:ascii="Calibri" w:eastAsia="Calibri" w:hAnsi="Calibri" w:cs="Calibri"/>
          <w:i/>
          <w:color w:val="4F81BD"/>
          <w:lang w:val="pl-PL"/>
        </w:rPr>
        <w:t>2.2</w:t>
      </w:r>
      <w:r w:rsidR="00F102E8" w:rsidRPr="00E301CF">
        <w:rPr>
          <w:rFonts w:ascii="Calibri" w:eastAsia="Calibri" w:hAnsi="Calibri" w:cs="Calibri"/>
          <w:color w:val="4F81BD"/>
          <w:lang w:val="pl-PL"/>
        </w:rPr>
        <w:t xml:space="preserve">   </w:t>
      </w:r>
      <w:r w:rsidR="00F102E8" w:rsidRPr="00E301CF">
        <w:rPr>
          <w:rFonts w:ascii="Calibri" w:eastAsia="Calibri" w:hAnsi="Calibri" w:cs="Calibri"/>
          <w:i/>
          <w:color w:val="4F81BD"/>
          <w:lang w:val="pl-PL"/>
        </w:rPr>
        <w:t>Stages of socio-economic analysis</w:t>
      </w:r>
      <w:bookmarkEnd w:id="85"/>
      <w:r w:rsidR="00307C29" w:rsidRPr="00E301CF">
        <w:rPr>
          <w:rFonts w:ascii="Calibri" w:eastAsia="Calibri" w:hAnsi="Calibri" w:cs="Calibri"/>
          <w:color w:val="4F81BD"/>
          <w:lang w:val="pl-PL"/>
        </w:rPr>
        <w:tab/>
      </w:r>
      <w:r w:rsidR="00307C29" w:rsidRPr="00E301CF">
        <w:rPr>
          <w:rFonts w:ascii="Calibri" w:eastAsia="Calibri" w:hAnsi="Calibri" w:cs="Calibri"/>
          <w:color w:val="4F81BD"/>
          <w:lang w:val="pl-PL"/>
        </w:rPr>
        <w:tab/>
      </w:r>
      <w:r w:rsidR="00307C29" w:rsidRPr="00E301CF">
        <w:rPr>
          <w:rFonts w:ascii="Calibri" w:eastAsia="Calibri" w:hAnsi="Calibri" w:cs="Calibri"/>
          <w:color w:val="4F81BD"/>
          <w:lang w:val="pl-PL"/>
        </w:rPr>
        <w:tab/>
      </w:r>
      <w:r w:rsidR="00307C29" w:rsidRPr="00E301CF">
        <w:rPr>
          <w:rFonts w:ascii="Calibri" w:eastAsia="Calibri" w:hAnsi="Calibri" w:cs="Calibri"/>
          <w:color w:val="4F81BD"/>
          <w:lang w:val="pl-PL"/>
        </w:rPr>
        <w:tab/>
      </w:r>
      <w:r w:rsidR="00307C29" w:rsidRPr="00E301CF">
        <w:rPr>
          <w:rFonts w:ascii="Calibri" w:eastAsia="Calibri" w:hAnsi="Calibri" w:cs="Calibri"/>
          <w:color w:val="4F81BD"/>
          <w:lang w:val="pl-PL"/>
        </w:rPr>
        <w:tab/>
      </w:r>
      <w:r w:rsidR="00307C29" w:rsidRPr="00E301CF">
        <w:rPr>
          <w:rFonts w:ascii="Calibri" w:eastAsia="Calibri" w:hAnsi="Calibri" w:cs="Calibri"/>
          <w:color w:val="4F81BD"/>
          <w:lang w:val="pl-PL"/>
        </w:rPr>
        <w:tab/>
      </w:r>
      <w:r w:rsidR="00307C29" w:rsidRPr="00E301CF">
        <w:rPr>
          <w:rFonts w:ascii="Calibri" w:eastAsia="Calibri" w:hAnsi="Calibri" w:cs="Calibri"/>
          <w:color w:val="4F81BD"/>
          <w:lang w:val="pl-PL"/>
        </w:rPr>
        <w:tab/>
      </w:r>
      <w:r w:rsidR="00307C29" w:rsidRPr="00E301CF">
        <w:rPr>
          <w:rFonts w:ascii="Calibri" w:eastAsia="Calibri" w:hAnsi="Calibri" w:cs="Calibri"/>
          <w:color w:val="4F81BD"/>
          <w:lang w:val="pl-PL"/>
        </w:rPr>
        <w:tab/>
        <w:t xml:space="preserve">       </w:t>
      </w:r>
    </w:p>
    <w:tbl>
      <w:tblPr>
        <w:tblStyle w:val="afffff7"/>
        <w:tblW w:w="14571" w:type="dxa"/>
        <w:tblLayout w:type="fixed"/>
        <w:tblLook w:val="0400" w:firstRow="0" w:lastRow="0" w:firstColumn="0" w:lastColumn="0" w:noHBand="0" w:noVBand="1"/>
      </w:tblPr>
      <w:tblGrid>
        <w:gridCol w:w="7355"/>
        <w:gridCol w:w="7216"/>
      </w:tblGrid>
      <w:tr w:rsidR="00600DEE" w:rsidRPr="007463B9" w14:paraId="1161F1B4" w14:textId="77777777">
        <w:tc>
          <w:tcPr>
            <w:tcW w:w="7355" w:type="dxa"/>
            <w:tcBorders>
              <w:right w:val="single" w:sz="4" w:space="0" w:color="000000"/>
            </w:tcBorders>
            <w:tcMar>
              <w:left w:w="284" w:type="dxa"/>
              <w:right w:w="284" w:type="dxa"/>
            </w:tcMar>
          </w:tcPr>
          <w:p w14:paraId="0C851721" w14:textId="77777777" w:rsidR="00600DEE" w:rsidRDefault="00641FB5" w:rsidP="00307C29">
            <w:pPr>
              <w:pBdr>
                <w:top w:val="nil"/>
                <w:left w:val="nil"/>
                <w:bottom w:val="nil"/>
                <w:right w:val="nil"/>
                <w:between w:val="nil"/>
              </w:pBdr>
              <w:spacing w:before="240"/>
              <w:jc w:val="both"/>
              <w:rPr>
                <w:rFonts w:ascii="Calibri" w:eastAsia="Calibri" w:hAnsi="Calibri" w:cs="Calibri"/>
                <w:color w:val="000000"/>
                <w:sz w:val="20"/>
                <w:szCs w:val="20"/>
              </w:rPr>
            </w:pPr>
            <w:r>
              <w:rPr>
                <w:rFonts w:ascii="Calibri" w:eastAsia="Calibri" w:hAnsi="Calibri" w:cs="Calibri"/>
                <w:color w:val="000000"/>
                <w:sz w:val="20"/>
                <w:szCs w:val="20"/>
              </w:rPr>
              <w:t xml:space="preserve">Zalecana struktura analizy ekonomicznej obejmuje następujące elementy: </w:t>
            </w:r>
          </w:p>
          <w:p w14:paraId="68D510A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1. Definicja założeń do analizy ekonomicznej. </w:t>
            </w:r>
          </w:p>
          <w:p w14:paraId="50EC8AF8"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2. Konwersja cen rynkowych na ceny rozrachunkowe (ukryte). </w:t>
            </w:r>
          </w:p>
          <w:p w14:paraId="1D9C1DB1"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3. Wyznaczenie przepływów ekonomicznych projektu w okresie referencyjnym. </w:t>
            </w:r>
          </w:p>
          <w:p w14:paraId="092BE1BA" w14:textId="174B9051"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4. Obliczanie wskaźników efektywności społeczno-ekonomicznej (ENPV, ERR, BCR) i interpretacja wyników.</w:t>
            </w:r>
          </w:p>
          <w:p w14:paraId="48EC3F41" w14:textId="77777777" w:rsidR="00F102E8" w:rsidRDefault="00F102E8">
            <w:pPr>
              <w:pBdr>
                <w:top w:val="nil"/>
                <w:left w:val="nil"/>
                <w:bottom w:val="nil"/>
                <w:right w:val="nil"/>
                <w:between w:val="nil"/>
              </w:pBdr>
              <w:spacing w:before="120"/>
              <w:jc w:val="both"/>
              <w:rPr>
                <w:rFonts w:ascii="Calibri" w:eastAsia="Calibri" w:hAnsi="Calibri" w:cs="Calibri"/>
                <w:color w:val="000000"/>
                <w:sz w:val="20"/>
                <w:szCs w:val="20"/>
              </w:rPr>
            </w:pPr>
          </w:p>
          <w:p w14:paraId="737F488D" w14:textId="2F8E400D" w:rsidR="00600DEE" w:rsidRDefault="00641FB5" w:rsidP="00D5736B">
            <w:pPr>
              <w:pStyle w:val="Nagwek3"/>
              <w:numPr>
                <w:ilvl w:val="2"/>
                <w:numId w:val="17"/>
              </w:numPr>
              <w:spacing w:before="120" w:after="240"/>
              <w:ind w:left="0" w:firstLine="0"/>
              <w:rPr>
                <w:rFonts w:ascii="Calibri" w:eastAsia="Calibri" w:hAnsi="Calibri" w:cs="Calibri"/>
                <w:color w:val="4F81BD"/>
              </w:rPr>
            </w:pPr>
            <w:bookmarkStart w:id="86" w:name="_Toc91596256"/>
            <w:bookmarkStart w:id="87" w:name="_Toc95377994"/>
            <w:r>
              <w:rPr>
                <w:rFonts w:ascii="Calibri" w:eastAsia="Calibri" w:hAnsi="Calibri" w:cs="Calibri"/>
                <w:color w:val="4F81BD"/>
              </w:rPr>
              <w:t>Założenia analizy ekonomicznej</w:t>
            </w:r>
            <w:bookmarkEnd w:id="86"/>
            <w:bookmarkEnd w:id="87"/>
          </w:p>
          <w:p w14:paraId="750F3AF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shd w:val="clear" w:color="auto" w:fill="F5F5F5"/>
              </w:rPr>
            </w:pPr>
            <w:r w:rsidRPr="00F102E8">
              <w:rPr>
                <w:rFonts w:ascii="Calibri" w:eastAsia="Calibri" w:hAnsi="Calibri" w:cs="Calibri"/>
                <w:color w:val="000000"/>
                <w:sz w:val="20"/>
                <w:szCs w:val="20"/>
              </w:rPr>
              <w:t>W trosce o poprawność analizy, a także porównywalność wyników, zestaw założeń musi być zdefiniowany na początku analizy i wyraźnie uwidoczniony w Studium Wykonalności lub w AKK.</w:t>
            </w:r>
            <w:r>
              <w:rPr>
                <w:rFonts w:ascii="Calibri" w:eastAsia="Calibri" w:hAnsi="Calibri" w:cs="Calibri"/>
                <w:color w:val="000000"/>
                <w:sz w:val="20"/>
                <w:szCs w:val="20"/>
                <w:shd w:val="clear" w:color="auto" w:fill="F5F5F5"/>
              </w:rPr>
              <w:t xml:space="preserve"> </w:t>
            </w:r>
          </w:p>
          <w:p w14:paraId="6455E561"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shd w:val="clear" w:color="auto" w:fill="F5F5F5"/>
              </w:rPr>
            </w:pPr>
            <w:r w:rsidRPr="00F102E8">
              <w:rPr>
                <w:rFonts w:ascii="Calibri" w:eastAsia="Calibri" w:hAnsi="Calibri" w:cs="Calibri"/>
                <w:color w:val="000000"/>
                <w:sz w:val="20"/>
                <w:szCs w:val="20"/>
              </w:rPr>
              <w:t>Ogólne założenia:</w:t>
            </w:r>
            <w:r>
              <w:rPr>
                <w:rFonts w:ascii="Calibri" w:eastAsia="Calibri" w:hAnsi="Calibri" w:cs="Calibri"/>
                <w:color w:val="000000"/>
                <w:sz w:val="20"/>
                <w:szCs w:val="20"/>
                <w:shd w:val="clear" w:color="auto" w:fill="F5F5F5"/>
              </w:rPr>
              <w:t xml:space="preserve"> </w:t>
            </w:r>
          </w:p>
          <w:p w14:paraId="4E4D976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shd w:val="clear" w:color="auto" w:fill="F5F5F5"/>
              </w:rPr>
            </w:pPr>
            <w:r w:rsidRPr="00F102E8">
              <w:rPr>
                <w:rFonts w:ascii="Calibri" w:eastAsia="Calibri" w:hAnsi="Calibri" w:cs="Calibri"/>
                <w:color w:val="000000"/>
                <w:sz w:val="20"/>
                <w:szCs w:val="20"/>
              </w:rPr>
              <w:t>1. Analiza oparta jest na podejściu cash-flow, tj. z wyłączeniem kategorii księgowych jak amortyzacja, rezerwy na zobowiązania oraz rezerwy na nieprzewidziane wydatki.</w:t>
            </w:r>
          </w:p>
          <w:p w14:paraId="11B50F40" w14:textId="40A57E1A"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2. Analiza ekonomiczna przeprowadzana jest zawsze w cenach netto, tj. bez podatku VAT. </w:t>
            </w:r>
          </w:p>
          <w:p w14:paraId="6A16C7C4" w14:textId="206D398E"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3. Finansowe przepływy pieniężne muszą zostać przekształcone w przepływy ekonomiczne poprzez odpowiednie przeliczenie cen finansowych na ceny </w:t>
            </w:r>
            <w:r w:rsidR="00F102E8">
              <w:rPr>
                <w:rFonts w:ascii="Calibri" w:eastAsia="Calibri" w:hAnsi="Calibri" w:cs="Calibri"/>
                <w:color w:val="000000"/>
                <w:sz w:val="20"/>
                <w:szCs w:val="20"/>
              </w:rPr>
              <w:t>rozrachunkowe</w:t>
            </w:r>
            <w:r>
              <w:rPr>
                <w:rFonts w:ascii="Calibri" w:eastAsia="Calibri" w:hAnsi="Calibri" w:cs="Calibri"/>
                <w:color w:val="000000"/>
                <w:sz w:val="20"/>
                <w:szCs w:val="20"/>
              </w:rPr>
              <w:t xml:space="preserve"> (ukryte). </w:t>
            </w:r>
          </w:p>
          <w:p w14:paraId="3F0FD20A" w14:textId="2E15B3C1" w:rsidR="00AE3591" w:rsidRDefault="00AE3591">
            <w:pPr>
              <w:pBdr>
                <w:top w:val="nil"/>
                <w:left w:val="nil"/>
                <w:bottom w:val="nil"/>
                <w:right w:val="nil"/>
                <w:between w:val="nil"/>
              </w:pBdr>
              <w:spacing w:before="120"/>
              <w:jc w:val="both"/>
              <w:rPr>
                <w:rFonts w:ascii="Calibri" w:eastAsia="Calibri" w:hAnsi="Calibri" w:cs="Calibri"/>
                <w:color w:val="000000"/>
                <w:sz w:val="20"/>
                <w:szCs w:val="20"/>
              </w:rPr>
            </w:pPr>
          </w:p>
          <w:p w14:paraId="119DB5BA" w14:textId="77777777" w:rsidR="00AE3591" w:rsidRDefault="00AE3591">
            <w:pPr>
              <w:pBdr>
                <w:top w:val="nil"/>
                <w:left w:val="nil"/>
                <w:bottom w:val="nil"/>
                <w:right w:val="nil"/>
                <w:between w:val="nil"/>
              </w:pBdr>
              <w:spacing w:before="120"/>
              <w:jc w:val="both"/>
              <w:rPr>
                <w:rFonts w:ascii="Calibri" w:eastAsia="Calibri" w:hAnsi="Calibri" w:cs="Calibri"/>
                <w:color w:val="000000"/>
                <w:sz w:val="20"/>
                <w:szCs w:val="20"/>
              </w:rPr>
            </w:pPr>
          </w:p>
          <w:p w14:paraId="06FA88EB" w14:textId="66BAF120" w:rsidR="00600DEE" w:rsidRDefault="00641FB5" w:rsidP="00CE2D79">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4. Analiza ekonomiczna prowadzona jest w cenach stałych (w ujęciu realnym), tj. z wyłączeniem wpływu inflacji. Niezbędne jest wyraźne wskazanie roku </w:t>
            </w:r>
            <w:r w:rsidR="00F102E8">
              <w:rPr>
                <w:rFonts w:ascii="Calibri" w:eastAsia="Calibri" w:hAnsi="Calibri" w:cs="Calibri"/>
                <w:color w:val="000000"/>
                <w:sz w:val="20"/>
                <w:szCs w:val="20"/>
              </w:rPr>
              <w:t>odniesienia</w:t>
            </w:r>
            <w:r>
              <w:rPr>
                <w:rFonts w:ascii="Calibri" w:eastAsia="Calibri" w:hAnsi="Calibri" w:cs="Calibri"/>
                <w:color w:val="000000"/>
                <w:sz w:val="20"/>
                <w:szCs w:val="20"/>
              </w:rPr>
              <w:t xml:space="preserve">, za który prezentowane są rzeczywiste wartości przepływów </w:t>
            </w:r>
            <w:r w:rsidR="00F102E8">
              <w:rPr>
                <w:rFonts w:ascii="Calibri" w:eastAsia="Calibri" w:hAnsi="Calibri" w:cs="Calibri"/>
                <w:color w:val="000000"/>
                <w:sz w:val="20"/>
                <w:szCs w:val="20"/>
              </w:rPr>
              <w:t>ekonomicznych</w:t>
            </w:r>
            <w:r w:rsidR="00ED6E07" w:rsidRPr="00ED6E07">
              <w:rPr>
                <w:rFonts w:ascii="Calibri" w:eastAsia="Calibri" w:hAnsi="Calibri" w:cs="Calibri"/>
                <w:color w:val="000000"/>
                <w:sz w:val="20"/>
                <w:szCs w:val="20"/>
                <w:vertAlign w:val="superscript"/>
              </w:rPr>
              <w:t>15</w:t>
            </w:r>
            <w:r>
              <w:rPr>
                <w:rFonts w:ascii="Calibri" w:eastAsia="Calibri" w:hAnsi="Calibri" w:cs="Calibri"/>
                <w:color w:val="000000"/>
                <w:sz w:val="20"/>
                <w:szCs w:val="20"/>
              </w:rPr>
              <w:t xml:space="preserve">. </w:t>
            </w:r>
          </w:p>
          <w:p w14:paraId="1124A864" w14:textId="77777777" w:rsidR="00F102E8" w:rsidRDefault="00F102E8" w:rsidP="00CE2D79">
            <w:pPr>
              <w:pBdr>
                <w:top w:val="nil"/>
                <w:left w:val="nil"/>
                <w:bottom w:val="nil"/>
                <w:right w:val="nil"/>
                <w:between w:val="nil"/>
              </w:pBdr>
              <w:jc w:val="both"/>
              <w:rPr>
                <w:rFonts w:ascii="Calibri" w:eastAsia="Calibri" w:hAnsi="Calibri" w:cs="Calibri"/>
                <w:color w:val="000000"/>
                <w:sz w:val="20"/>
                <w:szCs w:val="20"/>
              </w:rPr>
            </w:pPr>
          </w:p>
          <w:p w14:paraId="54634343" w14:textId="2FB9A2BE" w:rsidR="00600DEE" w:rsidRDefault="00641FB5" w:rsidP="00CE2D79">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5. W stosownych przypadkach możliwa jest indeksacja przepływów </w:t>
            </w:r>
            <w:r w:rsidR="00DF2F9E">
              <w:rPr>
                <w:rFonts w:ascii="Calibri" w:eastAsia="Calibri" w:hAnsi="Calibri" w:cs="Calibri"/>
                <w:color w:val="000000"/>
                <w:sz w:val="20"/>
                <w:szCs w:val="20"/>
              </w:rPr>
              <w:t>ekonomicznych</w:t>
            </w:r>
            <w:r>
              <w:rPr>
                <w:rFonts w:ascii="Calibri" w:eastAsia="Calibri" w:hAnsi="Calibri" w:cs="Calibri"/>
                <w:color w:val="000000"/>
                <w:sz w:val="20"/>
                <w:szCs w:val="20"/>
              </w:rPr>
              <w:t xml:space="preserve"> w celu dostosowania do realnego wzrostu cen (np. realny wzrost kosztów pracy). </w:t>
            </w:r>
          </w:p>
          <w:p w14:paraId="7F183B66" w14:textId="0F413EAD"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6. Zaleca się stosowanie rzeczywistej stopy dyskontowej </w:t>
            </w:r>
            <w:r w:rsidR="007463B9" w:rsidRPr="007463B9">
              <w:rPr>
                <w:rFonts w:ascii="Calibri" w:eastAsia="Calibri" w:hAnsi="Calibri" w:cs="Calibri"/>
                <w:color w:val="000000"/>
                <w:sz w:val="20"/>
                <w:szCs w:val="20"/>
              </w:rPr>
              <w:t>3</w:t>
            </w:r>
            <w:r w:rsidRPr="007463B9">
              <w:rPr>
                <w:rFonts w:ascii="Calibri" w:eastAsia="Calibri" w:hAnsi="Calibri" w:cs="Calibri"/>
                <w:color w:val="000000"/>
                <w:sz w:val="20"/>
                <w:szCs w:val="20"/>
              </w:rPr>
              <w:t>%</w:t>
            </w:r>
            <w:r>
              <w:rPr>
                <w:rFonts w:ascii="Calibri" w:eastAsia="Calibri" w:hAnsi="Calibri" w:cs="Calibri"/>
                <w:color w:val="000000"/>
                <w:sz w:val="20"/>
                <w:szCs w:val="20"/>
              </w:rPr>
              <w:t xml:space="preserve"> do dyskontowania przepływów </w:t>
            </w:r>
            <w:r w:rsidR="00DF2F9E">
              <w:rPr>
                <w:rFonts w:ascii="Calibri" w:eastAsia="Calibri" w:hAnsi="Calibri" w:cs="Calibri"/>
                <w:color w:val="000000"/>
                <w:sz w:val="20"/>
                <w:szCs w:val="20"/>
              </w:rPr>
              <w:t>ekonomicznych</w:t>
            </w:r>
            <w:r>
              <w:rPr>
                <w:rFonts w:ascii="Calibri" w:eastAsia="Calibri" w:hAnsi="Calibri" w:cs="Calibri"/>
                <w:color w:val="000000"/>
                <w:sz w:val="20"/>
                <w:szCs w:val="20"/>
              </w:rPr>
              <w:t xml:space="preserve">. </w:t>
            </w:r>
          </w:p>
          <w:p w14:paraId="5FABC4F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7. Ocenę efektywności ekonomicznej należy przeprowadzać na zasadzie przyrostowej, tj. z uwzględnieniem tylko tych oddziaływań, które wynikają z realizacji projektu i nie są związane z inną działalnością gospodarczą Beneficjenta. </w:t>
            </w:r>
          </w:p>
          <w:p w14:paraId="5BB137B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shd w:val="clear" w:color="auto" w:fill="F5F5F5"/>
              </w:rPr>
            </w:pPr>
            <w:r>
              <w:rPr>
                <w:rFonts w:ascii="Calibri" w:eastAsia="Calibri" w:hAnsi="Calibri" w:cs="Calibri"/>
                <w:color w:val="000000"/>
                <w:sz w:val="20"/>
                <w:szCs w:val="20"/>
              </w:rPr>
              <w:t xml:space="preserve">8. Należy uwzględnić ekonomiczną wartość rezydualną aktywów projektu (metoda obliczania omówiona w punkcie 1.11). </w:t>
            </w:r>
          </w:p>
          <w:p w14:paraId="38B423FA" w14:textId="77777777" w:rsidR="00600DEE" w:rsidRDefault="00600DEE">
            <w:pPr>
              <w:pBdr>
                <w:top w:val="nil"/>
                <w:left w:val="nil"/>
                <w:bottom w:val="nil"/>
                <w:right w:val="nil"/>
                <w:between w:val="nil"/>
              </w:pBdr>
              <w:spacing w:before="120" w:after="120"/>
              <w:jc w:val="both"/>
              <w:rPr>
                <w:rFonts w:ascii="Calibri" w:eastAsia="Calibri" w:hAnsi="Calibri" w:cs="Calibri"/>
                <w:color w:val="000000"/>
                <w:sz w:val="20"/>
                <w:szCs w:val="20"/>
                <w:highlight w:val="cyan"/>
              </w:rPr>
            </w:pPr>
          </w:p>
          <w:p w14:paraId="71D5113F" w14:textId="3F54897E" w:rsidR="00600DEE" w:rsidRDefault="00641FB5" w:rsidP="00D5736B">
            <w:pPr>
              <w:pStyle w:val="Nagwek3"/>
              <w:numPr>
                <w:ilvl w:val="2"/>
                <w:numId w:val="17"/>
              </w:numPr>
              <w:ind w:left="0" w:firstLine="0"/>
              <w:rPr>
                <w:rFonts w:ascii="Calibri" w:eastAsia="Calibri" w:hAnsi="Calibri" w:cs="Calibri"/>
                <w:color w:val="4F81BD"/>
              </w:rPr>
            </w:pPr>
            <w:bookmarkStart w:id="88" w:name="_Toc95377995"/>
            <w:r>
              <w:rPr>
                <w:rFonts w:ascii="Calibri" w:eastAsia="Calibri" w:hAnsi="Calibri" w:cs="Calibri"/>
                <w:color w:val="4F81BD"/>
              </w:rPr>
              <w:t>Z cen rynkowych na ceny rozrachunkowe</w:t>
            </w:r>
            <w:bookmarkEnd w:id="88"/>
          </w:p>
          <w:p w14:paraId="16039F84" w14:textId="3D852FE5"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Ceny rynkowe nie są odpowiednie, gdy celem jest ocena wkładu pro</w:t>
            </w:r>
            <w:r w:rsidR="00DF2F9E">
              <w:rPr>
                <w:rFonts w:ascii="Calibri" w:eastAsia="Calibri" w:hAnsi="Calibri" w:cs="Calibri"/>
                <w:color w:val="000000"/>
                <w:sz w:val="20"/>
                <w:szCs w:val="20"/>
              </w:rPr>
              <w:t>jektu do korzyści społecznych. W</w:t>
            </w:r>
            <w:r>
              <w:rPr>
                <w:rFonts w:ascii="Calibri" w:eastAsia="Calibri" w:hAnsi="Calibri" w:cs="Calibri"/>
                <w:color w:val="000000"/>
                <w:sz w:val="20"/>
                <w:szCs w:val="20"/>
              </w:rPr>
              <w:t xml:space="preserve"> tym celu, wszystkie ceny rynkowe należy przekształcić na ceny rozrachunkowe (z ang. ‘’shadow prices’’) które lepiej odwzorowują korzyści społeczne. Przekształcenie cen rynkowych w rozrachunkowe (ukryte) odbywa się w trzech etapach opisanych poniżej: </w:t>
            </w:r>
          </w:p>
          <w:p w14:paraId="240B47B9" w14:textId="77777777" w:rsidR="00600DEE" w:rsidRDefault="00641FB5" w:rsidP="00D5736B">
            <w:pPr>
              <w:numPr>
                <w:ilvl w:val="0"/>
                <w:numId w:val="30"/>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korekty fiskalne (korekty związane z podatkami, dotacjami i innymi transferami);</w:t>
            </w:r>
          </w:p>
          <w:p w14:paraId="5FCB4398" w14:textId="77777777" w:rsidR="00600DEE" w:rsidRDefault="00641FB5" w:rsidP="00D5736B">
            <w:pPr>
              <w:numPr>
                <w:ilvl w:val="0"/>
                <w:numId w:val="30"/>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korekty o inne czynniki zaburzające ceny rynkowe w stosunku do rozrachunkowych;</w:t>
            </w:r>
          </w:p>
          <w:p w14:paraId="13ED11B0" w14:textId="77777777" w:rsidR="00600DEE" w:rsidRDefault="00641FB5" w:rsidP="00D5736B">
            <w:pPr>
              <w:numPr>
                <w:ilvl w:val="0"/>
                <w:numId w:val="30"/>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ocena aspektów pozarynkowych i korekta z uwagi na czynniki zewnętrzne.</w:t>
            </w:r>
          </w:p>
          <w:p w14:paraId="08CC3CE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W pierwszym etapie </w:t>
            </w:r>
            <w:r>
              <w:rPr>
                <w:rFonts w:ascii="Calibri" w:eastAsia="Calibri" w:hAnsi="Calibri" w:cs="Calibri"/>
                <w:b/>
                <w:color w:val="000000"/>
                <w:sz w:val="20"/>
                <w:szCs w:val="20"/>
              </w:rPr>
              <w:t xml:space="preserve">korekty fiskalne </w:t>
            </w:r>
            <w:r>
              <w:rPr>
                <w:rFonts w:ascii="Calibri" w:eastAsia="Calibri" w:hAnsi="Calibri" w:cs="Calibri"/>
                <w:color w:val="000000"/>
                <w:sz w:val="20"/>
                <w:szCs w:val="20"/>
              </w:rPr>
              <w:t>można wykonać bezpośrednio na przepływach pieniężnych, gdy są one łatwe do zidentyfikowania. Tak jest w przypadku płatności podatku VAT, który nie powinien być uwzględniony w analizie ekonomicznej. Inne korekty fiskalne są trudniejsze do przeprowadzenia w oparciu o konkretny projekt (na przykład od cen paliw), w tym przypadku proponuje się dokonać korekt za pomocą współczynników konwersji (patrz poniżej).</w:t>
            </w:r>
          </w:p>
          <w:p w14:paraId="1E48DA4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Drugi etap, </w:t>
            </w:r>
            <w:r>
              <w:rPr>
                <w:rFonts w:ascii="Calibri" w:eastAsia="Calibri" w:hAnsi="Calibri" w:cs="Calibri"/>
                <w:b/>
                <w:color w:val="000000"/>
                <w:sz w:val="20"/>
                <w:szCs w:val="20"/>
              </w:rPr>
              <w:t xml:space="preserve">korekty o inne czynniki </w:t>
            </w:r>
            <w:r>
              <w:rPr>
                <w:rFonts w:ascii="Calibri" w:eastAsia="Calibri" w:hAnsi="Calibri" w:cs="Calibri"/>
                <w:color w:val="000000"/>
                <w:sz w:val="20"/>
                <w:szCs w:val="20"/>
              </w:rPr>
              <w:t>zakłócające ceny rozrachunkowe i ceny rynkowe to dla uproszczenia przyjęto, że obejmuje tylko korekty wynagrodzenia ze względu na niedoskonałości rynków pracy.</w:t>
            </w:r>
          </w:p>
          <w:p w14:paraId="6BE9F13D" w14:textId="40BD06FB"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W ramach trzeciego etapu, </w:t>
            </w:r>
            <w:r>
              <w:rPr>
                <w:rFonts w:ascii="Calibri" w:eastAsia="Calibri" w:hAnsi="Calibri" w:cs="Calibri"/>
                <w:b/>
                <w:color w:val="000000"/>
                <w:sz w:val="20"/>
                <w:szCs w:val="20"/>
              </w:rPr>
              <w:t xml:space="preserve">oceny kosztów oddziaływań pozarynkowych i korekty </w:t>
            </w:r>
            <w:r>
              <w:rPr>
                <w:rFonts w:ascii="Calibri" w:eastAsia="Calibri" w:hAnsi="Calibri" w:cs="Calibri"/>
                <w:b/>
                <w:color w:val="000000"/>
                <w:sz w:val="20"/>
                <w:szCs w:val="20"/>
              </w:rPr>
              <w:br/>
              <w:t>z uwagi na czynniki zewnętrzne</w:t>
            </w:r>
            <w:r>
              <w:rPr>
                <w:rFonts w:ascii="Calibri" w:eastAsia="Calibri" w:hAnsi="Calibri" w:cs="Calibri"/>
                <w:color w:val="000000"/>
                <w:sz w:val="20"/>
                <w:szCs w:val="20"/>
              </w:rPr>
              <w:t xml:space="preserve">, dokonuje się oceny </w:t>
            </w:r>
            <w:r w:rsidR="00DF2F9E">
              <w:rPr>
                <w:rFonts w:ascii="Calibri" w:eastAsia="Calibri" w:hAnsi="Calibri" w:cs="Calibri"/>
                <w:color w:val="000000"/>
                <w:sz w:val="20"/>
                <w:szCs w:val="20"/>
              </w:rPr>
              <w:t xml:space="preserve">efektów projektu w zakresie </w:t>
            </w:r>
            <w:r>
              <w:rPr>
                <w:rFonts w:ascii="Calibri" w:eastAsia="Calibri" w:hAnsi="Calibri" w:cs="Calibri"/>
                <w:color w:val="000000"/>
                <w:sz w:val="20"/>
                <w:szCs w:val="20"/>
              </w:rPr>
              <w:t xml:space="preserve">czasu, </w:t>
            </w:r>
            <w:r w:rsidR="00DF2F9E">
              <w:rPr>
                <w:rFonts w:ascii="Calibri" w:eastAsia="Calibri" w:hAnsi="Calibri" w:cs="Calibri"/>
                <w:color w:val="000000"/>
                <w:sz w:val="20"/>
                <w:szCs w:val="20"/>
              </w:rPr>
              <w:t>eksploatacji</w:t>
            </w:r>
            <w:r>
              <w:rPr>
                <w:rFonts w:ascii="Calibri" w:eastAsia="Calibri" w:hAnsi="Calibri" w:cs="Calibri"/>
                <w:color w:val="000000"/>
                <w:sz w:val="20"/>
                <w:szCs w:val="20"/>
              </w:rPr>
              <w:t xml:space="preserve"> pojazdu, wypadków, zani</w:t>
            </w:r>
            <w:r w:rsidR="00DF2F9E">
              <w:rPr>
                <w:rFonts w:ascii="Calibri" w:eastAsia="Calibri" w:hAnsi="Calibri" w:cs="Calibri"/>
                <w:color w:val="000000"/>
                <w:sz w:val="20"/>
                <w:szCs w:val="20"/>
              </w:rPr>
              <w:t>eczyszczenia</w:t>
            </w:r>
            <w:r>
              <w:rPr>
                <w:rFonts w:ascii="Calibri" w:eastAsia="Calibri" w:hAnsi="Calibri" w:cs="Calibri"/>
                <w:color w:val="000000"/>
                <w:sz w:val="20"/>
                <w:szCs w:val="20"/>
              </w:rPr>
              <w:t xml:space="preserve"> powietrza, zmian klimatu i hałasu (zgodnie z opisem w rozdziałach powyżej).</w:t>
            </w:r>
          </w:p>
          <w:p w14:paraId="08D89425" w14:textId="7CB5939D"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Do obliczeń w etapach 1 i 2, proponuje się, aby fiskalne przepływy pieniężne były najpierw korygowane bezpośrednio o wartość VAT. Następnie ważone Współczynniki Konwersji (przeliczeniowe) są obliczane w celu wyeliminowania pozostałych zakłóceń na rynku energii (opodatkowania) i rynków pracy (podatkowych i innych niedoskonałości rynku). Zastosowana metodyka służąca do określenia zaproponowanych Współczynników Konwersji, opisana jest w załączniku C.</w:t>
            </w:r>
          </w:p>
          <w:p w14:paraId="77B800F7" w14:textId="3E018FB4" w:rsidR="00600DEE" w:rsidRDefault="00DF2F9E">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23</w:t>
            </w:r>
            <w:r w:rsidR="00641FB5">
              <w:rPr>
                <w:rFonts w:ascii="Calibri" w:eastAsia="Calibri" w:hAnsi="Calibri" w:cs="Calibri"/>
                <w:b/>
                <w:color w:val="4F81BD"/>
                <w:sz w:val="20"/>
                <w:szCs w:val="20"/>
              </w:rPr>
              <w:t>. Etapy przekształcenia cen rynkowych na ukryte</w:t>
            </w:r>
          </w:p>
          <w:tbl>
            <w:tblPr>
              <w:tblStyle w:val="afffff8"/>
              <w:tblW w:w="6842" w:type="dxa"/>
              <w:tblLayout w:type="fixed"/>
              <w:tblLook w:val="0000" w:firstRow="0" w:lastRow="0" w:firstColumn="0" w:lastColumn="0" w:noHBand="0" w:noVBand="0"/>
            </w:tblPr>
            <w:tblGrid>
              <w:gridCol w:w="1240"/>
              <w:gridCol w:w="5602"/>
            </w:tblGrid>
            <w:tr w:rsidR="00600DEE" w14:paraId="04FDBCEC" w14:textId="77777777" w:rsidTr="00AE3591">
              <w:trPr>
                <w:trHeight w:val="163"/>
              </w:trPr>
              <w:tc>
                <w:tcPr>
                  <w:tcW w:w="1240" w:type="dxa"/>
                  <w:tcBorders>
                    <w:top w:val="single" w:sz="4" w:space="0" w:color="FFFFFF"/>
                    <w:left w:val="single" w:sz="4" w:space="0" w:color="FFFFFF"/>
                    <w:bottom w:val="single" w:sz="4" w:space="0" w:color="FFFFFF"/>
                  </w:tcBorders>
                  <w:shd w:val="clear" w:color="auto" w:fill="A6A6A6"/>
                </w:tcPr>
                <w:p w14:paraId="690A0667" w14:textId="77777777" w:rsidR="00600DEE" w:rsidRDefault="00641FB5">
                  <w:pPr>
                    <w:pBdr>
                      <w:top w:val="nil"/>
                      <w:left w:val="nil"/>
                      <w:bottom w:val="nil"/>
                      <w:right w:val="nil"/>
                      <w:between w:val="nil"/>
                    </w:pBdr>
                    <w:spacing w:line="264" w:lineRule="auto"/>
                    <w:jc w:val="center"/>
                    <w:rPr>
                      <w:rFonts w:ascii="Calibri" w:eastAsia="Calibri" w:hAnsi="Calibri" w:cs="Calibri"/>
                      <w:b/>
                      <w:color w:val="FFFFFF"/>
                      <w:sz w:val="18"/>
                      <w:szCs w:val="18"/>
                    </w:rPr>
                  </w:pPr>
                  <w:r>
                    <w:rPr>
                      <w:rFonts w:ascii="Calibri" w:eastAsia="Calibri" w:hAnsi="Calibri" w:cs="Calibri"/>
                      <w:b/>
                      <w:color w:val="FFFFFF"/>
                      <w:sz w:val="18"/>
                      <w:szCs w:val="18"/>
                    </w:rPr>
                    <w:t>Etap</w:t>
                  </w:r>
                </w:p>
              </w:tc>
              <w:tc>
                <w:tcPr>
                  <w:tcW w:w="5602" w:type="dxa"/>
                  <w:tcBorders>
                    <w:top w:val="single" w:sz="4" w:space="0" w:color="FFFFFF"/>
                    <w:left w:val="single" w:sz="4" w:space="0" w:color="FFFFFF"/>
                    <w:bottom w:val="single" w:sz="4" w:space="0" w:color="FFFFFF"/>
                    <w:right w:val="single" w:sz="4" w:space="0" w:color="FFFFFF"/>
                  </w:tcBorders>
                  <w:shd w:val="clear" w:color="auto" w:fill="A6A6A6"/>
                </w:tcPr>
                <w:p w14:paraId="40A4953B" w14:textId="77777777" w:rsidR="00600DEE" w:rsidRDefault="00641FB5">
                  <w:pPr>
                    <w:pBdr>
                      <w:top w:val="nil"/>
                      <w:left w:val="nil"/>
                      <w:bottom w:val="nil"/>
                      <w:right w:val="nil"/>
                      <w:between w:val="nil"/>
                    </w:pBdr>
                    <w:spacing w:line="264" w:lineRule="auto"/>
                    <w:rPr>
                      <w:rFonts w:ascii="Calibri" w:eastAsia="Calibri" w:hAnsi="Calibri" w:cs="Calibri"/>
                      <w:b/>
                      <w:color w:val="FFFFFF"/>
                      <w:sz w:val="18"/>
                      <w:szCs w:val="18"/>
                    </w:rPr>
                  </w:pPr>
                  <w:r>
                    <w:rPr>
                      <w:rFonts w:ascii="Calibri" w:eastAsia="Calibri" w:hAnsi="Calibri" w:cs="Calibri"/>
                      <w:b/>
                      <w:color w:val="FFFFFF"/>
                      <w:sz w:val="18"/>
                      <w:szCs w:val="18"/>
                    </w:rPr>
                    <w:t>Etapy korekty o efekty fiskalne</w:t>
                  </w:r>
                </w:p>
              </w:tc>
            </w:tr>
            <w:tr w:rsidR="00600DEE" w14:paraId="2725BD2E" w14:textId="77777777" w:rsidTr="00AE3591">
              <w:trPr>
                <w:trHeight w:val="192"/>
              </w:trPr>
              <w:tc>
                <w:tcPr>
                  <w:tcW w:w="1240" w:type="dxa"/>
                  <w:tcBorders>
                    <w:left w:val="single" w:sz="4" w:space="0" w:color="FFFFFF"/>
                    <w:bottom w:val="single" w:sz="4" w:space="0" w:color="FFFFFF"/>
                  </w:tcBorders>
                  <w:shd w:val="clear" w:color="auto" w:fill="DBE5F1"/>
                </w:tcPr>
                <w:p w14:paraId="15455DF6" w14:textId="77777777" w:rsidR="00600DEE" w:rsidRDefault="00641FB5">
                  <w:pPr>
                    <w:pBdr>
                      <w:top w:val="nil"/>
                      <w:left w:val="nil"/>
                      <w:bottom w:val="nil"/>
                      <w:right w:val="nil"/>
                      <w:between w:val="nil"/>
                    </w:pBdr>
                    <w:spacing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Etap 1</w:t>
                  </w:r>
                </w:p>
              </w:tc>
              <w:tc>
                <w:tcPr>
                  <w:tcW w:w="5602" w:type="dxa"/>
                  <w:tcBorders>
                    <w:left w:val="single" w:sz="4" w:space="0" w:color="FFFFFF"/>
                    <w:bottom w:val="single" w:sz="4" w:space="0" w:color="FFFFFF"/>
                    <w:right w:val="single" w:sz="4" w:space="0" w:color="FFFFFF"/>
                  </w:tcBorders>
                  <w:shd w:val="clear" w:color="auto" w:fill="DBE5F1"/>
                </w:tcPr>
                <w:p w14:paraId="213270FF"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Eliminacja podatku VAT</w:t>
                  </w:r>
                </w:p>
              </w:tc>
            </w:tr>
            <w:tr w:rsidR="00600DEE" w14:paraId="1E4A87D5" w14:textId="77777777" w:rsidTr="00AE3591">
              <w:trPr>
                <w:trHeight w:val="947"/>
              </w:trPr>
              <w:tc>
                <w:tcPr>
                  <w:tcW w:w="1240" w:type="dxa"/>
                  <w:tcBorders>
                    <w:left w:val="single" w:sz="4" w:space="0" w:color="FFFFFF"/>
                    <w:bottom w:val="single" w:sz="4" w:space="0" w:color="FFFFFF"/>
                  </w:tcBorders>
                  <w:shd w:val="clear" w:color="auto" w:fill="DBE5F1"/>
                </w:tcPr>
                <w:p w14:paraId="6DD75FAE" w14:textId="77777777" w:rsidR="00600DEE" w:rsidRDefault="00641FB5">
                  <w:pPr>
                    <w:pBdr>
                      <w:top w:val="nil"/>
                      <w:left w:val="nil"/>
                      <w:bottom w:val="nil"/>
                      <w:right w:val="nil"/>
                      <w:between w:val="nil"/>
                    </w:pBdr>
                    <w:spacing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Etap 2</w:t>
                  </w:r>
                </w:p>
              </w:tc>
              <w:tc>
                <w:tcPr>
                  <w:tcW w:w="5602" w:type="dxa"/>
                  <w:tcBorders>
                    <w:left w:val="single" w:sz="4" w:space="0" w:color="FFFFFF"/>
                    <w:bottom w:val="single" w:sz="4" w:space="0" w:color="FFFFFF"/>
                    <w:right w:val="single" w:sz="4" w:space="0" w:color="FFFFFF"/>
                  </w:tcBorders>
                  <w:shd w:val="clear" w:color="auto" w:fill="DBE5F1"/>
                </w:tcPr>
                <w:p w14:paraId="7A7E8B78"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 xml:space="preserve">Korekty z uwagi na zakłócenia cen energii (opodatkowanie) i wynagrodzeń (opodatkowanie i inne niedoskonałości rynku) poprzez zastosowanie Współczynników Konwersji (CF):  </w:t>
                  </w:r>
                </w:p>
                <w:p w14:paraId="63B98522" w14:textId="77777777" w:rsidR="00600DEE" w:rsidRDefault="00641FB5" w:rsidP="00D5736B">
                  <w:pPr>
                    <w:numPr>
                      <w:ilvl w:val="0"/>
                      <w:numId w:val="21"/>
                    </w:numPr>
                    <w:pBdr>
                      <w:top w:val="nil"/>
                      <w:left w:val="nil"/>
                      <w:bottom w:val="nil"/>
                      <w:right w:val="nil"/>
                      <w:between w:val="nil"/>
                    </w:pBdr>
                    <w:tabs>
                      <w:tab w:val="left" w:pos="1037"/>
                    </w:tabs>
                    <w:ind w:left="0" w:firstLine="0"/>
                    <w:rPr>
                      <w:rFonts w:ascii="Calibri" w:eastAsia="Calibri" w:hAnsi="Calibri" w:cs="Calibri"/>
                      <w:color w:val="4F81BD"/>
                      <w:sz w:val="18"/>
                      <w:szCs w:val="18"/>
                    </w:rPr>
                  </w:pPr>
                  <w:r>
                    <w:rPr>
                      <w:rFonts w:ascii="Calibri" w:eastAsia="Calibri" w:hAnsi="Calibri" w:cs="Calibri"/>
                      <w:color w:val="4F81BD"/>
                      <w:sz w:val="18"/>
                      <w:szCs w:val="18"/>
                    </w:rPr>
                    <w:t>Nakłady inwestycyjne CF = 0,83</w:t>
                  </w:r>
                </w:p>
                <w:p w14:paraId="5F356402" w14:textId="77777777" w:rsidR="00600DEE" w:rsidRDefault="00641FB5" w:rsidP="00D5736B">
                  <w:pPr>
                    <w:numPr>
                      <w:ilvl w:val="0"/>
                      <w:numId w:val="21"/>
                    </w:numPr>
                    <w:pBdr>
                      <w:top w:val="nil"/>
                      <w:left w:val="nil"/>
                      <w:bottom w:val="nil"/>
                      <w:right w:val="nil"/>
                      <w:between w:val="nil"/>
                    </w:pBdr>
                    <w:tabs>
                      <w:tab w:val="left" w:pos="1037"/>
                    </w:tabs>
                    <w:ind w:left="0" w:firstLine="0"/>
                    <w:rPr>
                      <w:rFonts w:ascii="Calibri" w:eastAsia="Calibri" w:hAnsi="Calibri" w:cs="Calibri"/>
                      <w:color w:val="4F81BD"/>
                      <w:sz w:val="18"/>
                      <w:szCs w:val="18"/>
                    </w:rPr>
                  </w:pPr>
                  <w:r>
                    <w:rPr>
                      <w:rFonts w:ascii="Calibri" w:eastAsia="Calibri" w:hAnsi="Calibri" w:cs="Calibri"/>
                      <w:color w:val="4F81BD"/>
                      <w:sz w:val="18"/>
                      <w:szCs w:val="18"/>
                    </w:rPr>
                    <w:t>Koszty operacyjne CF=0,78</w:t>
                  </w:r>
                </w:p>
              </w:tc>
            </w:tr>
          </w:tbl>
          <w:p w14:paraId="2C49A775"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p w14:paraId="20AA0C5F" w14:textId="1AB0EC7E" w:rsidR="00600DEE" w:rsidRDefault="00641FB5" w:rsidP="00CE2D79">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222222"/>
                <w:sz w:val="20"/>
                <w:szCs w:val="20"/>
              </w:rPr>
              <w:t>Podsumowując</w:t>
            </w:r>
            <w:r>
              <w:rPr>
                <w:rFonts w:ascii="Calibri" w:eastAsia="Calibri" w:hAnsi="Calibri" w:cs="Calibri"/>
                <w:color w:val="000000"/>
                <w:sz w:val="20"/>
                <w:szCs w:val="20"/>
              </w:rPr>
              <w:t xml:space="preserve">, bez względu na to, czy jest możliwość odliczenia czy nie, należy pomniejszyć przepływy </w:t>
            </w:r>
            <w:r w:rsidR="00DF2F9E">
              <w:rPr>
                <w:rFonts w:ascii="Calibri" w:eastAsia="Calibri" w:hAnsi="Calibri" w:cs="Calibri"/>
                <w:color w:val="000000"/>
                <w:sz w:val="20"/>
                <w:szCs w:val="20"/>
              </w:rPr>
              <w:t>finansowe o VAT (wartość netto)</w:t>
            </w:r>
            <w:r>
              <w:rPr>
                <w:rFonts w:ascii="Calibri" w:eastAsia="Calibri" w:hAnsi="Calibri" w:cs="Calibri"/>
                <w:color w:val="000000"/>
                <w:sz w:val="20"/>
                <w:szCs w:val="20"/>
              </w:rPr>
              <w:t xml:space="preserve"> a następnie roczne nakłady inwestycyjne i koszty operacyjne pomnożyć przez odpowiednie współczynniki przeliczeniowe.</w:t>
            </w:r>
          </w:p>
          <w:p w14:paraId="36A95C5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Jeżeli dostępne są szczegółowe dane dotyczące struktury kosztów analizowanego projektu drogowego, obejmujące pełną analizę wartości współczynników przeliczeniowych, można je zastosować w analizie ekonomicznej. Metoda obliczania takich współczynników musi być wówczas w pełni uzasadniona, a procedura obliczeń jasna i przejrzysta, należy też podać opracowania źródłowe.</w:t>
            </w:r>
          </w:p>
        </w:tc>
        <w:tc>
          <w:tcPr>
            <w:tcW w:w="7216" w:type="dxa"/>
            <w:tcBorders>
              <w:left w:val="single" w:sz="4" w:space="0" w:color="000000"/>
            </w:tcBorders>
            <w:tcMar>
              <w:left w:w="284" w:type="dxa"/>
              <w:right w:w="284" w:type="dxa"/>
            </w:tcMar>
          </w:tcPr>
          <w:p w14:paraId="1A479E64" w14:textId="77777777" w:rsidR="00600DEE" w:rsidRPr="0045151D" w:rsidRDefault="00641FB5" w:rsidP="00307C29">
            <w:pPr>
              <w:pBdr>
                <w:top w:val="nil"/>
                <w:left w:val="nil"/>
                <w:bottom w:val="nil"/>
                <w:right w:val="nil"/>
                <w:between w:val="nil"/>
              </w:pBdr>
              <w:spacing w:before="24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recommended structure of the economic analysis includes the following elements:</w:t>
            </w:r>
          </w:p>
          <w:p w14:paraId="48942BAF" w14:textId="77777777" w:rsidR="00600DEE" w:rsidRPr="0045151D" w:rsidRDefault="00641FB5" w:rsidP="00D5736B">
            <w:pPr>
              <w:numPr>
                <w:ilvl w:val="0"/>
                <w:numId w:val="37"/>
              </w:numPr>
              <w:pBdr>
                <w:top w:val="nil"/>
                <w:left w:val="nil"/>
                <w:bottom w:val="nil"/>
                <w:right w:val="nil"/>
                <w:between w:val="nil"/>
              </w:pBdr>
              <w:spacing w:before="120" w:after="120"/>
              <w:ind w:left="851" w:hanging="851"/>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Definition of assumptions for the economic analysis.</w:t>
            </w:r>
          </w:p>
          <w:p w14:paraId="775CABBE" w14:textId="77777777" w:rsidR="00600DEE" w:rsidRPr="0045151D" w:rsidRDefault="00641FB5" w:rsidP="00D5736B">
            <w:pPr>
              <w:numPr>
                <w:ilvl w:val="0"/>
                <w:numId w:val="37"/>
              </w:numPr>
              <w:pBdr>
                <w:top w:val="nil"/>
                <w:left w:val="nil"/>
                <w:bottom w:val="nil"/>
                <w:right w:val="nil"/>
                <w:between w:val="nil"/>
              </w:pBdr>
              <w:spacing w:before="120" w:after="120"/>
              <w:ind w:left="851" w:hanging="851"/>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Conversion of market prices into shadow prices.</w:t>
            </w:r>
          </w:p>
          <w:p w14:paraId="393589B1" w14:textId="77777777" w:rsidR="00600DEE" w:rsidRPr="0045151D" w:rsidRDefault="00641FB5" w:rsidP="00D5736B">
            <w:pPr>
              <w:numPr>
                <w:ilvl w:val="0"/>
                <w:numId w:val="37"/>
              </w:numPr>
              <w:pBdr>
                <w:top w:val="nil"/>
                <w:left w:val="nil"/>
                <w:bottom w:val="nil"/>
                <w:right w:val="nil"/>
                <w:between w:val="nil"/>
              </w:pBdr>
              <w:spacing w:before="120" w:after="120"/>
              <w:ind w:left="851" w:hanging="851"/>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Determination of the project economic flows in the reference period.</w:t>
            </w:r>
          </w:p>
          <w:p w14:paraId="55F013E8" w14:textId="05EDBBB0" w:rsidR="00600DEE" w:rsidRDefault="00641FB5" w:rsidP="00D5736B">
            <w:pPr>
              <w:numPr>
                <w:ilvl w:val="0"/>
                <w:numId w:val="37"/>
              </w:numPr>
              <w:pBdr>
                <w:top w:val="nil"/>
                <w:left w:val="nil"/>
                <w:bottom w:val="nil"/>
                <w:right w:val="nil"/>
                <w:between w:val="nil"/>
              </w:pBdr>
              <w:spacing w:before="120" w:after="120"/>
              <w:ind w:left="851" w:hanging="851"/>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Calculation of socio-economic efficiency indicators (ENPV, ERR, BCR) and interpretation of results.</w:t>
            </w:r>
          </w:p>
          <w:p w14:paraId="71662749" w14:textId="5BD80D7D" w:rsidR="00600DEE" w:rsidRPr="00F102E8" w:rsidRDefault="00641FB5" w:rsidP="00F102E8">
            <w:pPr>
              <w:pStyle w:val="Nagwek3"/>
              <w:spacing w:before="120" w:after="240"/>
              <w:ind w:left="277" w:hanging="720"/>
              <w:rPr>
                <w:rFonts w:ascii="Calibri" w:eastAsia="Calibri" w:hAnsi="Calibri" w:cs="Calibri"/>
                <w:color w:val="4F81BD"/>
                <w:lang w:val="en-GB"/>
              </w:rPr>
            </w:pPr>
            <w:bookmarkStart w:id="89" w:name="_Toc91596258"/>
            <w:bookmarkStart w:id="90" w:name="_Toc95377996"/>
            <w:r w:rsidRPr="00F102E8">
              <w:rPr>
                <w:rFonts w:ascii="Calibri" w:eastAsia="Calibri" w:hAnsi="Calibri" w:cs="Calibri"/>
                <w:color w:val="4F81BD"/>
                <w:lang w:val="en-GB"/>
              </w:rPr>
              <w:t>2.2.1 Assumptions for the economic analysis</w:t>
            </w:r>
            <w:bookmarkEnd w:id="89"/>
            <w:bookmarkEnd w:id="90"/>
          </w:p>
          <w:p w14:paraId="76FE06B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For the sake of the correctness of the analysis, as well as comparability of results, a set of assumptions must be defined at the outset of the analysis, and clearly displayed in the Feasibility Study or in any CBA report. </w:t>
            </w:r>
          </w:p>
          <w:p w14:paraId="0A557E2B"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General assumptions:</w:t>
            </w:r>
          </w:p>
          <w:p w14:paraId="0CD5F4B1" w14:textId="77777777" w:rsidR="00600DEE" w:rsidRPr="0045151D" w:rsidRDefault="00641FB5" w:rsidP="00ED6E07">
            <w:pPr>
              <w:numPr>
                <w:ilvl w:val="0"/>
                <w:numId w:val="38"/>
              </w:numPr>
              <w:pBdr>
                <w:top w:val="nil"/>
                <w:left w:val="nil"/>
                <w:bottom w:val="nil"/>
                <w:right w:val="nil"/>
                <w:between w:val="nil"/>
              </w:pBdr>
              <w:spacing w:before="120" w:after="120"/>
              <w:ind w:left="363" w:hanging="35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analysis is based on the cash-flow approach, i.e. excluding accounting categories as depreciation, provisions for liabilities and provisions for unpredictable expenses. </w:t>
            </w:r>
          </w:p>
          <w:p w14:paraId="0718DF34" w14:textId="77777777" w:rsidR="00600DEE" w:rsidRPr="0045151D" w:rsidRDefault="00641FB5" w:rsidP="00ED6E07">
            <w:pPr>
              <w:numPr>
                <w:ilvl w:val="0"/>
                <w:numId w:val="38"/>
              </w:numPr>
              <w:pBdr>
                <w:top w:val="nil"/>
                <w:left w:val="nil"/>
                <w:bottom w:val="nil"/>
                <w:right w:val="nil"/>
                <w:between w:val="nil"/>
              </w:pBdr>
              <w:spacing w:before="120" w:after="120"/>
              <w:ind w:left="363" w:hanging="35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economic analysis is always carried out in net prices, i.e. excluding VAT.</w:t>
            </w:r>
          </w:p>
          <w:p w14:paraId="60378A82" w14:textId="340688F8" w:rsidR="00600DEE" w:rsidRDefault="00641FB5" w:rsidP="00ED6E07">
            <w:pPr>
              <w:numPr>
                <w:ilvl w:val="0"/>
                <w:numId w:val="38"/>
              </w:numPr>
              <w:pBdr>
                <w:top w:val="nil"/>
                <w:left w:val="nil"/>
                <w:bottom w:val="nil"/>
                <w:right w:val="nil"/>
                <w:between w:val="nil"/>
              </w:pBdr>
              <w:spacing w:before="120" w:after="120"/>
              <w:ind w:left="363" w:hanging="35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Financial cash flows must be converted into economic flows by appropriately converting financial prices to accounting (shadow) prices.</w:t>
            </w:r>
          </w:p>
          <w:p w14:paraId="4DC9750B" w14:textId="77777777" w:rsidR="00600DEE" w:rsidRPr="0045151D" w:rsidRDefault="00641FB5" w:rsidP="00ED6E07">
            <w:pPr>
              <w:numPr>
                <w:ilvl w:val="0"/>
                <w:numId w:val="38"/>
              </w:numPr>
              <w:pBdr>
                <w:top w:val="nil"/>
                <w:left w:val="nil"/>
                <w:bottom w:val="nil"/>
                <w:right w:val="nil"/>
                <w:between w:val="nil"/>
              </w:pBdr>
              <w:spacing w:before="120" w:after="120"/>
              <w:ind w:left="363" w:hanging="35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economic analysis is carried out in constant prices (in real terms), i.e. excluding the impact of inflation. It is necessary to clearly indicate the reference year for which the real values of economic flows are presented</w:t>
            </w:r>
            <w:bookmarkStart w:id="91" w:name="_Ref91584852"/>
            <w:r>
              <w:rPr>
                <w:rFonts w:ascii="Calibri" w:eastAsia="Calibri" w:hAnsi="Calibri" w:cs="Calibri"/>
                <w:color w:val="000000"/>
                <w:sz w:val="20"/>
                <w:szCs w:val="20"/>
                <w:vertAlign w:val="superscript"/>
              </w:rPr>
              <w:footnoteReference w:id="15"/>
            </w:r>
            <w:bookmarkEnd w:id="91"/>
            <w:r w:rsidRPr="0045151D">
              <w:rPr>
                <w:rFonts w:ascii="Calibri" w:eastAsia="Calibri" w:hAnsi="Calibri" w:cs="Calibri"/>
                <w:color w:val="000000"/>
                <w:sz w:val="20"/>
                <w:szCs w:val="20"/>
                <w:lang w:val="en-GB"/>
              </w:rPr>
              <w:t xml:space="preserve">. </w:t>
            </w:r>
          </w:p>
          <w:p w14:paraId="449BFC57" w14:textId="77777777" w:rsidR="00600DEE" w:rsidRPr="0045151D" w:rsidRDefault="00641FB5" w:rsidP="00ED6E07">
            <w:pPr>
              <w:numPr>
                <w:ilvl w:val="0"/>
                <w:numId w:val="38"/>
              </w:numPr>
              <w:pBdr>
                <w:top w:val="nil"/>
                <w:left w:val="nil"/>
                <w:bottom w:val="nil"/>
                <w:right w:val="nil"/>
                <w:between w:val="nil"/>
              </w:pBdr>
              <w:spacing w:before="120" w:after="120"/>
              <w:ind w:left="363" w:hanging="35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Indexation of economic flows to accommodate the real increase in prices is possible, if applicable (e.g. the real increase in labour costs). </w:t>
            </w:r>
          </w:p>
          <w:p w14:paraId="2F2C6B2D" w14:textId="01D472B9" w:rsidR="00600DEE" w:rsidRPr="0045151D" w:rsidRDefault="00641FB5" w:rsidP="00ED6E07">
            <w:pPr>
              <w:numPr>
                <w:ilvl w:val="0"/>
                <w:numId w:val="38"/>
              </w:numPr>
              <w:pBdr>
                <w:top w:val="nil"/>
                <w:left w:val="nil"/>
                <w:bottom w:val="nil"/>
                <w:right w:val="nil"/>
                <w:between w:val="nil"/>
              </w:pBdr>
              <w:spacing w:before="120" w:after="120"/>
              <w:ind w:left="363" w:hanging="35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It is recommended to use a real discount rate of </w:t>
            </w:r>
            <w:r w:rsidR="007463B9" w:rsidRPr="007463B9">
              <w:rPr>
                <w:rFonts w:ascii="Calibri" w:eastAsia="Calibri" w:hAnsi="Calibri" w:cs="Calibri"/>
                <w:color w:val="000000"/>
                <w:sz w:val="20"/>
                <w:szCs w:val="20"/>
                <w:lang w:val="en-GB"/>
              </w:rPr>
              <w:t>3</w:t>
            </w:r>
            <w:r w:rsidRPr="007463B9">
              <w:rPr>
                <w:rFonts w:ascii="Calibri" w:eastAsia="Calibri" w:hAnsi="Calibri" w:cs="Calibri"/>
                <w:color w:val="000000"/>
                <w:sz w:val="20"/>
                <w:szCs w:val="20"/>
                <w:lang w:val="en-GB"/>
              </w:rPr>
              <w:t>%</w:t>
            </w:r>
            <w:r w:rsidRPr="0045151D">
              <w:rPr>
                <w:rFonts w:ascii="Calibri" w:eastAsia="Calibri" w:hAnsi="Calibri" w:cs="Calibri"/>
                <w:color w:val="000000"/>
                <w:sz w:val="20"/>
                <w:szCs w:val="20"/>
                <w:lang w:val="en-GB"/>
              </w:rPr>
              <w:t xml:space="preserve"> to discount economic flows. </w:t>
            </w:r>
          </w:p>
          <w:p w14:paraId="56186175" w14:textId="5CD0BC69" w:rsidR="00600DEE" w:rsidRPr="0045151D" w:rsidRDefault="00641FB5" w:rsidP="00ED6E07">
            <w:pPr>
              <w:numPr>
                <w:ilvl w:val="0"/>
                <w:numId w:val="38"/>
              </w:numPr>
              <w:pBdr>
                <w:top w:val="nil"/>
                <w:left w:val="nil"/>
                <w:bottom w:val="nil"/>
                <w:right w:val="nil"/>
                <w:between w:val="nil"/>
              </w:pBdr>
              <w:spacing w:before="120" w:after="120"/>
              <w:ind w:left="363" w:hanging="35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economic efficiency assessment should be carried out on an incremental basis, i.e. including only those impacts which are due to the implementation of the project and not related to ot</w:t>
            </w:r>
            <w:r w:rsidR="00DF2F9E">
              <w:rPr>
                <w:rFonts w:ascii="Calibri" w:eastAsia="Calibri" w:hAnsi="Calibri" w:cs="Calibri"/>
                <w:color w:val="000000"/>
                <w:sz w:val="20"/>
                <w:szCs w:val="20"/>
                <w:lang w:val="en-GB"/>
              </w:rPr>
              <w:t>her business activities of the B</w:t>
            </w:r>
            <w:r w:rsidRPr="0045151D">
              <w:rPr>
                <w:rFonts w:ascii="Calibri" w:eastAsia="Calibri" w:hAnsi="Calibri" w:cs="Calibri"/>
                <w:color w:val="000000"/>
                <w:sz w:val="20"/>
                <w:szCs w:val="20"/>
                <w:lang w:val="en-GB"/>
              </w:rPr>
              <w:t>eneficiary.</w:t>
            </w:r>
          </w:p>
          <w:p w14:paraId="005FA39E" w14:textId="381C1D1B" w:rsidR="00600DEE" w:rsidRDefault="00641FB5" w:rsidP="00ED6E07">
            <w:pPr>
              <w:numPr>
                <w:ilvl w:val="0"/>
                <w:numId w:val="38"/>
              </w:numPr>
              <w:pBdr>
                <w:top w:val="nil"/>
                <w:left w:val="nil"/>
                <w:bottom w:val="nil"/>
                <w:right w:val="nil"/>
                <w:between w:val="nil"/>
              </w:pBdr>
              <w:spacing w:before="120" w:after="120"/>
              <w:ind w:left="363" w:hanging="35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economic residual value of the project assets must be taken into account (calculation method is discussed in section 1.11).</w:t>
            </w:r>
          </w:p>
          <w:p w14:paraId="29957159" w14:textId="1738AEA4" w:rsidR="005C3677" w:rsidRDefault="005C3677" w:rsidP="005C3677">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749084EB" w14:textId="77777777" w:rsidR="005C3677" w:rsidRDefault="005C3677" w:rsidP="005C3677">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71E488C2" w14:textId="0E396A0D" w:rsidR="005C3677" w:rsidRDefault="005C3677" w:rsidP="005C3677">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4BA63563" w14:textId="77777777" w:rsidR="005C3677" w:rsidRPr="0045151D" w:rsidRDefault="005C3677" w:rsidP="005C3677">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61E234BC" w14:textId="25D2B0EE" w:rsidR="00600DEE" w:rsidRPr="0045151D" w:rsidRDefault="00641FB5" w:rsidP="00CE2D79">
            <w:pPr>
              <w:pStyle w:val="Nagwek3"/>
              <w:numPr>
                <w:ilvl w:val="0"/>
                <w:numId w:val="0"/>
              </w:numPr>
              <w:rPr>
                <w:rFonts w:ascii="Calibri" w:eastAsia="Calibri" w:hAnsi="Calibri" w:cs="Calibri"/>
                <w:color w:val="4F81BD"/>
                <w:lang w:val="en-GB"/>
              </w:rPr>
            </w:pPr>
            <w:bookmarkStart w:id="92" w:name="_Toc95377997"/>
            <w:r w:rsidRPr="0045151D">
              <w:rPr>
                <w:rFonts w:ascii="Calibri" w:eastAsia="Calibri" w:hAnsi="Calibri" w:cs="Calibri"/>
                <w:color w:val="4F81BD"/>
                <w:lang w:val="en-GB"/>
              </w:rPr>
              <w:t>2.2.2 From financial to economic prices</w:t>
            </w:r>
            <w:bookmarkEnd w:id="92"/>
          </w:p>
          <w:p w14:paraId="3E0E0243" w14:textId="06473D20"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Financial prices are no longer relevant when the aim is to assess the project’s contribution to economic welfare.  For this purpose, all financial prices have to be valued at the so-called ‘shadow prices’ </w:t>
            </w:r>
            <w:r w:rsidR="00DF2F9E">
              <w:rPr>
                <w:rFonts w:ascii="Calibri" w:eastAsia="Calibri" w:hAnsi="Calibri" w:cs="Calibri"/>
                <w:color w:val="000000"/>
                <w:sz w:val="20"/>
                <w:szCs w:val="20"/>
                <w:lang w:val="en-GB"/>
              </w:rPr>
              <w:t xml:space="preserve">which </w:t>
            </w:r>
            <w:r w:rsidRPr="0045151D">
              <w:rPr>
                <w:rFonts w:ascii="Calibri" w:eastAsia="Calibri" w:hAnsi="Calibri" w:cs="Calibri"/>
                <w:color w:val="000000"/>
                <w:sz w:val="20"/>
                <w:szCs w:val="20"/>
                <w:lang w:val="en-GB"/>
              </w:rPr>
              <w:t>are more effective in conveying social benefits. The passage from financial prices to accounting (shadow) prices is made in three steps proposed to be applied as described below:</w:t>
            </w:r>
          </w:p>
          <w:p w14:paraId="3A79A8BF" w14:textId="77777777" w:rsidR="00600DEE" w:rsidRPr="0045151D" w:rsidRDefault="00641FB5" w:rsidP="00D5736B">
            <w:pPr>
              <w:numPr>
                <w:ilvl w:val="0"/>
                <w:numId w:val="32"/>
              </w:numPr>
              <w:pBdr>
                <w:top w:val="nil"/>
                <w:left w:val="nil"/>
                <w:bottom w:val="nil"/>
                <w:right w:val="nil"/>
                <w:between w:val="nil"/>
              </w:pBdr>
              <w:spacing w:before="120"/>
              <w:ind w:left="848" w:hanging="848"/>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fiscal corrections (correction for taxes, subsidies and other transfers);</w:t>
            </w:r>
          </w:p>
          <w:p w14:paraId="684B6A25" w14:textId="77777777" w:rsidR="00600DEE" w:rsidRPr="0045151D" w:rsidRDefault="00641FB5" w:rsidP="00D5736B">
            <w:pPr>
              <w:numPr>
                <w:ilvl w:val="0"/>
                <w:numId w:val="32"/>
              </w:numPr>
              <w:pBdr>
                <w:top w:val="nil"/>
                <w:left w:val="nil"/>
                <w:bottom w:val="nil"/>
                <w:right w:val="nil"/>
                <w:between w:val="nil"/>
              </w:pBdr>
              <w:spacing w:before="120"/>
              <w:ind w:left="848" w:hanging="848"/>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correction for other factors distorting financial prices from accounting costs;</w:t>
            </w:r>
          </w:p>
          <w:p w14:paraId="30340793" w14:textId="77777777" w:rsidR="00600DEE" w:rsidRPr="0045151D" w:rsidRDefault="00641FB5" w:rsidP="00D5736B">
            <w:pPr>
              <w:numPr>
                <w:ilvl w:val="0"/>
                <w:numId w:val="32"/>
              </w:numPr>
              <w:pBdr>
                <w:top w:val="nil"/>
                <w:left w:val="nil"/>
                <w:bottom w:val="nil"/>
                <w:right w:val="nil"/>
                <w:between w:val="nil"/>
              </w:pBdr>
              <w:spacing w:before="120"/>
              <w:ind w:left="848" w:hanging="848"/>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evaluation of non-market impacts and correction for externalities.</w:t>
            </w:r>
          </w:p>
          <w:p w14:paraId="2B2C9738" w14:textId="77777777" w:rsidR="00AE3591" w:rsidRDefault="00AE3591">
            <w:pPr>
              <w:pBdr>
                <w:top w:val="nil"/>
                <w:left w:val="nil"/>
                <w:bottom w:val="nil"/>
                <w:right w:val="nil"/>
                <w:between w:val="nil"/>
              </w:pBdr>
              <w:spacing w:before="120"/>
              <w:jc w:val="both"/>
              <w:rPr>
                <w:rFonts w:ascii="Calibri" w:eastAsia="Calibri" w:hAnsi="Calibri" w:cs="Calibri"/>
                <w:color w:val="000000"/>
                <w:sz w:val="20"/>
                <w:szCs w:val="20"/>
                <w:lang w:val="en-GB"/>
              </w:rPr>
            </w:pPr>
          </w:p>
          <w:p w14:paraId="57136F16" w14:textId="726F195A"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first step, </w:t>
            </w:r>
            <w:r w:rsidRPr="0045151D">
              <w:rPr>
                <w:rFonts w:ascii="Calibri" w:eastAsia="Calibri" w:hAnsi="Calibri" w:cs="Calibri"/>
                <w:b/>
                <w:color w:val="000000"/>
                <w:sz w:val="20"/>
                <w:szCs w:val="20"/>
                <w:lang w:val="en-GB"/>
              </w:rPr>
              <w:t>fiscal corrections</w:t>
            </w:r>
            <w:r w:rsidRPr="0045151D">
              <w:rPr>
                <w:rFonts w:ascii="Calibri" w:eastAsia="Calibri" w:hAnsi="Calibri" w:cs="Calibri"/>
                <w:color w:val="000000"/>
                <w:sz w:val="20"/>
                <w:szCs w:val="20"/>
                <w:lang w:val="en-GB"/>
              </w:rPr>
              <w:t xml:space="preserve"> can be done directly on the cash flows, when they are clearly identifiable. This is the case of VAT payments, which should be dropped off in the economic analysis. Other fiscal adjustments are however less straightforward to be done on a project basis (for instance, from fuel prices), in this case it is proposed to eliminate through Conversion Factors (see below).</w:t>
            </w:r>
          </w:p>
          <w:p w14:paraId="1F99934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second step, </w:t>
            </w:r>
            <w:r w:rsidRPr="0045151D">
              <w:rPr>
                <w:rFonts w:ascii="Calibri" w:eastAsia="Calibri" w:hAnsi="Calibri" w:cs="Calibri"/>
                <w:b/>
                <w:color w:val="000000"/>
                <w:sz w:val="20"/>
                <w:szCs w:val="20"/>
                <w:lang w:val="en-GB"/>
              </w:rPr>
              <w:t>corrections for other factors</w:t>
            </w:r>
            <w:r w:rsidRPr="0045151D">
              <w:rPr>
                <w:rFonts w:ascii="Calibri" w:eastAsia="Calibri" w:hAnsi="Calibri" w:cs="Calibri"/>
                <w:color w:val="000000"/>
                <w:sz w:val="20"/>
                <w:szCs w:val="20"/>
                <w:lang w:val="en-GB"/>
              </w:rPr>
              <w:t xml:space="preserve"> distorting financial prices from accounting prices, it is here assumed for simplification that this includes only corrections to wages, due to imperfections of labour markets.</w:t>
            </w:r>
          </w:p>
          <w:p w14:paraId="61B4076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third step, </w:t>
            </w:r>
            <w:r w:rsidRPr="0045151D">
              <w:rPr>
                <w:rFonts w:ascii="Calibri" w:eastAsia="Calibri" w:hAnsi="Calibri" w:cs="Calibri"/>
                <w:b/>
                <w:color w:val="000000"/>
                <w:sz w:val="20"/>
                <w:szCs w:val="20"/>
                <w:lang w:val="en-GB"/>
              </w:rPr>
              <w:t>evaluation of non-market cost impacts and correction for externalities</w:t>
            </w:r>
            <w:r w:rsidRPr="0045151D">
              <w:rPr>
                <w:rFonts w:ascii="Calibri" w:eastAsia="Calibri" w:hAnsi="Calibri" w:cs="Calibri"/>
                <w:color w:val="000000"/>
                <w:sz w:val="20"/>
                <w:szCs w:val="20"/>
                <w:lang w:val="en-GB"/>
              </w:rPr>
              <w:t>, is carried out by the evaluation of the time, vehicle operation, accidents, air pollution, climate change and noise impacts of a project (as described in chapters above).</w:t>
            </w:r>
          </w:p>
          <w:p w14:paraId="528CB084" w14:textId="20491A8F" w:rsidR="00600DEE" w:rsidRPr="0045151D" w:rsidRDefault="00641FB5" w:rsidP="006D0B72">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the calculation of steps 1 and 2, it is proposed that fiscal cash flows are first deducted directly when straightforward (VAT). Then, Weighted Conversion Factors are calculated with the purpose to eliminate the remaining distortions on the energy (taxation) and labour markets (taxation and other market imperfections). The methodology applied to obtain the proposed Conversion Factors is described in Appendix C and based on updated references.</w:t>
            </w:r>
          </w:p>
          <w:p w14:paraId="2F8CB153" w14:textId="437B7AAB" w:rsidR="00FD10CF" w:rsidRPr="0045151D" w:rsidRDefault="00FD10CF">
            <w:pPr>
              <w:pBdr>
                <w:top w:val="nil"/>
                <w:left w:val="nil"/>
                <w:bottom w:val="nil"/>
                <w:right w:val="nil"/>
                <w:between w:val="nil"/>
              </w:pBdr>
              <w:spacing w:before="120"/>
              <w:jc w:val="both"/>
              <w:rPr>
                <w:rFonts w:ascii="Calibri" w:eastAsia="Calibri" w:hAnsi="Calibri" w:cs="Calibri"/>
                <w:color w:val="000000"/>
                <w:sz w:val="20"/>
                <w:szCs w:val="20"/>
                <w:lang w:val="en-GB"/>
              </w:rPr>
            </w:pPr>
          </w:p>
          <w:p w14:paraId="731DD0D4" w14:textId="59E145A2" w:rsidR="00FD10CF" w:rsidRPr="0045151D" w:rsidRDefault="00FD10CF">
            <w:pPr>
              <w:pBdr>
                <w:top w:val="nil"/>
                <w:left w:val="nil"/>
                <w:bottom w:val="nil"/>
                <w:right w:val="nil"/>
                <w:between w:val="nil"/>
              </w:pBdr>
              <w:spacing w:before="120"/>
              <w:jc w:val="both"/>
              <w:rPr>
                <w:rFonts w:ascii="Calibri" w:eastAsia="Calibri" w:hAnsi="Calibri" w:cs="Calibri"/>
                <w:color w:val="000000"/>
                <w:sz w:val="20"/>
                <w:szCs w:val="20"/>
                <w:lang w:val="en-GB"/>
              </w:rPr>
            </w:pPr>
          </w:p>
          <w:p w14:paraId="7A5C9755" w14:textId="135B8D48" w:rsidR="00600DEE" w:rsidRPr="0045151D" w:rsidRDefault="00DF2F9E" w:rsidP="00CE2D79">
            <w:pPr>
              <w:pBdr>
                <w:top w:val="nil"/>
                <w:left w:val="nil"/>
                <w:bottom w:val="nil"/>
                <w:right w:val="nil"/>
                <w:between w:val="nil"/>
              </w:pBdr>
              <w:spacing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23</w:t>
            </w:r>
            <w:r w:rsidR="00641FB5" w:rsidRPr="0045151D">
              <w:rPr>
                <w:rFonts w:ascii="Calibri" w:eastAsia="Calibri" w:hAnsi="Calibri" w:cs="Calibri"/>
                <w:b/>
                <w:color w:val="4F81BD"/>
                <w:sz w:val="20"/>
                <w:szCs w:val="20"/>
                <w:lang w:val="en-GB"/>
              </w:rPr>
              <w:t>. Stages of adjustment from financial to accounting (shadow) prices</w:t>
            </w:r>
          </w:p>
          <w:tbl>
            <w:tblPr>
              <w:tblStyle w:val="afffff9"/>
              <w:tblW w:w="6935" w:type="dxa"/>
              <w:tblLayout w:type="fixed"/>
              <w:tblLook w:val="0000" w:firstRow="0" w:lastRow="0" w:firstColumn="0" w:lastColumn="0" w:noHBand="0" w:noVBand="0"/>
            </w:tblPr>
            <w:tblGrid>
              <w:gridCol w:w="1284"/>
              <w:gridCol w:w="5651"/>
            </w:tblGrid>
            <w:tr w:rsidR="00600DEE" w:rsidRPr="007463B9" w14:paraId="2E42DB92" w14:textId="77777777">
              <w:trPr>
                <w:trHeight w:val="229"/>
              </w:trPr>
              <w:tc>
                <w:tcPr>
                  <w:tcW w:w="1284" w:type="dxa"/>
                  <w:tcBorders>
                    <w:top w:val="single" w:sz="4" w:space="0" w:color="FFFFFF"/>
                    <w:left w:val="single" w:sz="4" w:space="0" w:color="FFFFFF"/>
                    <w:bottom w:val="single" w:sz="4" w:space="0" w:color="FFFFFF"/>
                  </w:tcBorders>
                  <w:shd w:val="clear" w:color="auto" w:fill="A6A6A6"/>
                  <w:vAlign w:val="center"/>
                </w:tcPr>
                <w:p w14:paraId="4D26A0D9"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Stage</w:t>
                  </w:r>
                </w:p>
              </w:tc>
              <w:tc>
                <w:tcPr>
                  <w:tcW w:w="5651"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DF5802B"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Stages of adjustments for fiscal effects</w:t>
                  </w:r>
                </w:p>
              </w:tc>
            </w:tr>
            <w:tr w:rsidR="00600DEE" w14:paraId="6BC8C07F" w14:textId="77777777">
              <w:trPr>
                <w:trHeight w:val="148"/>
              </w:trPr>
              <w:tc>
                <w:tcPr>
                  <w:tcW w:w="1284" w:type="dxa"/>
                  <w:tcBorders>
                    <w:left w:val="single" w:sz="4" w:space="0" w:color="FFFFFF"/>
                    <w:bottom w:val="single" w:sz="4" w:space="0" w:color="FFFFFF"/>
                  </w:tcBorders>
                  <w:shd w:val="clear" w:color="auto" w:fill="DBE5F1"/>
                </w:tcPr>
                <w:p w14:paraId="55EE43BC" w14:textId="77777777" w:rsidR="00600DEE" w:rsidRDefault="00641FB5">
                  <w:pPr>
                    <w:pBdr>
                      <w:top w:val="nil"/>
                      <w:left w:val="nil"/>
                      <w:bottom w:val="nil"/>
                      <w:right w:val="nil"/>
                      <w:between w:val="nil"/>
                    </w:pBdr>
                    <w:tabs>
                      <w:tab w:val="left" w:pos="285"/>
                      <w:tab w:val="center" w:pos="534"/>
                    </w:tabs>
                    <w:spacing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Stage 1</w:t>
                  </w:r>
                </w:p>
              </w:tc>
              <w:tc>
                <w:tcPr>
                  <w:tcW w:w="5651" w:type="dxa"/>
                  <w:tcBorders>
                    <w:left w:val="single" w:sz="4" w:space="0" w:color="FFFFFF"/>
                    <w:bottom w:val="single" w:sz="4" w:space="0" w:color="FFFFFF"/>
                    <w:right w:val="single" w:sz="4" w:space="0" w:color="FFFFFF"/>
                  </w:tcBorders>
                  <w:shd w:val="clear" w:color="auto" w:fill="DBE5F1"/>
                </w:tcPr>
                <w:p w14:paraId="30A95904"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Elimination of VAT</w:t>
                  </w:r>
                </w:p>
              </w:tc>
            </w:tr>
            <w:tr w:rsidR="00600DEE" w14:paraId="645BE892" w14:textId="77777777">
              <w:trPr>
                <w:trHeight w:val="1137"/>
              </w:trPr>
              <w:tc>
                <w:tcPr>
                  <w:tcW w:w="1284" w:type="dxa"/>
                  <w:tcBorders>
                    <w:left w:val="single" w:sz="4" w:space="0" w:color="FFFFFF"/>
                    <w:bottom w:val="single" w:sz="4" w:space="0" w:color="FFFFFF"/>
                  </w:tcBorders>
                  <w:shd w:val="clear" w:color="auto" w:fill="DBE5F1"/>
                </w:tcPr>
                <w:p w14:paraId="0F8DC45F" w14:textId="77777777" w:rsidR="00600DEE" w:rsidRDefault="00641FB5">
                  <w:pPr>
                    <w:pBdr>
                      <w:top w:val="nil"/>
                      <w:left w:val="nil"/>
                      <w:bottom w:val="nil"/>
                      <w:right w:val="nil"/>
                      <w:between w:val="nil"/>
                    </w:pBdr>
                    <w:spacing w:line="264" w:lineRule="auto"/>
                    <w:jc w:val="center"/>
                    <w:rPr>
                      <w:rFonts w:ascii="Calibri" w:eastAsia="Calibri" w:hAnsi="Calibri" w:cs="Calibri"/>
                      <w:b/>
                      <w:color w:val="4F81BD"/>
                      <w:sz w:val="18"/>
                      <w:szCs w:val="18"/>
                    </w:rPr>
                  </w:pPr>
                  <w:r>
                    <w:rPr>
                      <w:rFonts w:ascii="Calibri" w:eastAsia="Calibri" w:hAnsi="Calibri" w:cs="Calibri"/>
                      <w:b/>
                      <w:color w:val="4F81BD"/>
                      <w:sz w:val="18"/>
                      <w:szCs w:val="18"/>
                    </w:rPr>
                    <w:t>Stage 2</w:t>
                  </w:r>
                </w:p>
              </w:tc>
              <w:tc>
                <w:tcPr>
                  <w:tcW w:w="5651" w:type="dxa"/>
                  <w:tcBorders>
                    <w:left w:val="single" w:sz="4" w:space="0" w:color="FFFFFF"/>
                    <w:bottom w:val="single" w:sz="4" w:space="0" w:color="FFFFFF"/>
                    <w:right w:val="single" w:sz="4" w:space="0" w:color="FFFFFF"/>
                  </w:tcBorders>
                  <w:shd w:val="clear" w:color="auto" w:fill="DBE5F1"/>
                </w:tcPr>
                <w:p w14:paraId="4CB32A48"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Adjustment for energy prices (taxation) and wages (taxation and other market imperfections) by applying weighted Conversion Factors (CF):  </w:t>
                  </w:r>
                </w:p>
                <w:p w14:paraId="1069E7B9" w14:textId="77777777" w:rsidR="00600DEE" w:rsidRDefault="00641FB5" w:rsidP="00D5736B">
                  <w:pPr>
                    <w:numPr>
                      <w:ilvl w:val="0"/>
                      <w:numId w:val="21"/>
                    </w:numPr>
                    <w:pBdr>
                      <w:top w:val="nil"/>
                      <w:left w:val="nil"/>
                      <w:bottom w:val="nil"/>
                      <w:right w:val="nil"/>
                      <w:between w:val="nil"/>
                    </w:pBdr>
                    <w:tabs>
                      <w:tab w:val="left" w:pos="1037"/>
                    </w:tabs>
                    <w:ind w:left="0" w:firstLine="0"/>
                    <w:rPr>
                      <w:rFonts w:ascii="Calibri" w:eastAsia="Calibri" w:hAnsi="Calibri" w:cs="Calibri"/>
                      <w:color w:val="4F81BD"/>
                      <w:sz w:val="18"/>
                      <w:szCs w:val="18"/>
                    </w:rPr>
                  </w:pPr>
                  <w:r>
                    <w:rPr>
                      <w:rFonts w:ascii="Calibri" w:eastAsia="Calibri" w:hAnsi="Calibri" w:cs="Calibri"/>
                      <w:color w:val="4F81BD"/>
                      <w:sz w:val="18"/>
                      <w:szCs w:val="18"/>
                    </w:rPr>
                    <w:t>Capital expenditures: CF= 0.83</w:t>
                  </w:r>
                </w:p>
                <w:p w14:paraId="49EB5655" w14:textId="77777777" w:rsidR="00600DEE" w:rsidRDefault="00641FB5" w:rsidP="00D5736B">
                  <w:pPr>
                    <w:numPr>
                      <w:ilvl w:val="0"/>
                      <w:numId w:val="21"/>
                    </w:numPr>
                    <w:pBdr>
                      <w:top w:val="nil"/>
                      <w:left w:val="nil"/>
                      <w:bottom w:val="nil"/>
                      <w:right w:val="nil"/>
                      <w:between w:val="nil"/>
                    </w:pBdr>
                    <w:tabs>
                      <w:tab w:val="left" w:pos="1037"/>
                    </w:tabs>
                    <w:ind w:left="0" w:firstLine="0"/>
                    <w:rPr>
                      <w:rFonts w:ascii="Calibri" w:eastAsia="Calibri" w:hAnsi="Calibri" w:cs="Calibri"/>
                      <w:color w:val="4F81BD"/>
                      <w:sz w:val="18"/>
                      <w:szCs w:val="18"/>
                    </w:rPr>
                  </w:pPr>
                  <w:r>
                    <w:rPr>
                      <w:rFonts w:ascii="Calibri" w:eastAsia="Calibri" w:hAnsi="Calibri" w:cs="Calibri"/>
                      <w:color w:val="4F81BD"/>
                      <w:sz w:val="18"/>
                      <w:szCs w:val="18"/>
                    </w:rPr>
                    <w:t>Operating costs: CF=0.78.</w:t>
                  </w:r>
                </w:p>
              </w:tc>
            </w:tr>
          </w:tbl>
          <w:p w14:paraId="34F6263F" w14:textId="77777777" w:rsidR="00600DEE" w:rsidRDefault="00641FB5">
            <w:pPr>
              <w:pBdr>
                <w:top w:val="nil"/>
                <w:left w:val="nil"/>
                <w:bottom w:val="nil"/>
                <w:right w:val="nil"/>
                <w:between w:val="nil"/>
              </w:pBdr>
              <w:spacing w:before="120"/>
              <w:jc w:val="both"/>
              <w:rPr>
                <w:rFonts w:ascii="Calibri" w:eastAsia="Calibri" w:hAnsi="Calibri" w:cs="Calibri"/>
                <w:b/>
                <w:i/>
                <w:color w:val="000000"/>
                <w:sz w:val="16"/>
                <w:szCs w:val="16"/>
              </w:rPr>
            </w:pPr>
            <w:r>
              <w:rPr>
                <w:rFonts w:ascii="Calibri" w:eastAsia="Calibri" w:hAnsi="Calibri" w:cs="Calibri"/>
                <w:b/>
                <w:i/>
                <w:color w:val="000000"/>
                <w:sz w:val="16"/>
                <w:szCs w:val="16"/>
              </w:rPr>
              <w:t>Source: proprietary work.</w:t>
            </w:r>
          </w:p>
          <w:p w14:paraId="6226065E" w14:textId="1E116D40" w:rsidR="00600DEE" w:rsidRPr="0045151D" w:rsidRDefault="00641FB5" w:rsidP="00CE2D79">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conclusion, irrespective of whether recoverable or not, the financial flows must exclude VAT (net value). Secondly, the project yearly net CAPEX and OPEX values are multiplied by the respective CF to be included in the economic analysis.</w:t>
            </w:r>
          </w:p>
          <w:p w14:paraId="67CF28E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If detailed data concerning cost structure of the analysed road project is available, including full analysis of the value of Conversion Factors, it is possible to use them in the economic analysis instead of the ones proposed above. Then, the method of calculating these factors must be fully justified and the process of calculation clear and transparent with the reference sources quoted.</w:t>
            </w:r>
          </w:p>
        </w:tc>
      </w:tr>
      <w:tr w:rsidR="00CE2D79" w:rsidRPr="007463B9" w14:paraId="0462E900" w14:textId="77777777">
        <w:tc>
          <w:tcPr>
            <w:tcW w:w="7355" w:type="dxa"/>
            <w:tcBorders>
              <w:right w:val="single" w:sz="4" w:space="0" w:color="000000"/>
            </w:tcBorders>
            <w:tcMar>
              <w:left w:w="284" w:type="dxa"/>
              <w:right w:w="284" w:type="dxa"/>
            </w:tcMar>
          </w:tcPr>
          <w:p w14:paraId="6C5D722E" w14:textId="77777777" w:rsidR="00CE2D79" w:rsidRPr="0045151D" w:rsidRDefault="00CE2D79" w:rsidP="00CE2D79">
            <w:pPr>
              <w:pBdr>
                <w:top w:val="nil"/>
                <w:left w:val="nil"/>
                <w:bottom w:val="nil"/>
                <w:right w:val="nil"/>
                <w:between w:val="nil"/>
              </w:pBdr>
              <w:jc w:val="both"/>
              <w:rPr>
                <w:rFonts w:ascii="Calibri" w:eastAsia="Calibri" w:hAnsi="Calibri" w:cs="Calibri"/>
                <w:color w:val="000000"/>
                <w:sz w:val="20"/>
                <w:szCs w:val="20"/>
                <w:lang w:val="en-GB"/>
              </w:rPr>
            </w:pPr>
          </w:p>
        </w:tc>
        <w:tc>
          <w:tcPr>
            <w:tcW w:w="7216" w:type="dxa"/>
            <w:tcBorders>
              <w:left w:val="single" w:sz="4" w:space="0" w:color="000000"/>
            </w:tcBorders>
            <w:tcMar>
              <w:left w:w="284" w:type="dxa"/>
              <w:right w:w="284" w:type="dxa"/>
            </w:tcMar>
          </w:tcPr>
          <w:p w14:paraId="57F2458C" w14:textId="77777777" w:rsidR="00CE2D79" w:rsidRPr="0045151D" w:rsidRDefault="00CE2D79" w:rsidP="00CE2D79">
            <w:pPr>
              <w:pBdr>
                <w:top w:val="nil"/>
                <w:left w:val="nil"/>
                <w:bottom w:val="nil"/>
                <w:right w:val="nil"/>
                <w:between w:val="nil"/>
              </w:pBdr>
              <w:jc w:val="both"/>
              <w:rPr>
                <w:rFonts w:ascii="Calibri" w:eastAsia="Calibri" w:hAnsi="Calibri" w:cs="Calibri"/>
                <w:color w:val="000000"/>
                <w:sz w:val="20"/>
                <w:szCs w:val="20"/>
                <w:lang w:val="en-GB"/>
              </w:rPr>
            </w:pPr>
          </w:p>
        </w:tc>
      </w:tr>
    </w:tbl>
    <w:p w14:paraId="7582458D" w14:textId="6A9FB070" w:rsidR="00600DEE" w:rsidRDefault="00641FB5" w:rsidP="00D5736B">
      <w:pPr>
        <w:pStyle w:val="Nagwek3"/>
        <w:numPr>
          <w:ilvl w:val="2"/>
          <w:numId w:val="17"/>
        </w:numPr>
        <w:ind w:left="0" w:firstLine="0"/>
        <w:rPr>
          <w:rFonts w:ascii="Calibri" w:eastAsia="Calibri" w:hAnsi="Calibri" w:cs="Calibri"/>
          <w:color w:val="4F81BD"/>
        </w:rPr>
      </w:pPr>
      <w:bookmarkStart w:id="93" w:name="_Toc95377998"/>
      <w:r>
        <w:rPr>
          <w:rFonts w:ascii="Calibri" w:eastAsia="Calibri" w:hAnsi="Calibri" w:cs="Calibri"/>
          <w:color w:val="4F81BD"/>
        </w:rPr>
        <w:t>Obliczanie korzyści ekonomicznych netto projektu</w:t>
      </w:r>
      <w:r>
        <w:rPr>
          <w:rFonts w:ascii="Calibri" w:eastAsia="Calibri" w:hAnsi="Calibri" w:cs="Calibri"/>
          <w:color w:val="4F81BD"/>
        </w:rPr>
        <w:tab/>
      </w:r>
      <w:r>
        <w:rPr>
          <w:rFonts w:ascii="Calibri" w:eastAsia="Calibri" w:hAnsi="Calibri" w:cs="Calibri"/>
          <w:color w:val="4F81BD"/>
        </w:rPr>
        <w:tab/>
        <w:t xml:space="preserve">          2.2.3   Calculation of net economic benefits of a project</w:t>
      </w:r>
      <w:bookmarkEnd w:id="93"/>
    </w:p>
    <w:tbl>
      <w:tblPr>
        <w:tblStyle w:val="afffffa"/>
        <w:tblW w:w="14571" w:type="dxa"/>
        <w:tblLayout w:type="fixed"/>
        <w:tblLook w:val="0400" w:firstRow="0" w:lastRow="0" w:firstColumn="0" w:lastColumn="0" w:noHBand="0" w:noVBand="1"/>
      </w:tblPr>
      <w:tblGrid>
        <w:gridCol w:w="7370"/>
        <w:gridCol w:w="7201"/>
      </w:tblGrid>
      <w:tr w:rsidR="00600DEE" w:rsidRPr="007463B9" w14:paraId="6DB35EBA" w14:textId="77777777">
        <w:tc>
          <w:tcPr>
            <w:tcW w:w="7370" w:type="dxa"/>
            <w:tcBorders>
              <w:right w:val="single" w:sz="4" w:space="0" w:color="000000"/>
            </w:tcBorders>
            <w:tcMar>
              <w:left w:w="284" w:type="dxa"/>
              <w:right w:w="284" w:type="dxa"/>
            </w:tcMar>
          </w:tcPr>
          <w:p w14:paraId="21B33726" w14:textId="4C5BDD83"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celu wyliczenia korzyści ekonomicznych dla każdego wariantu inwestycyjnego, uwzględniającego wszystkie kategorie kosztów, należy od kosztów ekonomicznych wariantu bezinwestycyjnego (W0) odjąć koszty wariantu inwestycyjnego (Wn). Otrzymana różnica stanowi korzyść społeczno-ekonomiczną netto dla danej kategorii kosztów ekonomicznych (koszty czasu, koszty eksploatacji</w:t>
            </w:r>
            <w:r w:rsidR="00DF2F9E">
              <w:rPr>
                <w:rFonts w:ascii="Calibri" w:eastAsia="Calibri" w:hAnsi="Calibri" w:cs="Calibri"/>
                <w:color w:val="000000"/>
                <w:sz w:val="20"/>
                <w:szCs w:val="20"/>
              </w:rPr>
              <w:t xml:space="preserve"> pojazdów, itp</w:t>
            </w:r>
            <w:r>
              <w:rPr>
                <w:rFonts w:ascii="Calibri" w:eastAsia="Calibri" w:hAnsi="Calibri" w:cs="Calibri"/>
                <w:color w:val="000000"/>
                <w:sz w:val="20"/>
                <w:szCs w:val="20"/>
              </w:rPr>
              <w:t>.).</w:t>
            </w:r>
          </w:p>
          <w:p w14:paraId="7357694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Suma wszystkich korzyści ekonomicznych netto stanowi korzyści społeczno-ekonomiczne całego projektu (danego wariantu inwestycyjnego).</w:t>
            </w:r>
          </w:p>
          <w:p w14:paraId="7B6E6C4E" w14:textId="6BBA1008" w:rsidR="00600DEE" w:rsidRDefault="00641FB5" w:rsidP="007463B9">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Wyliczenia korzyści ekonomicznych każdego wariantu inwestycyjnego Wn należy przedstawić w</w:t>
            </w:r>
            <w:r w:rsidR="007463B9">
              <w:rPr>
                <w:rFonts w:ascii="Calibri" w:eastAsia="Calibri" w:hAnsi="Calibri" w:cs="Calibri"/>
                <w:color w:val="000000"/>
                <w:sz w:val="20"/>
                <w:szCs w:val="20"/>
              </w:rPr>
              <w:t> formie tabelarycznej (tabela 24</w:t>
            </w:r>
            <w:r>
              <w:rPr>
                <w:rFonts w:ascii="Calibri" w:eastAsia="Calibri" w:hAnsi="Calibri" w:cs="Calibri"/>
                <w:color w:val="000000"/>
                <w:sz w:val="20"/>
                <w:szCs w:val="20"/>
              </w:rPr>
              <w:t>a). Przykładowa forma zestawienia efektów społeczno-ekonomicznych netto (w ujęciu wartościowym i procentowym) przedstawiona została w poniższej tabeli 2</w:t>
            </w:r>
            <w:r w:rsidR="007463B9">
              <w:rPr>
                <w:rFonts w:ascii="Calibri" w:eastAsia="Calibri" w:hAnsi="Calibri" w:cs="Calibri"/>
                <w:color w:val="000000"/>
                <w:sz w:val="20"/>
                <w:szCs w:val="20"/>
              </w:rPr>
              <w:t>4</w:t>
            </w:r>
            <w:r>
              <w:rPr>
                <w:rFonts w:ascii="Calibri" w:eastAsia="Calibri" w:hAnsi="Calibri" w:cs="Calibri"/>
                <w:color w:val="000000"/>
                <w:sz w:val="20"/>
                <w:szCs w:val="20"/>
              </w:rPr>
              <w:t>b.</w:t>
            </w:r>
          </w:p>
        </w:tc>
        <w:tc>
          <w:tcPr>
            <w:tcW w:w="7201" w:type="dxa"/>
            <w:tcBorders>
              <w:left w:val="single" w:sz="4" w:space="0" w:color="000000"/>
            </w:tcBorders>
            <w:tcMar>
              <w:left w:w="284" w:type="dxa"/>
              <w:right w:w="284" w:type="dxa"/>
            </w:tcMar>
          </w:tcPr>
          <w:p w14:paraId="563DF06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order to calculate the economic benefits of each project investment option, including all categories of costs, the difference of economic costs between the without-the-project scenario (W0) and the project investment option (Wn) should be calculated. The resulting difference will represent the net socio-economic benefit for a given category of economic costs (time costs, costs of vehicle operation, etc.).</w:t>
            </w:r>
          </w:p>
          <w:p w14:paraId="213DB52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total sum of all net economic benefits constitutes the social and economic benefits of the entire project (of a given investment option).</w:t>
            </w:r>
          </w:p>
          <w:p w14:paraId="702F1E3F" w14:textId="1A0C04F6"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Calculations of economic benefits of each investment option should be presented in t</w:t>
            </w:r>
            <w:r w:rsidR="007463B9">
              <w:rPr>
                <w:rFonts w:ascii="Calibri" w:eastAsia="Calibri" w:hAnsi="Calibri" w:cs="Calibri"/>
                <w:color w:val="000000"/>
                <w:sz w:val="20"/>
                <w:szCs w:val="20"/>
                <w:lang w:val="en-GB"/>
              </w:rPr>
              <w:t>he form of a table (see table 24</w:t>
            </w:r>
            <w:r w:rsidRPr="0045151D">
              <w:rPr>
                <w:rFonts w:ascii="Calibri" w:eastAsia="Calibri" w:hAnsi="Calibri" w:cs="Calibri"/>
                <w:color w:val="000000"/>
                <w:sz w:val="20"/>
                <w:szCs w:val="20"/>
                <w:lang w:val="en-GB"/>
              </w:rPr>
              <w:t>a). An exemplary form of summary of the net social and economic benefits (in value and percentage terms) is pre</w:t>
            </w:r>
            <w:r w:rsidR="007463B9">
              <w:rPr>
                <w:rFonts w:ascii="Calibri" w:eastAsia="Calibri" w:hAnsi="Calibri" w:cs="Calibri"/>
                <w:color w:val="000000"/>
                <w:sz w:val="20"/>
                <w:szCs w:val="20"/>
                <w:lang w:val="en-GB"/>
              </w:rPr>
              <w:t>sented in the following table 24</w:t>
            </w:r>
            <w:r w:rsidRPr="0045151D">
              <w:rPr>
                <w:rFonts w:ascii="Calibri" w:eastAsia="Calibri" w:hAnsi="Calibri" w:cs="Calibri"/>
                <w:color w:val="000000"/>
                <w:sz w:val="20"/>
                <w:szCs w:val="20"/>
                <w:lang w:val="en-GB"/>
              </w:rPr>
              <w:t>b.</w:t>
            </w:r>
          </w:p>
          <w:p w14:paraId="079D799F" w14:textId="77777777" w:rsidR="00FD10CF" w:rsidRPr="0045151D" w:rsidRDefault="00FD10CF">
            <w:pPr>
              <w:pBdr>
                <w:top w:val="nil"/>
                <w:left w:val="nil"/>
                <w:bottom w:val="nil"/>
                <w:right w:val="nil"/>
                <w:between w:val="nil"/>
              </w:pBdr>
              <w:spacing w:before="120"/>
              <w:jc w:val="both"/>
              <w:rPr>
                <w:rFonts w:ascii="Calibri" w:eastAsia="Calibri" w:hAnsi="Calibri" w:cs="Calibri"/>
                <w:color w:val="000000"/>
                <w:sz w:val="20"/>
                <w:szCs w:val="20"/>
                <w:lang w:val="en-GB"/>
              </w:rPr>
            </w:pPr>
          </w:p>
          <w:p w14:paraId="146A4478" w14:textId="72494FAE" w:rsidR="00CE2D79" w:rsidRPr="0045151D" w:rsidRDefault="00CE2D79">
            <w:pPr>
              <w:pBdr>
                <w:top w:val="nil"/>
                <w:left w:val="nil"/>
                <w:bottom w:val="nil"/>
                <w:right w:val="nil"/>
                <w:between w:val="nil"/>
              </w:pBdr>
              <w:spacing w:before="120"/>
              <w:jc w:val="both"/>
              <w:rPr>
                <w:rFonts w:ascii="Calibri" w:eastAsia="Calibri" w:hAnsi="Calibri" w:cs="Calibri"/>
                <w:color w:val="000000"/>
                <w:sz w:val="20"/>
                <w:szCs w:val="20"/>
                <w:lang w:val="en-GB"/>
              </w:rPr>
            </w:pPr>
          </w:p>
          <w:p w14:paraId="0182B423" w14:textId="0E4541D0" w:rsidR="003D1D69" w:rsidRPr="0045151D" w:rsidRDefault="003D1D69">
            <w:pPr>
              <w:pBdr>
                <w:top w:val="nil"/>
                <w:left w:val="nil"/>
                <w:bottom w:val="nil"/>
                <w:right w:val="nil"/>
                <w:between w:val="nil"/>
              </w:pBdr>
              <w:spacing w:before="120"/>
              <w:jc w:val="both"/>
              <w:rPr>
                <w:rFonts w:ascii="Calibri" w:eastAsia="Calibri" w:hAnsi="Calibri" w:cs="Calibri"/>
                <w:color w:val="000000"/>
                <w:sz w:val="20"/>
                <w:szCs w:val="20"/>
                <w:lang w:val="en-GB"/>
              </w:rPr>
            </w:pPr>
          </w:p>
          <w:p w14:paraId="11FA8AA7" w14:textId="53A5EF96" w:rsidR="003D1D69" w:rsidRPr="0045151D" w:rsidRDefault="003D1D69">
            <w:pPr>
              <w:pBdr>
                <w:top w:val="nil"/>
                <w:left w:val="nil"/>
                <w:bottom w:val="nil"/>
                <w:right w:val="nil"/>
                <w:between w:val="nil"/>
              </w:pBdr>
              <w:spacing w:before="120"/>
              <w:jc w:val="both"/>
              <w:rPr>
                <w:rFonts w:ascii="Calibri" w:eastAsia="Calibri" w:hAnsi="Calibri" w:cs="Calibri"/>
                <w:color w:val="000000"/>
                <w:sz w:val="20"/>
                <w:szCs w:val="20"/>
                <w:lang w:val="en-GB"/>
              </w:rPr>
            </w:pPr>
          </w:p>
          <w:p w14:paraId="1FE5378E" w14:textId="37910D84" w:rsidR="003D1D69" w:rsidRPr="0045151D" w:rsidRDefault="003D1D69">
            <w:pPr>
              <w:pBdr>
                <w:top w:val="nil"/>
                <w:left w:val="nil"/>
                <w:bottom w:val="nil"/>
                <w:right w:val="nil"/>
                <w:between w:val="nil"/>
              </w:pBdr>
              <w:spacing w:before="120"/>
              <w:jc w:val="both"/>
              <w:rPr>
                <w:rFonts w:ascii="Calibri" w:eastAsia="Calibri" w:hAnsi="Calibri" w:cs="Calibri"/>
                <w:color w:val="000000"/>
                <w:sz w:val="20"/>
                <w:szCs w:val="20"/>
                <w:lang w:val="en-GB"/>
              </w:rPr>
            </w:pPr>
          </w:p>
          <w:p w14:paraId="52C04D01" w14:textId="36570737" w:rsidR="003D1D69" w:rsidRPr="0045151D" w:rsidRDefault="003D1D69">
            <w:pPr>
              <w:pBdr>
                <w:top w:val="nil"/>
                <w:left w:val="nil"/>
                <w:bottom w:val="nil"/>
                <w:right w:val="nil"/>
                <w:between w:val="nil"/>
              </w:pBdr>
              <w:spacing w:before="120"/>
              <w:jc w:val="both"/>
              <w:rPr>
                <w:rFonts w:ascii="Calibri" w:eastAsia="Calibri" w:hAnsi="Calibri" w:cs="Calibri"/>
                <w:color w:val="000000"/>
                <w:sz w:val="20"/>
                <w:szCs w:val="20"/>
                <w:lang w:val="en-GB"/>
              </w:rPr>
            </w:pPr>
          </w:p>
          <w:p w14:paraId="43BC9961" w14:textId="3554F442" w:rsidR="003D1D69" w:rsidRPr="0045151D" w:rsidRDefault="003D1D69">
            <w:pPr>
              <w:pBdr>
                <w:top w:val="nil"/>
                <w:left w:val="nil"/>
                <w:bottom w:val="nil"/>
                <w:right w:val="nil"/>
                <w:between w:val="nil"/>
              </w:pBdr>
              <w:spacing w:before="120"/>
              <w:jc w:val="both"/>
              <w:rPr>
                <w:rFonts w:ascii="Calibri" w:eastAsia="Calibri" w:hAnsi="Calibri" w:cs="Calibri"/>
                <w:color w:val="000000"/>
                <w:sz w:val="20"/>
                <w:szCs w:val="20"/>
                <w:lang w:val="en-GB"/>
              </w:rPr>
            </w:pPr>
          </w:p>
          <w:p w14:paraId="172B4F89" w14:textId="73970026" w:rsidR="003D1D69" w:rsidRPr="0045151D" w:rsidRDefault="003D1D69">
            <w:pPr>
              <w:pBdr>
                <w:top w:val="nil"/>
                <w:left w:val="nil"/>
                <w:bottom w:val="nil"/>
                <w:right w:val="nil"/>
                <w:between w:val="nil"/>
              </w:pBdr>
              <w:spacing w:before="120"/>
              <w:jc w:val="both"/>
              <w:rPr>
                <w:rFonts w:ascii="Calibri" w:eastAsia="Calibri" w:hAnsi="Calibri" w:cs="Calibri"/>
                <w:color w:val="000000"/>
                <w:sz w:val="20"/>
                <w:szCs w:val="20"/>
                <w:lang w:val="en-GB"/>
              </w:rPr>
            </w:pPr>
          </w:p>
          <w:p w14:paraId="02EDB9A7" w14:textId="46646CC2" w:rsidR="003D1D69" w:rsidRDefault="003D1D69">
            <w:pPr>
              <w:pBdr>
                <w:top w:val="nil"/>
                <w:left w:val="nil"/>
                <w:bottom w:val="nil"/>
                <w:right w:val="nil"/>
                <w:between w:val="nil"/>
              </w:pBdr>
              <w:spacing w:before="120"/>
              <w:jc w:val="both"/>
              <w:rPr>
                <w:rFonts w:ascii="Calibri" w:eastAsia="Calibri" w:hAnsi="Calibri" w:cs="Calibri"/>
                <w:color w:val="000000"/>
                <w:sz w:val="20"/>
                <w:szCs w:val="20"/>
                <w:lang w:val="en-GB"/>
              </w:rPr>
            </w:pPr>
          </w:p>
          <w:p w14:paraId="15AD2998" w14:textId="47AE7A3C" w:rsidR="005C3677" w:rsidRDefault="005C3677">
            <w:pPr>
              <w:pBdr>
                <w:top w:val="nil"/>
                <w:left w:val="nil"/>
                <w:bottom w:val="nil"/>
                <w:right w:val="nil"/>
                <w:between w:val="nil"/>
              </w:pBdr>
              <w:spacing w:before="120"/>
              <w:jc w:val="both"/>
              <w:rPr>
                <w:rFonts w:ascii="Calibri" w:eastAsia="Calibri" w:hAnsi="Calibri" w:cs="Calibri"/>
                <w:color w:val="000000"/>
                <w:sz w:val="20"/>
                <w:szCs w:val="20"/>
                <w:lang w:val="en-GB"/>
              </w:rPr>
            </w:pPr>
          </w:p>
          <w:p w14:paraId="0B9439F9" w14:textId="77777777" w:rsidR="005C3677" w:rsidRPr="0045151D" w:rsidRDefault="005C3677">
            <w:pPr>
              <w:pBdr>
                <w:top w:val="nil"/>
                <w:left w:val="nil"/>
                <w:bottom w:val="nil"/>
                <w:right w:val="nil"/>
                <w:between w:val="nil"/>
              </w:pBdr>
              <w:spacing w:before="120"/>
              <w:jc w:val="both"/>
              <w:rPr>
                <w:rFonts w:ascii="Calibri" w:eastAsia="Calibri" w:hAnsi="Calibri" w:cs="Calibri"/>
                <w:color w:val="000000"/>
                <w:sz w:val="20"/>
                <w:szCs w:val="20"/>
                <w:lang w:val="en-GB"/>
              </w:rPr>
            </w:pPr>
          </w:p>
          <w:p w14:paraId="575B8969" w14:textId="5A59647C" w:rsidR="00FD10CF" w:rsidRPr="0045151D" w:rsidRDefault="00FD10CF">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154600C1" w14:textId="4C9CE045" w:rsidR="00600DEE" w:rsidRDefault="007E2ECA">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24</w:t>
      </w:r>
      <w:r w:rsidR="00641FB5">
        <w:rPr>
          <w:rFonts w:ascii="Calibri" w:eastAsia="Calibri" w:hAnsi="Calibri" w:cs="Calibri"/>
          <w:b/>
          <w:color w:val="4F81BD"/>
          <w:sz w:val="20"/>
          <w:szCs w:val="20"/>
        </w:rPr>
        <w:t>a. Zestawienie korzyści/kosztów ekonomicznych dla projektu, niezdyskontowanych</w:t>
      </w:r>
    </w:p>
    <w:tbl>
      <w:tblPr>
        <w:tblStyle w:val="afffffb"/>
        <w:tblW w:w="12631" w:type="dxa"/>
        <w:tblInd w:w="108" w:type="dxa"/>
        <w:tblLayout w:type="fixed"/>
        <w:tblLook w:val="0000" w:firstRow="0" w:lastRow="0" w:firstColumn="0" w:lastColumn="0" w:noHBand="0" w:noVBand="0"/>
      </w:tblPr>
      <w:tblGrid>
        <w:gridCol w:w="922"/>
        <w:gridCol w:w="1678"/>
        <w:gridCol w:w="1680"/>
        <w:gridCol w:w="1678"/>
        <w:gridCol w:w="1678"/>
        <w:gridCol w:w="1678"/>
        <w:gridCol w:w="1680"/>
        <w:gridCol w:w="1637"/>
      </w:tblGrid>
      <w:tr w:rsidR="00600DEE" w14:paraId="21904151" w14:textId="77777777">
        <w:trPr>
          <w:trHeight w:val="885"/>
        </w:trPr>
        <w:tc>
          <w:tcPr>
            <w:tcW w:w="922" w:type="dxa"/>
            <w:tcBorders>
              <w:top w:val="single" w:sz="4" w:space="0" w:color="FFFFFF"/>
              <w:left w:val="single" w:sz="4" w:space="0" w:color="FFFFFF"/>
              <w:bottom w:val="single" w:sz="4" w:space="0" w:color="FFFFFF"/>
            </w:tcBorders>
            <w:shd w:val="clear" w:color="auto" w:fill="A6A6A6"/>
            <w:vAlign w:val="center"/>
          </w:tcPr>
          <w:p w14:paraId="3997B744"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Rok</w:t>
            </w:r>
          </w:p>
        </w:tc>
        <w:tc>
          <w:tcPr>
            <w:tcW w:w="1678" w:type="dxa"/>
            <w:tcBorders>
              <w:top w:val="single" w:sz="4" w:space="0" w:color="FFFFFF"/>
              <w:left w:val="single" w:sz="4" w:space="0" w:color="FFFFFF"/>
              <w:bottom w:val="single" w:sz="4" w:space="0" w:color="FFFFFF"/>
            </w:tcBorders>
            <w:shd w:val="clear" w:color="auto" w:fill="A6A6A6"/>
            <w:vAlign w:val="center"/>
          </w:tcPr>
          <w:p w14:paraId="0C5E8CAA" w14:textId="1BE3B2E2" w:rsidR="00600DEE" w:rsidRDefault="00DF2F9E">
            <w:pPr>
              <w:spacing w:before="20" w:after="20"/>
              <w:jc w:val="center"/>
              <w:rPr>
                <w:rFonts w:ascii="Calibri" w:eastAsia="Calibri" w:hAnsi="Calibri" w:cs="Calibri"/>
                <w:b/>
                <w:color w:val="FFFFFF"/>
                <w:sz w:val="18"/>
                <w:szCs w:val="18"/>
              </w:rPr>
            </w:pPr>
            <w:r>
              <w:rPr>
                <w:rFonts w:asciiTheme="minorHAnsi" w:hAnsiTheme="minorHAnsi" w:cs="Arial"/>
                <w:b/>
                <w:bCs/>
                <w:color w:val="FFFFFF"/>
                <w:sz w:val="18"/>
                <w:szCs w:val="18"/>
              </w:rPr>
              <w:t xml:space="preserve">Korzyści/ koszty </w:t>
            </w:r>
            <w:r w:rsidR="00641FB5">
              <w:rPr>
                <w:rFonts w:ascii="Calibri" w:eastAsia="Calibri" w:hAnsi="Calibri" w:cs="Calibri"/>
                <w:b/>
                <w:color w:val="FFFFFF"/>
                <w:sz w:val="18"/>
                <w:szCs w:val="18"/>
              </w:rPr>
              <w:t>czasu</w:t>
            </w:r>
          </w:p>
          <w:p w14:paraId="22470AE2"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użytkowników </w:t>
            </w:r>
          </w:p>
          <w:p w14:paraId="1A7951A0"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pojazdów</w:t>
            </w:r>
          </w:p>
        </w:tc>
        <w:tc>
          <w:tcPr>
            <w:tcW w:w="1680" w:type="dxa"/>
            <w:tcBorders>
              <w:top w:val="single" w:sz="4" w:space="0" w:color="FFFFFF"/>
              <w:left w:val="single" w:sz="4" w:space="0" w:color="FFFFFF"/>
              <w:bottom w:val="single" w:sz="4" w:space="0" w:color="FFFFFF"/>
            </w:tcBorders>
            <w:shd w:val="clear" w:color="auto" w:fill="A6A6A6"/>
            <w:vAlign w:val="center"/>
          </w:tcPr>
          <w:p w14:paraId="3B3D3294" w14:textId="518C1824" w:rsidR="00600DEE" w:rsidRDefault="00DF2F9E">
            <w:pPr>
              <w:spacing w:before="20" w:after="20"/>
              <w:jc w:val="center"/>
              <w:rPr>
                <w:rFonts w:ascii="Calibri" w:eastAsia="Calibri" w:hAnsi="Calibri" w:cs="Calibri"/>
                <w:b/>
                <w:color w:val="FFFFFF"/>
                <w:sz w:val="18"/>
                <w:szCs w:val="18"/>
              </w:rPr>
            </w:pPr>
            <w:r>
              <w:rPr>
                <w:rFonts w:asciiTheme="minorHAnsi" w:hAnsiTheme="minorHAnsi" w:cs="Arial"/>
                <w:b/>
                <w:bCs/>
                <w:color w:val="FFFFFF"/>
                <w:sz w:val="18"/>
                <w:szCs w:val="18"/>
              </w:rPr>
              <w:t xml:space="preserve">Korzyści/ koszty </w:t>
            </w:r>
            <w:r w:rsidR="00641FB5">
              <w:rPr>
                <w:rFonts w:ascii="Calibri" w:eastAsia="Calibri" w:hAnsi="Calibri" w:cs="Calibri"/>
                <w:b/>
                <w:color w:val="FFFFFF"/>
                <w:sz w:val="18"/>
                <w:szCs w:val="18"/>
              </w:rPr>
              <w:t>eksploatacji</w:t>
            </w:r>
          </w:p>
          <w:p w14:paraId="35CA2E3C"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pojazdów</w:t>
            </w:r>
          </w:p>
        </w:tc>
        <w:tc>
          <w:tcPr>
            <w:tcW w:w="1678" w:type="dxa"/>
            <w:tcBorders>
              <w:top w:val="single" w:sz="4" w:space="0" w:color="FFFFFF"/>
              <w:left w:val="single" w:sz="4" w:space="0" w:color="FFFFFF"/>
              <w:bottom w:val="single" w:sz="4" w:space="0" w:color="FFFFFF"/>
            </w:tcBorders>
            <w:shd w:val="clear" w:color="auto" w:fill="A6A6A6"/>
            <w:vAlign w:val="center"/>
          </w:tcPr>
          <w:p w14:paraId="285C7ECD" w14:textId="66FA424C" w:rsidR="007E2ECA" w:rsidRDefault="007E2ECA" w:rsidP="007E2ECA">
            <w:pPr>
              <w:spacing w:before="20" w:after="20"/>
              <w:jc w:val="center"/>
              <w:rPr>
                <w:rFonts w:ascii="Calibri" w:eastAsia="Calibri" w:hAnsi="Calibri" w:cs="Calibri"/>
                <w:b/>
                <w:color w:val="FFFFFF"/>
                <w:sz w:val="18"/>
                <w:szCs w:val="18"/>
              </w:rPr>
            </w:pPr>
            <w:r>
              <w:rPr>
                <w:rFonts w:asciiTheme="minorHAnsi" w:hAnsiTheme="minorHAnsi" w:cs="Arial"/>
                <w:b/>
                <w:bCs/>
                <w:color w:val="FFFFFF"/>
                <w:sz w:val="18"/>
                <w:szCs w:val="18"/>
              </w:rPr>
              <w:t xml:space="preserve">Korzyści/ koszty </w:t>
            </w:r>
          </w:p>
          <w:p w14:paraId="7F79517D" w14:textId="114215B5"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wypadków</w:t>
            </w:r>
          </w:p>
        </w:tc>
        <w:tc>
          <w:tcPr>
            <w:tcW w:w="1678"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6C383280" w14:textId="0D1C70F5" w:rsidR="00600DEE" w:rsidRDefault="007E2ECA">
            <w:pPr>
              <w:spacing w:before="20" w:after="20"/>
              <w:jc w:val="center"/>
              <w:rPr>
                <w:rFonts w:ascii="Calibri" w:eastAsia="Calibri" w:hAnsi="Calibri" w:cs="Calibri"/>
                <w:b/>
                <w:color w:val="FFFFFF"/>
                <w:sz w:val="18"/>
                <w:szCs w:val="18"/>
              </w:rPr>
            </w:pPr>
            <w:r>
              <w:rPr>
                <w:rFonts w:asciiTheme="minorHAnsi" w:hAnsiTheme="minorHAnsi" w:cs="Arial"/>
                <w:b/>
                <w:bCs/>
                <w:color w:val="FFFFFF"/>
                <w:sz w:val="18"/>
                <w:szCs w:val="18"/>
              </w:rPr>
              <w:t xml:space="preserve">Korzyści/ koszty </w:t>
            </w:r>
            <w:r>
              <w:rPr>
                <w:rFonts w:ascii="Calibri" w:eastAsia="Calibri" w:hAnsi="Calibri" w:cs="Calibri"/>
                <w:b/>
                <w:color w:val="FFFFFF"/>
                <w:sz w:val="18"/>
                <w:szCs w:val="18"/>
              </w:rPr>
              <w:t xml:space="preserve">emisji </w:t>
            </w:r>
            <w:r w:rsidR="00641FB5">
              <w:rPr>
                <w:rFonts w:ascii="Calibri" w:eastAsia="Calibri" w:hAnsi="Calibri" w:cs="Calibri"/>
                <w:b/>
                <w:color w:val="FFFFFF"/>
                <w:sz w:val="18"/>
                <w:szCs w:val="18"/>
              </w:rPr>
              <w:t>zanieczyszczeń</w:t>
            </w:r>
          </w:p>
        </w:tc>
        <w:tc>
          <w:tcPr>
            <w:tcW w:w="1678" w:type="dxa"/>
            <w:tcBorders>
              <w:top w:val="single" w:sz="4" w:space="0" w:color="FFFFFF"/>
              <w:left w:val="single" w:sz="4" w:space="0" w:color="FFFFFF"/>
              <w:bottom w:val="single" w:sz="4" w:space="0" w:color="FFFFFF"/>
            </w:tcBorders>
            <w:shd w:val="clear" w:color="auto" w:fill="A6A6A6"/>
            <w:vAlign w:val="center"/>
          </w:tcPr>
          <w:p w14:paraId="42F64FB6" w14:textId="7B605ED1" w:rsidR="00600DEE" w:rsidRDefault="007E2ECA">
            <w:pPr>
              <w:spacing w:before="20" w:after="20"/>
              <w:jc w:val="center"/>
              <w:rPr>
                <w:rFonts w:ascii="Calibri" w:eastAsia="Calibri" w:hAnsi="Calibri" w:cs="Calibri"/>
                <w:b/>
                <w:color w:val="FFFFFF"/>
                <w:sz w:val="18"/>
                <w:szCs w:val="18"/>
              </w:rPr>
            </w:pPr>
            <w:r>
              <w:rPr>
                <w:rFonts w:asciiTheme="minorHAnsi" w:hAnsiTheme="minorHAnsi" w:cs="Arial"/>
                <w:b/>
                <w:bCs/>
                <w:color w:val="FFFFFF"/>
                <w:sz w:val="18"/>
                <w:szCs w:val="18"/>
              </w:rPr>
              <w:t xml:space="preserve">Korzyści/ koszty </w:t>
            </w:r>
            <w:r>
              <w:rPr>
                <w:rFonts w:ascii="Calibri" w:eastAsia="Calibri" w:hAnsi="Calibri" w:cs="Calibri"/>
                <w:b/>
                <w:color w:val="FFFFFF"/>
                <w:sz w:val="18"/>
                <w:szCs w:val="18"/>
              </w:rPr>
              <w:t>zmian klimatu</w:t>
            </w:r>
          </w:p>
        </w:tc>
        <w:tc>
          <w:tcPr>
            <w:tcW w:w="1680" w:type="dxa"/>
            <w:tcBorders>
              <w:top w:val="single" w:sz="4" w:space="0" w:color="FFFFFF"/>
              <w:left w:val="single" w:sz="4" w:space="0" w:color="FFFFFF"/>
              <w:bottom w:val="single" w:sz="4" w:space="0" w:color="FFFFFF"/>
            </w:tcBorders>
            <w:shd w:val="clear" w:color="auto" w:fill="A6A6A6"/>
            <w:vAlign w:val="center"/>
          </w:tcPr>
          <w:p w14:paraId="7E5CD2A7" w14:textId="32738E9B" w:rsidR="00600DEE" w:rsidRDefault="007E2ECA">
            <w:pPr>
              <w:spacing w:before="20" w:after="20"/>
              <w:jc w:val="center"/>
              <w:rPr>
                <w:rFonts w:ascii="Calibri" w:eastAsia="Calibri" w:hAnsi="Calibri" w:cs="Calibri"/>
                <w:b/>
                <w:color w:val="FFFFFF"/>
                <w:sz w:val="18"/>
                <w:szCs w:val="18"/>
              </w:rPr>
            </w:pPr>
            <w:r>
              <w:rPr>
                <w:rFonts w:asciiTheme="minorHAnsi" w:hAnsiTheme="minorHAnsi" w:cs="Arial"/>
                <w:b/>
                <w:bCs/>
                <w:color w:val="FFFFFF"/>
                <w:sz w:val="18"/>
                <w:szCs w:val="18"/>
              </w:rPr>
              <w:t xml:space="preserve">Korzyści/ koszty </w:t>
            </w:r>
            <w:r w:rsidR="00641FB5">
              <w:rPr>
                <w:rFonts w:ascii="Calibri" w:eastAsia="Calibri" w:hAnsi="Calibri" w:cs="Calibri"/>
                <w:b/>
                <w:color w:val="FFFFFF"/>
                <w:sz w:val="18"/>
                <w:szCs w:val="18"/>
              </w:rPr>
              <w:t>hałasu</w:t>
            </w:r>
          </w:p>
          <w:p w14:paraId="4A0A5331" w14:textId="77777777" w:rsidR="00600DEE" w:rsidRDefault="00600DEE">
            <w:pPr>
              <w:spacing w:before="20" w:after="20"/>
              <w:jc w:val="center"/>
              <w:rPr>
                <w:rFonts w:ascii="Calibri" w:eastAsia="Calibri" w:hAnsi="Calibri" w:cs="Calibri"/>
                <w:b/>
                <w:color w:val="FFFFFF"/>
                <w:sz w:val="18"/>
                <w:szCs w:val="18"/>
              </w:rPr>
            </w:pPr>
          </w:p>
        </w:tc>
        <w:tc>
          <w:tcPr>
            <w:tcW w:w="1637"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092668D4"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Razem</w:t>
            </w:r>
          </w:p>
        </w:tc>
      </w:tr>
      <w:tr w:rsidR="00600DEE" w14:paraId="70EDC34A" w14:textId="77777777">
        <w:trPr>
          <w:trHeight w:val="169"/>
        </w:trPr>
        <w:tc>
          <w:tcPr>
            <w:tcW w:w="922" w:type="dxa"/>
            <w:tcBorders>
              <w:top w:val="single" w:sz="4" w:space="0" w:color="FFFFFF"/>
              <w:left w:val="single" w:sz="4" w:space="0" w:color="FFFFFF"/>
              <w:bottom w:val="single" w:sz="4" w:space="0" w:color="FFFFFF"/>
            </w:tcBorders>
            <w:shd w:val="clear" w:color="auto" w:fill="DBE5F1"/>
            <w:vAlign w:val="center"/>
          </w:tcPr>
          <w:p w14:paraId="36269206"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1</w:t>
            </w:r>
          </w:p>
        </w:tc>
        <w:tc>
          <w:tcPr>
            <w:tcW w:w="1678" w:type="dxa"/>
            <w:tcBorders>
              <w:top w:val="single" w:sz="4" w:space="0" w:color="FFFFFF"/>
              <w:left w:val="single" w:sz="4" w:space="0" w:color="FFFFFF"/>
              <w:bottom w:val="single" w:sz="4" w:space="0" w:color="FFFFFF"/>
            </w:tcBorders>
            <w:shd w:val="clear" w:color="auto" w:fill="DBE5F1"/>
            <w:vAlign w:val="center"/>
          </w:tcPr>
          <w:p w14:paraId="00BCC29B"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6482604A"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tcPr>
          <w:p w14:paraId="78B4E89F"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right w:val="single" w:sz="4" w:space="0" w:color="FFFFFF"/>
            </w:tcBorders>
            <w:shd w:val="clear" w:color="auto" w:fill="DBE5F1"/>
          </w:tcPr>
          <w:p w14:paraId="4F4D1D16"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vAlign w:val="center"/>
          </w:tcPr>
          <w:p w14:paraId="5C61C29C"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2D73D0E9" w14:textId="77777777" w:rsidR="00600DEE" w:rsidRDefault="00600DEE">
            <w:pPr>
              <w:spacing w:before="20" w:after="20"/>
              <w:jc w:val="right"/>
              <w:rPr>
                <w:rFonts w:ascii="Calibri" w:eastAsia="Calibri" w:hAnsi="Calibri" w:cs="Calibri"/>
                <w:b/>
                <w:color w:val="4F81BD"/>
                <w:sz w:val="18"/>
                <w:szCs w:val="18"/>
              </w:rPr>
            </w:pPr>
          </w:p>
        </w:tc>
        <w:tc>
          <w:tcPr>
            <w:tcW w:w="1637"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F22463F" w14:textId="77777777" w:rsidR="00600DEE" w:rsidRDefault="00600DEE">
            <w:pPr>
              <w:pBdr>
                <w:top w:val="nil"/>
                <w:left w:val="nil"/>
                <w:bottom w:val="nil"/>
                <w:right w:val="nil"/>
                <w:between w:val="nil"/>
              </w:pBdr>
              <w:spacing w:before="20" w:after="20"/>
              <w:jc w:val="center"/>
              <w:rPr>
                <w:rFonts w:ascii="Calibri" w:eastAsia="Calibri" w:hAnsi="Calibri" w:cs="Calibri"/>
                <w:b/>
                <w:color w:val="4F81BD"/>
                <w:sz w:val="18"/>
                <w:szCs w:val="18"/>
              </w:rPr>
            </w:pPr>
          </w:p>
        </w:tc>
      </w:tr>
      <w:tr w:rsidR="00600DEE" w14:paraId="66DE53CF" w14:textId="77777777">
        <w:trPr>
          <w:trHeight w:val="169"/>
        </w:trPr>
        <w:tc>
          <w:tcPr>
            <w:tcW w:w="922" w:type="dxa"/>
            <w:tcBorders>
              <w:top w:val="single" w:sz="4" w:space="0" w:color="FFFFFF"/>
              <w:left w:val="single" w:sz="4" w:space="0" w:color="FFFFFF"/>
              <w:bottom w:val="single" w:sz="4" w:space="0" w:color="FFFFFF"/>
            </w:tcBorders>
            <w:shd w:val="clear" w:color="auto" w:fill="DBE5F1"/>
            <w:vAlign w:val="center"/>
          </w:tcPr>
          <w:p w14:paraId="6C69D701"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2</w:t>
            </w:r>
          </w:p>
        </w:tc>
        <w:tc>
          <w:tcPr>
            <w:tcW w:w="1678" w:type="dxa"/>
            <w:tcBorders>
              <w:top w:val="single" w:sz="4" w:space="0" w:color="FFFFFF"/>
              <w:left w:val="single" w:sz="4" w:space="0" w:color="FFFFFF"/>
              <w:bottom w:val="single" w:sz="4" w:space="0" w:color="FFFFFF"/>
            </w:tcBorders>
            <w:shd w:val="clear" w:color="auto" w:fill="DBE5F1"/>
            <w:vAlign w:val="center"/>
          </w:tcPr>
          <w:p w14:paraId="336A3B93"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0D7C33C6"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tcPr>
          <w:p w14:paraId="70DADD56"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right w:val="single" w:sz="4" w:space="0" w:color="FFFFFF"/>
            </w:tcBorders>
            <w:shd w:val="clear" w:color="auto" w:fill="DBE5F1"/>
          </w:tcPr>
          <w:p w14:paraId="176A251B"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vAlign w:val="center"/>
          </w:tcPr>
          <w:p w14:paraId="5E1E2FD5"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471DF2F8" w14:textId="77777777" w:rsidR="00600DEE" w:rsidRDefault="00600DEE">
            <w:pPr>
              <w:spacing w:before="20" w:after="20"/>
              <w:jc w:val="right"/>
              <w:rPr>
                <w:rFonts w:ascii="Calibri" w:eastAsia="Calibri" w:hAnsi="Calibri" w:cs="Calibri"/>
                <w:b/>
                <w:color w:val="4F81BD"/>
                <w:sz w:val="18"/>
                <w:szCs w:val="18"/>
              </w:rPr>
            </w:pPr>
          </w:p>
        </w:tc>
        <w:tc>
          <w:tcPr>
            <w:tcW w:w="1637"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2FEDFD8" w14:textId="77777777" w:rsidR="00600DEE" w:rsidRDefault="00600DEE">
            <w:pPr>
              <w:pBdr>
                <w:top w:val="nil"/>
                <w:left w:val="nil"/>
                <w:bottom w:val="nil"/>
                <w:right w:val="nil"/>
                <w:between w:val="nil"/>
              </w:pBdr>
              <w:spacing w:before="20" w:after="20"/>
              <w:jc w:val="center"/>
              <w:rPr>
                <w:rFonts w:ascii="Calibri" w:eastAsia="Calibri" w:hAnsi="Calibri" w:cs="Calibri"/>
                <w:b/>
                <w:color w:val="4F81BD"/>
                <w:sz w:val="18"/>
                <w:szCs w:val="18"/>
              </w:rPr>
            </w:pPr>
          </w:p>
        </w:tc>
      </w:tr>
      <w:tr w:rsidR="00600DEE" w14:paraId="4B8BB1E9" w14:textId="77777777">
        <w:trPr>
          <w:trHeight w:val="169"/>
        </w:trPr>
        <w:tc>
          <w:tcPr>
            <w:tcW w:w="922" w:type="dxa"/>
            <w:tcBorders>
              <w:top w:val="single" w:sz="4" w:space="0" w:color="FFFFFF"/>
              <w:left w:val="single" w:sz="4" w:space="0" w:color="FFFFFF"/>
              <w:bottom w:val="single" w:sz="4" w:space="0" w:color="FFFFFF"/>
            </w:tcBorders>
            <w:shd w:val="clear" w:color="auto" w:fill="DBE5F1"/>
            <w:vAlign w:val="center"/>
          </w:tcPr>
          <w:p w14:paraId="7A420D14"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3</w:t>
            </w:r>
          </w:p>
        </w:tc>
        <w:tc>
          <w:tcPr>
            <w:tcW w:w="1678" w:type="dxa"/>
            <w:tcBorders>
              <w:top w:val="single" w:sz="4" w:space="0" w:color="FFFFFF"/>
              <w:left w:val="single" w:sz="4" w:space="0" w:color="FFFFFF"/>
              <w:bottom w:val="single" w:sz="4" w:space="0" w:color="FFFFFF"/>
            </w:tcBorders>
            <w:shd w:val="clear" w:color="auto" w:fill="DBE5F1"/>
            <w:vAlign w:val="center"/>
          </w:tcPr>
          <w:p w14:paraId="52FCB326"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43718E73"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tcPr>
          <w:p w14:paraId="76729CDA"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right w:val="single" w:sz="4" w:space="0" w:color="FFFFFF"/>
            </w:tcBorders>
            <w:shd w:val="clear" w:color="auto" w:fill="DBE5F1"/>
          </w:tcPr>
          <w:p w14:paraId="25F8578D"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vAlign w:val="center"/>
          </w:tcPr>
          <w:p w14:paraId="4343758B"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0E012D9D" w14:textId="77777777" w:rsidR="00600DEE" w:rsidRDefault="00600DEE">
            <w:pPr>
              <w:spacing w:before="20" w:after="20"/>
              <w:jc w:val="right"/>
              <w:rPr>
                <w:rFonts w:ascii="Calibri" w:eastAsia="Calibri" w:hAnsi="Calibri" w:cs="Calibri"/>
                <w:b/>
                <w:color w:val="4F81BD"/>
                <w:sz w:val="18"/>
                <w:szCs w:val="18"/>
              </w:rPr>
            </w:pPr>
          </w:p>
        </w:tc>
        <w:tc>
          <w:tcPr>
            <w:tcW w:w="1637"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5E3FAAE3" w14:textId="77777777" w:rsidR="00600DEE" w:rsidRDefault="00600DEE">
            <w:pPr>
              <w:pBdr>
                <w:top w:val="nil"/>
                <w:left w:val="nil"/>
                <w:bottom w:val="nil"/>
                <w:right w:val="nil"/>
                <w:between w:val="nil"/>
              </w:pBdr>
              <w:spacing w:before="20" w:after="20"/>
              <w:jc w:val="center"/>
              <w:rPr>
                <w:rFonts w:ascii="Calibri" w:eastAsia="Calibri" w:hAnsi="Calibri" w:cs="Calibri"/>
                <w:b/>
                <w:color w:val="4F81BD"/>
                <w:sz w:val="18"/>
                <w:szCs w:val="18"/>
              </w:rPr>
            </w:pPr>
          </w:p>
        </w:tc>
      </w:tr>
      <w:tr w:rsidR="00600DEE" w14:paraId="5F1B7E5A" w14:textId="77777777">
        <w:trPr>
          <w:trHeight w:val="169"/>
        </w:trPr>
        <w:tc>
          <w:tcPr>
            <w:tcW w:w="922" w:type="dxa"/>
            <w:tcBorders>
              <w:top w:val="single" w:sz="4" w:space="0" w:color="FFFFFF"/>
              <w:left w:val="single" w:sz="4" w:space="0" w:color="FFFFFF"/>
              <w:bottom w:val="single" w:sz="4" w:space="0" w:color="FFFFFF"/>
            </w:tcBorders>
            <w:shd w:val="clear" w:color="auto" w:fill="DBE5F1"/>
            <w:vAlign w:val="center"/>
          </w:tcPr>
          <w:p w14:paraId="4935239E"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w:t>
            </w:r>
          </w:p>
        </w:tc>
        <w:tc>
          <w:tcPr>
            <w:tcW w:w="1678" w:type="dxa"/>
            <w:tcBorders>
              <w:top w:val="single" w:sz="4" w:space="0" w:color="FFFFFF"/>
              <w:left w:val="single" w:sz="4" w:space="0" w:color="FFFFFF"/>
              <w:bottom w:val="single" w:sz="4" w:space="0" w:color="FFFFFF"/>
            </w:tcBorders>
            <w:shd w:val="clear" w:color="auto" w:fill="DBE5F1"/>
            <w:vAlign w:val="center"/>
          </w:tcPr>
          <w:p w14:paraId="16A4346D"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347BECC6"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tcPr>
          <w:p w14:paraId="11374418"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right w:val="single" w:sz="4" w:space="0" w:color="FFFFFF"/>
            </w:tcBorders>
            <w:shd w:val="clear" w:color="auto" w:fill="DBE5F1"/>
          </w:tcPr>
          <w:p w14:paraId="103C103B"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vAlign w:val="center"/>
          </w:tcPr>
          <w:p w14:paraId="6B477428"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2F4022BC" w14:textId="77777777" w:rsidR="00600DEE" w:rsidRDefault="00600DEE">
            <w:pPr>
              <w:spacing w:before="20" w:after="20"/>
              <w:jc w:val="right"/>
              <w:rPr>
                <w:rFonts w:ascii="Calibri" w:eastAsia="Calibri" w:hAnsi="Calibri" w:cs="Calibri"/>
                <w:b/>
                <w:color w:val="4F81BD"/>
                <w:sz w:val="18"/>
                <w:szCs w:val="18"/>
              </w:rPr>
            </w:pPr>
          </w:p>
        </w:tc>
        <w:tc>
          <w:tcPr>
            <w:tcW w:w="1637"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A81580B" w14:textId="77777777" w:rsidR="00600DEE" w:rsidRDefault="00600DEE">
            <w:pPr>
              <w:pBdr>
                <w:top w:val="nil"/>
                <w:left w:val="nil"/>
                <w:bottom w:val="nil"/>
                <w:right w:val="nil"/>
                <w:between w:val="nil"/>
              </w:pBdr>
              <w:spacing w:before="20" w:after="20"/>
              <w:jc w:val="center"/>
              <w:rPr>
                <w:rFonts w:ascii="Calibri" w:eastAsia="Calibri" w:hAnsi="Calibri" w:cs="Calibri"/>
                <w:b/>
                <w:color w:val="4F81BD"/>
                <w:sz w:val="18"/>
                <w:szCs w:val="18"/>
              </w:rPr>
            </w:pPr>
          </w:p>
        </w:tc>
      </w:tr>
      <w:tr w:rsidR="00600DEE" w14:paraId="4A136587" w14:textId="77777777">
        <w:trPr>
          <w:trHeight w:val="169"/>
        </w:trPr>
        <w:tc>
          <w:tcPr>
            <w:tcW w:w="922" w:type="dxa"/>
            <w:tcBorders>
              <w:top w:val="single" w:sz="4" w:space="0" w:color="FFFFFF"/>
              <w:left w:val="single" w:sz="4" w:space="0" w:color="FFFFFF"/>
              <w:bottom w:val="single" w:sz="4" w:space="0" w:color="FFFFFF"/>
            </w:tcBorders>
            <w:shd w:val="clear" w:color="auto" w:fill="DBE5F1"/>
            <w:vAlign w:val="center"/>
          </w:tcPr>
          <w:p w14:paraId="3CCB332A"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25</w:t>
            </w:r>
          </w:p>
        </w:tc>
        <w:tc>
          <w:tcPr>
            <w:tcW w:w="1678" w:type="dxa"/>
            <w:tcBorders>
              <w:top w:val="single" w:sz="4" w:space="0" w:color="FFFFFF"/>
              <w:left w:val="single" w:sz="4" w:space="0" w:color="FFFFFF"/>
              <w:bottom w:val="single" w:sz="4" w:space="0" w:color="FFFFFF"/>
            </w:tcBorders>
            <w:shd w:val="clear" w:color="auto" w:fill="DBE5F1"/>
            <w:vAlign w:val="center"/>
          </w:tcPr>
          <w:p w14:paraId="5A769E62"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13A7046C"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tcPr>
          <w:p w14:paraId="09616F84"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right w:val="single" w:sz="4" w:space="0" w:color="FFFFFF"/>
            </w:tcBorders>
            <w:shd w:val="clear" w:color="auto" w:fill="DBE5F1"/>
          </w:tcPr>
          <w:p w14:paraId="79FFCAFB"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vAlign w:val="center"/>
          </w:tcPr>
          <w:p w14:paraId="651AE994"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547FD045" w14:textId="77777777" w:rsidR="00600DEE" w:rsidRDefault="00600DEE">
            <w:pPr>
              <w:spacing w:before="20" w:after="20"/>
              <w:jc w:val="right"/>
              <w:rPr>
                <w:rFonts w:ascii="Calibri" w:eastAsia="Calibri" w:hAnsi="Calibri" w:cs="Calibri"/>
                <w:b/>
                <w:color w:val="4F81BD"/>
                <w:sz w:val="18"/>
                <w:szCs w:val="18"/>
              </w:rPr>
            </w:pPr>
          </w:p>
        </w:tc>
        <w:tc>
          <w:tcPr>
            <w:tcW w:w="1637"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665CA6C" w14:textId="77777777" w:rsidR="00600DEE" w:rsidRDefault="00600DEE">
            <w:pPr>
              <w:pBdr>
                <w:top w:val="nil"/>
                <w:left w:val="nil"/>
                <w:bottom w:val="nil"/>
                <w:right w:val="nil"/>
                <w:between w:val="nil"/>
              </w:pBdr>
              <w:spacing w:before="20" w:after="20"/>
              <w:jc w:val="center"/>
              <w:rPr>
                <w:rFonts w:ascii="Calibri" w:eastAsia="Calibri" w:hAnsi="Calibri" w:cs="Calibri"/>
                <w:b/>
                <w:color w:val="4F81BD"/>
                <w:sz w:val="18"/>
                <w:szCs w:val="18"/>
              </w:rPr>
            </w:pPr>
          </w:p>
        </w:tc>
      </w:tr>
      <w:tr w:rsidR="00600DEE" w14:paraId="26B4C9C6" w14:textId="77777777">
        <w:trPr>
          <w:trHeight w:val="169"/>
        </w:trPr>
        <w:tc>
          <w:tcPr>
            <w:tcW w:w="922" w:type="dxa"/>
            <w:tcBorders>
              <w:top w:val="single" w:sz="4" w:space="0" w:color="FFFFFF"/>
              <w:left w:val="single" w:sz="4" w:space="0" w:color="FFFFFF"/>
              <w:bottom w:val="single" w:sz="4" w:space="0" w:color="FFFFFF"/>
            </w:tcBorders>
            <w:shd w:val="clear" w:color="auto" w:fill="DBE5F1"/>
            <w:vAlign w:val="center"/>
          </w:tcPr>
          <w:p w14:paraId="652AD324"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Razem</w:t>
            </w:r>
          </w:p>
        </w:tc>
        <w:tc>
          <w:tcPr>
            <w:tcW w:w="1678" w:type="dxa"/>
            <w:tcBorders>
              <w:top w:val="single" w:sz="4" w:space="0" w:color="FFFFFF"/>
              <w:left w:val="single" w:sz="4" w:space="0" w:color="FFFFFF"/>
              <w:bottom w:val="single" w:sz="4" w:space="0" w:color="FFFFFF"/>
            </w:tcBorders>
            <w:shd w:val="clear" w:color="auto" w:fill="DBE5F1"/>
            <w:vAlign w:val="center"/>
          </w:tcPr>
          <w:p w14:paraId="36F309E2"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24CEFBF8"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tcPr>
          <w:p w14:paraId="33A51CE8"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right w:val="single" w:sz="4" w:space="0" w:color="FFFFFF"/>
            </w:tcBorders>
            <w:shd w:val="clear" w:color="auto" w:fill="DBE5F1"/>
          </w:tcPr>
          <w:p w14:paraId="6052B284" w14:textId="77777777" w:rsidR="00600DEE" w:rsidRDefault="00600DEE">
            <w:pPr>
              <w:spacing w:before="20" w:after="20"/>
              <w:jc w:val="right"/>
              <w:rPr>
                <w:rFonts w:ascii="Calibri" w:eastAsia="Calibri" w:hAnsi="Calibri" w:cs="Calibri"/>
                <w:b/>
                <w:color w:val="4F81BD"/>
                <w:sz w:val="18"/>
                <w:szCs w:val="18"/>
              </w:rPr>
            </w:pPr>
          </w:p>
        </w:tc>
        <w:tc>
          <w:tcPr>
            <w:tcW w:w="1678" w:type="dxa"/>
            <w:tcBorders>
              <w:top w:val="single" w:sz="4" w:space="0" w:color="FFFFFF"/>
              <w:left w:val="single" w:sz="4" w:space="0" w:color="FFFFFF"/>
              <w:bottom w:val="single" w:sz="4" w:space="0" w:color="FFFFFF"/>
            </w:tcBorders>
            <w:shd w:val="clear" w:color="auto" w:fill="DBE5F1"/>
            <w:vAlign w:val="center"/>
          </w:tcPr>
          <w:p w14:paraId="5F9761AB" w14:textId="77777777" w:rsidR="00600DEE" w:rsidRDefault="00600DEE">
            <w:pPr>
              <w:spacing w:before="20" w:after="20"/>
              <w:jc w:val="right"/>
              <w:rPr>
                <w:rFonts w:ascii="Calibri" w:eastAsia="Calibri" w:hAnsi="Calibri" w:cs="Calibri"/>
                <w:b/>
                <w:color w:val="4F81BD"/>
                <w:sz w:val="18"/>
                <w:szCs w:val="18"/>
              </w:rPr>
            </w:pPr>
          </w:p>
        </w:tc>
        <w:tc>
          <w:tcPr>
            <w:tcW w:w="1680" w:type="dxa"/>
            <w:tcBorders>
              <w:top w:val="single" w:sz="4" w:space="0" w:color="FFFFFF"/>
              <w:left w:val="single" w:sz="4" w:space="0" w:color="FFFFFF"/>
              <w:bottom w:val="single" w:sz="4" w:space="0" w:color="FFFFFF"/>
            </w:tcBorders>
            <w:shd w:val="clear" w:color="auto" w:fill="DBE5F1"/>
            <w:vAlign w:val="center"/>
          </w:tcPr>
          <w:p w14:paraId="4D8AD6A7" w14:textId="77777777" w:rsidR="00600DEE" w:rsidRDefault="00600DEE">
            <w:pPr>
              <w:spacing w:before="20" w:after="20"/>
              <w:jc w:val="right"/>
              <w:rPr>
                <w:rFonts w:ascii="Calibri" w:eastAsia="Calibri" w:hAnsi="Calibri" w:cs="Calibri"/>
                <w:b/>
                <w:color w:val="4F81BD"/>
                <w:sz w:val="18"/>
                <w:szCs w:val="18"/>
              </w:rPr>
            </w:pPr>
          </w:p>
        </w:tc>
        <w:tc>
          <w:tcPr>
            <w:tcW w:w="1637"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259B655" w14:textId="77777777" w:rsidR="00600DEE" w:rsidRDefault="00600DEE">
            <w:pPr>
              <w:pBdr>
                <w:top w:val="nil"/>
                <w:left w:val="nil"/>
                <w:bottom w:val="nil"/>
                <w:right w:val="nil"/>
                <w:between w:val="nil"/>
              </w:pBdr>
              <w:spacing w:before="20" w:after="20"/>
              <w:jc w:val="center"/>
              <w:rPr>
                <w:rFonts w:ascii="Calibri" w:eastAsia="Calibri" w:hAnsi="Calibri" w:cs="Calibri"/>
                <w:b/>
                <w:color w:val="4F81BD"/>
                <w:sz w:val="18"/>
                <w:szCs w:val="18"/>
              </w:rPr>
            </w:pPr>
          </w:p>
        </w:tc>
      </w:tr>
    </w:tbl>
    <w:p w14:paraId="00AD842E" w14:textId="77777777" w:rsidR="00600DEE" w:rsidRDefault="00641FB5">
      <w:pPr>
        <w:pBdr>
          <w:top w:val="nil"/>
          <w:left w:val="nil"/>
          <w:bottom w:val="nil"/>
          <w:right w:val="nil"/>
          <w:between w:val="nil"/>
        </w:pBdr>
        <w:spacing w:before="120"/>
        <w:jc w:val="both"/>
        <w:rPr>
          <w:rFonts w:ascii="Calibri" w:eastAsia="Calibri" w:hAnsi="Calibri" w:cs="Calibri"/>
          <w:b/>
          <w:i/>
          <w:color w:val="000000"/>
          <w:sz w:val="16"/>
          <w:szCs w:val="16"/>
        </w:rPr>
      </w:pPr>
      <w:r>
        <w:rPr>
          <w:rFonts w:ascii="Calibri" w:eastAsia="Calibri" w:hAnsi="Calibri" w:cs="Calibri"/>
          <w:b/>
          <w:i/>
          <w:color w:val="000000"/>
          <w:sz w:val="16"/>
          <w:szCs w:val="16"/>
        </w:rPr>
        <w:t>Źródło: opracowanie własne.</w:t>
      </w:r>
    </w:p>
    <w:p w14:paraId="1BB4849F" w14:textId="77777777" w:rsidR="00600DEE" w:rsidRDefault="00641FB5">
      <w:pPr>
        <w:pBdr>
          <w:top w:val="nil"/>
          <w:left w:val="nil"/>
          <w:bottom w:val="nil"/>
          <w:right w:val="nil"/>
          <w:between w:val="nil"/>
        </w:pBdr>
        <w:spacing w:before="120"/>
        <w:jc w:val="both"/>
        <w:rPr>
          <w:rFonts w:ascii="Calibri" w:eastAsia="Calibri" w:hAnsi="Calibri" w:cs="Calibri"/>
          <w:i/>
          <w:color w:val="000000"/>
          <w:sz w:val="20"/>
          <w:szCs w:val="20"/>
        </w:rPr>
      </w:pPr>
      <w:r>
        <w:rPr>
          <w:rFonts w:ascii="Calibri" w:eastAsia="Calibri" w:hAnsi="Calibri" w:cs="Calibri"/>
          <w:i/>
          <w:color w:val="000000"/>
          <w:sz w:val="20"/>
          <w:szCs w:val="20"/>
        </w:rPr>
        <w:t>Wartości w tabeli należy podać tylko w latach eksploatacji nowej infrastruktury.</w:t>
      </w:r>
    </w:p>
    <w:p w14:paraId="77508C2B" w14:textId="4C73D3CF" w:rsidR="00600DEE" w:rsidRPr="0045151D" w:rsidRDefault="007E2ECA">
      <w:pPr>
        <w:pBdr>
          <w:top w:val="nil"/>
          <w:left w:val="nil"/>
          <w:bottom w:val="nil"/>
          <w:right w:val="nil"/>
          <w:between w:val="nil"/>
        </w:pBdr>
        <w:spacing w:before="120" w:after="120"/>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24</w:t>
      </w:r>
      <w:r w:rsidR="00641FB5" w:rsidRPr="0045151D">
        <w:rPr>
          <w:rFonts w:ascii="Calibri" w:eastAsia="Calibri" w:hAnsi="Calibri" w:cs="Calibri"/>
          <w:b/>
          <w:color w:val="4F81BD"/>
          <w:sz w:val="20"/>
          <w:szCs w:val="20"/>
          <w:lang w:val="en-GB"/>
        </w:rPr>
        <w:t>a. Economic benefits and costs of a project, undiscounted</w:t>
      </w:r>
    </w:p>
    <w:tbl>
      <w:tblPr>
        <w:tblStyle w:val="afffffc"/>
        <w:tblW w:w="12675" w:type="dxa"/>
        <w:tblInd w:w="108" w:type="dxa"/>
        <w:tblLayout w:type="fixed"/>
        <w:tblLook w:val="0000" w:firstRow="0" w:lastRow="0" w:firstColumn="0" w:lastColumn="0" w:noHBand="0" w:noVBand="0"/>
      </w:tblPr>
      <w:tblGrid>
        <w:gridCol w:w="925"/>
        <w:gridCol w:w="1684"/>
        <w:gridCol w:w="1686"/>
        <w:gridCol w:w="1684"/>
        <w:gridCol w:w="1684"/>
        <w:gridCol w:w="1684"/>
        <w:gridCol w:w="1686"/>
        <w:gridCol w:w="1642"/>
      </w:tblGrid>
      <w:tr w:rsidR="00600DEE" w14:paraId="50537D14" w14:textId="77777777">
        <w:trPr>
          <w:trHeight w:val="1274"/>
        </w:trPr>
        <w:tc>
          <w:tcPr>
            <w:tcW w:w="925" w:type="dxa"/>
            <w:tcBorders>
              <w:top w:val="single" w:sz="4" w:space="0" w:color="FFFFFF"/>
              <w:left w:val="single" w:sz="4" w:space="0" w:color="FFFFFF"/>
              <w:bottom w:val="single" w:sz="4" w:space="0" w:color="FFFFFF"/>
            </w:tcBorders>
            <w:shd w:val="clear" w:color="auto" w:fill="A6A6A6"/>
            <w:vAlign w:val="center"/>
          </w:tcPr>
          <w:p w14:paraId="681E531B"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Year</w:t>
            </w:r>
          </w:p>
        </w:tc>
        <w:tc>
          <w:tcPr>
            <w:tcW w:w="1684" w:type="dxa"/>
            <w:tcBorders>
              <w:top w:val="single" w:sz="4" w:space="0" w:color="FFFFFF"/>
              <w:left w:val="single" w:sz="4" w:space="0" w:color="FFFFFF"/>
              <w:bottom w:val="single" w:sz="4" w:space="0" w:color="FFFFFF"/>
            </w:tcBorders>
            <w:shd w:val="clear" w:color="auto" w:fill="A6A6A6"/>
            <w:vAlign w:val="center"/>
          </w:tcPr>
          <w:p w14:paraId="6E67103E"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Time benefits/ costs of vehicle users</w:t>
            </w:r>
          </w:p>
        </w:tc>
        <w:tc>
          <w:tcPr>
            <w:tcW w:w="1686" w:type="dxa"/>
            <w:tcBorders>
              <w:top w:val="single" w:sz="4" w:space="0" w:color="FFFFFF"/>
              <w:left w:val="single" w:sz="4" w:space="0" w:color="FFFFFF"/>
              <w:bottom w:val="single" w:sz="4" w:space="0" w:color="FFFFFF"/>
            </w:tcBorders>
            <w:shd w:val="clear" w:color="auto" w:fill="A6A6A6"/>
            <w:vAlign w:val="center"/>
          </w:tcPr>
          <w:p w14:paraId="02E707C6"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Vehicle operating benefits/ costs</w:t>
            </w:r>
          </w:p>
        </w:tc>
        <w:tc>
          <w:tcPr>
            <w:tcW w:w="1684" w:type="dxa"/>
            <w:tcBorders>
              <w:top w:val="single" w:sz="4" w:space="0" w:color="FFFFFF"/>
              <w:left w:val="single" w:sz="4" w:space="0" w:color="FFFFFF"/>
              <w:bottom w:val="single" w:sz="4" w:space="0" w:color="FFFFFF"/>
            </w:tcBorders>
            <w:shd w:val="clear" w:color="auto" w:fill="A6A6A6"/>
            <w:vAlign w:val="center"/>
          </w:tcPr>
          <w:p w14:paraId="33BCEB12" w14:textId="77777777" w:rsidR="007E2ECA" w:rsidRDefault="00641FB5" w:rsidP="007E2ECA">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Accident </w:t>
            </w:r>
          </w:p>
          <w:p w14:paraId="7421E41C" w14:textId="4D2F898E" w:rsidR="00600DEE" w:rsidRDefault="00641FB5" w:rsidP="007E2ECA">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benefits/ costs</w:t>
            </w:r>
          </w:p>
        </w:tc>
        <w:tc>
          <w:tcPr>
            <w:tcW w:w="1684"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338F451"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Air pollution benefits/ costs</w:t>
            </w:r>
          </w:p>
        </w:tc>
        <w:tc>
          <w:tcPr>
            <w:tcW w:w="1684" w:type="dxa"/>
            <w:tcBorders>
              <w:top w:val="single" w:sz="4" w:space="0" w:color="FFFFFF"/>
              <w:left w:val="single" w:sz="4" w:space="0" w:color="FFFFFF"/>
              <w:bottom w:val="single" w:sz="4" w:space="0" w:color="FFFFFF"/>
            </w:tcBorders>
            <w:shd w:val="clear" w:color="auto" w:fill="A6A6A6"/>
            <w:vAlign w:val="center"/>
          </w:tcPr>
          <w:p w14:paraId="4B01B8CB"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Climate change benefits/ costs</w:t>
            </w:r>
          </w:p>
        </w:tc>
        <w:tc>
          <w:tcPr>
            <w:tcW w:w="1686" w:type="dxa"/>
            <w:tcBorders>
              <w:top w:val="single" w:sz="4" w:space="0" w:color="FFFFFF"/>
              <w:left w:val="single" w:sz="4" w:space="0" w:color="FFFFFF"/>
              <w:bottom w:val="single" w:sz="4" w:space="0" w:color="FFFFFF"/>
            </w:tcBorders>
            <w:shd w:val="clear" w:color="auto" w:fill="A6A6A6"/>
            <w:vAlign w:val="center"/>
          </w:tcPr>
          <w:p w14:paraId="1C1B16C5"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Noise benefits/ costs</w:t>
            </w:r>
          </w:p>
          <w:p w14:paraId="564540EF" w14:textId="77777777" w:rsidR="00600DEE" w:rsidRDefault="00600DEE">
            <w:pPr>
              <w:spacing w:before="20" w:after="20"/>
              <w:jc w:val="center"/>
              <w:rPr>
                <w:rFonts w:ascii="Calibri" w:eastAsia="Calibri" w:hAnsi="Calibri" w:cs="Calibri"/>
                <w:b/>
                <w:color w:val="FFFFFF"/>
                <w:sz w:val="18"/>
                <w:szCs w:val="18"/>
              </w:rPr>
            </w:pPr>
          </w:p>
        </w:tc>
        <w:tc>
          <w:tcPr>
            <w:tcW w:w="1642"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39D8E199"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Total</w:t>
            </w:r>
          </w:p>
        </w:tc>
      </w:tr>
      <w:tr w:rsidR="00600DEE" w14:paraId="5105D6E5" w14:textId="77777777">
        <w:trPr>
          <w:trHeight w:val="168"/>
        </w:trPr>
        <w:tc>
          <w:tcPr>
            <w:tcW w:w="925" w:type="dxa"/>
            <w:tcBorders>
              <w:top w:val="single" w:sz="4" w:space="0" w:color="FFFFFF"/>
              <w:left w:val="single" w:sz="4" w:space="0" w:color="FFFFFF"/>
              <w:bottom w:val="single" w:sz="4" w:space="0" w:color="FFFFFF"/>
            </w:tcBorders>
            <w:shd w:val="clear" w:color="auto" w:fill="DBE5F1"/>
            <w:vAlign w:val="center"/>
          </w:tcPr>
          <w:p w14:paraId="2DF24195"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1</w:t>
            </w:r>
          </w:p>
        </w:tc>
        <w:tc>
          <w:tcPr>
            <w:tcW w:w="1684" w:type="dxa"/>
            <w:tcBorders>
              <w:top w:val="single" w:sz="4" w:space="0" w:color="FFFFFF"/>
              <w:left w:val="single" w:sz="4" w:space="0" w:color="FFFFFF"/>
              <w:bottom w:val="single" w:sz="4" w:space="0" w:color="FFFFFF"/>
            </w:tcBorders>
            <w:shd w:val="clear" w:color="auto" w:fill="DBE5F1"/>
            <w:vAlign w:val="center"/>
          </w:tcPr>
          <w:p w14:paraId="41CAB863"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19107DD7"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tcPr>
          <w:p w14:paraId="28B86CB6"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right w:val="single" w:sz="4" w:space="0" w:color="FFFFFF"/>
            </w:tcBorders>
            <w:shd w:val="clear" w:color="auto" w:fill="DBE5F1"/>
          </w:tcPr>
          <w:p w14:paraId="462F4028"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vAlign w:val="center"/>
          </w:tcPr>
          <w:p w14:paraId="1DBD27A8"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7CA72BCC" w14:textId="77777777" w:rsidR="00600DEE" w:rsidRDefault="00600DEE">
            <w:pPr>
              <w:spacing w:before="20" w:after="20"/>
              <w:jc w:val="right"/>
              <w:rPr>
                <w:rFonts w:ascii="Calibri" w:eastAsia="Calibri" w:hAnsi="Calibri" w:cs="Calibri"/>
                <w:color w:val="4F81BD"/>
                <w:sz w:val="18"/>
                <w:szCs w:val="18"/>
              </w:rPr>
            </w:pPr>
          </w:p>
        </w:tc>
        <w:tc>
          <w:tcPr>
            <w:tcW w:w="1642"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34483429" w14:textId="77777777" w:rsidR="00600DEE" w:rsidRDefault="00600DEE">
            <w:pPr>
              <w:pBdr>
                <w:top w:val="nil"/>
                <w:left w:val="nil"/>
                <w:bottom w:val="nil"/>
                <w:right w:val="nil"/>
                <w:between w:val="nil"/>
              </w:pBdr>
              <w:spacing w:before="20" w:after="20"/>
              <w:jc w:val="center"/>
              <w:rPr>
                <w:rFonts w:ascii="Calibri" w:eastAsia="Calibri" w:hAnsi="Calibri" w:cs="Calibri"/>
                <w:color w:val="4F81BD"/>
                <w:sz w:val="18"/>
                <w:szCs w:val="18"/>
              </w:rPr>
            </w:pPr>
          </w:p>
        </w:tc>
      </w:tr>
      <w:tr w:rsidR="00600DEE" w14:paraId="42098E5C" w14:textId="77777777">
        <w:trPr>
          <w:trHeight w:val="168"/>
        </w:trPr>
        <w:tc>
          <w:tcPr>
            <w:tcW w:w="925" w:type="dxa"/>
            <w:tcBorders>
              <w:top w:val="single" w:sz="4" w:space="0" w:color="FFFFFF"/>
              <w:left w:val="single" w:sz="4" w:space="0" w:color="FFFFFF"/>
              <w:bottom w:val="single" w:sz="4" w:space="0" w:color="FFFFFF"/>
            </w:tcBorders>
            <w:shd w:val="clear" w:color="auto" w:fill="DBE5F1"/>
            <w:vAlign w:val="center"/>
          </w:tcPr>
          <w:p w14:paraId="6811EC66"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2</w:t>
            </w:r>
          </w:p>
        </w:tc>
        <w:tc>
          <w:tcPr>
            <w:tcW w:w="1684" w:type="dxa"/>
            <w:tcBorders>
              <w:top w:val="single" w:sz="4" w:space="0" w:color="FFFFFF"/>
              <w:left w:val="single" w:sz="4" w:space="0" w:color="FFFFFF"/>
              <w:bottom w:val="single" w:sz="4" w:space="0" w:color="FFFFFF"/>
            </w:tcBorders>
            <w:shd w:val="clear" w:color="auto" w:fill="DBE5F1"/>
            <w:vAlign w:val="center"/>
          </w:tcPr>
          <w:p w14:paraId="12A703C3"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2C48093D"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tcPr>
          <w:p w14:paraId="629721E1"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right w:val="single" w:sz="4" w:space="0" w:color="FFFFFF"/>
            </w:tcBorders>
            <w:shd w:val="clear" w:color="auto" w:fill="DBE5F1"/>
          </w:tcPr>
          <w:p w14:paraId="5AFBA1D5"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vAlign w:val="center"/>
          </w:tcPr>
          <w:p w14:paraId="027C5434"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76B710F9" w14:textId="77777777" w:rsidR="00600DEE" w:rsidRDefault="00600DEE">
            <w:pPr>
              <w:spacing w:before="20" w:after="20"/>
              <w:jc w:val="right"/>
              <w:rPr>
                <w:rFonts w:ascii="Calibri" w:eastAsia="Calibri" w:hAnsi="Calibri" w:cs="Calibri"/>
                <w:color w:val="4F81BD"/>
                <w:sz w:val="18"/>
                <w:szCs w:val="18"/>
              </w:rPr>
            </w:pPr>
          </w:p>
        </w:tc>
        <w:tc>
          <w:tcPr>
            <w:tcW w:w="1642"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813289A" w14:textId="77777777" w:rsidR="00600DEE" w:rsidRDefault="00600DEE">
            <w:pPr>
              <w:pBdr>
                <w:top w:val="nil"/>
                <w:left w:val="nil"/>
                <w:bottom w:val="nil"/>
                <w:right w:val="nil"/>
                <w:between w:val="nil"/>
              </w:pBdr>
              <w:spacing w:before="20" w:after="20"/>
              <w:jc w:val="center"/>
              <w:rPr>
                <w:rFonts w:ascii="Calibri" w:eastAsia="Calibri" w:hAnsi="Calibri" w:cs="Calibri"/>
                <w:color w:val="4F81BD"/>
                <w:sz w:val="18"/>
                <w:szCs w:val="18"/>
              </w:rPr>
            </w:pPr>
          </w:p>
        </w:tc>
      </w:tr>
      <w:tr w:rsidR="00600DEE" w14:paraId="23AD2BD5" w14:textId="77777777">
        <w:trPr>
          <w:trHeight w:val="168"/>
        </w:trPr>
        <w:tc>
          <w:tcPr>
            <w:tcW w:w="925" w:type="dxa"/>
            <w:tcBorders>
              <w:top w:val="single" w:sz="4" w:space="0" w:color="FFFFFF"/>
              <w:left w:val="single" w:sz="4" w:space="0" w:color="FFFFFF"/>
              <w:bottom w:val="single" w:sz="4" w:space="0" w:color="FFFFFF"/>
            </w:tcBorders>
            <w:shd w:val="clear" w:color="auto" w:fill="DBE5F1"/>
            <w:vAlign w:val="center"/>
          </w:tcPr>
          <w:p w14:paraId="03A74747"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3</w:t>
            </w:r>
          </w:p>
        </w:tc>
        <w:tc>
          <w:tcPr>
            <w:tcW w:w="1684" w:type="dxa"/>
            <w:tcBorders>
              <w:top w:val="single" w:sz="4" w:space="0" w:color="FFFFFF"/>
              <w:left w:val="single" w:sz="4" w:space="0" w:color="FFFFFF"/>
              <w:bottom w:val="single" w:sz="4" w:space="0" w:color="FFFFFF"/>
            </w:tcBorders>
            <w:shd w:val="clear" w:color="auto" w:fill="DBE5F1"/>
            <w:vAlign w:val="center"/>
          </w:tcPr>
          <w:p w14:paraId="436618D4"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3ED35309"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tcPr>
          <w:p w14:paraId="4C2547D3"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right w:val="single" w:sz="4" w:space="0" w:color="FFFFFF"/>
            </w:tcBorders>
            <w:shd w:val="clear" w:color="auto" w:fill="DBE5F1"/>
          </w:tcPr>
          <w:p w14:paraId="4D415566"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vAlign w:val="center"/>
          </w:tcPr>
          <w:p w14:paraId="5E760B89"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71A56CAB" w14:textId="77777777" w:rsidR="00600DEE" w:rsidRDefault="00600DEE">
            <w:pPr>
              <w:spacing w:before="20" w:after="20"/>
              <w:jc w:val="right"/>
              <w:rPr>
                <w:rFonts w:ascii="Calibri" w:eastAsia="Calibri" w:hAnsi="Calibri" w:cs="Calibri"/>
                <w:color w:val="4F81BD"/>
                <w:sz w:val="18"/>
                <w:szCs w:val="18"/>
              </w:rPr>
            </w:pPr>
          </w:p>
        </w:tc>
        <w:tc>
          <w:tcPr>
            <w:tcW w:w="1642"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246DD85" w14:textId="77777777" w:rsidR="00600DEE" w:rsidRDefault="00600DEE">
            <w:pPr>
              <w:pBdr>
                <w:top w:val="nil"/>
                <w:left w:val="nil"/>
                <w:bottom w:val="nil"/>
                <w:right w:val="nil"/>
                <w:between w:val="nil"/>
              </w:pBdr>
              <w:spacing w:before="20" w:after="20"/>
              <w:jc w:val="center"/>
              <w:rPr>
                <w:rFonts w:ascii="Calibri" w:eastAsia="Calibri" w:hAnsi="Calibri" w:cs="Calibri"/>
                <w:color w:val="4F81BD"/>
                <w:sz w:val="18"/>
                <w:szCs w:val="18"/>
              </w:rPr>
            </w:pPr>
          </w:p>
        </w:tc>
      </w:tr>
      <w:tr w:rsidR="00600DEE" w14:paraId="57FEF30F" w14:textId="77777777">
        <w:trPr>
          <w:trHeight w:val="168"/>
        </w:trPr>
        <w:tc>
          <w:tcPr>
            <w:tcW w:w="925" w:type="dxa"/>
            <w:tcBorders>
              <w:top w:val="single" w:sz="4" w:space="0" w:color="FFFFFF"/>
              <w:left w:val="single" w:sz="4" w:space="0" w:color="FFFFFF"/>
              <w:bottom w:val="single" w:sz="4" w:space="0" w:color="FFFFFF"/>
            </w:tcBorders>
            <w:shd w:val="clear" w:color="auto" w:fill="DBE5F1"/>
            <w:vAlign w:val="center"/>
          </w:tcPr>
          <w:p w14:paraId="45774F3D"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w:t>
            </w:r>
          </w:p>
        </w:tc>
        <w:tc>
          <w:tcPr>
            <w:tcW w:w="1684" w:type="dxa"/>
            <w:tcBorders>
              <w:top w:val="single" w:sz="4" w:space="0" w:color="FFFFFF"/>
              <w:left w:val="single" w:sz="4" w:space="0" w:color="FFFFFF"/>
              <w:bottom w:val="single" w:sz="4" w:space="0" w:color="FFFFFF"/>
            </w:tcBorders>
            <w:shd w:val="clear" w:color="auto" w:fill="DBE5F1"/>
            <w:vAlign w:val="center"/>
          </w:tcPr>
          <w:p w14:paraId="0D27AE3B"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4653C375"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tcPr>
          <w:p w14:paraId="167E37EC"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right w:val="single" w:sz="4" w:space="0" w:color="FFFFFF"/>
            </w:tcBorders>
            <w:shd w:val="clear" w:color="auto" w:fill="DBE5F1"/>
          </w:tcPr>
          <w:p w14:paraId="0334191A"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vAlign w:val="center"/>
          </w:tcPr>
          <w:p w14:paraId="00B3AF0D"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084F2679" w14:textId="77777777" w:rsidR="00600DEE" w:rsidRDefault="00600DEE">
            <w:pPr>
              <w:spacing w:before="20" w:after="20"/>
              <w:jc w:val="right"/>
              <w:rPr>
                <w:rFonts w:ascii="Calibri" w:eastAsia="Calibri" w:hAnsi="Calibri" w:cs="Calibri"/>
                <w:color w:val="4F81BD"/>
                <w:sz w:val="18"/>
                <w:szCs w:val="18"/>
              </w:rPr>
            </w:pPr>
          </w:p>
        </w:tc>
        <w:tc>
          <w:tcPr>
            <w:tcW w:w="1642"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5F83A287" w14:textId="77777777" w:rsidR="00600DEE" w:rsidRDefault="00600DEE">
            <w:pPr>
              <w:pBdr>
                <w:top w:val="nil"/>
                <w:left w:val="nil"/>
                <w:bottom w:val="nil"/>
                <w:right w:val="nil"/>
                <w:between w:val="nil"/>
              </w:pBdr>
              <w:spacing w:before="20" w:after="20"/>
              <w:jc w:val="center"/>
              <w:rPr>
                <w:rFonts w:ascii="Calibri" w:eastAsia="Calibri" w:hAnsi="Calibri" w:cs="Calibri"/>
                <w:color w:val="4F81BD"/>
                <w:sz w:val="18"/>
                <w:szCs w:val="18"/>
              </w:rPr>
            </w:pPr>
          </w:p>
        </w:tc>
      </w:tr>
      <w:tr w:rsidR="00600DEE" w14:paraId="77DA29FA" w14:textId="77777777">
        <w:trPr>
          <w:trHeight w:val="168"/>
        </w:trPr>
        <w:tc>
          <w:tcPr>
            <w:tcW w:w="925" w:type="dxa"/>
            <w:tcBorders>
              <w:top w:val="single" w:sz="4" w:space="0" w:color="FFFFFF"/>
              <w:left w:val="single" w:sz="4" w:space="0" w:color="FFFFFF"/>
              <w:bottom w:val="single" w:sz="4" w:space="0" w:color="FFFFFF"/>
            </w:tcBorders>
            <w:shd w:val="clear" w:color="auto" w:fill="DBE5F1"/>
            <w:vAlign w:val="center"/>
          </w:tcPr>
          <w:p w14:paraId="6ABF6694"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25</w:t>
            </w:r>
          </w:p>
        </w:tc>
        <w:tc>
          <w:tcPr>
            <w:tcW w:w="1684" w:type="dxa"/>
            <w:tcBorders>
              <w:top w:val="single" w:sz="4" w:space="0" w:color="FFFFFF"/>
              <w:left w:val="single" w:sz="4" w:space="0" w:color="FFFFFF"/>
              <w:bottom w:val="single" w:sz="4" w:space="0" w:color="FFFFFF"/>
            </w:tcBorders>
            <w:shd w:val="clear" w:color="auto" w:fill="DBE5F1"/>
            <w:vAlign w:val="center"/>
          </w:tcPr>
          <w:p w14:paraId="4BCF3DB1"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687E87CA"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tcPr>
          <w:p w14:paraId="592C3E14"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right w:val="single" w:sz="4" w:space="0" w:color="FFFFFF"/>
            </w:tcBorders>
            <w:shd w:val="clear" w:color="auto" w:fill="DBE5F1"/>
          </w:tcPr>
          <w:p w14:paraId="11565C1C"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vAlign w:val="center"/>
          </w:tcPr>
          <w:p w14:paraId="391865A7"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78009C72" w14:textId="77777777" w:rsidR="00600DEE" w:rsidRDefault="00600DEE">
            <w:pPr>
              <w:spacing w:before="20" w:after="20"/>
              <w:jc w:val="right"/>
              <w:rPr>
                <w:rFonts w:ascii="Calibri" w:eastAsia="Calibri" w:hAnsi="Calibri" w:cs="Calibri"/>
                <w:color w:val="4F81BD"/>
                <w:sz w:val="18"/>
                <w:szCs w:val="18"/>
              </w:rPr>
            </w:pPr>
          </w:p>
        </w:tc>
        <w:tc>
          <w:tcPr>
            <w:tcW w:w="1642"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A7EA704" w14:textId="77777777" w:rsidR="00600DEE" w:rsidRDefault="00600DEE">
            <w:pPr>
              <w:pBdr>
                <w:top w:val="nil"/>
                <w:left w:val="nil"/>
                <w:bottom w:val="nil"/>
                <w:right w:val="nil"/>
                <w:between w:val="nil"/>
              </w:pBdr>
              <w:spacing w:before="20" w:after="20"/>
              <w:jc w:val="center"/>
              <w:rPr>
                <w:rFonts w:ascii="Calibri" w:eastAsia="Calibri" w:hAnsi="Calibri" w:cs="Calibri"/>
                <w:color w:val="4F81BD"/>
                <w:sz w:val="18"/>
                <w:szCs w:val="18"/>
              </w:rPr>
            </w:pPr>
          </w:p>
        </w:tc>
      </w:tr>
      <w:tr w:rsidR="00600DEE" w14:paraId="5E249B61" w14:textId="77777777">
        <w:trPr>
          <w:trHeight w:val="168"/>
        </w:trPr>
        <w:tc>
          <w:tcPr>
            <w:tcW w:w="925" w:type="dxa"/>
            <w:tcBorders>
              <w:top w:val="single" w:sz="4" w:space="0" w:color="FFFFFF"/>
              <w:left w:val="single" w:sz="4" w:space="0" w:color="FFFFFF"/>
              <w:bottom w:val="single" w:sz="4" w:space="0" w:color="FFFFFF"/>
            </w:tcBorders>
            <w:shd w:val="clear" w:color="auto" w:fill="DBE5F1"/>
            <w:vAlign w:val="center"/>
          </w:tcPr>
          <w:p w14:paraId="078960BF"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Total</w:t>
            </w:r>
          </w:p>
        </w:tc>
        <w:tc>
          <w:tcPr>
            <w:tcW w:w="1684" w:type="dxa"/>
            <w:tcBorders>
              <w:top w:val="single" w:sz="4" w:space="0" w:color="FFFFFF"/>
              <w:left w:val="single" w:sz="4" w:space="0" w:color="FFFFFF"/>
              <w:bottom w:val="single" w:sz="4" w:space="0" w:color="FFFFFF"/>
            </w:tcBorders>
            <w:shd w:val="clear" w:color="auto" w:fill="DBE5F1"/>
            <w:vAlign w:val="center"/>
          </w:tcPr>
          <w:p w14:paraId="3C513BDB"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13720A71"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tcPr>
          <w:p w14:paraId="19074847"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right w:val="single" w:sz="4" w:space="0" w:color="FFFFFF"/>
            </w:tcBorders>
            <w:shd w:val="clear" w:color="auto" w:fill="DBE5F1"/>
          </w:tcPr>
          <w:p w14:paraId="476C7A40" w14:textId="77777777" w:rsidR="00600DEE" w:rsidRDefault="00600DEE">
            <w:pPr>
              <w:spacing w:before="20" w:after="20"/>
              <w:jc w:val="right"/>
              <w:rPr>
                <w:rFonts w:ascii="Calibri" w:eastAsia="Calibri" w:hAnsi="Calibri" w:cs="Calibri"/>
                <w:color w:val="4F81BD"/>
                <w:sz w:val="18"/>
                <w:szCs w:val="18"/>
              </w:rPr>
            </w:pPr>
          </w:p>
        </w:tc>
        <w:tc>
          <w:tcPr>
            <w:tcW w:w="1684" w:type="dxa"/>
            <w:tcBorders>
              <w:top w:val="single" w:sz="4" w:space="0" w:color="FFFFFF"/>
              <w:left w:val="single" w:sz="4" w:space="0" w:color="FFFFFF"/>
              <w:bottom w:val="single" w:sz="4" w:space="0" w:color="FFFFFF"/>
            </w:tcBorders>
            <w:shd w:val="clear" w:color="auto" w:fill="DBE5F1"/>
            <w:vAlign w:val="center"/>
          </w:tcPr>
          <w:p w14:paraId="279AB468" w14:textId="77777777" w:rsidR="00600DEE" w:rsidRDefault="00600DEE">
            <w:pPr>
              <w:spacing w:before="20" w:after="20"/>
              <w:jc w:val="right"/>
              <w:rPr>
                <w:rFonts w:ascii="Calibri" w:eastAsia="Calibri" w:hAnsi="Calibri" w:cs="Calibri"/>
                <w:color w:val="4F81BD"/>
                <w:sz w:val="18"/>
                <w:szCs w:val="18"/>
              </w:rPr>
            </w:pPr>
          </w:p>
        </w:tc>
        <w:tc>
          <w:tcPr>
            <w:tcW w:w="1686" w:type="dxa"/>
            <w:tcBorders>
              <w:top w:val="single" w:sz="4" w:space="0" w:color="FFFFFF"/>
              <w:left w:val="single" w:sz="4" w:space="0" w:color="FFFFFF"/>
              <w:bottom w:val="single" w:sz="4" w:space="0" w:color="FFFFFF"/>
            </w:tcBorders>
            <w:shd w:val="clear" w:color="auto" w:fill="DBE5F1"/>
            <w:vAlign w:val="center"/>
          </w:tcPr>
          <w:p w14:paraId="7507B45F" w14:textId="77777777" w:rsidR="00600DEE" w:rsidRDefault="00600DEE">
            <w:pPr>
              <w:spacing w:before="20" w:after="20"/>
              <w:jc w:val="right"/>
              <w:rPr>
                <w:rFonts w:ascii="Calibri" w:eastAsia="Calibri" w:hAnsi="Calibri" w:cs="Calibri"/>
                <w:color w:val="4F81BD"/>
                <w:sz w:val="18"/>
                <w:szCs w:val="18"/>
              </w:rPr>
            </w:pPr>
          </w:p>
        </w:tc>
        <w:tc>
          <w:tcPr>
            <w:tcW w:w="1642"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39FA25D" w14:textId="77777777" w:rsidR="00600DEE" w:rsidRDefault="00600DEE">
            <w:pPr>
              <w:pBdr>
                <w:top w:val="nil"/>
                <w:left w:val="nil"/>
                <w:bottom w:val="nil"/>
                <w:right w:val="nil"/>
                <w:between w:val="nil"/>
              </w:pBdr>
              <w:spacing w:before="20" w:after="20"/>
              <w:jc w:val="center"/>
              <w:rPr>
                <w:rFonts w:ascii="Calibri" w:eastAsia="Calibri" w:hAnsi="Calibri" w:cs="Calibri"/>
                <w:color w:val="4F81BD"/>
                <w:sz w:val="18"/>
                <w:szCs w:val="18"/>
              </w:rPr>
            </w:pPr>
          </w:p>
        </w:tc>
      </w:tr>
    </w:tbl>
    <w:p w14:paraId="3D69D10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i/>
          <w:color w:val="000000"/>
          <w:sz w:val="16"/>
          <w:szCs w:val="16"/>
        </w:rPr>
        <w:t>Source: proprietary work.</w:t>
      </w:r>
    </w:p>
    <w:p w14:paraId="418E71E1" w14:textId="74F7FB47" w:rsidR="00600DEE" w:rsidRPr="0045151D" w:rsidRDefault="00641FB5">
      <w:pPr>
        <w:pBdr>
          <w:top w:val="nil"/>
          <w:left w:val="nil"/>
          <w:bottom w:val="nil"/>
          <w:right w:val="nil"/>
          <w:between w:val="nil"/>
        </w:pBdr>
        <w:spacing w:before="120"/>
        <w:jc w:val="both"/>
        <w:rPr>
          <w:rFonts w:ascii="Calibri" w:eastAsia="Calibri" w:hAnsi="Calibri" w:cs="Calibri"/>
          <w:i/>
          <w:color w:val="000000"/>
          <w:sz w:val="20"/>
          <w:szCs w:val="20"/>
          <w:lang w:val="en-GB"/>
        </w:rPr>
      </w:pPr>
      <w:r w:rsidRPr="0045151D">
        <w:rPr>
          <w:rFonts w:ascii="Calibri" w:eastAsia="Calibri" w:hAnsi="Calibri" w:cs="Calibri"/>
          <w:i/>
          <w:color w:val="000000"/>
          <w:sz w:val="20"/>
          <w:szCs w:val="20"/>
          <w:lang w:val="en-GB"/>
        </w:rPr>
        <w:t>The values in the table above will only be provided for the new infrastructure operation period.</w:t>
      </w:r>
    </w:p>
    <w:p w14:paraId="686FDB2A" w14:textId="77777777" w:rsidR="003D1D69" w:rsidRPr="0045151D" w:rsidRDefault="003D1D69">
      <w:pPr>
        <w:pBdr>
          <w:top w:val="nil"/>
          <w:left w:val="nil"/>
          <w:bottom w:val="nil"/>
          <w:right w:val="nil"/>
          <w:between w:val="nil"/>
        </w:pBdr>
        <w:spacing w:before="120"/>
        <w:jc w:val="both"/>
        <w:rPr>
          <w:rFonts w:ascii="Calibri" w:eastAsia="Calibri" w:hAnsi="Calibri" w:cs="Calibri"/>
          <w:i/>
          <w:color w:val="000000"/>
          <w:sz w:val="20"/>
          <w:szCs w:val="20"/>
          <w:lang w:val="en-GB"/>
        </w:rPr>
      </w:pPr>
    </w:p>
    <w:p w14:paraId="0C7D1C3F" w14:textId="77777777" w:rsidR="00CE2D79" w:rsidRPr="0045151D" w:rsidRDefault="00CE2D79">
      <w:pPr>
        <w:pBdr>
          <w:top w:val="nil"/>
          <w:left w:val="nil"/>
          <w:bottom w:val="nil"/>
          <w:right w:val="nil"/>
          <w:between w:val="nil"/>
        </w:pBdr>
        <w:spacing w:before="120"/>
        <w:jc w:val="both"/>
        <w:rPr>
          <w:rFonts w:ascii="Calibri" w:eastAsia="Calibri" w:hAnsi="Calibri" w:cs="Calibri"/>
          <w:i/>
          <w:color w:val="000000"/>
          <w:sz w:val="20"/>
          <w:szCs w:val="20"/>
          <w:lang w:val="en-GB"/>
        </w:rPr>
      </w:pPr>
    </w:p>
    <w:p w14:paraId="10B3ABFE" w14:textId="77777777" w:rsidR="00600DEE" w:rsidRPr="0045151D" w:rsidRDefault="00600DEE">
      <w:pPr>
        <w:pBdr>
          <w:top w:val="nil"/>
          <w:left w:val="nil"/>
          <w:bottom w:val="nil"/>
          <w:right w:val="nil"/>
          <w:between w:val="nil"/>
        </w:pBdr>
        <w:spacing w:before="120"/>
        <w:jc w:val="both"/>
        <w:rPr>
          <w:rFonts w:ascii="Calibri" w:eastAsia="Calibri" w:hAnsi="Calibri" w:cs="Calibri"/>
          <w:i/>
          <w:color w:val="000000"/>
          <w:sz w:val="20"/>
          <w:szCs w:val="20"/>
          <w:lang w:val="en-GB"/>
        </w:rPr>
      </w:pPr>
    </w:p>
    <w:tbl>
      <w:tblPr>
        <w:tblStyle w:val="afffffd"/>
        <w:tblW w:w="14571" w:type="dxa"/>
        <w:tblLayout w:type="fixed"/>
        <w:tblLook w:val="0400" w:firstRow="0" w:lastRow="0" w:firstColumn="0" w:lastColumn="0" w:noHBand="0" w:noVBand="1"/>
      </w:tblPr>
      <w:tblGrid>
        <w:gridCol w:w="7370"/>
        <w:gridCol w:w="7201"/>
      </w:tblGrid>
      <w:tr w:rsidR="00600DEE" w:rsidRPr="007463B9" w14:paraId="4FF77497" w14:textId="77777777">
        <w:tc>
          <w:tcPr>
            <w:tcW w:w="7370" w:type="dxa"/>
            <w:tcBorders>
              <w:right w:val="single" w:sz="4" w:space="0" w:color="000000"/>
            </w:tcBorders>
            <w:tcMar>
              <w:left w:w="284" w:type="dxa"/>
              <w:right w:w="284" w:type="dxa"/>
            </w:tcMar>
          </w:tcPr>
          <w:p w14:paraId="57D9EE49" w14:textId="635C2517" w:rsidR="00600DEE" w:rsidRDefault="007E2ECA">
            <w:pPr>
              <w:pBdr>
                <w:top w:val="nil"/>
                <w:left w:val="nil"/>
                <w:bottom w:val="nil"/>
                <w:right w:val="nil"/>
                <w:between w:val="nil"/>
              </w:pBdr>
              <w:spacing w:before="120" w:after="120"/>
              <w:ind w:left="1418" w:hanging="1418"/>
              <w:jc w:val="both"/>
              <w:rPr>
                <w:rFonts w:ascii="Calibri" w:eastAsia="Calibri" w:hAnsi="Calibri" w:cs="Calibri"/>
                <w:b/>
                <w:color w:val="4F81BD"/>
                <w:sz w:val="20"/>
                <w:szCs w:val="20"/>
              </w:rPr>
            </w:pPr>
            <w:r>
              <w:rPr>
                <w:rFonts w:ascii="Calibri" w:eastAsia="Calibri" w:hAnsi="Calibri" w:cs="Calibri"/>
                <w:b/>
                <w:color w:val="4F81BD"/>
                <w:sz w:val="20"/>
                <w:szCs w:val="20"/>
              </w:rPr>
              <w:t>Tabela 24</w:t>
            </w:r>
            <w:r w:rsidR="00641FB5">
              <w:rPr>
                <w:rFonts w:ascii="Calibri" w:eastAsia="Calibri" w:hAnsi="Calibri" w:cs="Calibri"/>
                <w:b/>
                <w:color w:val="4F81BD"/>
                <w:sz w:val="20"/>
                <w:szCs w:val="20"/>
              </w:rPr>
              <w:t>b. Udział korzyści i kosztów ekonomicznych dla projektu</w:t>
            </w:r>
            <w:r w:rsidR="00641FB5">
              <w:rPr>
                <w:rFonts w:ascii="Calibri" w:eastAsia="Calibri" w:hAnsi="Calibri" w:cs="Calibri"/>
                <w:b/>
                <w:color w:val="4F81BD"/>
                <w:sz w:val="20"/>
                <w:szCs w:val="20"/>
              </w:rPr>
              <w:br/>
              <w:t>(zdyskontowanych)</w:t>
            </w:r>
          </w:p>
          <w:tbl>
            <w:tblPr>
              <w:tblStyle w:val="afffffe"/>
              <w:tblW w:w="5940" w:type="dxa"/>
              <w:tblLayout w:type="fixed"/>
              <w:tblLook w:val="0000" w:firstRow="0" w:lastRow="0" w:firstColumn="0" w:lastColumn="0" w:noHBand="0" w:noVBand="0"/>
            </w:tblPr>
            <w:tblGrid>
              <w:gridCol w:w="3256"/>
              <w:gridCol w:w="1220"/>
              <w:gridCol w:w="1464"/>
            </w:tblGrid>
            <w:tr w:rsidR="003D1D69" w14:paraId="38333C6C" w14:textId="77777777" w:rsidTr="003D1D69">
              <w:trPr>
                <w:trHeight w:hRule="exact" w:val="397"/>
              </w:trPr>
              <w:tc>
                <w:tcPr>
                  <w:tcW w:w="3256" w:type="dxa"/>
                  <w:tcBorders>
                    <w:top w:val="single" w:sz="4" w:space="0" w:color="FFFFFF"/>
                    <w:left w:val="single" w:sz="4" w:space="0" w:color="FFFFFF"/>
                    <w:bottom w:val="single" w:sz="4" w:space="0" w:color="FFFFFF"/>
                  </w:tcBorders>
                  <w:shd w:val="clear" w:color="auto" w:fill="A6A6A6"/>
                  <w:vAlign w:val="center"/>
                </w:tcPr>
                <w:p w14:paraId="5E975D81" w14:textId="77777777" w:rsidR="003D1D69" w:rsidRDefault="003D1D69">
                  <w:pPr>
                    <w:jc w:val="center"/>
                    <w:rPr>
                      <w:rFonts w:ascii="Calibri" w:eastAsia="Calibri" w:hAnsi="Calibri" w:cs="Calibri"/>
                      <w:b/>
                      <w:color w:val="FFFFFF"/>
                      <w:sz w:val="20"/>
                      <w:szCs w:val="20"/>
                    </w:rPr>
                  </w:pPr>
                  <w:r>
                    <w:rPr>
                      <w:rFonts w:ascii="Calibri" w:eastAsia="Calibri" w:hAnsi="Calibri" w:cs="Calibri"/>
                      <w:b/>
                      <w:color w:val="FFFFFF"/>
                      <w:sz w:val="20"/>
                      <w:szCs w:val="20"/>
                    </w:rPr>
                    <w:t>Korzyści</w:t>
                  </w:r>
                </w:p>
              </w:tc>
              <w:tc>
                <w:tcPr>
                  <w:tcW w:w="122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6FEB08C9" w14:textId="21352989" w:rsidR="003D1D69" w:rsidRDefault="003D1D69">
                  <w:pPr>
                    <w:jc w:val="center"/>
                    <w:rPr>
                      <w:rFonts w:ascii="Calibri" w:eastAsia="Calibri" w:hAnsi="Calibri" w:cs="Calibri"/>
                      <w:b/>
                      <w:color w:val="FFFFFF"/>
                      <w:sz w:val="20"/>
                      <w:szCs w:val="20"/>
                    </w:rPr>
                  </w:pPr>
                  <w:r>
                    <w:rPr>
                      <w:rFonts w:ascii="Calibri" w:eastAsia="Calibri" w:hAnsi="Calibri" w:cs="Calibri"/>
                      <w:b/>
                      <w:color w:val="FFFFFF"/>
                      <w:sz w:val="20"/>
                      <w:szCs w:val="20"/>
                    </w:rPr>
                    <w:t>Razem (PLN)</w:t>
                  </w:r>
                </w:p>
              </w:tc>
              <w:tc>
                <w:tcPr>
                  <w:tcW w:w="1464"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26BCE894" w14:textId="77777777" w:rsidR="003D1D69" w:rsidRDefault="003D1D69">
                  <w:pPr>
                    <w:jc w:val="center"/>
                    <w:rPr>
                      <w:rFonts w:ascii="Calibri" w:eastAsia="Calibri" w:hAnsi="Calibri" w:cs="Calibri"/>
                      <w:b/>
                      <w:color w:val="FFFFFF"/>
                      <w:sz w:val="20"/>
                      <w:szCs w:val="20"/>
                    </w:rPr>
                  </w:pPr>
                  <w:r>
                    <w:rPr>
                      <w:rFonts w:ascii="Calibri" w:eastAsia="Calibri" w:hAnsi="Calibri" w:cs="Calibri"/>
                      <w:b/>
                      <w:color w:val="FFFFFF"/>
                      <w:sz w:val="20"/>
                      <w:szCs w:val="20"/>
                    </w:rPr>
                    <w:t>%</w:t>
                  </w:r>
                </w:p>
              </w:tc>
            </w:tr>
            <w:tr w:rsidR="003D1D69" w14:paraId="4F484AC7" w14:textId="77777777" w:rsidTr="003D1D69">
              <w:trPr>
                <w:trHeight w:val="409"/>
              </w:trPr>
              <w:tc>
                <w:tcPr>
                  <w:tcW w:w="3256" w:type="dxa"/>
                  <w:tcBorders>
                    <w:left w:val="single" w:sz="4" w:space="0" w:color="FFFFFF"/>
                    <w:bottom w:val="single" w:sz="4" w:space="0" w:color="FFFFFF"/>
                  </w:tcBorders>
                  <w:shd w:val="clear" w:color="auto" w:fill="DBE5F1"/>
                  <w:vAlign w:val="center"/>
                </w:tcPr>
                <w:p w14:paraId="20A1E017" w14:textId="77777777" w:rsidR="003D1D69" w:rsidRDefault="003D1D69">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Oszczędności czasu użytkowników pojazdów (jeśli dotyczą; każda z poniższych pozycji może być kosztem, jeśli realizacja projektu spowoduje wzrost danej kategorii kosztów ekonomicznych, np. hałas)</w:t>
                  </w:r>
                </w:p>
              </w:tc>
              <w:tc>
                <w:tcPr>
                  <w:tcW w:w="1220" w:type="dxa"/>
                  <w:tcBorders>
                    <w:left w:val="single" w:sz="4" w:space="0" w:color="FFFFFF"/>
                    <w:bottom w:val="single" w:sz="4" w:space="0" w:color="FFFFFF"/>
                    <w:right w:val="single" w:sz="4" w:space="0" w:color="FFFFFF"/>
                  </w:tcBorders>
                  <w:shd w:val="clear" w:color="auto" w:fill="DBE5F1"/>
                  <w:vAlign w:val="center"/>
                </w:tcPr>
                <w:p w14:paraId="7D1E988F" w14:textId="4E5FDD63"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19CFADB9"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2677D0AA" w14:textId="77777777" w:rsidTr="003D1D69">
              <w:trPr>
                <w:trHeight w:hRule="exact" w:val="567"/>
              </w:trPr>
              <w:tc>
                <w:tcPr>
                  <w:tcW w:w="3256" w:type="dxa"/>
                  <w:tcBorders>
                    <w:left w:val="single" w:sz="4" w:space="0" w:color="FFFFFF"/>
                    <w:bottom w:val="single" w:sz="4" w:space="0" w:color="FFFFFF"/>
                  </w:tcBorders>
                  <w:shd w:val="clear" w:color="auto" w:fill="DBE5F1"/>
                  <w:vAlign w:val="center"/>
                </w:tcPr>
                <w:p w14:paraId="23699374" w14:textId="77777777" w:rsidR="003D1D69" w:rsidRDefault="003D1D69">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Oszczędności w eksploatacji pojazdów (jeśli dotyczą)</w:t>
                  </w:r>
                </w:p>
              </w:tc>
              <w:tc>
                <w:tcPr>
                  <w:tcW w:w="1220" w:type="dxa"/>
                  <w:tcBorders>
                    <w:left w:val="single" w:sz="4" w:space="0" w:color="FFFFFF"/>
                    <w:bottom w:val="single" w:sz="4" w:space="0" w:color="FFFFFF"/>
                    <w:right w:val="single" w:sz="4" w:space="0" w:color="FFFFFF"/>
                  </w:tcBorders>
                  <w:shd w:val="clear" w:color="auto" w:fill="DBE5F1"/>
                  <w:vAlign w:val="center"/>
                </w:tcPr>
                <w:p w14:paraId="244A96D8" w14:textId="40DB9CF1"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5C899DCE"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28CE49BD" w14:textId="77777777" w:rsidTr="003D1D69">
              <w:trPr>
                <w:trHeight w:hRule="exact" w:val="567"/>
              </w:trPr>
              <w:tc>
                <w:tcPr>
                  <w:tcW w:w="3256" w:type="dxa"/>
                  <w:tcBorders>
                    <w:left w:val="single" w:sz="4" w:space="0" w:color="FFFFFF"/>
                    <w:bottom w:val="single" w:sz="4" w:space="0" w:color="FFFFFF"/>
                  </w:tcBorders>
                  <w:shd w:val="clear" w:color="auto" w:fill="DBE5F1"/>
                  <w:vAlign w:val="center"/>
                </w:tcPr>
                <w:p w14:paraId="5D8CC1A7" w14:textId="77777777" w:rsidR="003D1D69" w:rsidRDefault="003D1D69">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Oszczędności w kosztach wypadków (jeśli dotyczą)</w:t>
                  </w:r>
                </w:p>
              </w:tc>
              <w:tc>
                <w:tcPr>
                  <w:tcW w:w="1220" w:type="dxa"/>
                  <w:tcBorders>
                    <w:left w:val="single" w:sz="4" w:space="0" w:color="FFFFFF"/>
                    <w:bottom w:val="single" w:sz="4" w:space="0" w:color="FFFFFF"/>
                    <w:right w:val="single" w:sz="4" w:space="0" w:color="FFFFFF"/>
                  </w:tcBorders>
                  <w:shd w:val="clear" w:color="auto" w:fill="DBE5F1"/>
                  <w:vAlign w:val="center"/>
                </w:tcPr>
                <w:p w14:paraId="7BEE10D6" w14:textId="32EF8796"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7708D487"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7ECA61FD" w14:textId="77777777" w:rsidTr="003D1D69">
              <w:trPr>
                <w:trHeight w:hRule="exact" w:val="567"/>
              </w:trPr>
              <w:tc>
                <w:tcPr>
                  <w:tcW w:w="3256" w:type="dxa"/>
                  <w:tcBorders>
                    <w:left w:val="single" w:sz="4" w:space="0" w:color="FFFFFF"/>
                    <w:bottom w:val="single" w:sz="4" w:space="0" w:color="FFFFFF"/>
                  </w:tcBorders>
                  <w:shd w:val="clear" w:color="auto" w:fill="DBE5F1"/>
                  <w:vAlign w:val="center"/>
                </w:tcPr>
                <w:p w14:paraId="0CEF9388" w14:textId="77777777" w:rsidR="003D1D69" w:rsidRDefault="003D1D69">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Oszczędności w zanieczyszczeniu powietrza (jeśli dotyczą)</w:t>
                  </w:r>
                </w:p>
              </w:tc>
              <w:tc>
                <w:tcPr>
                  <w:tcW w:w="1220" w:type="dxa"/>
                  <w:tcBorders>
                    <w:left w:val="single" w:sz="4" w:space="0" w:color="FFFFFF"/>
                    <w:bottom w:val="single" w:sz="4" w:space="0" w:color="FFFFFF"/>
                    <w:right w:val="single" w:sz="4" w:space="0" w:color="FFFFFF"/>
                  </w:tcBorders>
                  <w:shd w:val="clear" w:color="auto" w:fill="DBE5F1"/>
                  <w:vAlign w:val="center"/>
                </w:tcPr>
                <w:p w14:paraId="5DFB80E7" w14:textId="43EC487F"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148CF61D"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4728758E" w14:textId="77777777" w:rsidTr="003D1D69">
              <w:trPr>
                <w:trHeight w:hRule="exact" w:val="567"/>
              </w:trPr>
              <w:tc>
                <w:tcPr>
                  <w:tcW w:w="3256" w:type="dxa"/>
                  <w:tcBorders>
                    <w:left w:val="single" w:sz="4" w:space="0" w:color="FFFFFF"/>
                    <w:bottom w:val="single" w:sz="4" w:space="0" w:color="FFFFFF"/>
                  </w:tcBorders>
                  <w:shd w:val="clear" w:color="auto" w:fill="DBE5F1"/>
                  <w:vAlign w:val="center"/>
                </w:tcPr>
                <w:p w14:paraId="351E349A" w14:textId="77777777" w:rsidR="003D1D69" w:rsidRDefault="003D1D69">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Oszczędności w zmianach klimatu (jeśli dotyczą)</w:t>
                  </w:r>
                </w:p>
              </w:tc>
              <w:tc>
                <w:tcPr>
                  <w:tcW w:w="1220" w:type="dxa"/>
                  <w:tcBorders>
                    <w:left w:val="single" w:sz="4" w:space="0" w:color="FFFFFF"/>
                    <w:bottom w:val="single" w:sz="4" w:space="0" w:color="FFFFFF"/>
                    <w:right w:val="single" w:sz="4" w:space="0" w:color="FFFFFF"/>
                  </w:tcBorders>
                  <w:shd w:val="clear" w:color="auto" w:fill="DBE5F1"/>
                  <w:vAlign w:val="center"/>
                </w:tcPr>
                <w:p w14:paraId="62D4BE00" w14:textId="318B6E75"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1689FFD6"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79188BF7" w14:textId="77777777" w:rsidTr="003D1D69">
              <w:trPr>
                <w:trHeight w:hRule="exact" w:val="567"/>
              </w:trPr>
              <w:tc>
                <w:tcPr>
                  <w:tcW w:w="3256" w:type="dxa"/>
                  <w:tcBorders>
                    <w:left w:val="single" w:sz="4" w:space="0" w:color="FFFFFF"/>
                    <w:bottom w:val="single" w:sz="4" w:space="0" w:color="FFFFFF"/>
                  </w:tcBorders>
                  <w:shd w:val="clear" w:color="auto" w:fill="DBE5F1"/>
                  <w:vAlign w:val="center"/>
                </w:tcPr>
                <w:p w14:paraId="7632A6FE" w14:textId="77777777" w:rsidR="003D1D69" w:rsidRDefault="003D1D69">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Oszczędności w kosztach hałasu (jeśli dotyczą)</w:t>
                  </w:r>
                </w:p>
              </w:tc>
              <w:tc>
                <w:tcPr>
                  <w:tcW w:w="1220" w:type="dxa"/>
                  <w:tcBorders>
                    <w:left w:val="single" w:sz="4" w:space="0" w:color="FFFFFF"/>
                    <w:bottom w:val="single" w:sz="4" w:space="0" w:color="FFFFFF"/>
                    <w:right w:val="single" w:sz="4" w:space="0" w:color="FFFFFF"/>
                  </w:tcBorders>
                  <w:shd w:val="clear" w:color="auto" w:fill="DBE5F1"/>
                  <w:vAlign w:val="center"/>
                </w:tcPr>
                <w:p w14:paraId="103D5962" w14:textId="5BCFEE25"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1C9AC8DD"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71200473" w14:textId="77777777" w:rsidTr="003D1D69">
              <w:trPr>
                <w:trHeight w:hRule="exact" w:val="567"/>
              </w:trPr>
              <w:tc>
                <w:tcPr>
                  <w:tcW w:w="3256" w:type="dxa"/>
                  <w:tcBorders>
                    <w:left w:val="single" w:sz="4" w:space="0" w:color="FFFFFF"/>
                    <w:bottom w:val="single" w:sz="4" w:space="0" w:color="FFFFFF"/>
                  </w:tcBorders>
                  <w:shd w:val="clear" w:color="auto" w:fill="DBE5F1"/>
                  <w:vAlign w:val="center"/>
                </w:tcPr>
                <w:p w14:paraId="3DBE8016" w14:textId="77777777" w:rsidR="003D1D69" w:rsidRDefault="003D1D69">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Wartość rezydualna</w:t>
                  </w:r>
                </w:p>
              </w:tc>
              <w:tc>
                <w:tcPr>
                  <w:tcW w:w="1220" w:type="dxa"/>
                  <w:tcBorders>
                    <w:left w:val="single" w:sz="4" w:space="0" w:color="FFFFFF"/>
                    <w:bottom w:val="single" w:sz="4" w:space="0" w:color="FFFFFF"/>
                    <w:right w:val="single" w:sz="4" w:space="0" w:color="FFFFFF"/>
                  </w:tcBorders>
                  <w:shd w:val="clear" w:color="auto" w:fill="DBE5F1"/>
                  <w:vAlign w:val="center"/>
                </w:tcPr>
                <w:p w14:paraId="5044A17C" w14:textId="5A3182FF"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73F3F58C"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3BCF5B0D" w14:textId="77777777" w:rsidTr="003D1D69">
              <w:trPr>
                <w:trHeight w:hRule="exact" w:val="567"/>
              </w:trPr>
              <w:tc>
                <w:tcPr>
                  <w:tcW w:w="3256" w:type="dxa"/>
                  <w:tcBorders>
                    <w:left w:val="single" w:sz="4" w:space="0" w:color="FFFFFF"/>
                    <w:bottom w:val="single" w:sz="4" w:space="0" w:color="FFFFFF"/>
                  </w:tcBorders>
                  <w:shd w:val="clear" w:color="auto" w:fill="DBE5F1"/>
                  <w:vAlign w:val="center"/>
                </w:tcPr>
                <w:p w14:paraId="7457B512" w14:textId="77777777" w:rsidR="003D1D69" w:rsidRDefault="003D1D69">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Inne pozytywne oddziaływania (jeśli dotyczą)</w:t>
                  </w:r>
                </w:p>
              </w:tc>
              <w:tc>
                <w:tcPr>
                  <w:tcW w:w="1220" w:type="dxa"/>
                  <w:tcBorders>
                    <w:left w:val="single" w:sz="4" w:space="0" w:color="FFFFFF"/>
                    <w:bottom w:val="single" w:sz="4" w:space="0" w:color="FFFFFF"/>
                    <w:right w:val="single" w:sz="4" w:space="0" w:color="FFFFFF"/>
                  </w:tcBorders>
                  <w:shd w:val="clear" w:color="auto" w:fill="DBE5F1"/>
                  <w:vAlign w:val="center"/>
                </w:tcPr>
                <w:p w14:paraId="63CA7922" w14:textId="6C554275"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69960875"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589503D4" w14:textId="77777777" w:rsidTr="003D1D69">
              <w:trPr>
                <w:trHeight w:hRule="exact" w:val="510"/>
              </w:trPr>
              <w:tc>
                <w:tcPr>
                  <w:tcW w:w="3256" w:type="dxa"/>
                  <w:tcBorders>
                    <w:top w:val="single" w:sz="4" w:space="0" w:color="FFFFFF"/>
                    <w:left w:val="single" w:sz="4" w:space="0" w:color="FFFFFF"/>
                    <w:bottom w:val="single" w:sz="4" w:space="0" w:color="FFFFFF"/>
                  </w:tcBorders>
                  <w:shd w:val="clear" w:color="auto" w:fill="A6A6A6"/>
                  <w:vAlign w:val="center"/>
                </w:tcPr>
                <w:p w14:paraId="1CE4E6CE" w14:textId="77777777" w:rsidR="003D1D69" w:rsidRDefault="003D1D69">
                  <w:pPr>
                    <w:jc w:val="center"/>
                    <w:rPr>
                      <w:rFonts w:ascii="Calibri" w:eastAsia="Calibri" w:hAnsi="Calibri" w:cs="Calibri"/>
                      <w:b/>
                      <w:color w:val="FFFFFF"/>
                      <w:sz w:val="20"/>
                      <w:szCs w:val="20"/>
                    </w:rPr>
                  </w:pPr>
                  <w:r>
                    <w:rPr>
                      <w:rFonts w:ascii="Calibri" w:eastAsia="Calibri" w:hAnsi="Calibri" w:cs="Calibri"/>
                      <w:b/>
                      <w:color w:val="FFFFFF"/>
                      <w:sz w:val="20"/>
                      <w:szCs w:val="20"/>
                    </w:rPr>
                    <w:t>Koszty</w:t>
                  </w:r>
                </w:p>
              </w:tc>
              <w:tc>
                <w:tcPr>
                  <w:tcW w:w="122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14772197" w14:textId="386B55EC" w:rsidR="003D1D69" w:rsidRDefault="003D1D69">
                  <w:pPr>
                    <w:jc w:val="center"/>
                    <w:rPr>
                      <w:rFonts w:ascii="Calibri" w:eastAsia="Calibri" w:hAnsi="Calibri" w:cs="Calibri"/>
                      <w:b/>
                      <w:color w:val="FFFFFF"/>
                      <w:sz w:val="20"/>
                      <w:szCs w:val="20"/>
                    </w:rPr>
                  </w:pPr>
                  <w:r>
                    <w:rPr>
                      <w:rFonts w:ascii="Calibri" w:eastAsia="Calibri" w:hAnsi="Calibri" w:cs="Calibri"/>
                      <w:b/>
                      <w:color w:val="FFFFFF"/>
                      <w:sz w:val="20"/>
                      <w:szCs w:val="20"/>
                    </w:rPr>
                    <w:t>Razem (PLN)</w:t>
                  </w:r>
                </w:p>
              </w:tc>
              <w:tc>
                <w:tcPr>
                  <w:tcW w:w="1464"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39504C89" w14:textId="77777777" w:rsidR="003D1D69" w:rsidRDefault="003D1D69">
                  <w:pPr>
                    <w:jc w:val="center"/>
                    <w:rPr>
                      <w:rFonts w:ascii="Calibri" w:eastAsia="Calibri" w:hAnsi="Calibri" w:cs="Calibri"/>
                      <w:b/>
                      <w:color w:val="FFFFFF"/>
                      <w:sz w:val="20"/>
                      <w:szCs w:val="20"/>
                    </w:rPr>
                  </w:pPr>
                  <w:r>
                    <w:rPr>
                      <w:rFonts w:ascii="Calibri" w:eastAsia="Calibri" w:hAnsi="Calibri" w:cs="Calibri"/>
                      <w:b/>
                      <w:color w:val="FFFFFF"/>
                      <w:sz w:val="20"/>
                      <w:szCs w:val="20"/>
                    </w:rPr>
                    <w:t>%</w:t>
                  </w:r>
                </w:p>
              </w:tc>
            </w:tr>
            <w:tr w:rsidR="003D1D69" w14:paraId="2BA6F2AF" w14:textId="77777777" w:rsidTr="003D1D69">
              <w:trPr>
                <w:trHeight w:val="168"/>
              </w:trPr>
              <w:tc>
                <w:tcPr>
                  <w:tcW w:w="3256" w:type="dxa"/>
                  <w:tcBorders>
                    <w:left w:val="single" w:sz="4" w:space="0" w:color="FFFFFF"/>
                    <w:bottom w:val="single" w:sz="4" w:space="0" w:color="FFFFFF"/>
                  </w:tcBorders>
                  <w:shd w:val="clear" w:color="auto" w:fill="DBE5F1"/>
                  <w:vAlign w:val="center"/>
                </w:tcPr>
                <w:p w14:paraId="67C0B09C" w14:textId="77777777" w:rsidR="003D1D69" w:rsidRDefault="003D1D69">
                  <w:pPr>
                    <w:pBdr>
                      <w:top w:val="nil"/>
                      <w:left w:val="nil"/>
                      <w:bottom w:val="nil"/>
                      <w:right w:val="nil"/>
                      <w:between w:val="nil"/>
                    </w:pBdr>
                    <w:tabs>
                      <w:tab w:val="left" w:pos="285"/>
                      <w:tab w:val="center" w:pos="534"/>
                    </w:tabs>
                    <w:spacing w:line="264" w:lineRule="auto"/>
                    <w:rPr>
                      <w:rFonts w:ascii="Calibri" w:eastAsia="Calibri" w:hAnsi="Calibri" w:cs="Calibri"/>
                      <w:color w:val="4F81BD"/>
                      <w:sz w:val="20"/>
                      <w:szCs w:val="20"/>
                    </w:rPr>
                  </w:pPr>
                  <w:r>
                    <w:rPr>
                      <w:rFonts w:ascii="Calibri" w:eastAsia="Calibri" w:hAnsi="Calibri" w:cs="Calibri"/>
                      <w:color w:val="4F81BD"/>
                      <w:sz w:val="20"/>
                      <w:szCs w:val="20"/>
                    </w:rPr>
                    <w:t>Nakłady inwestycyjne</w:t>
                  </w:r>
                </w:p>
              </w:tc>
              <w:tc>
                <w:tcPr>
                  <w:tcW w:w="1220" w:type="dxa"/>
                  <w:tcBorders>
                    <w:left w:val="single" w:sz="4" w:space="0" w:color="FFFFFF"/>
                    <w:bottom w:val="single" w:sz="4" w:space="0" w:color="FFFFFF"/>
                    <w:right w:val="single" w:sz="4" w:space="0" w:color="FFFFFF"/>
                  </w:tcBorders>
                  <w:shd w:val="clear" w:color="auto" w:fill="DBE5F1"/>
                  <w:vAlign w:val="center"/>
                </w:tcPr>
                <w:p w14:paraId="66442D48" w14:textId="156AD886"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608A107A"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4F1464C1" w14:textId="77777777" w:rsidTr="003D1D69">
              <w:trPr>
                <w:trHeight w:hRule="exact" w:val="1134"/>
              </w:trPr>
              <w:tc>
                <w:tcPr>
                  <w:tcW w:w="3256" w:type="dxa"/>
                  <w:tcBorders>
                    <w:left w:val="single" w:sz="4" w:space="0" w:color="FFFFFF"/>
                    <w:bottom w:val="single" w:sz="4" w:space="0" w:color="FFFFFF"/>
                  </w:tcBorders>
                  <w:shd w:val="clear" w:color="auto" w:fill="DBE5F1"/>
                  <w:vAlign w:val="center"/>
                </w:tcPr>
                <w:p w14:paraId="3EB8FFA9" w14:textId="77777777" w:rsidR="003D1D69" w:rsidRDefault="003D1D69">
                  <w:pPr>
                    <w:pBdr>
                      <w:top w:val="nil"/>
                      <w:left w:val="nil"/>
                      <w:bottom w:val="nil"/>
                      <w:right w:val="nil"/>
                      <w:between w:val="nil"/>
                    </w:pBdr>
                    <w:tabs>
                      <w:tab w:val="left" w:pos="285"/>
                      <w:tab w:val="center" w:pos="534"/>
                    </w:tabs>
                    <w:spacing w:line="264" w:lineRule="auto"/>
                    <w:rPr>
                      <w:rFonts w:ascii="Calibri" w:eastAsia="Calibri" w:hAnsi="Calibri" w:cs="Calibri"/>
                      <w:color w:val="4F81BD"/>
                      <w:sz w:val="20"/>
                      <w:szCs w:val="20"/>
                    </w:rPr>
                  </w:pPr>
                  <w:r>
                    <w:rPr>
                      <w:rFonts w:ascii="Calibri" w:eastAsia="Calibri" w:hAnsi="Calibri" w:cs="Calibri"/>
                      <w:color w:val="4F81BD"/>
                      <w:sz w:val="20"/>
                      <w:szCs w:val="20"/>
                    </w:rPr>
                    <w:t>Koszty eksploatacji i utrzymania (ta pozycja może być korzyścią, jeśli realizacja projektu spowoduje oszczędności kosztowe)</w:t>
                  </w:r>
                </w:p>
              </w:tc>
              <w:tc>
                <w:tcPr>
                  <w:tcW w:w="1220" w:type="dxa"/>
                  <w:tcBorders>
                    <w:left w:val="single" w:sz="4" w:space="0" w:color="FFFFFF"/>
                    <w:bottom w:val="single" w:sz="4" w:space="0" w:color="FFFFFF"/>
                    <w:right w:val="single" w:sz="4" w:space="0" w:color="FFFFFF"/>
                  </w:tcBorders>
                  <w:shd w:val="clear" w:color="auto" w:fill="DBE5F1"/>
                  <w:vAlign w:val="center"/>
                </w:tcPr>
                <w:p w14:paraId="5A34D94C" w14:textId="2C9A00A1"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38812FD2"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r w:rsidR="003D1D69" w14:paraId="1026F0DF" w14:textId="77777777" w:rsidTr="003D1D69">
              <w:trPr>
                <w:trHeight w:hRule="exact" w:val="567"/>
              </w:trPr>
              <w:tc>
                <w:tcPr>
                  <w:tcW w:w="3256" w:type="dxa"/>
                  <w:tcBorders>
                    <w:left w:val="single" w:sz="4" w:space="0" w:color="FFFFFF"/>
                    <w:bottom w:val="single" w:sz="4" w:space="0" w:color="FFFFFF"/>
                  </w:tcBorders>
                  <w:shd w:val="clear" w:color="auto" w:fill="DBE5F1"/>
                  <w:vAlign w:val="center"/>
                </w:tcPr>
                <w:p w14:paraId="5C6A154E" w14:textId="77777777" w:rsidR="003D1D69" w:rsidRDefault="003D1D69">
                  <w:pPr>
                    <w:pBdr>
                      <w:top w:val="nil"/>
                      <w:left w:val="nil"/>
                      <w:bottom w:val="nil"/>
                      <w:right w:val="nil"/>
                      <w:between w:val="nil"/>
                    </w:pBdr>
                    <w:tabs>
                      <w:tab w:val="left" w:pos="285"/>
                      <w:tab w:val="center" w:pos="534"/>
                    </w:tabs>
                    <w:spacing w:line="264" w:lineRule="auto"/>
                    <w:rPr>
                      <w:rFonts w:ascii="Calibri" w:eastAsia="Calibri" w:hAnsi="Calibri" w:cs="Calibri"/>
                      <w:color w:val="4F81BD"/>
                      <w:sz w:val="20"/>
                      <w:szCs w:val="20"/>
                    </w:rPr>
                  </w:pPr>
                  <w:r>
                    <w:rPr>
                      <w:rFonts w:ascii="Calibri" w:eastAsia="Calibri" w:hAnsi="Calibri" w:cs="Calibri"/>
                      <w:color w:val="4F81BD"/>
                      <w:sz w:val="20"/>
                      <w:szCs w:val="20"/>
                    </w:rPr>
                    <w:t>Inne negatywne oddziaływania (jeśli dotyczą)</w:t>
                  </w:r>
                </w:p>
              </w:tc>
              <w:tc>
                <w:tcPr>
                  <w:tcW w:w="1220" w:type="dxa"/>
                  <w:tcBorders>
                    <w:left w:val="single" w:sz="4" w:space="0" w:color="FFFFFF"/>
                    <w:bottom w:val="single" w:sz="4" w:space="0" w:color="FFFFFF"/>
                    <w:right w:val="single" w:sz="4" w:space="0" w:color="FFFFFF"/>
                  </w:tcBorders>
                  <w:shd w:val="clear" w:color="auto" w:fill="DBE5F1"/>
                  <w:vAlign w:val="center"/>
                </w:tcPr>
                <w:p w14:paraId="6CC03F54" w14:textId="296EF2A2" w:rsidR="003D1D69" w:rsidRDefault="003D1D69">
                  <w:pPr>
                    <w:pBdr>
                      <w:top w:val="nil"/>
                      <w:left w:val="nil"/>
                      <w:bottom w:val="nil"/>
                      <w:right w:val="nil"/>
                      <w:between w:val="nil"/>
                    </w:pBdr>
                    <w:rPr>
                      <w:rFonts w:ascii="Calibri" w:eastAsia="Calibri" w:hAnsi="Calibri" w:cs="Calibri"/>
                      <w:color w:val="4F81BD"/>
                      <w:sz w:val="20"/>
                      <w:szCs w:val="20"/>
                    </w:rPr>
                  </w:pPr>
                </w:p>
              </w:tc>
              <w:tc>
                <w:tcPr>
                  <w:tcW w:w="1464" w:type="dxa"/>
                  <w:tcBorders>
                    <w:left w:val="single" w:sz="4" w:space="0" w:color="FFFFFF"/>
                    <w:bottom w:val="single" w:sz="4" w:space="0" w:color="FFFFFF"/>
                    <w:right w:val="single" w:sz="4" w:space="0" w:color="FFFFFF"/>
                  </w:tcBorders>
                  <w:shd w:val="clear" w:color="auto" w:fill="DBE5F1"/>
                  <w:vAlign w:val="center"/>
                </w:tcPr>
                <w:p w14:paraId="264A6C3C" w14:textId="77777777" w:rsidR="003D1D69" w:rsidRDefault="003D1D69">
                  <w:pPr>
                    <w:pBdr>
                      <w:top w:val="nil"/>
                      <w:left w:val="nil"/>
                      <w:bottom w:val="nil"/>
                      <w:right w:val="nil"/>
                      <w:between w:val="nil"/>
                    </w:pBdr>
                    <w:rPr>
                      <w:rFonts w:ascii="Calibri" w:eastAsia="Calibri" w:hAnsi="Calibri" w:cs="Calibri"/>
                      <w:color w:val="4F81BD"/>
                      <w:sz w:val="20"/>
                      <w:szCs w:val="20"/>
                    </w:rPr>
                  </w:pPr>
                </w:p>
              </w:tc>
            </w:tr>
          </w:tbl>
          <w:p w14:paraId="40F361E5"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p w14:paraId="53FF619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Powyższa tabela korzyści i kosztów ma charakter przykładowy. Faktyczne korzyści dla danego projektu wynikają z jego specyfiki. Wszystkie oszczędności w kosztach społecznych (włącznie z wartością rezydualną) powinny być traktowane jako korzyści projektu, natomiast wszystkie negatywne wyniki (powodujące wzrost kosztów społecznych) powinny, być traktowane jako koszty projektu.</w:t>
            </w:r>
          </w:p>
          <w:p w14:paraId="074F97B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zależności od rodzaju wariantu inwestycyjnego można oczekiwać różnego poziomu korzyści społeczno-ekonomicznych netto generowanych przez różne kategorie kosztów ekonomicznych (koszty eksploatacji pojazdów, koszty czasu itp.).</w:t>
            </w:r>
          </w:p>
          <w:p w14:paraId="137B9090"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color w:val="000000"/>
                <w:sz w:val="20"/>
                <w:szCs w:val="20"/>
              </w:rPr>
              <w:t xml:space="preserve">W przypadku inwestycji punktowych, takich jak likwidacja „czarnych punktów”, przebudowa przejścia dla pieszych, skrzyżowania itp., gdzie aspekty związane z poprawą bezpieczeństwa są najważniejsze, a przeważają roboty związane z przebudową lub remontem, najważniejsze korzyści ekonomiczne netto są generowane dzięki oszczędnościom kosztów wypadków. Natomiast, jeżeli chodzi o koszty czasu, to często można zaobserwować występowanie dużych strat ekonomiczne netto (kosztów). </w:t>
            </w:r>
          </w:p>
          <w:p w14:paraId="0665925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przypadku realizowania projektu budowy nowej drogi o nowym przebiegu, najważniejsze korzyści ekonomiczne netto powstają dzięki oszczędnościom kosztów czasu, a niemal zawsze obserwuje się straty ekonomiczne netto (koszty) w zakresie kosztów eksploatacji pojazdów.</w:t>
            </w:r>
          </w:p>
          <w:p w14:paraId="01AB1B8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przypadku projektu modernizacji istniejącej drogi, którego celem nie jest podniesienie standardu czy też zwiększenie przepustowości, najważniejsze korzyści ekonomiczne netto, są zazwyczaj generowane dzięki oszczędnościom kosztów eksploatacji pojazdów i kosztów wypadków. Zazwyczaj tego typu inwestycje generują niewielkie (lub zerowe) korzyści w zakresie oszczędności kosztów czasu.</w:t>
            </w:r>
          </w:p>
          <w:p w14:paraId="1C4AAA7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W przypadku rozbudowy istniejącej drogi do większej przepustowości (dodanie pasów ruchu), główne korzyści ekonomiczne netto powstają dzięki oszczędności kosztów czasu i kosztów eksploatacji pojazdów; pojawiają się też niewielkie korzyści w postaci zmniejszenia kosztów wypadków, podczas gdy koszty utrzymania infrastruktury z reguły wzrastają. </w:t>
            </w:r>
          </w:p>
        </w:tc>
        <w:tc>
          <w:tcPr>
            <w:tcW w:w="7201" w:type="dxa"/>
            <w:tcBorders>
              <w:left w:val="single" w:sz="4" w:space="0" w:color="000000"/>
            </w:tcBorders>
            <w:tcMar>
              <w:left w:w="284" w:type="dxa"/>
              <w:right w:w="284" w:type="dxa"/>
            </w:tcMar>
          </w:tcPr>
          <w:p w14:paraId="777A23BE" w14:textId="3F979B75" w:rsidR="00600DEE" w:rsidRPr="0045151D" w:rsidRDefault="007E2ECA">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24</w:t>
            </w:r>
            <w:r w:rsidR="00641FB5" w:rsidRPr="0045151D">
              <w:rPr>
                <w:rFonts w:ascii="Calibri" w:eastAsia="Calibri" w:hAnsi="Calibri" w:cs="Calibri"/>
                <w:b/>
                <w:color w:val="4F81BD"/>
                <w:sz w:val="20"/>
                <w:szCs w:val="20"/>
                <w:lang w:val="en-GB"/>
              </w:rPr>
              <w:t>b.  Share of project economic benefits and costs (discounted)</w:t>
            </w:r>
          </w:p>
          <w:p w14:paraId="1243BAB4" w14:textId="77777777" w:rsidR="00FD10CF" w:rsidRPr="0045151D" w:rsidRDefault="00FD10CF" w:rsidP="00FD10CF">
            <w:pPr>
              <w:pBdr>
                <w:top w:val="nil"/>
                <w:left w:val="nil"/>
                <w:bottom w:val="nil"/>
                <w:right w:val="nil"/>
                <w:between w:val="nil"/>
              </w:pBdr>
              <w:jc w:val="both"/>
              <w:rPr>
                <w:rFonts w:ascii="Calibri" w:eastAsia="Calibri" w:hAnsi="Calibri" w:cs="Calibri"/>
                <w:color w:val="4F81BD"/>
                <w:sz w:val="20"/>
                <w:szCs w:val="20"/>
                <w:lang w:val="en-GB"/>
              </w:rPr>
            </w:pPr>
          </w:p>
          <w:tbl>
            <w:tblPr>
              <w:tblStyle w:val="affffff"/>
              <w:tblW w:w="5391" w:type="dxa"/>
              <w:tblLayout w:type="fixed"/>
              <w:tblLook w:val="0000" w:firstRow="0" w:lastRow="0" w:firstColumn="0" w:lastColumn="0" w:noHBand="0" w:noVBand="0"/>
            </w:tblPr>
            <w:tblGrid>
              <w:gridCol w:w="2728"/>
              <w:gridCol w:w="1350"/>
              <w:gridCol w:w="1313"/>
            </w:tblGrid>
            <w:tr w:rsidR="00600DEE" w14:paraId="746F3FBA" w14:textId="77777777" w:rsidTr="003D1D69">
              <w:trPr>
                <w:trHeight w:hRule="exact" w:val="397"/>
              </w:trPr>
              <w:tc>
                <w:tcPr>
                  <w:tcW w:w="2728" w:type="dxa"/>
                  <w:tcBorders>
                    <w:top w:val="single" w:sz="4" w:space="0" w:color="FFFFFF"/>
                    <w:left w:val="single" w:sz="4" w:space="0" w:color="FFFFFF"/>
                    <w:bottom w:val="single" w:sz="4" w:space="0" w:color="FFFFFF"/>
                  </w:tcBorders>
                  <w:shd w:val="clear" w:color="auto" w:fill="A6A6A6"/>
                  <w:vAlign w:val="center"/>
                </w:tcPr>
                <w:p w14:paraId="23BA2DAE"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Benefit</w:t>
                  </w:r>
                </w:p>
              </w:tc>
              <w:tc>
                <w:tcPr>
                  <w:tcW w:w="1350" w:type="dxa"/>
                  <w:tcBorders>
                    <w:top w:val="single" w:sz="4" w:space="0" w:color="FFFFFF"/>
                    <w:left w:val="single" w:sz="4" w:space="0" w:color="FFFFFF"/>
                    <w:bottom w:val="single" w:sz="4" w:space="0" w:color="FFFFFF"/>
                  </w:tcBorders>
                  <w:shd w:val="clear" w:color="auto" w:fill="A6A6A6"/>
                  <w:vAlign w:val="center"/>
                </w:tcPr>
                <w:p w14:paraId="38773737"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Total (PLN)</w:t>
                  </w:r>
                </w:p>
              </w:tc>
              <w:tc>
                <w:tcPr>
                  <w:tcW w:w="1313"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08E0C00"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w:t>
                  </w:r>
                </w:p>
              </w:tc>
            </w:tr>
            <w:tr w:rsidR="00600DEE" w:rsidRPr="007463B9" w14:paraId="03A78497" w14:textId="77777777">
              <w:trPr>
                <w:trHeight w:val="185"/>
              </w:trPr>
              <w:tc>
                <w:tcPr>
                  <w:tcW w:w="2728" w:type="dxa"/>
                  <w:tcBorders>
                    <w:left w:val="single" w:sz="4" w:space="0" w:color="FFFFFF"/>
                    <w:bottom w:val="single" w:sz="4" w:space="0" w:color="FFFFFF"/>
                  </w:tcBorders>
                  <w:shd w:val="clear" w:color="auto" w:fill="DBE5F1"/>
                  <w:vAlign w:val="center"/>
                </w:tcPr>
                <w:p w14:paraId="6AECB9B4" w14:textId="77777777" w:rsidR="00600DEE" w:rsidRPr="0045151D" w:rsidRDefault="00641FB5">
                  <w:pPr>
                    <w:pBdr>
                      <w:top w:val="nil"/>
                      <w:left w:val="nil"/>
                      <w:bottom w:val="nil"/>
                      <w:right w:val="nil"/>
                      <w:between w:val="nil"/>
                    </w:pBdr>
                    <w:tabs>
                      <w:tab w:val="left" w:pos="285"/>
                      <w:tab w:val="center" w:pos="534"/>
                    </w:tabs>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Time savings of vehicle users (if applicable; any of the items below could be considered a cost if the project results in a given economic cost category increase, e.g. noise)</w:t>
                  </w:r>
                </w:p>
              </w:tc>
              <w:tc>
                <w:tcPr>
                  <w:tcW w:w="1350" w:type="dxa"/>
                  <w:tcBorders>
                    <w:left w:val="single" w:sz="4" w:space="0" w:color="FFFFFF"/>
                    <w:bottom w:val="single" w:sz="4" w:space="0" w:color="FFFFFF"/>
                  </w:tcBorders>
                  <w:shd w:val="clear" w:color="auto" w:fill="DBE5F1"/>
                  <w:vAlign w:val="center"/>
                </w:tcPr>
                <w:p w14:paraId="169D2767"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c>
                <w:tcPr>
                  <w:tcW w:w="1313" w:type="dxa"/>
                  <w:tcBorders>
                    <w:left w:val="single" w:sz="4" w:space="0" w:color="FFFFFF"/>
                    <w:bottom w:val="single" w:sz="4" w:space="0" w:color="FFFFFF"/>
                    <w:right w:val="single" w:sz="4" w:space="0" w:color="FFFFFF"/>
                  </w:tcBorders>
                  <w:shd w:val="clear" w:color="auto" w:fill="DBE5F1"/>
                  <w:vAlign w:val="center"/>
                </w:tcPr>
                <w:p w14:paraId="25FD5B62"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r>
            <w:tr w:rsidR="00600DEE" w14:paraId="0C9E492C" w14:textId="77777777" w:rsidTr="0039454C">
              <w:trPr>
                <w:trHeight w:hRule="exact" w:val="567"/>
              </w:trPr>
              <w:tc>
                <w:tcPr>
                  <w:tcW w:w="2728" w:type="dxa"/>
                  <w:tcBorders>
                    <w:left w:val="single" w:sz="4" w:space="0" w:color="FFFFFF"/>
                    <w:bottom w:val="single" w:sz="4" w:space="0" w:color="FFFFFF"/>
                  </w:tcBorders>
                  <w:shd w:val="clear" w:color="auto" w:fill="DBE5F1"/>
                  <w:vAlign w:val="center"/>
                </w:tcPr>
                <w:p w14:paraId="4C963AFE" w14:textId="77777777" w:rsidR="00600DEE" w:rsidRDefault="00641FB5">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VOC savings (if applicable)</w:t>
                  </w:r>
                </w:p>
              </w:tc>
              <w:tc>
                <w:tcPr>
                  <w:tcW w:w="1350" w:type="dxa"/>
                  <w:tcBorders>
                    <w:left w:val="single" w:sz="4" w:space="0" w:color="FFFFFF"/>
                    <w:bottom w:val="single" w:sz="4" w:space="0" w:color="FFFFFF"/>
                  </w:tcBorders>
                  <w:shd w:val="clear" w:color="auto" w:fill="DBE5F1"/>
                  <w:vAlign w:val="center"/>
                </w:tcPr>
                <w:p w14:paraId="3A620D92" w14:textId="77777777" w:rsidR="00600DEE" w:rsidRDefault="00600DEE">
                  <w:pPr>
                    <w:pBdr>
                      <w:top w:val="nil"/>
                      <w:left w:val="nil"/>
                      <w:bottom w:val="nil"/>
                      <w:right w:val="nil"/>
                      <w:between w:val="nil"/>
                    </w:pBdr>
                    <w:rPr>
                      <w:rFonts w:ascii="Calibri" w:eastAsia="Calibri" w:hAnsi="Calibri" w:cs="Calibri"/>
                      <w:color w:val="4F81BD"/>
                      <w:sz w:val="20"/>
                      <w:szCs w:val="20"/>
                    </w:rPr>
                  </w:pPr>
                </w:p>
              </w:tc>
              <w:tc>
                <w:tcPr>
                  <w:tcW w:w="1313" w:type="dxa"/>
                  <w:tcBorders>
                    <w:left w:val="single" w:sz="4" w:space="0" w:color="FFFFFF"/>
                    <w:bottom w:val="single" w:sz="4" w:space="0" w:color="FFFFFF"/>
                    <w:right w:val="single" w:sz="4" w:space="0" w:color="FFFFFF"/>
                  </w:tcBorders>
                  <w:shd w:val="clear" w:color="auto" w:fill="DBE5F1"/>
                  <w:vAlign w:val="center"/>
                </w:tcPr>
                <w:p w14:paraId="5EAF7813" w14:textId="77777777" w:rsidR="00600DEE" w:rsidRDefault="00600DEE">
                  <w:pPr>
                    <w:pBdr>
                      <w:top w:val="nil"/>
                      <w:left w:val="nil"/>
                      <w:bottom w:val="nil"/>
                      <w:right w:val="nil"/>
                      <w:between w:val="nil"/>
                    </w:pBdr>
                    <w:rPr>
                      <w:rFonts w:ascii="Calibri" w:eastAsia="Calibri" w:hAnsi="Calibri" w:cs="Calibri"/>
                      <w:color w:val="4F81BD"/>
                      <w:sz w:val="20"/>
                      <w:szCs w:val="20"/>
                    </w:rPr>
                  </w:pPr>
                </w:p>
              </w:tc>
            </w:tr>
            <w:tr w:rsidR="00600DEE" w:rsidRPr="007463B9" w14:paraId="19301B12" w14:textId="77777777" w:rsidTr="0039454C">
              <w:trPr>
                <w:trHeight w:hRule="exact" w:val="567"/>
              </w:trPr>
              <w:tc>
                <w:tcPr>
                  <w:tcW w:w="2728" w:type="dxa"/>
                  <w:tcBorders>
                    <w:left w:val="single" w:sz="4" w:space="0" w:color="FFFFFF"/>
                    <w:bottom w:val="single" w:sz="4" w:space="0" w:color="FFFFFF"/>
                  </w:tcBorders>
                  <w:shd w:val="clear" w:color="auto" w:fill="DBE5F1"/>
                  <w:vAlign w:val="center"/>
                </w:tcPr>
                <w:p w14:paraId="2F69CF6A" w14:textId="77777777" w:rsidR="00600DEE" w:rsidRPr="0045151D" w:rsidRDefault="00641FB5">
                  <w:pPr>
                    <w:pBdr>
                      <w:top w:val="nil"/>
                      <w:left w:val="nil"/>
                      <w:bottom w:val="nil"/>
                      <w:right w:val="nil"/>
                      <w:between w:val="nil"/>
                    </w:pBdr>
                    <w:tabs>
                      <w:tab w:val="left" w:pos="285"/>
                      <w:tab w:val="center" w:pos="534"/>
                    </w:tabs>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Accident costs savings (if applicable)</w:t>
                  </w:r>
                </w:p>
              </w:tc>
              <w:tc>
                <w:tcPr>
                  <w:tcW w:w="1350" w:type="dxa"/>
                  <w:tcBorders>
                    <w:left w:val="single" w:sz="4" w:space="0" w:color="FFFFFF"/>
                    <w:bottom w:val="single" w:sz="4" w:space="0" w:color="FFFFFF"/>
                  </w:tcBorders>
                  <w:shd w:val="clear" w:color="auto" w:fill="DBE5F1"/>
                  <w:vAlign w:val="center"/>
                </w:tcPr>
                <w:p w14:paraId="0946D25A"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c>
                <w:tcPr>
                  <w:tcW w:w="1313" w:type="dxa"/>
                  <w:tcBorders>
                    <w:left w:val="single" w:sz="4" w:space="0" w:color="FFFFFF"/>
                    <w:bottom w:val="single" w:sz="4" w:space="0" w:color="FFFFFF"/>
                    <w:right w:val="single" w:sz="4" w:space="0" w:color="FFFFFF"/>
                  </w:tcBorders>
                  <w:shd w:val="clear" w:color="auto" w:fill="DBE5F1"/>
                  <w:vAlign w:val="center"/>
                </w:tcPr>
                <w:p w14:paraId="7D008D0D"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r>
            <w:tr w:rsidR="00600DEE" w:rsidRPr="007463B9" w14:paraId="71AFDC91" w14:textId="77777777" w:rsidTr="0039454C">
              <w:trPr>
                <w:trHeight w:hRule="exact" w:val="567"/>
              </w:trPr>
              <w:tc>
                <w:tcPr>
                  <w:tcW w:w="2728" w:type="dxa"/>
                  <w:tcBorders>
                    <w:left w:val="single" w:sz="4" w:space="0" w:color="FFFFFF"/>
                    <w:bottom w:val="single" w:sz="4" w:space="0" w:color="FFFFFF"/>
                  </w:tcBorders>
                  <w:shd w:val="clear" w:color="auto" w:fill="DBE5F1"/>
                  <w:vAlign w:val="center"/>
                </w:tcPr>
                <w:p w14:paraId="658B3204" w14:textId="77777777" w:rsidR="00600DEE" w:rsidRPr="0045151D" w:rsidRDefault="00641FB5">
                  <w:pPr>
                    <w:pBdr>
                      <w:top w:val="nil"/>
                      <w:left w:val="nil"/>
                      <w:bottom w:val="nil"/>
                      <w:right w:val="nil"/>
                      <w:between w:val="nil"/>
                    </w:pBdr>
                    <w:tabs>
                      <w:tab w:val="left" w:pos="285"/>
                      <w:tab w:val="center" w:pos="534"/>
                    </w:tabs>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Air pollution savings (if applicable)</w:t>
                  </w:r>
                </w:p>
              </w:tc>
              <w:tc>
                <w:tcPr>
                  <w:tcW w:w="1350" w:type="dxa"/>
                  <w:tcBorders>
                    <w:left w:val="single" w:sz="4" w:space="0" w:color="FFFFFF"/>
                    <w:bottom w:val="single" w:sz="4" w:space="0" w:color="FFFFFF"/>
                  </w:tcBorders>
                  <w:shd w:val="clear" w:color="auto" w:fill="DBE5F1"/>
                  <w:vAlign w:val="center"/>
                </w:tcPr>
                <w:p w14:paraId="280AB14D"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c>
                <w:tcPr>
                  <w:tcW w:w="1313" w:type="dxa"/>
                  <w:tcBorders>
                    <w:left w:val="single" w:sz="4" w:space="0" w:color="FFFFFF"/>
                    <w:bottom w:val="single" w:sz="4" w:space="0" w:color="FFFFFF"/>
                    <w:right w:val="single" w:sz="4" w:space="0" w:color="FFFFFF"/>
                  </w:tcBorders>
                  <w:shd w:val="clear" w:color="auto" w:fill="DBE5F1"/>
                  <w:vAlign w:val="center"/>
                </w:tcPr>
                <w:p w14:paraId="3D409563"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r>
            <w:tr w:rsidR="00600DEE" w:rsidRPr="007463B9" w14:paraId="7D8B3EB3" w14:textId="77777777" w:rsidTr="0039454C">
              <w:trPr>
                <w:trHeight w:hRule="exact" w:val="567"/>
              </w:trPr>
              <w:tc>
                <w:tcPr>
                  <w:tcW w:w="2728" w:type="dxa"/>
                  <w:tcBorders>
                    <w:left w:val="single" w:sz="4" w:space="0" w:color="FFFFFF"/>
                    <w:bottom w:val="single" w:sz="4" w:space="0" w:color="FFFFFF"/>
                  </w:tcBorders>
                  <w:shd w:val="clear" w:color="auto" w:fill="DBE5F1"/>
                  <w:vAlign w:val="center"/>
                </w:tcPr>
                <w:p w14:paraId="02AD8C35" w14:textId="77777777" w:rsidR="00600DEE" w:rsidRPr="0045151D" w:rsidRDefault="00641FB5">
                  <w:pPr>
                    <w:pBdr>
                      <w:top w:val="nil"/>
                      <w:left w:val="nil"/>
                      <w:bottom w:val="nil"/>
                      <w:right w:val="nil"/>
                      <w:between w:val="nil"/>
                    </w:pBdr>
                    <w:tabs>
                      <w:tab w:val="left" w:pos="285"/>
                      <w:tab w:val="center" w:pos="534"/>
                    </w:tabs>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Climate change savings (if applicable)</w:t>
                  </w:r>
                </w:p>
              </w:tc>
              <w:tc>
                <w:tcPr>
                  <w:tcW w:w="1350" w:type="dxa"/>
                  <w:tcBorders>
                    <w:left w:val="single" w:sz="4" w:space="0" w:color="FFFFFF"/>
                    <w:bottom w:val="single" w:sz="4" w:space="0" w:color="FFFFFF"/>
                  </w:tcBorders>
                  <w:shd w:val="clear" w:color="auto" w:fill="DBE5F1"/>
                  <w:vAlign w:val="center"/>
                </w:tcPr>
                <w:p w14:paraId="56E88586"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c>
                <w:tcPr>
                  <w:tcW w:w="1313" w:type="dxa"/>
                  <w:tcBorders>
                    <w:left w:val="single" w:sz="4" w:space="0" w:color="FFFFFF"/>
                    <w:bottom w:val="single" w:sz="4" w:space="0" w:color="FFFFFF"/>
                    <w:right w:val="single" w:sz="4" w:space="0" w:color="FFFFFF"/>
                  </w:tcBorders>
                  <w:shd w:val="clear" w:color="auto" w:fill="DBE5F1"/>
                  <w:vAlign w:val="center"/>
                </w:tcPr>
                <w:p w14:paraId="31574F55"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r>
            <w:tr w:rsidR="00600DEE" w14:paraId="1C9F4491" w14:textId="77777777" w:rsidTr="0039454C">
              <w:trPr>
                <w:trHeight w:hRule="exact" w:val="567"/>
              </w:trPr>
              <w:tc>
                <w:tcPr>
                  <w:tcW w:w="2728" w:type="dxa"/>
                  <w:tcBorders>
                    <w:left w:val="single" w:sz="4" w:space="0" w:color="FFFFFF"/>
                    <w:bottom w:val="single" w:sz="4" w:space="0" w:color="FFFFFF"/>
                  </w:tcBorders>
                  <w:shd w:val="clear" w:color="auto" w:fill="DBE5F1"/>
                  <w:vAlign w:val="center"/>
                </w:tcPr>
                <w:p w14:paraId="61F15C86" w14:textId="77777777" w:rsidR="00600DEE" w:rsidRDefault="00641FB5">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Noise savings (if applicable)</w:t>
                  </w:r>
                </w:p>
              </w:tc>
              <w:tc>
                <w:tcPr>
                  <w:tcW w:w="1350" w:type="dxa"/>
                  <w:tcBorders>
                    <w:left w:val="single" w:sz="4" w:space="0" w:color="FFFFFF"/>
                    <w:bottom w:val="single" w:sz="4" w:space="0" w:color="FFFFFF"/>
                  </w:tcBorders>
                  <w:shd w:val="clear" w:color="auto" w:fill="DBE5F1"/>
                  <w:vAlign w:val="center"/>
                </w:tcPr>
                <w:p w14:paraId="0377787E" w14:textId="77777777" w:rsidR="00600DEE" w:rsidRDefault="00600DEE">
                  <w:pPr>
                    <w:pBdr>
                      <w:top w:val="nil"/>
                      <w:left w:val="nil"/>
                      <w:bottom w:val="nil"/>
                      <w:right w:val="nil"/>
                      <w:between w:val="nil"/>
                    </w:pBdr>
                    <w:rPr>
                      <w:rFonts w:ascii="Calibri" w:eastAsia="Calibri" w:hAnsi="Calibri" w:cs="Calibri"/>
                      <w:color w:val="4F81BD"/>
                      <w:sz w:val="20"/>
                      <w:szCs w:val="20"/>
                    </w:rPr>
                  </w:pPr>
                </w:p>
              </w:tc>
              <w:tc>
                <w:tcPr>
                  <w:tcW w:w="1313" w:type="dxa"/>
                  <w:tcBorders>
                    <w:left w:val="single" w:sz="4" w:space="0" w:color="FFFFFF"/>
                    <w:bottom w:val="single" w:sz="4" w:space="0" w:color="FFFFFF"/>
                    <w:right w:val="single" w:sz="4" w:space="0" w:color="FFFFFF"/>
                  </w:tcBorders>
                  <w:shd w:val="clear" w:color="auto" w:fill="DBE5F1"/>
                  <w:vAlign w:val="center"/>
                </w:tcPr>
                <w:p w14:paraId="19563E43" w14:textId="77777777" w:rsidR="00600DEE" w:rsidRDefault="00600DEE">
                  <w:pPr>
                    <w:pBdr>
                      <w:top w:val="nil"/>
                      <w:left w:val="nil"/>
                      <w:bottom w:val="nil"/>
                      <w:right w:val="nil"/>
                      <w:between w:val="nil"/>
                    </w:pBdr>
                    <w:rPr>
                      <w:rFonts w:ascii="Calibri" w:eastAsia="Calibri" w:hAnsi="Calibri" w:cs="Calibri"/>
                      <w:color w:val="4F81BD"/>
                      <w:sz w:val="20"/>
                      <w:szCs w:val="20"/>
                    </w:rPr>
                  </w:pPr>
                </w:p>
              </w:tc>
            </w:tr>
            <w:tr w:rsidR="00600DEE" w14:paraId="4F8C2D04" w14:textId="77777777" w:rsidTr="0039454C">
              <w:trPr>
                <w:trHeight w:hRule="exact" w:val="567"/>
              </w:trPr>
              <w:tc>
                <w:tcPr>
                  <w:tcW w:w="2728" w:type="dxa"/>
                  <w:tcBorders>
                    <w:left w:val="single" w:sz="4" w:space="0" w:color="FFFFFF"/>
                    <w:bottom w:val="single" w:sz="4" w:space="0" w:color="FFFFFF"/>
                  </w:tcBorders>
                  <w:shd w:val="clear" w:color="auto" w:fill="DBE5F1"/>
                  <w:vAlign w:val="center"/>
                </w:tcPr>
                <w:p w14:paraId="2516394E" w14:textId="77777777" w:rsidR="00600DEE" w:rsidRDefault="00641FB5">
                  <w:pPr>
                    <w:pBdr>
                      <w:top w:val="nil"/>
                      <w:left w:val="nil"/>
                      <w:bottom w:val="nil"/>
                      <w:right w:val="nil"/>
                      <w:between w:val="nil"/>
                    </w:pBdr>
                    <w:tabs>
                      <w:tab w:val="left" w:pos="285"/>
                      <w:tab w:val="center" w:pos="534"/>
                    </w:tabs>
                    <w:rPr>
                      <w:rFonts w:ascii="Calibri" w:eastAsia="Calibri" w:hAnsi="Calibri" w:cs="Calibri"/>
                      <w:color w:val="4F81BD"/>
                      <w:sz w:val="20"/>
                      <w:szCs w:val="20"/>
                    </w:rPr>
                  </w:pPr>
                  <w:r>
                    <w:rPr>
                      <w:rFonts w:ascii="Calibri" w:eastAsia="Calibri" w:hAnsi="Calibri" w:cs="Calibri"/>
                      <w:color w:val="4F81BD"/>
                      <w:sz w:val="20"/>
                      <w:szCs w:val="20"/>
                    </w:rPr>
                    <w:t xml:space="preserve">Residual value </w:t>
                  </w:r>
                </w:p>
              </w:tc>
              <w:tc>
                <w:tcPr>
                  <w:tcW w:w="1350" w:type="dxa"/>
                  <w:tcBorders>
                    <w:left w:val="single" w:sz="4" w:space="0" w:color="FFFFFF"/>
                    <w:bottom w:val="single" w:sz="4" w:space="0" w:color="FFFFFF"/>
                  </w:tcBorders>
                  <w:shd w:val="clear" w:color="auto" w:fill="DBE5F1"/>
                  <w:vAlign w:val="center"/>
                </w:tcPr>
                <w:p w14:paraId="60A13BE0" w14:textId="77777777" w:rsidR="00600DEE" w:rsidRDefault="00600DEE">
                  <w:pPr>
                    <w:pBdr>
                      <w:top w:val="nil"/>
                      <w:left w:val="nil"/>
                      <w:bottom w:val="nil"/>
                      <w:right w:val="nil"/>
                      <w:between w:val="nil"/>
                    </w:pBdr>
                    <w:rPr>
                      <w:rFonts w:ascii="Calibri" w:eastAsia="Calibri" w:hAnsi="Calibri" w:cs="Calibri"/>
                      <w:color w:val="4F81BD"/>
                      <w:sz w:val="20"/>
                      <w:szCs w:val="20"/>
                    </w:rPr>
                  </w:pPr>
                </w:p>
              </w:tc>
              <w:tc>
                <w:tcPr>
                  <w:tcW w:w="1313" w:type="dxa"/>
                  <w:tcBorders>
                    <w:left w:val="single" w:sz="4" w:space="0" w:color="FFFFFF"/>
                    <w:bottom w:val="single" w:sz="4" w:space="0" w:color="FFFFFF"/>
                    <w:right w:val="single" w:sz="4" w:space="0" w:color="FFFFFF"/>
                  </w:tcBorders>
                  <w:shd w:val="clear" w:color="auto" w:fill="DBE5F1"/>
                  <w:vAlign w:val="center"/>
                </w:tcPr>
                <w:p w14:paraId="2482F8B6" w14:textId="77777777" w:rsidR="00600DEE" w:rsidRDefault="00600DEE">
                  <w:pPr>
                    <w:pBdr>
                      <w:top w:val="nil"/>
                      <w:left w:val="nil"/>
                      <w:bottom w:val="nil"/>
                      <w:right w:val="nil"/>
                      <w:between w:val="nil"/>
                    </w:pBdr>
                    <w:rPr>
                      <w:rFonts w:ascii="Calibri" w:eastAsia="Calibri" w:hAnsi="Calibri" w:cs="Calibri"/>
                      <w:color w:val="4F81BD"/>
                      <w:sz w:val="20"/>
                      <w:szCs w:val="20"/>
                    </w:rPr>
                  </w:pPr>
                </w:p>
              </w:tc>
            </w:tr>
            <w:tr w:rsidR="00600DEE" w:rsidRPr="007463B9" w14:paraId="25B6BCFF" w14:textId="77777777" w:rsidTr="0039454C">
              <w:trPr>
                <w:trHeight w:hRule="exact" w:val="567"/>
              </w:trPr>
              <w:tc>
                <w:tcPr>
                  <w:tcW w:w="2728" w:type="dxa"/>
                  <w:tcBorders>
                    <w:left w:val="single" w:sz="4" w:space="0" w:color="FFFFFF"/>
                    <w:bottom w:val="single" w:sz="4" w:space="0" w:color="FFFFFF"/>
                  </w:tcBorders>
                  <w:shd w:val="clear" w:color="auto" w:fill="DBE5F1"/>
                  <w:vAlign w:val="center"/>
                </w:tcPr>
                <w:p w14:paraId="4FA7D68F" w14:textId="77777777" w:rsidR="00600DEE" w:rsidRPr="0045151D" w:rsidRDefault="00641FB5">
                  <w:pPr>
                    <w:pBdr>
                      <w:top w:val="nil"/>
                      <w:left w:val="nil"/>
                      <w:bottom w:val="nil"/>
                      <w:right w:val="nil"/>
                      <w:between w:val="nil"/>
                    </w:pBdr>
                    <w:tabs>
                      <w:tab w:val="left" w:pos="285"/>
                      <w:tab w:val="center" w:pos="534"/>
                    </w:tabs>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Other positive impacts (if applicable)</w:t>
                  </w:r>
                </w:p>
              </w:tc>
              <w:tc>
                <w:tcPr>
                  <w:tcW w:w="1350" w:type="dxa"/>
                  <w:tcBorders>
                    <w:left w:val="single" w:sz="4" w:space="0" w:color="FFFFFF"/>
                    <w:bottom w:val="single" w:sz="4" w:space="0" w:color="FFFFFF"/>
                  </w:tcBorders>
                  <w:shd w:val="clear" w:color="auto" w:fill="DBE5F1"/>
                  <w:vAlign w:val="center"/>
                </w:tcPr>
                <w:p w14:paraId="74DEF933"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c>
                <w:tcPr>
                  <w:tcW w:w="1313" w:type="dxa"/>
                  <w:tcBorders>
                    <w:left w:val="single" w:sz="4" w:space="0" w:color="FFFFFF"/>
                    <w:bottom w:val="single" w:sz="4" w:space="0" w:color="FFFFFF"/>
                    <w:right w:val="single" w:sz="4" w:space="0" w:color="FFFFFF"/>
                  </w:tcBorders>
                  <w:shd w:val="clear" w:color="auto" w:fill="DBE5F1"/>
                  <w:vAlign w:val="center"/>
                </w:tcPr>
                <w:p w14:paraId="290AFDC8"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r>
            <w:tr w:rsidR="00600DEE" w14:paraId="0BE72DA3" w14:textId="77777777" w:rsidTr="003D1D69">
              <w:trPr>
                <w:trHeight w:hRule="exact" w:val="510"/>
              </w:trPr>
              <w:tc>
                <w:tcPr>
                  <w:tcW w:w="2728" w:type="dxa"/>
                  <w:tcBorders>
                    <w:top w:val="single" w:sz="4" w:space="0" w:color="FFFFFF"/>
                    <w:left w:val="single" w:sz="4" w:space="0" w:color="FFFFFF"/>
                    <w:bottom w:val="single" w:sz="4" w:space="0" w:color="FFFFFF"/>
                  </w:tcBorders>
                  <w:shd w:val="clear" w:color="auto" w:fill="A6A6A6"/>
                  <w:vAlign w:val="center"/>
                </w:tcPr>
                <w:p w14:paraId="6E7D4638"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Costs</w:t>
                  </w:r>
                </w:p>
              </w:tc>
              <w:tc>
                <w:tcPr>
                  <w:tcW w:w="1350" w:type="dxa"/>
                  <w:tcBorders>
                    <w:top w:val="single" w:sz="4" w:space="0" w:color="FFFFFF"/>
                    <w:left w:val="single" w:sz="4" w:space="0" w:color="FFFFFF"/>
                    <w:bottom w:val="single" w:sz="4" w:space="0" w:color="FFFFFF"/>
                  </w:tcBorders>
                  <w:shd w:val="clear" w:color="auto" w:fill="A6A6A6"/>
                  <w:vAlign w:val="center"/>
                </w:tcPr>
                <w:p w14:paraId="56FBCC67"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Total (PLN)</w:t>
                  </w:r>
                </w:p>
              </w:tc>
              <w:tc>
                <w:tcPr>
                  <w:tcW w:w="1313"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14DD6137"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w:t>
                  </w:r>
                </w:p>
              </w:tc>
            </w:tr>
            <w:tr w:rsidR="00600DEE" w14:paraId="13F90E29" w14:textId="77777777">
              <w:trPr>
                <w:trHeight w:val="135"/>
              </w:trPr>
              <w:tc>
                <w:tcPr>
                  <w:tcW w:w="2728" w:type="dxa"/>
                  <w:tcBorders>
                    <w:left w:val="single" w:sz="4" w:space="0" w:color="FFFFFF"/>
                    <w:bottom w:val="single" w:sz="4" w:space="0" w:color="FFFFFF"/>
                  </w:tcBorders>
                  <w:shd w:val="clear" w:color="auto" w:fill="DBE5F1"/>
                  <w:vAlign w:val="center"/>
                </w:tcPr>
                <w:p w14:paraId="3ECE7199" w14:textId="77777777" w:rsidR="00600DEE" w:rsidRDefault="00641FB5">
                  <w:pPr>
                    <w:pBdr>
                      <w:top w:val="nil"/>
                      <w:left w:val="nil"/>
                      <w:bottom w:val="nil"/>
                      <w:right w:val="nil"/>
                      <w:between w:val="nil"/>
                    </w:pBdr>
                    <w:tabs>
                      <w:tab w:val="left" w:pos="285"/>
                      <w:tab w:val="center" w:pos="534"/>
                    </w:tabs>
                    <w:spacing w:line="264" w:lineRule="auto"/>
                    <w:rPr>
                      <w:rFonts w:ascii="Calibri" w:eastAsia="Calibri" w:hAnsi="Calibri" w:cs="Calibri"/>
                      <w:color w:val="4F81BD"/>
                      <w:sz w:val="20"/>
                      <w:szCs w:val="20"/>
                    </w:rPr>
                  </w:pPr>
                  <w:r>
                    <w:rPr>
                      <w:rFonts w:ascii="Calibri" w:eastAsia="Calibri" w:hAnsi="Calibri" w:cs="Calibri"/>
                      <w:color w:val="4F81BD"/>
                      <w:sz w:val="20"/>
                      <w:szCs w:val="20"/>
                    </w:rPr>
                    <w:t>Investment costs</w:t>
                  </w:r>
                </w:p>
              </w:tc>
              <w:tc>
                <w:tcPr>
                  <w:tcW w:w="1350" w:type="dxa"/>
                  <w:tcBorders>
                    <w:left w:val="single" w:sz="4" w:space="0" w:color="FFFFFF"/>
                    <w:bottom w:val="single" w:sz="4" w:space="0" w:color="FFFFFF"/>
                  </w:tcBorders>
                  <w:shd w:val="clear" w:color="auto" w:fill="DBE5F1"/>
                  <w:vAlign w:val="center"/>
                </w:tcPr>
                <w:p w14:paraId="10E8DAF1" w14:textId="77777777" w:rsidR="00600DEE" w:rsidRDefault="00600DEE">
                  <w:pPr>
                    <w:pBdr>
                      <w:top w:val="nil"/>
                      <w:left w:val="nil"/>
                      <w:bottom w:val="nil"/>
                      <w:right w:val="nil"/>
                      <w:between w:val="nil"/>
                    </w:pBdr>
                    <w:rPr>
                      <w:rFonts w:ascii="Calibri" w:eastAsia="Calibri" w:hAnsi="Calibri" w:cs="Calibri"/>
                      <w:color w:val="4F81BD"/>
                      <w:sz w:val="20"/>
                      <w:szCs w:val="20"/>
                    </w:rPr>
                  </w:pPr>
                </w:p>
              </w:tc>
              <w:tc>
                <w:tcPr>
                  <w:tcW w:w="1313" w:type="dxa"/>
                  <w:tcBorders>
                    <w:left w:val="single" w:sz="4" w:space="0" w:color="FFFFFF"/>
                    <w:bottom w:val="single" w:sz="4" w:space="0" w:color="FFFFFF"/>
                    <w:right w:val="single" w:sz="4" w:space="0" w:color="FFFFFF"/>
                  </w:tcBorders>
                  <w:shd w:val="clear" w:color="auto" w:fill="DBE5F1"/>
                  <w:vAlign w:val="center"/>
                </w:tcPr>
                <w:p w14:paraId="502419A7" w14:textId="77777777" w:rsidR="00600DEE" w:rsidRDefault="00600DEE">
                  <w:pPr>
                    <w:pBdr>
                      <w:top w:val="nil"/>
                      <w:left w:val="nil"/>
                      <w:bottom w:val="nil"/>
                      <w:right w:val="nil"/>
                      <w:between w:val="nil"/>
                    </w:pBdr>
                    <w:rPr>
                      <w:rFonts w:ascii="Calibri" w:eastAsia="Calibri" w:hAnsi="Calibri" w:cs="Calibri"/>
                      <w:color w:val="4F81BD"/>
                      <w:sz w:val="20"/>
                      <w:szCs w:val="20"/>
                    </w:rPr>
                  </w:pPr>
                </w:p>
              </w:tc>
            </w:tr>
            <w:tr w:rsidR="00600DEE" w:rsidRPr="007463B9" w14:paraId="3F50D43B" w14:textId="77777777" w:rsidTr="0039454C">
              <w:trPr>
                <w:trHeight w:hRule="exact" w:val="1134"/>
              </w:trPr>
              <w:tc>
                <w:tcPr>
                  <w:tcW w:w="2728" w:type="dxa"/>
                  <w:tcBorders>
                    <w:left w:val="single" w:sz="4" w:space="0" w:color="FFFFFF"/>
                    <w:bottom w:val="single" w:sz="4" w:space="0" w:color="FFFFFF"/>
                  </w:tcBorders>
                  <w:shd w:val="clear" w:color="auto" w:fill="DBE5F1"/>
                  <w:vAlign w:val="center"/>
                </w:tcPr>
                <w:p w14:paraId="54A10359" w14:textId="77777777" w:rsidR="00600DEE" w:rsidRPr="0045151D" w:rsidRDefault="00641FB5">
                  <w:pPr>
                    <w:pBdr>
                      <w:top w:val="nil"/>
                      <w:left w:val="nil"/>
                      <w:bottom w:val="nil"/>
                      <w:right w:val="nil"/>
                      <w:between w:val="nil"/>
                    </w:pBdr>
                    <w:tabs>
                      <w:tab w:val="left" w:pos="285"/>
                      <w:tab w:val="center" w:pos="534"/>
                    </w:tabs>
                    <w:spacing w:line="264" w:lineRule="auto"/>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O&amp;M (could be considered a benefit if the project results in cost savings)</w:t>
                  </w:r>
                </w:p>
              </w:tc>
              <w:tc>
                <w:tcPr>
                  <w:tcW w:w="1350" w:type="dxa"/>
                  <w:tcBorders>
                    <w:left w:val="single" w:sz="4" w:space="0" w:color="FFFFFF"/>
                    <w:bottom w:val="single" w:sz="4" w:space="0" w:color="FFFFFF"/>
                  </w:tcBorders>
                  <w:shd w:val="clear" w:color="auto" w:fill="DBE5F1"/>
                  <w:vAlign w:val="center"/>
                </w:tcPr>
                <w:p w14:paraId="400A5FF9"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c>
                <w:tcPr>
                  <w:tcW w:w="1313" w:type="dxa"/>
                  <w:tcBorders>
                    <w:left w:val="single" w:sz="4" w:space="0" w:color="FFFFFF"/>
                    <w:bottom w:val="single" w:sz="4" w:space="0" w:color="FFFFFF"/>
                    <w:right w:val="single" w:sz="4" w:space="0" w:color="FFFFFF"/>
                  </w:tcBorders>
                  <w:shd w:val="clear" w:color="auto" w:fill="DBE5F1"/>
                  <w:vAlign w:val="center"/>
                </w:tcPr>
                <w:p w14:paraId="6910A9D9"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r>
            <w:tr w:rsidR="00600DEE" w:rsidRPr="007463B9" w14:paraId="74582EAA" w14:textId="77777777" w:rsidTr="0039454C">
              <w:trPr>
                <w:trHeight w:hRule="exact" w:val="567"/>
              </w:trPr>
              <w:tc>
                <w:tcPr>
                  <w:tcW w:w="2728" w:type="dxa"/>
                  <w:tcBorders>
                    <w:left w:val="single" w:sz="4" w:space="0" w:color="FFFFFF"/>
                    <w:bottom w:val="single" w:sz="4" w:space="0" w:color="FFFFFF"/>
                  </w:tcBorders>
                  <w:shd w:val="clear" w:color="auto" w:fill="DBE5F1"/>
                  <w:vAlign w:val="center"/>
                </w:tcPr>
                <w:p w14:paraId="1AEAB294" w14:textId="77777777" w:rsidR="00600DEE" w:rsidRPr="0045151D" w:rsidRDefault="00641FB5">
                  <w:pPr>
                    <w:pBdr>
                      <w:top w:val="nil"/>
                      <w:left w:val="nil"/>
                      <w:bottom w:val="nil"/>
                      <w:right w:val="nil"/>
                      <w:between w:val="nil"/>
                    </w:pBdr>
                    <w:tabs>
                      <w:tab w:val="left" w:pos="285"/>
                      <w:tab w:val="center" w:pos="534"/>
                    </w:tabs>
                    <w:spacing w:line="264" w:lineRule="auto"/>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Other negative impacts (if applicable)</w:t>
                  </w:r>
                </w:p>
              </w:tc>
              <w:tc>
                <w:tcPr>
                  <w:tcW w:w="1350" w:type="dxa"/>
                  <w:tcBorders>
                    <w:left w:val="single" w:sz="4" w:space="0" w:color="FFFFFF"/>
                    <w:bottom w:val="single" w:sz="4" w:space="0" w:color="FFFFFF"/>
                  </w:tcBorders>
                  <w:shd w:val="clear" w:color="auto" w:fill="DBE5F1"/>
                  <w:vAlign w:val="center"/>
                </w:tcPr>
                <w:p w14:paraId="38D194C2"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c>
                <w:tcPr>
                  <w:tcW w:w="1313" w:type="dxa"/>
                  <w:tcBorders>
                    <w:left w:val="single" w:sz="4" w:space="0" w:color="FFFFFF"/>
                    <w:bottom w:val="single" w:sz="4" w:space="0" w:color="FFFFFF"/>
                    <w:right w:val="single" w:sz="4" w:space="0" w:color="FFFFFF"/>
                  </w:tcBorders>
                  <w:shd w:val="clear" w:color="auto" w:fill="DBE5F1"/>
                  <w:vAlign w:val="center"/>
                </w:tcPr>
                <w:p w14:paraId="5B44AAC5" w14:textId="77777777" w:rsidR="00600DEE" w:rsidRPr="0045151D" w:rsidRDefault="00600DEE">
                  <w:pPr>
                    <w:pBdr>
                      <w:top w:val="nil"/>
                      <w:left w:val="nil"/>
                      <w:bottom w:val="nil"/>
                      <w:right w:val="nil"/>
                      <w:between w:val="nil"/>
                    </w:pBdr>
                    <w:rPr>
                      <w:rFonts w:ascii="Calibri" w:eastAsia="Calibri" w:hAnsi="Calibri" w:cs="Calibri"/>
                      <w:color w:val="4F81BD"/>
                      <w:sz w:val="20"/>
                      <w:szCs w:val="20"/>
                      <w:lang w:val="en-GB"/>
                    </w:rPr>
                  </w:pPr>
                </w:p>
              </w:tc>
            </w:tr>
          </w:tbl>
          <w:p w14:paraId="38850FCD" w14:textId="325C4D17" w:rsidR="00FD10CF" w:rsidRPr="0045151D" w:rsidRDefault="00641FB5">
            <w:pPr>
              <w:pBdr>
                <w:top w:val="nil"/>
                <w:left w:val="nil"/>
                <w:bottom w:val="nil"/>
                <w:right w:val="nil"/>
                <w:between w:val="nil"/>
              </w:pBdr>
              <w:spacing w:before="12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Source: proprietary work.</w:t>
            </w:r>
          </w:p>
          <w:p w14:paraId="72F7C64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above list of benefits and costs is an example. The actual list of benefits is specific to each project. All savings in social costs (including the residual value) should be considered as project benefits, whereas all negative impacts (increases in social costs) should be considered as project costs.</w:t>
            </w:r>
          </w:p>
          <w:p w14:paraId="267D767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Depending on the investment option type, different level of net socio-economic benefits generated by various economic cost categories (vehicle operating costs, time value costs, etc.) can be expected.</w:t>
            </w:r>
          </w:p>
          <w:p w14:paraId="36369EC1"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color w:val="000000"/>
                <w:sz w:val="20"/>
                <w:szCs w:val="20"/>
                <w:lang w:val="en-GB"/>
              </w:rPr>
              <w:t xml:space="preserve">In case of single-location investments (such as reconstruction of “black spots”, pedestrian crossings, intersections, etc.) where aspects related to safety improvement are the most important and major works are connected with reconstruction or rehabilitation, the most important net economic benefits correspond to accident cost savings. Whereas in case of the value of time costs, often major net economic losses (costs) may be observed. </w:t>
            </w:r>
          </w:p>
          <w:p w14:paraId="68751EB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case of construction of a new road with a new alignment, the main net economic benefits will be generated by savings in the value of time costs, and nearly always net economic losses (costs) are observed within the vehicles operating costs.</w:t>
            </w:r>
          </w:p>
          <w:p w14:paraId="7027383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case of rehabilitation of the existing road without improving its standard to a higher category or capacity, the most important net economic benefits are the savings of vehicles operating costs and accident costs, fairly often we can observe small (or zero) benefits within value of time savings.</w:t>
            </w:r>
          </w:p>
          <w:p w14:paraId="2BA3FCC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case of expansion of an existing road for flow capacity increase (additional traffic lanes) the main net economic benefits are the value of time savings and vehicles operating costs savings, some small benefits also occur as a decrease of accident costs while infrastructure maintenance costs will generally increase.</w:t>
            </w:r>
          </w:p>
          <w:p w14:paraId="4D26437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 </w:t>
            </w:r>
          </w:p>
        </w:tc>
      </w:tr>
    </w:tbl>
    <w:p w14:paraId="63409374" w14:textId="5C5B73C0" w:rsidR="00600DEE" w:rsidRDefault="00641FB5" w:rsidP="00D5736B">
      <w:pPr>
        <w:pStyle w:val="Nagwek3"/>
        <w:numPr>
          <w:ilvl w:val="2"/>
          <w:numId w:val="17"/>
        </w:numPr>
        <w:ind w:left="0" w:firstLine="0"/>
        <w:rPr>
          <w:rFonts w:ascii="Calibri" w:eastAsia="Calibri" w:hAnsi="Calibri" w:cs="Calibri"/>
          <w:color w:val="4F81BD"/>
        </w:rPr>
      </w:pPr>
      <w:bookmarkStart w:id="94" w:name="_Toc91596261"/>
      <w:bookmarkStart w:id="95" w:name="_Toc95377999"/>
      <w:r>
        <w:rPr>
          <w:rFonts w:ascii="Calibri" w:eastAsia="Calibri" w:hAnsi="Calibri" w:cs="Calibri"/>
          <w:color w:val="4F81BD"/>
        </w:rPr>
        <w:t>Obliczanie wskaźników efektywności społeczno-ekonomicznej i interpretacja wyników</w:t>
      </w:r>
      <w:bookmarkEnd w:id="94"/>
      <w:bookmarkEnd w:id="95"/>
    </w:p>
    <w:p w14:paraId="3F65B7BC" w14:textId="377CA485" w:rsidR="00600DEE" w:rsidRPr="0045151D" w:rsidRDefault="00641FB5">
      <w:pPr>
        <w:pStyle w:val="Nagwek3"/>
        <w:rPr>
          <w:rFonts w:ascii="Calibri" w:eastAsia="Calibri" w:hAnsi="Calibri" w:cs="Calibri"/>
          <w:i/>
          <w:color w:val="4F81BD"/>
          <w:lang w:val="en-GB"/>
        </w:rPr>
      </w:pPr>
      <w:bookmarkStart w:id="96" w:name="_Toc95378000"/>
      <w:r w:rsidRPr="0045151D">
        <w:rPr>
          <w:rFonts w:ascii="Calibri" w:eastAsia="Calibri" w:hAnsi="Calibri" w:cs="Calibri"/>
          <w:i/>
          <w:color w:val="4F81BD"/>
          <w:lang w:val="en-GB"/>
        </w:rPr>
        <w:t>2.</w:t>
      </w:r>
      <w:r w:rsidR="00A27FD9" w:rsidRPr="0045151D">
        <w:rPr>
          <w:rFonts w:ascii="Calibri" w:eastAsia="Calibri" w:hAnsi="Calibri" w:cs="Calibri"/>
          <w:i/>
          <w:color w:val="4F81BD"/>
          <w:lang w:val="en-GB"/>
        </w:rPr>
        <w:t>2</w:t>
      </w:r>
      <w:r w:rsidRPr="0045151D">
        <w:rPr>
          <w:rFonts w:ascii="Calibri" w:eastAsia="Calibri" w:hAnsi="Calibri" w:cs="Calibri"/>
          <w:i/>
          <w:color w:val="4F81BD"/>
          <w:lang w:val="en-GB"/>
        </w:rPr>
        <w:t>.</w:t>
      </w:r>
      <w:r w:rsidR="00A27FD9" w:rsidRPr="0045151D">
        <w:rPr>
          <w:rFonts w:ascii="Calibri" w:eastAsia="Calibri" w:hAnsi="Calibri" w:cs="Calibri"/>
          <w:i/>
          <w:color w:val="4F81BD"/>
          <w:lang w:val="en-GB"/>
        </w:rPr>
        <w:t>4</w:t>
      </w:r>
      <w:r w:rsidRPr="0045151D">
        <w:rPr>
          <w:rFonts w:ascii="Calibri" w:eastAsia="Calibri" w:hAnsi="Calibri" w:cs="Calibri"/>
          <w:i/>
          <w:color w:val="4F81BD"/>
          <w:lang w:val="en-GB"/>
        </w:rPr>
        <w:t xml:space="preserve">   Calculation of the socio-economic performance indicators and interpretation of results</w:t>
      </w:r>
      <w:bookmarkEnd w:id="96"/>
    </w:p>
    <w:tbl>
      <w:tblPr>
        <w:tblStyle w:val="affffff0"/>
        <w:tblW w:w="14571" w:type="dxa"/>
        <w:tblLayout w:type="fixed"/>
        <w:tblLook w:val="0400" w:firstRow="0" w:lastRow="0" w:firstColumn="0" w:lastColumn="0" w:noHBand="0" w:noVBand="1"/>
      </w:tblPr>
      <w:tblGrid>
        <w:gridCol w:w="7370"/>
        <w:gridCol w:w="7201"/>
      </w:tblGrid>
      <w:tr w:rsidR="00600DEE" w:rsidRPr="007463B9" w14:paraId="2DDE1721" w14:textId="77777777">
        <w:tc>
          <w:tcPr>
            <w:tcW w:w="7370" w:type="dxa"/>
            <w:tcBorders>
              <w:right w:val="single" w:sz="4" w:space="0" w:color="000000"/>
            </w:tcBorders>
            <w:tcMar>
              <w:left w:w="284" w:type="dxa"/>
              <w:right w:w="284" w:type="dxa"/>
            </w:tcMar>
          </w:tcPr>
          <w:p w14:paraId="3C468508"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Po ustaleniu wartości wszystkich kategorii kosztów i korzyści należy zdyskontować wartość przepływów netto w każdym kolejnym roku analizy przy zastosowaniu społecznej stopy dyskontowej. Następnie należy zsumować przepływy pieniężne </w:t>
            </w:r>
            <w:r>
              <w:rPr>
                <w:rFonts w:ascii="Calibri" w:eastAsia="Calibri" w:hAnsi="Calibri" w:cs="Calibri"/>
                <w:color w:val="000000"/>
                <w:sz w:val="20"/>
                <w:szCs w:val="20"/>
              </w:rPr>
              <w:br/>
              <w:t>z każdego roku i dodać zdyskontowaną wartość rezydualną projektu do ostatniego roku analizy.</w:t>
            </w:r>
          </w:p>
          <w:p w14:paraId="786A66A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Kolejnym etapem analizy jest wyliczenie wskaźników ENPV, ERR i BCR. </w:t>
            </w:r>
          </w:p>
          <w:p w14:paraId="24F14AAC" w14:textId="505CBF60"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Wskaźnik BCR powinien być liczony w oparciu o wartości bieżące poszczególnych pozycji kosztów i korzyści dla całego okresu analizy, przy czym oszczędności kosztów </w:t>
            </w:r>
            <w:r>
              <w:rPr>
                <w:rFonts w:ascii="Calibri" w:eastAsia="Calibri" w:hAnsi="Calibri" w:cs="Calibri"/>
                <w:color w:val="000000"/>
                <w:sz w:val="20"/>
                <w:szCs w:val="20"/>
              </w:rPr>
              <w:br/>
              <w:t>i wartość rezydualna stanowią korzyść projektu, natomiast ujemne efekty zewnętrzne i nakłady inwestycyjne, uwzględniane są w kosztach projektu.</w:t>
            </w:r>
          </w:p>
          <w:p w14:paraId="57CA63E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Przykładowe zestawienie wyników obliczeń wskaźników efektywności społeczno-ekonomicznej znajduje się w tabeli poniżej.</w:t>
            </w:r>
          </w:p>
          <w:p w14:paraId="0A677056" w14:textId="0341E54D" w:rsidR="00600DEE" w:rsidRDefault="007E2ECA">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25</w:t>
            </w:r>
            <w:r w:rsidR="00641FB5">
              <w:rPr>
                <w:rFonts w:ascii="Calibri" w:eastAsia="Calibri" w:hAnsi="Calibri" w:cs="Calibri"/>
                <w:b/>
                <w:color w:val="4F81BD"/>
                <w:sz w:val="20"/>
                <w:szCs w:val="20"/>
              </w:rPr>
              <w:t>. Wymagane wskaźniki efektywności społeczno-ekonomicznej</w:t>
            </w:r>
          </w:p>
          <w:tbl>
            <w:tblPr>
              <w:tblStyle w:val="affffff1"/>
              <w:tblW w:w="6219" w:type="dxa"/>
              <w:tblLayout w:type="fixed"/>
              <w:tblLook w:val="0000" w:firstRow="0" w:lastRow="0" w:firstColumn="0" w:lastColumn="0" w:noHBand="0" w:noVBand="0"/>
            </w:tblPr>
            <w:tblGrid>
              <w:gridCol w:w="1670"/>
              <w:gridCol w:w="1145"/>
              <w:gridCol w:w="1144"/>
              <w:gridCol w:w="1145"/>
              <w:gridCol w:w="1115"/>
            </w:tblGrid>
            <w:tr w:rsidR="00600DEE" w14:paraId="75683C6E" w14:textId="77777777" w:rsidTr="00FD10CF">
              <w:trPr>
                <w:trHeight w:hRule="exact" w:val="680"/>
              </w:trPr>
              <w:tc>
                <w:tcPr>
                  <w:tcW w:w="1670" w:type="dxa"/>
                  <w:tcBorders>
                    <w:top w:val="single" w:sz="4" w:space="0" w:color="FFFFFF"/>
                    <w:left w:val="single" w:sz="4" w:space="0" w:color="FFFFFF"/>
                    <w:bottom w:val="single" w:sz="4" w:space="0" w:color="FFFFFF"/>
                  </w:tcBorders>
                  <w:shd w:val="clear" w:color="auto" w:fill="A6A6A6"/>
                  <w:vAlign w:val="center"/>
                </w:tcPr>
                <w:p w14:paraId="3D4D376F"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Wskaźnik społeczno-ekonomiczny </w:t>
                  </w:r>
                </w:p>
              </w:tc>
              <w:tc>
                <w:tcPr>
                  <w:tcW w:w="1145" w:type="dxa"/>
                  <w:tcBorders>
                    <w:top w:val="single" w:sz="4" w:space="0" w:color="FFFFFF"/>
                    <w:left w:val="single" w:sz="4" w:space="0" w:color="FFFFFF"/>
                    <w:bottom w:val="single" w:sz="4" w:space="0" w:color="FFFFFF"/>
                  </w:tcBorders>
                  <w:shd w:val="clear" w:color="auto" w:fill="A6A6A6"/>
                  <w:vAlign w:val="center"/>
                </w:tcPr>
                <w:p w14:paraId="56546CE6"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W1 </w:t>
                  </w:r>
                </w:p>
              </w:tc>
              <w:tc>
                <w:tcPr>
                  <w:tcW w:w="1144" w:type="dxa"/>
                  <w:tcBorders>
                    <w:top w:val="single" w:sz="4" w:space="0" w:color="FFFFFF"/>
                    <w:left w:val="single" w:sz="4" w:space="0" w:color="FFFFFF"/>
                    <w:bottom w:val="single" w:sz="4" w:space="0" w:color="FFFFFF"/>
                  </w:tcBorders>
                  <w:shd w:val="clear" w:color="auto" w:fill="A6A6A6"/>
                  <w:vAlign w:val="center"/>
                </w:tcPr>
                <w:p w14:paraId="7FE289A5"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W2 </w:t>
                  </w:r>
                </w:p>
              </w:tc>
              <w:tc>
                <w:tcPr>
                  <w:tcW w:w="1145" w:type="dxa"/>
                  <w:tcBorders>
                    <w:top w:val="single" w:sz="4" w:space="0" w:color="FFFFFF"/>
                    <w:left w:val="single" w:sz="4" w:space="0" w:color="FFFFFF"/>
                    <w:bottom w:val="single" w:sz="4" w:space="0" w:color="FFFFFF"/>
                  </w:tcBorders>
                  <w:shd w:val="clear" w:color="auto" w:fill="A6A6A6"/>
                  <w:vAlign w:val="center"/>
                </w:tcPr>
                <w:p w14:paraId="30C773D5"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t>
                  </w:r>
                </w:p>
              </w:tc>
              <w:tc>
                <w:tcPr>
                  <w:tcW w:w="1115"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6EB373A4"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Wn</w:t>
                  </w:r>
                </w:p>
              </w:tc>
            </w:tr>
            <w:tr w:rsidR="00600DEE" w14:paraId="564AA459" w14:textId="77777777">
              <w:trPr>
                <w:trHeight w:val="238"/>
              </w:trPr>
              <w:tc>
                <w:tcPr>
                  <w:tcW w:w="1670" w:type="dxa"/>
                  <w:tcBorders>
                    <w:left w:val="single" w:sz="4" w:space="0" w:color="FFFFFF"/>
                    <w:bottom w:val="single" w:sz="4" w:space="0" w:color="FFFFFF"/>
                  </w:tcBorders>
                  <w:shd w:val="clear" w:color="auto" w:fill="DBE5F1"/>
                  <w:vAlign w:val="center"/>
                </w:tcPr>
                <w:p w14:paraId="3AE350DB"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ENPV</w:t>
                  </w:r>
                </w:p>
              </w:tc>
              <w:tc>
                <w:tcPr>
                  <w:tcW w:w="1145" w:type="dxa"/>
                  <w:tcBorders>
                    <w:left w:val="single" w:sz="4" w:space="0" w:color="FFFFFF"/>
                    <w:bottom w:val="single" w:sz="4" w:space="0" w:color="FFFFFF"/>
                  </w:tcBorders>
                  <w:shd w:val="clear" w:color="auto" w:fill="DBE5F1"/>
                  <w:vAlign w:val="center"/>
                </w:tcPr>
                <w:p w14:paraId="3DA1B601"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c>
                <w:tcPr>
                  <w:tcW w:w="1144" w:type="dxa"/>
                  <w:tcBorders>
                    <w:left w:val="single" w:sz="4" w:space="0" w:color="FFFFFF"/>
                    <w:bottom w:val="single" w:sz="4" w:space="0" w:color="FFFFFF"/>
                  </w:tcBorders>
                  <w:shd w:val="clear" w:color="auto" w:fill="DBE5F1"/>
                  <w:vAlign w:val="center"/>
                </w:tcPr>
                <w:p w14:paraId="7FD01309"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c>
                <w:tcPr>
                  <w:tcW w:w="1145" w:type="dxa"/>
                  <w:tcBorders>
                    <w:left w:val="single" w:sz="4" w:space="0" w:color="FFFFFF"/>
                    <w:bottom w:val="single" w:sz="4" w:space="0" w:color="FFFFFF"/>
                  </w:tcBorders>
                  <w:shd w:val="clear" w:color="auto" w:fill="DBE5F1"/>
                  <w:vAlign w:val="center"/>
                </w:tcPr>
                <w:p w14:paraId="6C7735D4"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c>
                <w:tcPr>
                  <w:tcW w:w="1115" w:type="dxa"/>
                  <w:tcBorders>
                    <w:left w:val="single" w:sz="4" w:space="0" w:color="FFFFFF"/>
                    <w:bottom w:val="single" w:sz="4" w:space="0" w:color="FFFFFF"/>
                    <w:right w:val="single" w:sz="4" w:space="0" w:color="FFFFFF"/>
                  </w:tcBorders>
                  <w:shd w:val="clear" w:color="auto" w:fill="DBE5F1"/>
                  <w:vAlign w:val="center"/>
                </w:tcPr>
                <w:p w14:paraId="34590612"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r>
            <w:tr w:rsidR="00600DEE" w14:paraId="171E5E50" w14:textId="77777777">
              <w:trPr>
                <w:trHeight w:val="238"/>
              </w:trPr>
              <w:tc>
                <w:tcPr>
                  <w:tcW w:w="1670" w:type="dxa"/>
                  <w:tcBorders>
                    <w:left w:val="single" w:sz="4" w:space="0" w:color="FFFFFF"/>
                    <w:bottom w:val="single" w:sz="4" w:space="0" w:color="FFFFFF"/>
                  </w:tcBorders>
                  <w:shd w:val="clear" w:color="auto" w:fill="DBE5F1"/>
                  <w:vAlign w:val="center"/>
                </w:tcPr>
                <w:p w14:paraId="088FD2F0"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ERR</w:t>
                  </w:r>
                </w:p>
              </w:tc>
              <w:tc>
                <w:tcPr>
                  <w:tcW w:w="1145" w:type="dxa"/>
                  <w:tcBorders>
                    <w:left w:val="single" w:sz="4" w:space="0" w:color="FFFFFF"/>
                    <w:bottom w:val="single" w:sz="4" w:space="0" w:color="FFFFFF"/>
                  </w:tcBorders>
                  <w:shd w:val="clear" w:color="auto" w:fill="DBE5F1"/>
                  <w:vAlign w:val="center"/>
                </w:tcPr>
                <w:p w14:paraId="109BE42F"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c>
                <w:tcPr>
                  <w:tcW w:w="1144" w:type="dxa"/>
                  <w:tcBorders>
                    <w:left w:val="single" w:sz="4" w:space="0" w:color="FFFFFF"/>
                    <w:bottom w:val="single" w:sz="4" w:space="0" w:color="FFFFFF"/>
                  </w:tcBorders>
                  <w:shd w:val="clear" w:color="auto" w:fill="DBE5F1"/>
                  <w:vAlign w:val="center"/>
                </w:tcPr>
                <w:p w14:paraId="478D8BE2"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c>
                <w:tcPr>
                  <w:tcW w:w="1145" w:type="dxa"/>
                  <w:tcBorders>
                    <w:left w:val="single" w:sz="4" w:space="0" w:color="FFFFFF"/>
                    <w:bottom w:val="single" w:sz="4" w:space="0" w:color="FFFFFF"/>
                  </w:tcBorders>
                  <w:shd w:val="clear" w:color="auto" w:fill="DBE5F1"/>
                  <w:vAlign w:val="center"/>
                </w:tcPr>
                <w:p w14:paraId="1C3C2868"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c>
                <w:tcPr>
                  <w:tcW w:w="1115" w:type="dxa"/>
                  <w:tcBorders>
                    <w:left w:val="single" w:sz="4" w:space="0" w:color="FFFFFF"/>
                    <w:bottom w:val="single" w:sz="4" w:space="0" w:color="FFFFFF"/>
                    <w:right w:val="single" w:sz="4" w:space="0" w:color="FFFFFF"/>
                  </w:tcBorders>
                  <w:shd w:val="clear" w:color="auto" w:fill="DBE5F1"/>
                  <w:vAlign w:val="center"/>
                </w:tcPr>
                <w:p w14:paraId="4AE6E650"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r>
            <w:tr w:rsidR="00600DEE" w14:paraId="0F1881A6" w14:textId="77777777">
              <w:trPr>
                <w:trHeight w:val="238"/>
              </w:trPr>
              <w:tc>
                <w:tcPr>
                  <w:tcW w:w="1670" w:type="dxa"/>
                  <w:tcBorders>
                    <w:left w:val="single" w:sz="4" w:space="0" w:color="FFFFFF"/>
                    <w:bottom w:val="single" w:sz="4" w:space="0" w:color="FFFFFF"/>
                  </w:tcBorders>
                  <w:shd w:val="clear" w:color="auto" w:fill="DBE5F1"/>
                  <w:vAlign w:val="center"/>
                </w:tcPr>
                <w:p w14:paraId="0314CEF9"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BCR</w:t>
                  </w:r>
                </w:p>
              </w:tc>
              <w:tc>
                <w:tcPr>
                  <w:tcW w:w="1145" w:type="dxa"/>
                  <w:tcBorders>
                    <w:left w:val="single" w:sz="4" w:space="0" w:color="FFFFFF"/>
                    <w:bottom w:val="single" w:sz="4" w:space="0" w:color="FFFFFF"/>
                  </w:tcBorders>
                  <w:shd w:val="clear" w:color="auto" w:fill="DBE5F1"/>
                  <w:vAlign w:val="center"/>
                </w:tcPr>
                <w:p w14:paraId="5054EADE"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c>
                <w:tcPr>
                  <w:tcW w:w="1144" w:type="dxa"/>
                  <w:tcBorders>
                    <w:left w:val="single" w:sz="4" w:space="0" w:color="FFFFFF"/>
                    <w:bottom w:val="single" w:sz="4" w:space="0" w:color="FFFFFF"/>
                  </w:tcBorders>
                  <w:shd w:val="clear" w:color="auto" w:fill="DBE5F1"/>
                  <w:vAlign w:val="center"/>
                </w:tcPr>
                <w:p w14:paraId="64C31A45"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c>
                <w:tcPr>
                  <w:tcW w:w="1145" w:type="dxa"/>
                  <w:tcBorders>
                    <w:left w:val="single" w:sz="4" w:space="0" w:color="FFFFFF"/>
                    <w:bottom w:val="single" w:sz="4" w:space="0" w:color="FFFFFF"/>
                  </w:tcBorders>
                  <w:shd w:val="clear" w:color="auto" w:fill="DBE5F1"/>
                  <w:vAlign w:val="center"/>
                </w:tcPr>
                <w:p w14:paraId="2BD3AED2"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c>
                <w:tcPr>
                  <w:tcW w:w="1115" w:type="dxa"/>
                  <w:tcBorders>
                    <w:left w:val="single" w:sz="4" w:space="0" w:color="FFFFFF"/>
                    <w:bottom w:val="single" w:sz="4" w:space="0" w:color="FFFFFF"/>
                    <w:right w:val="single" w:sz="4" w:space="0" w:color="FFFFFF"/>
                  </w:tcBorders>
                  <w:shd w:val="clear" w:color="auto" w:fill="DBE5F1"/>
                  <w:vAlign w:val="center"/>
                </w:tcPr>
                <w:p w14:paraId="72E67B63" w14:textId="77777777" w:rsidR="00600DEE" w:rsidRDefault="00600DEE">
                  <w:pPr>
                    <w:pBdr>
                      <w:top w:val="nil"/>
                      <w:left w:val="nil"/>
                      <w:bottom w:val="nil"/>
                      <w:right w:val="nil"/>
                      <w:between w:val="nil"/>
                    </w:pBdr>
                    <w:jc w:val="center"/>
                    <w:rPr>
                      <w:rFonts w:ascii="Calibri" w:eastAsia="Calibri" w:hAnsi="Calibri" w:cs="Calibri"/>
                      <w:color w:val="4F81BD"/>
                      <w:sz w:val="18"/>
                      <w:szCs w:val="18"/>
                    </w:rPr>
                  </w:pPr>
                </w:p>
              </w:tc>
            </w:tr>
          </w:tbl>
          <w:p w14:paraId="3D8D69C6" w14:textId="1A0633AA" w:rsidR="00600DEE" w:rsidRPr="0039454C"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i/>
                <w:color w:val="000000"/>
                <w:sz w:val="16"/>
                <w:szCs w:val="16"/>
              </w:rPr>
              <w:t>Źródło: opracowanie własne.</w:t>
            </w:r>
          </w:p>
        </w:tc>
        <w:tc>
          <w:tcPr>
            <w:tcW w:w="7201" w:type="dxa"/>
            <w:tcBorders>
              <w:left w:val="single" w:sz="4" w:space="0" w:color="000000"/>
            </w:tcBorders>
            <w:tcMar>
              <w:left w:w="284" w:type="dxa"/>
              <w:right w:w="284" w:type="dxa"/>
            </w:tcMar>
          </w:tcPr>
          <w:p w14:paraId="751FB3E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Once all project costs and benefits have been quantified and valued in monetary terms, it is necessary to discount the value of net cash flows in each subsequent year of the analysis using the social discount rate. Then, it is necessary to sum up the cash flows of each year and add the project discounted residual value to the last year of the reference period.</w:t>
            </w:r>
          </w:p>
          <w:p w14:paraId="5C45C97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next stage involves the calculation of ENPV, ERR and BCR indicators. </w:t>
            </w:r>
          </w:p>
          <w:p w14:paraId="7C4E893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BCR index should be calculated on the basis of the current values of costs and benefits for the entire analysis period. Savings in costs and residual value should constitute the project benefits, whereas negative external effects and investment expenditures should be included in the project costs.</w:t>
            </w:r>
          </w:p>
          <w:p w14:paraId="6BF2B22F" w14:textId="63BBF666"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table below, a presentation format for calculations of the socio-economic performance indicators  is presented.</w:t>
            </w:r>
          </w:p>
          <w:p w14:paraId="3CE89978" w14:textId="77777777" w:rsidR="00FD10CF" w:rsidRPr="0045151D" w:rsidRDefault="00FD10CF" w:rsidP="00FD10CF">
            <w:pPr>
              <w:pBdr>
                <w:top w:val="nil"/>
                <w:left w:val="nil"/>
                <w:bottom w:val="nil"/>
                <w:right w:val="nil"/>
                <w:between w:val="nil"/>
              </w:pBdr>
              <w:jc w:val="both"/>
              <w:rPr>
                <w:rFonts w:ascii="Calibri" w:eastAsia="Calibri" w:hAnsi="Calibri" w:cs="Calibri"/>
                <w:color w:val="000000"/>
                <w:sz w:val="20"/>
                <w:szCs w:val="20"/>
                <w:lang w:val="en-GB"/>
              </w:rPr>
            </w:pPr>
          </w:p>
          <w:p w14:paraId="58AA9FB2" w14:textId="50D4E3EF" w:rsidR="00600DEE" w:rsidRPr="0045151D" w:rsidRDefault="007E2ECA">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25</w:t>
            </w:r>
            <w:r w:rsidR="00641FB5" w:rsidRPr="0045151D">
              <w:rPr>
                <w:rFonts w:ascii="Calibri" w:eastAsia="Calibri" w:hAnsi="Calibri" w:cs="Calibri"/>
                <w:b/>
                <w:color w:val="4F81BD"/>
                <w:sz w:val="20"/>
                <w:szCs w:val="20"/>
                <w:lang w:val="en-GB"/>
              </w:rPr>
              <w:t>. Required socio-economic performance indicators</w:t>
            </w:r>
          </w:p>
          <w:tbl>
            <w:tblPr>
              <w:tblStyle w:val="affffff2"/>
              <w:tblW w:w="6219" w:type="dxa"/>
              <w:tblLayout w:type="fixed"/>
              <w:tblLook w:val="0000" w:firstRow="0" w:lastRow="0" w:firstColumn="0" w:lastColumn="0" w:noHBand="0" w:noVBand="0"/>
            </w:tblPr>
            <w:tblGrid>
              <w:gridCol w:w="1670"/>
              <w:gridCol w:w="1145"/>
              <w:gridCol w:w="1144"/>
              <w:gridCol w:w="1145"/>
              <w:gridCol w:w="1115"/>
            </w:tblGrid>
            <w:tr w:rsidR="00600DEE" w:rsidRPr="007463B9" w14:paraId="1AB9829B" w14:textId="77777777" w:rsidTr="00FD10CF">
              <w:trPr>
                <w:trHeight w:hRule="exact" w:val="680"/>
              </w:trPr>
              <w:tc>
                <w:tcPr>
                  <w:tcW w:w="1670" w:type="dxa"/>
                  <w:tcBorders>
                    <w:top w:val="single" w:sz="4" w:space="0" w:color="FFFFFF"/>
                    <w:left w:val="single" w:sz="4" w:space="0" w:color="FFFFFF"/>
                    <w:bottom w:val="single" w:sz="4" w:space="0" w:color="FFFFFF"/>
                  </w:tcBorders>
                  <w:shd w:val="clear" w:color="auto" w:fill="A6A6A6"/>
                  <w:vAlign w:val="center"/>
                </w:tcPr>
                <w:p w14:paraId="24BD5BCA"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Socio-economic indicator</w:t>
                  </w:r>
                </w:p>
              </w:tc>
              <w:tc>
                <w:tcPr>
                  <w:tcW w:w="1145" w:type="dxa"/>
                  <w:tcBorders>
                    <w:top w:val="single" w:sz="4" w:space="0" w:color="FFFFFF"/>
                    <w:left w:val="single" w:sz="4" w:space="0" w:color="FFFFFF"/>
                    <w:bottom w:val="single" w:sz="4" w:space="0" w:color="FFFFFF"/>
                  </w:tcBorders>
                  <w:shd w:val="clear" w:color="auto" w:fill="A6A6A6"/>
                  <w:vAlign w:val="center"/>
                </w:tcPr>
                <w:p w14:paraId="0F770BFC"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 xml:space="preserve">W1 </w:t>
                  </w:r>
                </w:p>
              </w:tc>
              <w:tc>
                <w:tcPr>
                  <w:tcW w:w="1144" w:type="dxa"/>
                  <w:tcBorders>
                    <w:top w:val="single" w:sz="4" w:space="0" w:color="FFFFFF"/>
                    <w:left w:val="single" w:sz="4" w:space="0" w:color="FFFFFF"/>
                    <w:bottom w:val="single" w:sz="4" w:space="0" w:color="FFFFFF"/>
                  </w:tcBorders>
                  <w:shd w:val="clear" w:color="auto" w:fill="A6A6A6"/>
                  <w:vAlign w:val="center"/>
                </w:tcPr>
                <w:p w14:paraId="65136D7B"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 xml:space="preserve">W2 </w:t>
                  </w:r>
                </w:p>
              </w:tc>
              <w:tc>
                <w:tcPr>
                  <w:tcW w:w="1145" w:type="dxa"/>
                  <w:tcBorders>
                    <w:top w:val="single" w:sz="4" w:space="0" w:color="FFFFFF"/>
                    <w:left w:val="single" w:sz="4" w:space="0" w:color="FFFFFF"/>
                    <w:bottom w:val="single" w:sz="4" w:space="0" w:color="FFFFFF"/>
                  </w:tcBorders>
                  <w:shd w:val="clear" w:color="auto" w:fill="A6A6A6"/>
                  <w:vAlign w:val="center"/>
                </w:tcPr>
                <w:p w14:paraId="355BE498"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w:t>
                  </w:r>
                </w:p>
              </w:tc>
              <w:tc>
                <w:tcPr>
                  <w:tcW w:w="1115"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215D7E0D"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Wn</w:t>
                  </w:r>
                </w:p>
              </w:tc>
            </w:tr>
            <w:tr w:rsidR="00600DEE" w:rsidRPr="007463B9" w14:paraId="0B93776A" w14:textId="77777777">
              <w:trPr>
                <w:trHeight w:val="238"/>
              </w:trPr>
              <w:tc>
                <w:tcPr>
                  <w:tcW w:w="1670" w:type="dxa"/>
                  <w:tcBorders>
                    <w:left w:val="single" w:sz="4" w:space="0" w:color="FFFFFF"/>
                    <w:bottom w:val="single" w:sz="4" w:space="0" w:color="FFFFFF"/>
                  </w:tcBorders>
                  <w:shd w:val="clear" w:color="auto" w:fill="DBE5F1"/>
                  <w:vAlign w:val="center"/>
                </w:tcPr>
                <w:p w14:paraId="59D42B88"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ENPV</w:t>
                  </w:r>
                </w:p>
              </w:tc>
              <w:tc>
                <w:tcPr>
                  <w:tcW w:w="1145" w:type="dxa"/>
                  <w:tcBorders>
                    <w:left w:val="single" w:sz="4" w:space="0" w:color="FFFFFF"/>
                    <w:bottom w:val="single" w:sz="4" w:space="0" w:color="FFFFFF"/>
                  </w:tcBorders>
                  <w:shd w:val="clear" w:color="auto" w:fill="DBE5F1"/>
                  <w:vAlign w:val="center"/>
                </w:tcPr>
                <w:p w14:paraId="3B96D53A"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c>
                <w:tcPr>
                  <w:tcW w:w="1144" w:type="dxa"/>
                  <w:tcBorders>
                    <w:left w:val="single" w:sz="4" w:space="0" w:color="FFFFFF"/>
                    <w:bottom w:val="single" w:sz="4" w:space="0" w:color="FFFFFF"/>
                  </w:tcBorders>
                  <w:shd w:val="clear" w:color="auto" w:fill="DBE5F1"/>
                  <w:vAlign w:val="center"/>
                </w:tcPr>
                <w:p w14:paraId="247EDD3A"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c>
                <w:tcPr>
                  <w:tcW w:w="1145" w:type="dxa"/>
                  <w:tcBorders>
                    <w:left w:val="single" w:sz="4" w:space="0" w:color="FFFFFF"/>
                    <w:bottom w:val="single" w:sz="4" w:space="0" w:color="FFFFFF"/>
                  </w:tcBorders>
                  <w:shd w:val="clear" w:color="auto" w:fill="DBE5F1"/>
                  <w:vAlign w:val="center"/>
                </w:tcPr>
                <w:p w14:paraId="31F9B4AA"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c>
                <w:tcPr>
                  <w:tcW w:w="1115" w:type="dxa"/>
                  <w:tcBorders>
                    <w:left w:val="single" w:sz="4" w:space="0" w:color="FFFFFF"/>
                    <w:bottom w:val="single" w:sz="4" w:space="0" w:color="FFFFFF"/>
                    <w:right w:val="single" w:sz="4" w:space="0" w:color="FFFFFF"/>
                  </w:tcBorders>
                  <w:shd w:val="clear" w:color="auto" w:fill="DBE5F1"/>
                  <w:vAlign w:val="center"/>
                </w:tcPr>
                <w:p w14:paraId="5394B93F"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r>
            <w:tr w:rsidR="00600DEE" w:rsidRPr="007463B9" w14:paraId="48EABA28" w14:textId="77777777">
              <w:trPr>
                <w:trHeight w:val="238"/>
              </w:trPr>
              <w:tc>
                <w:tcPr>
                  <w:tcW w:w="1670" w:type="dxa"/>
                  <w:tcBorders>
                    <w:left w:val="single" w:sz="4" w:space="0" w:color="FFFFFF"/>
                    <w:bottom w:val="single" w:sz="4" w:space="0" w:color="FFFFFF"/>
                  </w:tcBorders>
                  <w:shd w:val="clear" w:color="auto" w:fill="DBE5F1"/>
                  <w:vAlign w:val="center"/>
                </w:tcPr>
                <w:p w14:paraId="3358C299"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ERR</w:t>
                  </w:r>
                </w:p>
              </w:tc>
              <w:tc>
                <w:tcPr>
                  <w:tcW w:w="1145" w:type="dxa"/>
                  <w:tcBorders>
                    <w:left w:val="single" w:sz="4" w:space="0" w:color="FFFFFF"/>
                    <w:bottom w:val="single" w:sz="4" w:space="0" w:color="FFFFFF"/>
                  </w:tcBorders>
                  <w:shd w:val="clear" w:color="auto" w:fill="DBE5F1"/>
                  <w:vAlign w:val="center"/>
                </w:tcPr>
                <w:p w14:paraId="6F2E3E0C"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c>
                <w:tcPr>
                  <w:tcW w:w="1144" w:type="dxa"/>
                  <w:tcBorders>
                    <w:left w:val="single" w:sz="4" w:space="0" w:color="FFFFFF"/>
                    <w:bottom w:val="single" w:sz="4" w:space="0" w:color="FFFFFF"/>
                  </w:tcBorders>
                  <w:shd w:val="clear" w:color="auto" w:fill="DBE5F1"/>
                  <w:vAlign w:val="center"/>
                </w:tcPr>
                <w:p w14:paraId="5C0F43B9"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c>
                <w:tcPr>
                  <w:tcW w:w="1145" w:type="dxa"/>
                  <w:tcBorders>
                    <w:left w:val="single" w:sz="4" w:space="0" w:color="FFFFFF"/>
                    <w:bottom w:val="single" w:sz="4" w:space="0" w:color="FFFFFF"/>
                  </w:tcBorders>
                  <w:shd w:val="clear" w:color="auto" w:fill="DBE5F1"/>
                  <w:vAlign w:val="center"/>
                </w:tcPr>
                <w:p w14:paraId="50A609AA"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c>
                <w:tcPr>
                  <w:tcW w:w="1115" w:type="dxa"/>
                  <w:tcBorders>
                    <w:left w:val="single" w:sz="4" w:space="0" w:color="FFFFFF"/>
                    <w:bottom w:val="single" w:sz="4" w:space="0" w:color="FFFFFF"/>
                    <w:right w:val="single" w:sz="4" w:space="0" w:color="FFFFFF"/>
                  </w:tcBorders>
                  <w:shd w:val="clear" w:color="auto" w:fill="DBE5F1"/>
                  <w:vAlign w:val="center"/>
                </w:tcPr>
                <w:p w14:paraId="0CCDA976"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r>
            <w:tr w:rsidR="00600DEE" w:rsidRPr="007463B9" w14:paraId="227834DC" w14:textId="77777777">
              <w:trPr>
                <w:trHeight w:val="238"/>
              </w:trPr>
              <w:tc>
                <w:tcPr>
                  <w:tcW w:w="1670" w:type="dxa"/>
                  <w:tcBorders>
                    <w:left w:val="single" w:sz="4" w:space="0" w:color="FFFFFF"/>
                    <w:bottom w:val="single" w:sz="4" w:space="0" w:color="FFFFFF"/>
                  </w:tcBorders>
                  <w:shd w:val="clear" w:color="auto" w:fill="DBE5F1"/>
                  <w:vAlign w:val="center"/>
                </w:tcPr>
                <w:p w14:paraId="6FF46366"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BCR</w:t>
                  </w:r>
                </w:p>
              </w:tc>
              <w:tc>
                <w:tcPr>
                  <w:tcW w:w="1145" w:type="dxa"/>
                  <w:tcBorders>
                    <w:left w:val="single" w:sz="4" w:space="0" w:color="FFFFFF"/>
                    <w:bottom w:val="single" w:sz="4" w:space="0" w:color="FFFFFF"/>
                  </w:tcBorders>
                  <w:shd w:val="clear" w:color="auto" w:fill="DBE5F1"/>
                  <w:vAlign w:val="center"/>
                </w:tcPr>
                <w:p w14:paraId="0D963C37"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c>
                <w:tcPr>
                  <w:tcW w:w="1144" w:type="dxa"/>
                  <w:tcBorders>
                    <w:left w:val="single" w:sz="4" w:space="0" w:color="FFFFFF"/>
                    <w:bottom w:val="single" w:sz="4" w:space="0" w:color="FFFFFF"/>
                  </w:tcBorders>
                  <w:shd w:val="clear" w:color="auto" w:fill="DBE5F1"/>
                  <w:vAlign w:val="center"/>
                </w:tcPr>
                <w:p w14:paraId="5790BCB5"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c>
                <w:tcPr>
                  <w:tcW w:w="1145" w:type="dxa"/>
                  <w:tcBorders>
                    <w:left w:val="single" w:sz="4" w:space="0" w:color="FFFFFF"/>
                    <w:bottom w:val="single" w:sz="4" w:space="0" w:color="FFFFFF"/>
                  </w:tcBorders>
                  <w:shd w:val="clear" w:color="auto" w:fill="DBE5F1"/>
                  <w:vAlign w:val="center"/>
                </w:tcPr>
                <w:p w14:paraId="66A44478"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c>
                <w:tcPr>
                  <w:tcW w:w="1115" w:type="dxa"/>
                  <w:tcBorders>
                    <w:left w:val="single" w:sz="4" w:space="0" w:color="FFFFFF"/>
                    <w:bottom w:val="single" w:sz="4" w:space="0" w:color="FFFFFF"/>
                    <w:right w:val="single" w:sz="4" w:space="0" w:color="FFFFFF"/>
                  </w:tcBorders>
                  <w:shd w:val="clear" w:color="auto" w:fill="DBE5F1"/>
                  <w:vAlign w:val="center"/>
                </w:tcPr>
                <w:p w14:paraId="46E38BD5" w14:textId="77777777" w:rsidR="00600DEE" w:rsidRPr="0045151D" w:rsidRDefault="00600DEE">
                  <w:pPr>
                    <w:pBdr>
                      <w:top w:val="nil"/>
                      <w:left w:val="nil"/>
                      <w:bottom w:val="nil"/>
                      <w:right w:val="nil"/>
                      <w:between w:val="nil"/>
                    </w:pBdr>
                    <w:jc w:val="center"/>
                    <w:rPr>
                      <w:rFonts w:ascii="Calibri" w:eastAsia="Calibri" w:hAnsi="Calibri" w:cs="Calibri"/>
                      <w:color w:val="4F81BD"/>
                      <w:sz w:val="18"/>
                      <w:szCs w:val="18"/>
                      <w:lang w:val="en-GB"/>
                    </w:rPr>
                  </w:pPr>
                </w:p>
              </w:tc>
            </w:tr>
          </w:tbl>
          <w:p w14:paraId="6004A941" w14:textId="1229FB14" w:rsidR="0039454C" w:rsidRPr="0045151D" w:rsidRDefault="00641FB5" w:rsidP="0039454C">
            <w:pPr>
              <w:pBdr>
                <w:top w:val="nil"/>
                <w:left w:val="nil"/>
                <w:bottom w:val="nil"/>
                <w:right w:val="nil"/>
                <w:between w:val="nil"/>
              </w:pBdr>
              <w:spacing w:before="12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Source: proprietary work</w:t>
            </w:r>
          </w:p>
        </w:tc>
      </w:tr>
    </w:tbl>
    <w:p w14:paraId="4AB08625" w14:textId="77777777" w:rsidR="0039454C" w:rsidRPr="0045151D" w:rsidRDefault="0039454C">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1B96967D" w14:textId="77777777" w:rsidR="0039454C" w:rsidRPr="0045151D" w:rsidRDefault="0039454C">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61BEFCED" w14:textId="0BBC928D" w:rsidR="0039454C" w:rsidRPr="0045151D" w:rsidRDefault="0039454C">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5C4EEC55" w14:textId="5ACD7329" w:rsidR="00075E15" w:rsidRPr="0045151D" w:rsidRDefault="00075E15">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16C7D685" w14:textId="0B7D7201" w:rsidR="00075E15" w:rsidRPr="0045151D" w:rsidRDefault="00075E15">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668B40FD" w14:textId="77777777" w:rsidR="00075E15" w:rsidRPr="0045151D" w:rsidRDefault="00075E15">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3C2A11C6" w14:textId="3AB35D79" w:rsidR="00600DEE" w:rsidRDefault="007E2ECA">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26</w:t>
      </w:r>
      <w:r w:rsidR="00641FB5">
        <w:rPr>
          <w:rFonts w:ascii="Calibri" w:eastAsia="Calibri" w:hAnsi="Calibri" w:cs="Calibri"/>
          <w:b/>
          <w:color w:val="4F81BD"/>
          <w:sz w:val="20"/>
          <w:szCs w:val="20"/>
        </w:rPr>
        <w:t>. Proponowana forma prezentacji efektywności projektu [PLN]</w:t>
      </w:r>
    </w:p>
    <w:tbl>
      <w:tblPr>
        <w:tblStyle w:val="affffff3"/>
        <w:tblW w:w="14287" w:type="dxa"/>
        <w:tblInd w:w="108" w:type="dxa"/>
        <w:tblLayout w:type="fixed"/>
        <w:tblLook w:val="0000" w:firstRow="0" w:lastRow="0" w:firstColumn="0" w:lastColumn="0" w:noHBand="0" w:noVBand="0"/>
      </w:tblPr>
      <w:tblGrid>
        <w:gridCol w:w="901"/>
        <w:gridCol w:w="1738"/>
        <w:gridCol w:w="1739"/>
        <w:gridCol w:w="1739"/>
        <w:gridCol w:w="1739"/>
        <w:gridCol w:w="1739"/>
        <w:gridCol w:w="1739"/>
        <w:gridCol w:w="2953"/>
      </w:tblGrid>
      <w:tr w:rsidR="00600DEE" w14:paraId="3799B89A" w14:textId="77777777" w:rsidTr="0039454C">
        <w:trPr>
          <w:trHeight w:val="653"/>
        </w:trPr>
        <w:tc>
          <w:tcPr>
            <w:tcW w:w="1134" w:type="dxa"/>
            <w:tcBorders>
              <w:top w:val="single" w:sz="4" w:space="0" w:color="FFFFFF"/>
              <w:left w:val="single" w:sz="4" w:space="0" w:color="FFFFFF"/>
              <w:bottom w:val="single" w:sz="4" w:space="0" w:color="FFFFFF"/>
            </w:tcBorders>
            <w:shd w:val="clear" w:color="auto" w:fill="A6A6A6"/>
            <w:vAlign w:val="center"/>
          </w:tcPr>
          <w:p w14:paraId="34F8A907" w14:textId="77777777" w:rsidR="00600DEE" w:rsidRDefault="00641FB5">
            <w:pPr>
              <w:ind w:right="113"/>
              <w:jc w:val="center"/>
              <w:rPr>
                <w:rFonts w:ascii="Calibri" w:eastAsia="Calibri" w:hAnsi="Calibri" w:cs="Calibri"/>
                <w:b/>
                <w:color w:val="FFFFFF"/>
                <w:sz w:val="18"/>
                <w:szCs w:val="18"/>
              </w:rPr>
            </w:pPr>
            <w:r>
              <w:rPr>
                <w:rFonts w:ascii="Calibri" w:eastAsia="Calibri" w:hAnsi="Calibri" w:cs="Calibri"/>
                <w:b/>
                <w:color w:val="FFFFFF"/>
                <w:sz w:val="18"/>
                <w:szCs w:val="18"/>
              </w:rPr>
              <w:t>Lata</w:t>
            </w:r>
          </w:p>
        </w:tc>
        <w:tc>
          <w:tcPr>
            <w:tcW w:w="2268" w:type="dxa"/>
            <w:tcBorders>
              <w:top w:val="single" w:sz="4" w:space="0" w:color="FFFFFF"/>
              <w:left w:val="single" w:sz="4" w:space="0" w:color="FFFFFF"/>
              <w:bottom w:val="single" w:sz="4" w:space="0" w:color="FFFFFF"/>
            </w:tcBorders>
            <w:shd w:val="clear" w:color="auto" w:fill="A6A6A6"/>
            <w:vAlign w:val="center"/>
          </w:tcPr>
          <w:p w14:paraId="4279520D" w14:textId="77777777" w:rsidR="00600DEE" w:rsidRDefault="00641FB5">
            <w:pPr>
              <w:jc w:val="center"/>
              <w:rPr>
                <w:rFonts w:ascii="Calibri" w:eastAsia="Calibri" w:hAnsi="Calibri" w:cs="Calibri"/>
                <w:color w:val="FFFFFF"/>
                <w:sz w:val="18"/>
                <w:szCs w:val="18"/>
              </w:rPr>
            </w:pPr>
            <w:r>
              <w:rPr>
                <w:rFonts w:ascii="Calibri" w:eastAsia="Calibri" w:hAnsi="Calibri" w:cs="Calibri"/>
                <w:b/>
                <w:color w:val="FFFFFF"/>
                <w:sz w:val="18"/>
                <w:szCs w:val="18"/>
              </w:rPr>
              <w:t>Skorygowane nakłady inwestycyjne</w:t>
            </w:r>
          </w:p>
        </w:tc>
        <w:tc>
          <w:tcPr>
            <w:tcW w:w="2268" w:type="dxa"/>
            <w:tcBorders>
              <w:top w:val="single" w:sz="4" w:space="0" w:color="FFFFFF"/>
              <w:left w:val="single" w:sz="4" w:space="0" w:color="FFFFFF"/>
              <w:bottom w:val="single" w:sz="4" w:space="0" w:color="FFFFFF"/>
            </w:tcBorders>
            <w:shd w:val="clear" w:color="auto" w:fill="A6A6A6"/>
            <w:vAlign w:val="center"/>
          </w:tcPr>
          <w:p w14:paraId="434D94C3"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Skorygowane koszty operacyjne</w:t>
            </w:r>
          </w:p>
        </w:tc>
        <w:tc>
          <w:tcPr>
            <w:tcW w:w="2268" w:type="dxa"/>
            <w:tcBorders>
              <w:top w:val="single" w:sz="4" w:space="0" w:color="FFFFFF"/>
              <w:left w:val="single" w:sz="4" w:space="0" w:color="FFFFFF"/>
              <w:bottom w:val="single" w:sz="4" w:space="0" w:color="FFFFFF"/>
            </w:tcBorders>
            <w:shd w:val="clear" w:color="auto" w:fill="A6A6A6"/>
            <w:vAlign w:val="center"/>
          </w:tcPr>
          <w:p w14:paraId="1250E717"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Korzyści/koszty </w:t>
            </w:r>
            <w:r>
              <w:rPr>
                <w:rFonts w:ascii="Calibri" w:eastAsia="Calibri" w:hAnsi="Calibri" w:cs="Calibri"/>
                <w:sz w:val="18"/>
                <w:szCs w:val="18"/>
              </w:rPr>
              <w:t xml:space="preserve"> </w:t>
            </w:r>
            <w:r>
              <w:rPr>
                <w:rFonts w:ascii="Calibri" w:eastAsia="Calibri" w:hAnsi="Calibri" w:cs="Calibri"/>
                <w:b/>
                <w:color w:val="FFFFFF"/>
                <w:sz w:val="18"/>
                <w:szCs w:val="18"/>
              </w:rPr>
              <w:t>ekonomiczne projektu</w:t>
            </w:r>
          </w:p>
        </w:tc>
        <w:tc>
          <w:tcPr>
            <w:tcW w:w="2268" w:type="dxa"/>
            <w:tcBorders>
              <w:top w:val="single" w:sz="4" w:space="0" w:color="FFFFFF"/>
              <w:left w:val="single" w:sz="4" w:space="0" w:color="FFFFFF"/>
              <w:bottom w:val="single" w:sz="4" w:space="0" w:color="FFFFFF"/>
            </w:tcBorders>
            <w:shd w:val="clear" w:color="auto" w:fill="A6A6A6"/>
            <w:vAlign w:val="center"/>
          </w:tcPr>
          <w:p w14:paraId="44BE268F"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Wartość rezydualna </w:t>
            </w:r>
          </w:p>
        </w:tc>
        <w:tc>
          <w:tcPr>
            <w:tcW w:w="2268" w:type="dxa"/>
            <w:tcBorders>
              <w:top w:val="single" w:sz="4" w:space="0" w:color="FFFFFF"/>
              <w:left w:val="single" w:sz="4" w:space="0" w:color="FFFFFF"/>
              <w:bottom w:val="single" w:sz="4" w:space="0" w:color="FFFFFF"/>
            </w:tcBorders>
            <w:shd w:val="clear" w:color="auto" w:fill="A6A6A6"/>
            <w:vAlign w:val="center"/>
          </w:tcPr>
          <w:p w14:paraId="4DDA278C"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Przepływy  ekonomiczne razem </w:t>
            </w:r>
          </w:p>
        </w:tc>
        <w:tc>
          <w:tcPr>
            <w:tcW w:w="2268"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452BF968"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Współczynnik dyskonta</w:t>
            </w:r>
          </w:p>
        </w:tc>
        <w:tc>
          <w:tcPr>
            <w:tcW w:w="3914"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430BD290"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Zdyskontowane przepływy ekonomiczne</w:t>
            </w:r>
          </w:p>
        </w:tc>
      </w:tr>
      <w:tr w:rsidR="00600DEE" w14:paraId="3B2AFDD0" w14:textId="77777777" w:rsidTr="0039454C">
        <w:trPr>
          <w:trHeight w:val="160"/>
        </w:trPr>
        <w:tc>
          <w:tcPr>
            <w:tcW w:w="1134" w:type="dxa"/>
            <w:tcBorders>
              <w:top w:val="single" w:sz="4" w:space="0" w:color="FFFFFF"/>
              <w:left w:val="single" w:sz="4" w:space="0" w:color="FFFFFF"/>
              <w:bottom w:val="single" w:sz="4" w:space="0" w:color="FFFFFF"/>
            </w:tcBorders>
            <w:shd w:val="clear" w:color="auto" w:fill="DBE5F1"/>
            <w:vAlign w:val="center"/>
          </w:tcPr>
          <w:p w14:paraId="1F4BC111"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1</w:t>
            </w:r>
          </w:p>
        </w:tc>
        <w:tc>
          <w:tcPr>
            <w:tcW w:w="2268" w:type="dxa"/>
            <w:tcBorders>
              <w:top w:val="single" w:sz="4" w:space="0" w:color="FFFFFF"/>
              <w:left w:val="single" w:sz="4" w:space="0" w:color="FFFFFF"/>
              <w:bottom w:val="single" w:sz="4" w:space="0" w:color="FFFFFF"/>
            </w:tcBorders>
            <w:shd w:val="clear" w:color="auto" w:fill="DBE5F1"/>
            <w:vAlign w:val="center"/>
          </w:tcPr>
          <w:p w14:paraId="383A69D7"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2</w:t>
            </w:r>
          </w:p>
        </w:tc>
        <w:tc>
          <w:tcPr>
            <w:tcW w:w="2268" w:type="dxa"/>
            <w:tcBorders>
              <w:top w:val="single" w:sz="4" w:space="0" w:color="FFFFFF"/>
              <w:left w:val="single" w:sz="4" w:space="0" w:color="FFFFFF"/>
              <w:bottom w:val="single" w:sz="4" w:space="0" w:color="FFFFFF"/>
            </w:tcBorders>
            <w:shd w:val="clear" w:color="auto" w:fill="DBE5F1"/>
            <w:vAlign w:val="center"/>
          </w:tcPr>
          <w:p w14:paraId="33FB2D94"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3</w:t>
            </w:r>
          </w:p>
        </w:tc>
        <w:tc>
          <w:tcPr>
            <w:tcW w:w="2268" w:type="dxa"/>
            <w:tcBorders>
              <w:top w:val="single" w:sz="4" w:space="0" w:color="FFFFFF"/>
              <w:left w:val="single" w:sz="4" w:space="0" w:color="FFFFFF"/>
              <w:bottom w:val="single" w:sz="4" w:space="0" w:color="FFFFFF"/>
            </w:tcBorders>
            <w:shd w:val="clear" w:color="auto" w:fill="DBE5F1"/>
            <w:vAlign w:val="center"/>
          </w:tcPr>
          <w:p w14:paraId="461063C0"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4</w:t>
            </w:r>
          </w:p>
        </w:tc>
        <w:tc>
          <w:tcPr>
            <w:tcW w:w="2268" w:type="dxa"/>
            <w:tcBorders>
              <w:top w:val="single" w:sz="4" w:space="0" w:color="FFFFFF"/>
              <w:left w:val="single" w:sz="4" w:space="0" w:color="FFFFFF"/>
              <w:bottom w:val="single" w:sz="4" w:space="0" w:color="FFFFFF"/>
            </w:tcBorders>
            <w:shd w:val="clear" w:color="auto" w:fill="DBE5F1"/>
            <w:vAlign w:val="center"/>
          </w:tcPr>
          <w:p w14:paraId="7DCFA68C"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5</w:t>
            </w:r>
          </w:p>
        </w:tc>
        <w:tc>
          <w:tcPr>
            <w:tcW w:w="2268" w:type="dxa"/>
            <w:tcBorders>
              <w:top w:val="single" w:sz="4" w:space="0" w:color="FFFFFF"/>
              <w:left w:val="single" w:sz="4" w:space="0" w:color="FFFFFF"/>
              <w:bottom w:val="single" w:sz="4" w:space="0" w:color="FFFFFF"/>
            </w:tcBorders>
            <w:shd w:val="clear" w:color="auto" w:fill="DBE5F1"/>
            <w:vAlign w:val="center"/>
          </w:tcPr>
          <w:p w14:paraId="223534FC"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6=</w:t>
            </w:r>
          </w:p>
          <w:p w14:paraId="6E3E5F37"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2+3+4+5</w:t>
            </w:r>
          </w:p>
        </w:tc>
        <w:tc>
          <w:tcPr>
            <w:tcW w:w="2268"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9D7BF9B" w14:textId="77777777" w:rsidR="00600DEE" w:rsidRDefault="00641FB5">
            <w:pPr>
              <w:pBdr>
                <w:top w:val="nil"/>
                <w:left w:val="nil"/>
                <w:bottom w:val="nil"/>
                <w:right w:val="nil"/>
                <w:between w:val="nil"/>
              </w:pBdr>
              <w:jc w:val="center"/>
              <w:rPr>
                <w:rFonts w:ascii="Calibri" w:eastAsia="Calibri" w:hAnsi="Calibri" w:cs="Calibri"/>
                <w:b/>
                <w:color w:val="4F81BD"/>
                <w:sz w:val="18"/>
                <w:szCs w:val="18"/>
              </w:rPr>
            </w:pPr>
            <w:r>
              <w:rPr>
                <w:rFonts w:ascii="Calibri" w:eastAsia="Calibri" w:hAnsi="Calibri" w:cs="Calibri"/>
                <w:b/>
                <w:color w:val="4F81BD"/>
                <w:sz w:val="18"/>
                <w:szCs w:val="18"/>
              </w:rPr>
              <w:t>7</w:t>
            </w:r>
          </w:p>
        </w:tc>
        <w:tc>
          <w:tcPr>
            <w:tcW w:w="3914"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4DE9C9D" w14:textId="77777777" w:rsidR="00600DEE" w:rsidRDefault="00641FB5">
            <w:pPr>
              <w:pBdr>
                <w:top w:val="nil"/>
                <w:left w:val="nil"/>
                <w:bottom w:val="nil"/>
                <w:right w:val="nil"/>
                <w:between w:val="nil"/>
              </w:pBdr>
              <w:jc w:val="center"/>
              <w:rPr>
                <w:rFonts w:ascii="Calibri" w:eastAsia="Calibri" w:hAnsi="Calibri" w:cs="Calibri"/>
                <w:b/>
                <w:color w:val="4F81BD"/>
                <w:sz w:val="18"/>
                <w:szCs w:val="18"/>
              </w:rPr>
            </w:pPr>
            <w:r>
              <w:rPr>
                <w:rFonts w:ascii="Calibri" w:eastAsia="Calibri" w:hAnsi="Calibri" w:cs="Calibri"/>
                <w:b/>
                <w:color w:val="4F81BD"/>
                <w:sz w:val="18"/>
                <w:szCs w:val="18"/>
              </w:rPr>
              <w:t>8=6*7</w:t>
            </w:r>
          </w:p>
        </w:tc>
      </w:tr>
      <w:tr w:rsidR="00600DEE" w14:paraId="583B5566" w14:textId="77777777" w:rsidTr="0039454C">
        <w:trPr>
          <w:trHeight w:val="160"/>
        </w:trPr>
        <w:tc>
          <w:tcPr>
            <w:tcW w:w="1134" w:type="dxa"/>
            <w:tcBorders>
              <w:top w:val="single" w:sz="4" w:space="0" w:color="FFFFFF"/>
              <w:left w:val="single" w:sz="4" w:space="0" w:color="FFFFFF"/>
              <w:bottom w:val="single" w:sz="4" w:space="0" w:color="FFFFFF"/>
            </w:tcBorders>
            <w:shd w:val="clear" w:color="auto" w:fill="DBE5F1"/>
            <w:vAlign w:val="center"/>
          </w:tcPr>
          <w:p w14:paraId="7B57F90A"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1</w:t>
            </w:r>
          </w:p>
        </w:tc>
        <w:tc>
          <w:tcPr>
            <w:tcW w:w="2268" w:type="dxa"/>
            <w:tcBorders>
              <w:top w:val="single" w:sz="4" w:space="0" w:color="FFFFFF"/>
              <w:left w:val="single" w:sz="4" w:space="0" w:color="FFFFFF"/>
              <w:bottom w:val="single" w:sz="4" w:space="0" w:color="FFFFFF"/>
            </w:tcBorders>
            <w:shd w:val="clear" w:color="auto" w:fill="DBE5F1"/>
            <w:vAlign w:val="center"/>
          </w:tcPr>
          <w:p w14:paraId="78F9E4B9"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25C88339"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185ED87B"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09A3B80F"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tcPr>
          <w:p w14:paraId="68D8D4F7"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16EE670"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3914" w:type="dxa"/>
            <w:tcBorders>
              <w:top w:val="single" w:sz="4" w:space="0" w:color="FFFFFF"/>
              <w:left w:val="single" w:sz="4" w:space="0" w:color="FFFFFF"/>
              <w:bottom w:val="single" w:sz="4" w:space="0" w:color="FFFFFF"/>
              <w:right w:val="single" w:sz="4" w:space="0" w:color="FFFFFF"/>
            </w:tcBorders>
            <w:shd w:val="clear" w:color="auto" w:fill="DBE5F1"/>
          </w:tcPr>
          <w:p w14:paraId="768B474D"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1FCF54FB" w14:textId="77777777" w:rsidTr="0039454C">
        <w:trPr>
          <w:trHeight w:val="160"/>
        </w:trPr>
        <w:tc>
          <w:tcPr>
            <w:tcW w:w="1134" w:type="dxa"/>
            <w:tcBorders>
              <w:top w:val="single" w:sz="4" w:space="0" w:color="FFFFFF"/>
              <w:left w:val="single" w:sz="4" w:space="0" w:color="FFFFFF"/>
              <w:bottom w:val="single" w:sz="4" w:space="0" w:color="FFFFFF"/>
            </w:tcBorders>
            <w:shd w:val="clear" w:color="auto" w:fill="DBE5F1"/>
            <w:vAlign w:val="center"/>
          </w:tcPr>
          <w:p w14:paraId="774810C7"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2</w:t>
            </w:r>
          </w:p>
        </w:tc>
        <w:tc>
          <w:tcPr>
            <w:tcW w:w="2268" w:type="dxa"/>
            <w:tcBorders>
              <w:top w:val="single" w:sz="4" w:space="0" w:color="FFFFFF"/>
              <w:left w:val="single" w:sz="4" w:space="0" w:color="FFFFFF"/>
              <w:bottom w:val="single" w:sz="4" w:space="0" w:color="FFFFFF"/>
            </w:tcBorders>
            <w:shd w:val="clear" w:color="auto" w:fill="DBE5F1"/>
            <w:vAlign w:val="center"/>
          </w:tcPr>
          <w:p w14:paraId="22B8A39F"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2069D205"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16AAD9B1"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336E26E8"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tcPr>
          <w:p w14:paraId="23D75053"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63142EB"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3914" w:type="dxa"/>
            <w:tcBorders>
              <w:top w:val="single" w:sz="4" w:space="0" w:color="FFFFFF"/>
              <w:left w:val="single" w:sz="4" w:space="0" w:color="FFFFFF"/>
              <w:bottom w:val="single" w:sz="4" w:space="0" w:color="FFFFFF"/>
              <w:right w:val="single" w:sz="4" w:space="0" w:color="FFFFFF"/>
            </w:tcBorders>
            <w:shd w:val="clear" w:color="auto" w:fill="DBE5F1"/>
          </w:tcPr>
          <w:p w14:paraId="7AE0DEC6"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6D10DF23" w14:textId="77777777" w:rsidTr="0039454C">
        <w:trPr>
          <w:trHeight w:val="160"/>
        </w:trPr>
        <w:tc>
          <w:tcPr>
            <w:tcW w:w="1134" w:type="dxa"/>
            <w:tcBorders>
              <w:top w:val="single" w:sz="4" w:space="0" w:color="FFFFFF"/>
              <w:left w:val="single" w:sz="4" w:space="0" w:color="FFFFFF"/>
              <w:bottom w:val="single" w:sz="4" w:space="0" w:color="FFFFFF"/>
            </w:tcBorders>
            <w:shd w:val="clear" w:color="auto" w:fill="DBE5F1"/>
            <w:vAlign w:val="center"/>
          </w:tcPr>
          <w:p w14:paraId="6FFBEF2E"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w:t>
            </w:r>
          </w:p>
        </w:tc>
        <w:tc>
          <w:tcPr>
            <w:tcW w:w="2268" w:type="dxa"/>
            <w:tcBorders>
              <w:top w:val="single" w:sz="4" w:space="0" w:color="FFFFFF"/>
              <w:left w:val="single" w:sz="4" w:space="0" w:color="FFFFFF"/>
              <w:bottom w:val="single" w:sz="4" w:space="0" w:color="FFFFFF"/>
            </w:tcBorders>
            <w:shd w:val="clear" w:color="auto" w:fill="DBE5F1"/>
            <w:vAlign w:val="center"/>
          </w:tcPr>
          <w:p w14:paraId="2F13BB49"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2304B7DD"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070E52AF"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4B86BC4B"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tcPr>
          <w:p w14:paraId="0AF27658"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2B2D36E"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3914" w:type="dxa"/>
            <w:tcBorders>
              <w:top w:val="single" w:sz="4" w:space="0" w:color="FFFFFF"/>
              <w:left w:val="single" w:sz="4" w:space="0" w:color="FFFFFF"/>
              <w:bottom w:val="single" w:sz="4" w:space="0" w:color="FFFFFF"/>
              <w:right w:val="single" w:sz="4" w:space="0" w:color="FFFFFF"/>
            </w:tcBorders>
            <w:shd w:val="clear" w:color="auto" w:fill="DBE5F1"/>
          </w:tcPr>
          <w:p w14:paraId="7165E50C"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1A445796" w14:textId="77777777" w:rsidTr="0039454C">
        <w:trPr>
          <w:trHeight w:val="160"/>
        </w:trPr>
        <w:tc>
          <w:tcPr>
            <w:tcW w:w="1134" w:type="dxa"/>
            <w:tcBorders>
              <w:top w:val="single" w:sz="4" w:space="0" w:color="FFFFFF"/>
              <w:left w:val="single" w:sz="4" w:space="0" w:color="FFFFFF"/>
              <w:bottom w:val="single" w:sz="4" w:space="0" w:color="FFFFFF"/>
            </w:tcBorders>
            <w:shd w:val="clear" w:color="auto" w:fill="DBE5F1"/>
            <w:vAlign w:val="center"/>
          </w:tcPr>
          <w:p w14:paraId="3B4D4391"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25</w:t>
            </w:r>
          </w:p>
        </w:tc>
        <w:tc>
          <w:tcPr>
            <w:tcW w:w="2268" w:type="dxa"/>
            <w:tcBorders>
              <w:top w:val="single" w:sz="4" w:space="0" w:color="FFFFFF"/>
              <w:left w:val="single" w:sz="4" w:space="0" w:color="FFFFFF"/>
              <w:bottom w:val="single" w:sz="4" w:space="0" w:color="FFFFFF"/>
            </w:tcBorders>
            <w:shd w:val="clear" w:color="auto" w:fill="DBE5F1"/>
            <w:vAlign w:val="center"/>
          </w:tcPr>
          <w:p w14:paraId="1E25E346"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2E8CC6DA"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69B56B8A"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vAlign w:val="center"/>
          </w:tcPr>
          <w:p w14:paraId="6FEB7EDF"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tcPr>
          <w:p w14:paraId="386F26E0"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B332E94"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3914" w:type="dxa"/>
            <w:tcBorders>
              <w:top w:val="single" w:sz="4" w:space="0" w:color="FFFFFF"/>
              <w:left w:val="single" w:sz="4" w:space="0" w:color="FFFFFF"/>
              <w:bottom w:val="single" w:sz="4" w:space="0" w:color="FFFFFF"/>
              <w:right w:val="single" w:sz="4" w:space="0" w:color="FFFFFF"/>
            </w:tcBorders>
            <w:shd w:val="clear" w:color="auto" w:fill="DBE5F1"/>
          </w:tcPr>
          <w:p w14:paraId="158E9705"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36E52240" w14:textId="77777777" w:rsidTr="0039454C">
        <w:trPr>
          <w:trHeight w:val="160"/>
        </w:trPr>
        <w:tc>
          <w:tcPr>
            <w:tcW w:w="1134" w:type="dxa"/>
            <w:tcBorders>
              <w:top w:val="single" w:sz="4" w:space="0" w:color="FFFFFF"/>
              <w:left w:val="single" w:sz="4" w:space="0" w:color="FFFFFF"/>
              <w:bottom w:val="single" w:sz="4" w:space="0" w:color="FFFFFF"/>
            </w:tcBorders>
            <w:shd w:val="clear" w:color="auto" w:fill="FFFFFF"/>
            <w:vAlign w:val="center"/>
          </w:tcPr>
          <w:p w14:paraId="4AE0D4E2" w14:textId="77777777" w:rsidR="00600DEE" w:rsidRDefault="00600DEE">
            <w:pPr>
              <w:jc w:val="center"/>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vAlign w:val="center"/>
          </w:tcPr>
          <w:p w14:paraId="2E53AF34"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vAlign w:val="center"/>
          </w:tcPr>
          <w:p w14:paraId="5B753435"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vAlign w:val="center"/>
          </w:tcPr>
          <w:p w14:paraId="3A60B8AF"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vAlign w:val="center"/>
          </w:tcPr>
          <w:p w14:paraId="2B99ECD7"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tcPr>
          <w:p w14:paraId="4B1FB0B9"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9CB8107" w14:textId="77777777" w:rsidR="00600DEE" w:rsidRDefault="00641FB5">
            <w:pPr>
              <w:pBdr>
                <w:top w:val="nil"/>
                <w:left w:val="nil"/>
                <w:bottom w:val="nil"/>
                <w:right w:val="nil"/>
                <w:between w:val="nil"/>
              </w:pBdr>
              <w:jc w:val="center"/>
              <w:rPr>
                <w:rFonts w:ascii="Calibri" w:eastAsia="Calibri" w:hAnsi="Calibri" w:cs="Calibri"/>
                <w:b/>
                <w:color w:val="4F81BD"/>
                <w:sz w:val="18"/>
                <w:szCs w:val="18"/>
              </w:rPr>
            </w:pPr>
            <w:r>
              <w:rPr>
                <w:rFonts w:ascii="Calibri" w:eastAsia="Calibri" w:hAnsi="Calibri" w:cs="Calibri"/>
                <w:b/>
                <w:color w:val="4F81BD"/>
                <w:sz w:val="18"/>
                <w:szCs w:val="18"/>
              </w:rPr>
              <w:t>ENPV</w:t>
            </w:r>
          </w:p>
        </w:tc>
        <w:tc>
          <w:tcPr>
            <w:tcW w:w="3914" w:type="dxa"/>
            <w:tcBorders>
              <w:top w:val="single" w:sz="4" w:space="0" w:color="FFFFFF"/>
              <w:left w:val="single" w:sz="4" w:space="0" w:color="FFFFFF"/>
              <w:bottom w:val="single" w:sz="4" w:space="0" w:color="FFFFFF"/>
              <w:right w:val="single" w:sz="4" w:space="0" w:color="FFFFFF"/>
            </w:tcBorders>
            <w:shd w:val="clear" w:color="auto" w:fill="DBE5F1"/>
          </w:tcPr>
          <w:p w14:paraId="2F219886"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37679485" w14:textId="77777777" w:rsidTr="0039454C">
        <w:trPr>
          <w:trHeight w:val="160"/>
        </w:trPr>
        <w:tc>
          <w:tcPr>
            <w:tcW w:w="1134" w:type="dxa"/>
            <w:tcBorders>
              <w:top w:val="single" w:sz="4" w:space="0" w:color="FFFFFF"/>
              <w:left w:val="single" w:sz="4" w:space="0" w:color="FFFFFF"/>
              <w:bottom w:val="single" w:sz="4" w:space="0" w:color="FFFFFF"/>
            </w:tcBorders>
            <w:shd w:val="clear" w:color="auto" w:fill="FFFFFF"/>
            <w:vAlign w:val="center"/>
          </w:tcPr>
          <w:p w14:paraId="0F5FB55D" w14:textId="77777777" w:rsidR="00600DEE" w:rsidRDefault="00600DEE">
            <w:pPr>
              <w:jc w:val="center"/>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vAlign w:val="center"/>
          </w:tcPr>
          <w:p w14:paraId="65BD6888"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vAlign w:val="center"/>
          </w:tcPr>
          <w:p w14:paraId="2E6008A4"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vAlign w:val="center"/>
          </w:tcPr>
          <w:p w14:paraId="35385040"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vAlign w:val="center"/>
          </w:tcPr>
          <w:p w14:paraId="4C6B6477" w14:textId="77777777" w:rsidR="00600DEE" w:rsidRDefault="00600DEE">
            <w:pPr>
              <w:jc w:val="right"/>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tcBorders>
            <w:shd w:val="clear" w:color="auto" w:fill="FFFFFF"/>
          </w:tcPr>
          <w:p w14:paraId="4EFA126E"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AA1E0B2" w14:textId="77777777" w:rsidR="00600DEE" w:rsidRDefault="00641FB5">
            <w:pPr>
              <w:pBdr>
                <w:top w:val="nil"/>
                <w:left w:val="nil"/>
                <w:bottom w:val="nil"/>
                <w:right w:val="nil"/>
                <w:between w:val="nil"/>
              </w:pBdr>
              <w:jc w:val="center"/>
              <w:rPr>
                <w:rFonts w:ascii="Calibri" w:eastAsia="Calibri" w:hAnsi="Calibri" w:cs="Calibri"/>
                <w:b/>
                <w:color w:val="4F81BD"/>
                <w:sz w:val="18"/>
                <w:szCs w:val="18"/>
              </w:rPr>
            </w:pPr>
            <w:r>
              <w:rPr>
                <w:rFonts w:ascii="Calibri" w:eastAsia="Calibri" w:hAnsi="Calibri" w:cs="Calibri"/>
                <w:b/>
                <w:color w:val="4F81BD"/>
                <w:sz w:val="18"/>
                <w:szCs w:val="18"/>
              </w:rPr>
              <w:t>ERR</w:t>
            </w:r>
          </w:p>
        </w:tc>
        <w:tc>
          <w:tcPr>
            <w:tcW w:w="3914" w:type="dxa"/>
            <w:tcBorders>
              <w:top w:val="single" w:sz="4" w:space="0" w:color="FFFFFF"/>
              <w:left w:val="single" w:sz="4" w:space="0" w:color="FFFFFF"/>
              <w:bottom w:val="single" w:sz="4" w:space="0" w:color="FFFFFF"/>
              <w:right w:val="single" w:sz="4" w:space="0" w:color="FFFFFF"/>
            </w:tcBorders>
            <w:shd w:val="clear" w:color="auto" w:fill="DBE5F1"/>
          </w:tcPr>
          <w:p w14:paraId="5F360B97"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bl>
    <w:p w14:paraId="1BB9850A" w14:textId="4679E884" w:rsidR="00600DEE" w:rsidRDefault="00641FB5">
      <w:pPr>
        <w:pBdr>
          <w:top w:val="nil"/>
          <w:left w:val="nil"/>
          <w:bottom w:val="nil"/>
          <w:right w:val="nil"/>
          <w:between w:val="nil"/>
        </w:pBdr>
        <w:spacing w:after="120"/>
        <w:jc w:val="both"/>
        <w:rPr>
          <w:rFonts w:ascii="Calibri" w:eastAsia="Calibri" w:hAnsi="Calibri" w:cs="Calibri"/>
          <w:i/>
          <w:color w:val="000000"/>
          <w:sz w:val="20"/>
          <w:szCs w:val="20"/>
        </w:rPr>
      </w:pPr>
      <w:r>
        <w:rPr>
          <w:rFonts w:ascii="Calibri" w:eastAsia="Calibri" w:hAnsi="Calibri" w:cs="Calibri"/>
          <w:i/>
          <w:color w:val="000000"/>
          <w:sz w:val="20"/>
          <w:szCs w:val="20"/>
        </w:rPr>
        <w:t>W Kol. 2 i 3 podaje się wartości ze znakiem (-) (zakładając, że różnica kosztów operacyjnych pomiędzy W0 i Wn - jest kosztem; w przypadku, gdy wystąpią oszczędności w kosztach operacyjnych podaje się ze znakiem (+)), obliczone wcześniej i zaprezentowane w Tabeli 2</w:t>
      </w:r>
      <w:r w:rsidR="007463B9">
        <w:rPr>
          <w:rFonts w:ascii="Calibri" w:eastAsia="Calibri" w:hAnsi="Calibri" w:cs="Calibri"/>
          <w:i/>
          <w:color w:val="000000"/>
          <w:sz w:val="20"/>
          <w:szCs w:val="20"/>
        </w:rPr>
        <w:t>4</w:t>
      </w:r>
      <w:r>
        <w:rPr>
          <w:rFonts w:ascii="Calibri" w:eastAsia="Calibri" w:hAnsi="Calibri" w:cs="Calibri"/>
          <w:i/>
          <w:color w:val="000000"/>
          <w:sz w:val="20"/>
          <w:szCs w:val="20"/>
        </w:rPr>
        <w:t>b.</w:t>
      </w:r>
    </w:p>
    <w:p w14:paraId="3731987D" w14:textId="72E19E4C" w:rsidR="00600DEE" w:rsidRDefault="00641FB5">
      <w:pPr>
        <w:pBdr>
          <w:top w:val="nil"/>
          <w:left w:val="nil"/>
          <w:bottom w:val="nil"/>
          <w:right w:val="nil"/>
          <w:between w:val="nil"/>
        </w:pBdr>
        <w:spacing w:after="120"/>
        <w:jc w:val="both"/>
        <w:rPr>
          <w:rFonts w:ascii="Calibri" w:eastAsia="Calibri" w:hAnsi="Calibri" w:cs="Calibri"/>
          <w:i/>
          <w:color w:val="000000"/>
          <w:sz w:val="20"/>
          <w:szCs w:val="20"/>
        </w:rPr>
      </w:pPr>
      <w:r>
        <w:rPr>
          <w:rFonts w:ascii="Calibri" w:eastAsia="Calibri" w:hAnsi="Calibri" w:cs="Calibri"/>
          <w:i/>
          <w:color w:val="000000"/>
          <w:sz w:val="20"/>
          <w:szCs w:val="20"/>
        </w:rPr>
        <w:t>W kol. 4 korzyści ekonomiczne projektu są to roczne wartości wyliczone w oparciu o tabele 2</w:t>
      </w:r>
      <w:r w:rsidR="007463B9">
        <w:rPr>
          <w:rFonts w:ascii="Calibri" w:eastAsia="Calibri" w:hAnsi="Calibri" w:cs="Calibri"/>
          <w:i/>
          <w:color w:val="000000"/>
          <w:sz w:val="20"/>
          <w:szCs w:val="20"/>
        </w:rPr>
        <w:t>4</w:t>
      </w:r>
      <w:r>
        <w:rPr>
          <w:rFonts w:ascii="Calibri" w:eastAsia="Calibri" w:hAnsi="Calibri" w:cs="Calibri"/>
          <w:i/>
          <w:color w:val="000000"/>
          <w:sz w:val="20"/>
          <w:szCs w:val="20"/>
        </w:rPr>
        <w:t>a.</w:t>
      </w:r>
    </w:p>
    <w:p w14:paraId="04B3D4AC" w14:textId="5AAD1622" w:rsidR="00600DEE" w:rsidRPr="0045151D" w:rsidRDefault="00641FB5">
      <w:pPr>
        <w:pBdr>
          <w:top w:val="nil"/>
          <w:left w:val="nil"/>
          <w:bottom w:val="nil"/>
          <w:right w:val="nil"/>
          <w:between w:val="nil"/>
        </w:pBdr>
        <w:spacing w:before="12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Źródło: opracowanie własne.</w:t>
      </w:r>
    </w:p>
    <w:p w14:paraId="01F2751F" w14:textId="542FD2C1" w:rsidR="00600DEE" w:rsidRPr="0045151D" w:rsidRDefault="007E2ECA">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26</w:t>
      </w:r>
      <w:r w:rsidR="00641FB5" w:rsidRPr="0045151D">
        <w:rPr>
          <w:rFonts w:ascii="Calibri" w:eastAsia="Calibri" w:hAnsi="Calibri" w:cs="Calibri"/>
          <w:b/>
          <w:color w:val="4F81BD"/>
          <w:sz w:val="20"/>
          <w:szCs w:val="20"/>
          <w:lang w:val="en-GB"/>
        </w:rPr>
        <w:t>. Proposed presentation format of project economic performance [PLN]</w:t>
      </w:r>
    </w:p>
    <w:tbl>
      <w:tblPr>
        <w:tblStyle w:val="affffff4"/>
        <w:tblW w:w="14395" w:type="dxa"/>
        <w:tblLayout w:type="fixed"/>
        <w:tblLook w:val="0000" w:firstRow="0" w:lastRow="0" w:firstColumn="0" w:lastColumn="0" w:noHBand="0" w:noVBand="0"/>
      </w:tblPr>
      <w:tblGrid>
        <w:gridCol w:w="1075"/>
        <w:gridCol w:w="1620"/>
        <w:gridCol w:w="1800"/>
        <w:gridCol w:w="1798"/>
        <w:gridCol w:w="1622"/>
        <w:gridCol w:w="1800"/>
        <w:gridCol w:w="1800"/>
        <w:gridCol w:w="2880"/>
      </w:tblGrid>
      <w:tr w:rsidR="00600DEE" w14:paraId="783BD1AB" w14:textId="77777777" w:rsidTr="0039454C">
        <w:trPr>
          <w:trHeight w:val="675"/>
        </w:trPr>
        <w:tc>
          <w:tcPr>
            <w:tcW w:w="1075" w:type="dxa"/>
            <w:tcBorders>
              <w:top w:val="single" w:sz="4" w:space="0" w:color="FFFFFF"/>
              <w:left w:val="single" w:sz="4" w:space="0" w:color="FFFFFF"/>
              <w:bottom w:val="single" w:sz="4" w:space="0" w:color="FFFFFF"/>
            </w:tcBorders>
            <w:shd w:val="clear" w:color="auto" w:fill="A6A6A6"/>
            <w:vAlign w:val="center"/>
          </w:tcPr>
          <w:p w14:paraId="4D83E74D" w14:textId="77777777" w:rsidR="00600DEE" w:rsidRDefault="00641FB5">
            <w:pPr>
              <w:ind w:right="113"/>
              <w:jc w:val="center"/>
              <w:rPr>
                <w:rFonts w:ascii="Calibri" w:eastAsia="Calibri" w:hAnsi="Calibri" w:cs="Calibri"/>
                <w:b/>
                <w:color w:val="FFFFFF"/>
                <w:sz w:val="18"/>
                <w:szCs w:val="18"/>
              </w:rPr>
            </w:pPr>
            <w:r>
              <w:rPr>
                <w:rFonts w:ascii="Calibri" w:eastAsia="Calibri" w:hAnsi="Calibri" w:cs="Calibri"/>
                <w:b/>
                <w:color w:val="FFFFFF"/>
                <w:sz w:val="18"/>
                <w:szCs w:val="18"/>
              </w:rPr>
              <w:t>Year</w:t>
            </w:r>
          </w:p>
        </w:tc>
        <w:tc>
          <w:tcPr>
            <w:tcW w:w="1620" w:type="dxa"/>
            <w:tcBorders>
              <w:top w:val="single" w:sz="4" w:space="0" w:color="FFFFFF"/>
              <w:left w:val="single" w:sz="4" w:space="0" w:color="FFFFFF"/>
              <w:bottom w:val="single" w:sz="4" w:space="0" w:color="FFFFFF"/>
            </w:tcBorders>
            <w:shd w:val="clear" w:color="auto" w:fill="A6A6A6"/>
            <w:vAlign w:val="center"/>
          </w:tcPr>
          <w:p w14:paraId="584D41ED"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Investment</w:t>
            </w:r>
          </w:p>
          <w:p w14:paraId="26E7007C"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Expenditures</w:t>
            </w:r>
          </w:p>
          <w:p w14:paraId="070A514B"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Adjusted</w:t>
            </w:r>
          </w:p>
        </w:tc>
        <w:tc>
          <w:tcPr>
            <w:tcW w:w="1800" w:type="dxa"/>
            <w:tcBorders>
              <w:top w:val="single" w:sz="4" w:space="0" w:color="FFFFFF"/>
              <w:left w:val="single" w:sz="4" w:space="0" w:color="FFFFFF"/>
              <w:bottom w:val="single" w:sz="4" w:space="0" w:color="FFFFFF"/>
            </w:tcBorders>
            <w:shd w:val="clear" w:color="auto" w:fill="A6A6A6"/>
            <w:vAlign w:val="center"/>
          </w:tcPr>
          <w:p w14:paraId="31DD5F39"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O&amp;M costs</w:t>
            </w:r>
          </w:p>
          <w:p w14:paraId="149AD14C"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Adjusted</w:t>
            </w:r>
          </w:p>
        </w:tc>
        <w:tc>
          <w:tcPr>
            <w:tcW w:w="1798" w:type="dxa"/>
            <w:tcBorders>
              <w:top w:val="single" w:sz="4" w:space="0" w:color="FFFFFF"/>
              <w:left w:val="single" w:sz="4" w:space="0" w:color="FFFFFF"/>
              <w:bottom w:val="single" w:sz="4" w:space="0" w:color="FFFFFF"/>
            </w:tcBorders>
            <w:shd w:val="clear" w:color="auto" w:fill="A6A6A6"/>
            <w:vAlign w:val="center"/>
          </w:tcPr>
          <w:p w14:paraId="125BFDF2"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Project  economic benefits/costs</w:t>
            </w:r>
          </w:p>
        </w:tc>
        <w:tc>
          <w:tcPr>
            <w:tcW w:w="1622"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6E29DC44"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Residual Value </w:t>
            </w:r>
          </w:p>
        </w:tc>
        <w:tc>
          <w:tcPr>
            <w:tcW w:w="1800" w:type="dxa"/>
            <w:tcBorders>
              <w:top w:val="single" w:sz="4" w:space="0" w:color="FFFFFF"/>
              <w:left w:val="single" w:sz="4" w:space="0" w:color="FFFFFF"/>
              <w:bottom w:val="single" w:sz="4" w:space="0" w:color="FFFFFF"/>
            </w:tcBorders>
            <w:shd w:val="clear" w:color="auto" w:fill="A6A6A6"/>
            <w:vAlign w:val="center"/>
          </w:tcPr>
          <w:p w14:paraId="56F4151D"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Total economic flows</w:t>
            </w:r>
          </w:p>
          <w:p w14:paraId="6CDACF7A" w14:textId="77777777" w:rsidR="00600DEE" w:rsidRDefault="00600DEE">
            <w:pPr>
              <w:jc w:val="center"/>
              <w:rPr>
                <w:rFonts w:ascii="Calibri" w:eastAsia="Calibri" w:hAnsi="Calibri" w:cs="Calibri"/>
                <w:b/>
                <w:color w:val="FFFFFF"/>
                <w:sz w:val="18"/>
                <w:szCs w:val="18"/>
              </w:rPr>
            </w:pPr>
          </w:p>
        </w:tc>
        <w:tc>
          <w:tcPr>
            <w:tcW w:w="180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21566246"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Discount factor</w:t>
            </w:r>
          </w:p>
        </w:tc>
        <w:tc>
          <w:tcPr>
            <w:tcW w:w="288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0A04E116"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Discounted  Economic flows</w:t>
            </w:r>
          </w:p>
        </w:tc>
      </w:tr>
      <w:tr w:rsidR="00600DEE" w14:paraId="46D00D93" w14:textId="77777777" w:rsidTr="0039454C">
        <w:trPr>
          <w:trHeight w:val="141"/>
        </w:trPr>
        <w:tc>
          <w:tcPr>
            <w:tcW w:w="1075" w:type="dxa"/>
            <w:tcBorders>
              <w:top w:val="single" w:sz="4" w:space="0" w:color="FFFFFF"/>
              <w:left w:val="single" w:sz="4" w:space="0" w:color="FFFFFF"/>
              <w:bottom w:val="single" w:sz="4" w:space="0" w:color="FFFFFF"/>
            </w:tcBorders>
            <w:shd w:val="clear" w:color="auto" w:fill="DBE5F1"/>
            <w:vAlign w:val="center"/>
          </w:tcPr>
          <w:p w14:paraId="29E794AB"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1</w:t>
            </w:r>
          </w:p>
        </w:tc>
        <w:tc>
          <w:tcPr>
            <w:tcW w:w="1620" w:type="dxa"/>
            <w:tcBorders>
              <w:top w:val="single" w:sz="4" w:space="0" w:color="FFFFFF"/>
              <w:left w:val="single" w:sz="4" w:space="0" w:color="FFFFFF"/>
              <w:bottom w:val="single" w:sz="4" w:space="0" w:color="FFFFFF"/>
            </w:tcBorders>
            <w:shd w:val="clear" w:color="auto" w:fill="DBE5F1"/>
            <w:vAlign w:val="center"/>
          </w:tcPr>
          <w:p w14:paraId="343F2E3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w:t>
            </w:r>
          </w:p>
        </w:tc>
        <w:tc>
          <w:tcPr>
            <w:tcW w:w="1800" w:type="dxa"/>
            <w:tcBorders>
              <w:top w:val="single" w:sz="4" w:space="0" w:color="FFFFFF"/>
              <w:left w:val="single" w:sz="4" w:space="0" w:color="FFFFFF"/>
              <w:bottom w:val="single" w:sz="4" w:space="0" w:color="FFFFFF"/>
            </w:tcBorders>
            <w:shd w:val="clear" w:color="auto" w:fill="DBE5F1"/>
            <w:vAlign w:val="center"/>
          </w:tcPr>
          <w:p w14:paraId="76DD333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w:t>
            </w:r>
          </w:p>
        </w:tc>
        <w:tc>
          <w:tcPr>
            <w:tcW w:w="1798" w:type="dxa"/>
            <w:tcBorders>
              <w:top w:val="single" w:sz="4" w:space="0" w:color="FFFFFF"/>
              <w:left w:val="single" w:sz="4" w:space="0" w:color="FFFFFF"/>
              <w:bottom w:val="single" w:sz="4" w:space="0" w:color="FFFFFF"/>
            </w:tcBorders>
            <w:shd w:val="clear" w:color="auto" w:fill="DBE5F1"/>
            <w:vAlign w:val="center"/>
          </w:tcPr>
          <w:p w14:paraId="1F01F3F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4</w:t>
            </w:r>
          </w:p>
        </w:tc>
        <w:tc>
          <w:tcPr>
            <w:tcW w:w="1622"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8F9D6E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w:t>
            </w:r>
          </w:p>
        </w:tc>
        <w:tc>
          <w:tcPr>
            <w:tcW w:w="1800" w:type="dxa"/>
            <w:tcBorders>
              <w:top w:val="single" w:sz="4" w:space="0" w:color="FFFFFF"/>
              <w:left w:val="single" w:sz="4" w:space="0" w:color="FFFFFF"/>
              <w:bottom w:val="single" w:sz="4" w:space="0" w:color="FFFFFF"/>
            </w:tcBorders>
            <w:shd w:val="clear" w:color="auto" w:fill="DBE5F1"/>
            <w:vAlign w:val="center"/>
          </w:tcPr>
          <w:p w14:paraId="13B612E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6=</w:t>
            </w:r>
          </w:p>
          <w:p w14:paraId="4B00814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2+3+4+5</w:t>
            </w:r>
          </w:p>
        </w:tc>
        <w:tc>
          <w:tcPr>
            <w:tcW w:w="18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D6CA509"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7</w:t>
            </w:r>
          </w:p>
        </w:tc>
        <w:tc>
          <w:tcPr>
            <w:tcW w:w="288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C042A19" w14:textId="77777777" w:rsidR="00600DEE" w:rsidRDefault="00641FB5">
            <w:pPr>
              <w:pBdr>
                <w:top w:val="nil"/>
                <w:left w:val="nil"/>
                <w:bottom w:val="nil"/>
                <w:right w:val="nil"/>
                <w:between w:val="nil"/>
              </w:pBdr>
              <w:jc w:val="center"/>
              <w:rPr>
                <w:rFonts w:ascii="Calibri" w:eastAsia="Calibri" w:hAnsi="Calibri" w:cs="Calibri"/>
                <w:color w:val="4F81BD"/>
                <w:sz w:val="18"/>
                <w:szCs w:val="18"/>
              </w:rPr>
            </w:pPr>
            <w:r>
              <w:rPr>
                <w:rFonts w:ascii="Calibri" w:eastAsia="Calibri" w:hAnsi="Calibri" w:cs="Calibri"/>
                <w:color w:val="4F81BD"/>
                <w:sz w:val="18"/>
                <w:szCs w:val="18"/>
              </w:rPr>
              <w:t>8=6*7</w:t>
            </w:r>
          </w:p>
        </w:tc>
      </w:tr>
      <w:tr w:rsidR="00600DEE" w14:paraId="760E04DD" w14:textId="77777777" w:rsidTr="0039454C">
        <w:trPr>
          <w:trHeight w:val="141"/>
        </w:trPr>
        <w:tc>
          <w:tcPr>
            <w:tcW w:w="1075" w:type="dxa"/>
            <w:tcBorders>
              <w:top w:val="single" w:sz="4" w:space="0" w:color="FFFFFF"/>
              <w:left w:val="single" w:sz="4" w:space="0" w:color="FFFFFF"/>
              <w:bottom w:val="single" w:sz="4" w:space="0" w:color="FFFFFF"/>
            </w:tcBorders>
            <w:shd w:val="clear" w:color="auto" w:fill="DBE5F1"/>
            <w:vAlign w:val="center"/>
          </w:tcPr>
          <w:p w14:paraId="36A58A0F"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1</w:t>
            </w:r>
          </w:p>
        </w:tc>
        <w:tc>
          <w:tcPr>
            <w:tcW w:w="1620" w:type="dxa"/>
            <w:tcBorders>
              <w:top w:val="single" w:sz="4" w:space="0" w:color="FFFFFF"/>
              <w:left w:val="single" w:sz="4" w:space="0" w:color="FFFFFF"/>
              <w:bottom w:val="single" w:sz="4" w:space="0" w:color="FFFFFF"/>
            </w:tcBorders>
            <w:shd w:val="clear" w:color="auto" w:fill="DBE5F1"/>
            <w:vAlign w:val="center"/>
          </w:tcPr>
          <w:p w14:paraId="07AE2A22"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DBE5F1"/>
            <w:vAlign w:val="center"/>
          </w:tcPr>
          <w:p w14:paraId="3F93152C" w14:textId="77777777" w:rsidR="00600DEE" w:rsidRDefault="00600DEE">
            <w:pPr>
              <w:jc w:val="center"/>
              <w:rPr>
                <w:rFonts w:ascii="Calibri" w:eastAsia="Calibri" w:hAnsi="Calibri" w:cs="Calibri"/>
                <w:b/>
                <w:color w:val="4F81BD"/>
                <w:sz w:val="18"/>
                <w:szCs w:val="18"/>
              </w:rPr>
            </w:pPr>
          </w:p>
        </w:tc>
        <w:tc>
          <w:tcPr>
            <w:tcW w:w="1798" w:type="dxa"/>
            <w:tcBorders>
              <w:top w:val="single" w:sz="4" w:space="0" w:color="FFFFFF"/>
              <w:left w:val="single" w:sz="4" w:space="0" w:color="FFFFFF"/>
              <w:bottom w:val="single" w:sz="4" w:space="0" w:color="FFFFFF"/>
            </w:tcBorders>
            <w:shd w:val="clear" w:color="auto" w:fill="DBE5F1"/>
            <w:vAlign w:val="center"/>
          </w:tcPr>
          <w:p w14:paraId="08A00304" w14:textId="77777777" w:rsidR="00600DEE" w:rsidRDefault="00600DEE">
            <w:pPr>
              <w:jc w:val="center"/>
              <w:rPr>
                <w:rFonts w:ascii="Calibri" w:eastAsia="Calibri" w:hAnsi="Calibri" w:cs="Calibri"/>
                <w:b/>
                <w:color w:val="4F81BD"/>
                <w:sz w:val="18"/>
                <w:szCs w:val="18"/>
              </w:rPr>
            </w:pPr>
          </w:p>
        </w:tc>
        <w:tc>
          <w:tcPr>
            <w:tcW w:w="1622" w:type="dxa"/>
            <w:tcBorders>
              <w:top w:val="single" w:sz="4" w:space="0" w:color="FFFFFF"/>
              <w:left w:val="single" w:sz="4" w:space="0" w:color="FFFFFF"/>
              <w:bottom w:val="single" w:sz="4" w:space="0" w:color="FFFFFF"/>
              <w:right w:val="single" w:sz="4" w:space="0" w:color="FFFFFF"/>
            </w:tcBorders>
            <w:shd w:val="clear" w:color="auto" w:fill="DBE5F1"/>
          </w:tcPr>
          <w:p w14:paraId="7DA0759C"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DBE5F1"/>
            <w:vAlign w:val="center"/>
          </w:tcPr>
          <w:p w14:paraId="0FCCD49D"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0055716"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880" w:type="dxa"/>
            <w:tcBorders>
              <w:top w:val="single" w:sz="4" w:space="0" w:color="FFFFFF"/>
              <w:left w:val="single" w:sz="4" w:space="0" w:color="FFFFFF"/>
              <w:bottom w:val="single" w:sz="4" w:space="0" w:color="FFFFFF"/>
              <w:right w:val="single" w:sz="4" w:space="0" w:color="FFFFFF"/>
            </w:tcBorders>
            <w:shd w:val="clear" w:color="auto" w:fill="DBE5F1"/>
          </w:tcPr>
          <w:p w14:paraId="27EACED8"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7B944C96" w14:textId="77777777" w:rsidTr="0039454C">
        <w:trPr>
          <w:trHeight w:val="141"/>
        </w:trPr>
        <w:tc>
          <w:tcPr>
            <w:tcW w:w="1075" w:type="dxa"/>
            <w:tcBorders>
              <w:top w:val="single" w:sz="4" w:space="0" w:color="FFFFFF"/>
              <w:left w:val="single" w:sz="4" w:space="0" w:color="FFFFFF"/>
              <w:bottom w:val="single" w:sz="4" w:space="0" w:color="FFFFFF"/>
            </w:tcBorders>
            <w:shd w:val="clear" w:color="auto" w:fill="DBE5F1"/>
            <w:vAlign w:val="center"/>
          </w:tcPr>
          <w:p w14:paraId="12DD8EAB"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2</w:t>
            </w:r>
          </w:p>
        </w:tc>
        <w:tc>
          <w:tcPr>
            <w:tcW w:w="1620" w:type="dxa"/>
            <w:tcBorders>
              <w:top w:val="single" w:sz="4" w:space="0" w:color="FFFFFF"/>
              <w:left w:val="single" w:sz="4" w:space="0" w:color="FFFFFF"/>
              <w:bottom w:val="single" w:sz="4" w:space="0" w:color="FFFFFF"/>
            </w:tcBorders>
            <w:shd w:val="clear" w:color="auto" w:fill="DBE5F1"/>
            <w:vAlign w:val="center"/>
          </w:tcPr>
          <w:p w14:paraId="58B6FDAD"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DBE5F1"/>
            <w:vAlign w:val="center"/>
          </w:tcPr>
          <w:p w14:paraId="7F2EC197" w14:textId="77777777" w:rsidR="00600DEE" w:rsidRDefault="00600DEE">
            <w:pPr>
              <w:jc w:val="center"/>
              <w:rPr>
                <w:rFonts w:ascii="Calibri" w:eastAsia="Calibri" w:hAnsi="Calibri" w:cs="Calibri"/>
                <w:b/>
                <w:color w:val="4F81BD"/>
                <w:sz w:val="18"/>
                <w:szCs w:val="18"/>
              </w:rPr>
            </w:pPr>
          </w:p>
        </w:tc>
        <w:tc>
          <w:tcPr>
            <w:tcW w:w="1798" w:type="dxa"/>
            <w:tcBorders>
              <w:top w:val="single" w:sz="4" w:space="0" w:color="FFFFFF"/>
              <w:left w:val="single" w:sz="4" w:space="0" w:color="FFFFFF"/>
              <w:bottom w:val="single" w:sz="4" w:space="0" w:color="FFFFFF"/>
            </w:tcBorders>
            <w:shd w:val="clear" w:color="auto" w:fill="DBE5F1"/>
            <w:vAlign w:val="center"/>
          </w:tcPr>
          <w:p w14:paraId="3FC5C5B3" w14:textId="77777777" w:rsidR="00600DEE" w:rsidRDefault="00600DEE">
            <w:pPr>
              <w:jc w:val="center"/>
              <w:rPr>
                <w:rFonts w:ascii="Calibri" w:eastAsia="Calibri" w:hAnsi="Calibri" w:cs="Calibri"/>
                <w:b/>
                <w:color w:val="4F81BD"/>
                <w:sz w:val="18"/>
                <w:szCs w:val="18"/>
              </w:rPr>
            </w:pPr>
          </w:p>
        </w:tc>
        <w:tc>
          <w:tcPr>
            <w:tcW w:w="1622" w:type="dxa"/>
            <w:tcBorders>
              <w:top w:val="single" w:sz="4" w:space="0" w:color="FFFFFF"/>
              <w:left w:val="single" w:sz="4" w:space="0" w:color="FFFFFF"/>
              <w:bottom w:val="single" w:sz="4" w:space="0" w:color="FFFFFF"/>
              <w:right w:val="single" w:sz="4" w:space="0" w:color="FFFFFF"/>
            </w:tcBorders>
            <w:shd w:val="clear" w:color="auto" w:fill="DBE5F1"/>
          </w:tcPr>
          <w:p w14:paraId="213E4A02"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DBE5F1"/>
            <w:vAlign w:val="center"/>
          </w:tcPr>
          <w:p w14:paraId="6DA9EA5E"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A910878"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880" w:type="dxa"/>
            <w:tcBorders>
              <w:top w:val="single" w:sz="4" w:space="0" w:color="FFFFFF"/>
              <w:left w:val="single" w:sz="4" w:space="0" w:color="FFFFFF"/>
              <w:bottom w:val="single" w:sz="4" w:space="0" w:color="FFFFFF"/>
              <w:right w:val="single" w:sz="4" w:space="0" w:color="FFFFFF"/>
            </w:tcBorders>
            <w:shd w:val="clear" w:color="auto" w:fill="DBE5F1"/>
          </w:tcPr>
          <w:p w14:paraId="18FEA1DD"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4A1F9436" w14:textId="77777777" w:rsidTr="0039454C">
        <w:trPr>
          <w:trHeight w:val="141"/>
        </w:trPr>
        <w:tc>
          <w:tcPr>
            <w:tcW w:w="1075" w:type="dxa"/>
            <w:tcBorders>
              <w:top w:val="single" w:sz="4" w:space="0" w:color="FFFFFF"/>
              <w:left w:val="single" w:sz="4" w:space="0" w:color="FFFFFF"/>
              <w:bottom w:val="single" w:sz="4" w:space="0" w:color="FFFFFF"/>
            </w:tcBorders>
            <w:shd w:val="clear" w:color="auto" w:fill="DBE5F1"/>
            <w:vAlign w:val="center"/>
          </w:tcPr>
          <w:p w14:paraId="034B0444"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w:t>
            </w:r>
          </w:p>
        </w:tc>
        <w:tc>
          <w:tcPr>
            <w:tcW w:w="1620" w:type="dxa"/>
            <w:tcBorders>
              <w:top w:val="single" w:sz="4" w:space="0" w:color="FFFFFF"/>
              <w:left w:val="single" w:sz="4" w:space="0" w:color="FFFFFF"/>
              <w:bottom w:val="single" w:sz="4" w:space="0" w:color="FFFFFF"/>
            </w:tcBorders>
            <w:shd w:val="clear" w:color="auto" w:fill="DBE5F1"/>
            <w:vAlign w:val="center"/>
          </w:tcPr>
          <w:p w14:paraId="6FEF5C39"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DBE5F1"/>
            <w:vAlign w:val="center"/>
          </w:tcPr>
          <w:p w14:paraId="4CB1E767" w14:textId="77777777" w:rsidR="00600DEE" w:rsidRDefault="00600DEE">
            <w:pPr>
              <w:jc w:val="center"/>
              <w:rPr>
                <w:rFonts w:ascii="Calibri" w:eastAsia="Calibri" w:hAnsi="Calibri" w:cs="Calibri"/>
                <w:b/>
                <w:color w:val="4F81BD"/>
                <w:sz w:val="18"/>
                <w:szCs w:val="18"/>
              </w:rPr>
            </w:pPr>
          </w:p>
        </w:tc>
        <w:tc>
          <w:tcPr>
            <w:tcW w:w="1798" w:type="dxa"/>
            <w:tcBorders>
              <w:top w:val="single" w:sz="4" w:space="0" w:color="FFFFFF"/>
              <w:left w:val="single" w:sz="4" w:space="0" w:color="FFFFFF"/>
              <w:bottom w:val="single" w:sz="4" w:space="0" w:color="FFFFFF"/>
            </w:tcBorders>
            <w:shd w:val="clear" w:color="auto" w:fill="DBE5F1"/>
            <w:vAlign w:val="center"/>
          </w:tcPr>
          <w:p w14:paraId="60072C2A" w14:textId="77777777" w:rsidR="00600DEE" w:rsidRDefault="00600DEE">
            <w:pPr>
              <w:jc w:val="center"/>
              <w:rPr>
                <w:rFonts w:ascii="Calibri" w:eastAsia="Calibri" w:hAnsi="Calibri" w:cs="Calibri"/>
                <w:b/>
                <w:color w:val="4F81BD"/>
                <w:sz w:val="18"/>
                <w:szCs w:val="18"/>
              </w:rPr>
            </w:pPr>
          </w:p>
        </w:tc>
        <w:tc>
          <w:tcPr>
            <w:tcW w:w="1622" w:type="dxa"/>
            <w:tcBorders>
              <w:top w:val="single" w:sz="4" w:space="0" w:color="FFFFFF"/>
              <w:left w:val="single" w:sz="4" w:space="0" w:color="FFFFFF"/>
              <w:bottom w:val="single" w:sz="4" w:space="0" w:color="FFFFFF"/>
              <w:right w:val="single" w:sz="4" w:space="0" w:color="FFFFFF"/>
            </w:tcBorders>
            <w:shd w:val="clear" w:color="auto" w:fill="DBE5F1"/>
          </w:tcPr>
          <w:p w14:paraId="0E36279E"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DBE5F1"/>
            <w:vAlign w:val="center"/>
          </w:tcPr>
          <w:p w14:paraId="4E9AA281"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1D58FAFE"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880" w:type="dxa"/>
            <w:tcBorders>
              <w:top w:val="single" w:sz="4" w:space="0" w:color="FFFFFF"/>
              <w:left w:val="single" w:sz="4" w:space="0" w:color="FFFFFF"/>
              <w:bottom w:val="single" w:sz="4" w:space="0" w:color="FFFFFF"/>
              <w:right w:val="single" w:sz="4" w:space="0" w:color="FFFFFF"/>
            </w:tcBorders>
            <w:shd w:val="clear" w:color="auto" w:fill="DBE5F1"/>
          </w:tcPr>
          <w:p w14:paraId="79A1AABA"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24585ECF" w14:textId="77777777" w:rsidTr="0039454C">
        <w:trPr>
          <w:trHeight w:val="141"/>
        </w:trPr>
        <w:tc>
          <w:tcPr>
            <w:tcW w:w="1075" w:type="dxa"/>
            <w:tcBorders>
              <w:top w:val="single" w:sz="4" w:space="0" w:color="FFFFFF"/>
              <w:left w:val="single" w:sz="4" w:space="0" w:color="FFFFFF"/>
              <w:bottom w:val="single" w:sz="4" w:space="0" w:color="FFFFFF"/>
            </w:tcBorders>
            <w:shd w:val="clear" w:color="auto" w:fill="DBE5F1"/>
            <w:vAlign w:val="center"/>
          </w:tcPr>
          <w:p w14:paraId="3885B229" w14:textId="77777777" w:rsidR="00600DEE" w:rsidRDefault="00641FB5">
            <w:pPr>
              <w:jc w:val="center"/>
              <w:rPr>
                <w:rFonts w:ascii="Calibri" w:eastAsia="Calibri" w:hAnsi="Calibri" w:cs="Calibri"/>
                <w:b/>
                <w:color w:val="4F81BD"/>
                <w:sz w:val="18"/>
                <w:szCs w:val="18"/>
              </w:rPr>
            </w:pPr>
            <w:r>
              <w:rPr>
                <w:rFonts w:ascii="Calibri" w:eastAsia="Calibri" w:hAnsi="Calibri" w:cs="Calibri"/>
                <w:b/>
                <w:color w:val="4F81BD"/>
                <w:sz w:val="18"/>
                <w:szCs w:val="18"/>
              </w:rPr>
              <w:t>25</w:t>
            </w:r>
          </w:p>
        </w:tc>
        <w:tc>
          <w:tcPr>
            <w:tcW w:w="1620" w:type="dxa"/>
            <w:tcBorders>
              <w:top w:val="single" w:sz="4" w:space="0" w:color="FFFFFF"/>
              <w:left w:val="single" w:sz="4" w:space="0" w:color="FFFFFF"/>
              <w:bottom w:val="single" w:sz="4" w:space="0" w:color="FFFFFF"/>
            </w:tcBorders>
            <w:shd w:val="clear" w:color="auto" w:fill="DBE5F1"/>
            <w:vAlign w:val="center"/>
          </w:tcPr>
          <w:p w14:paraId="7C10A0DD"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DBE5F1"/>
            <w:vAlign w:val="center"/>
          </w:tcPr>
          <w:p w14:paraId="24F8338D" w14:textId="77777777" w:rsidR="00600DEE" w:rsidRDefault="00600DEE">
            <w:pPr>
              <w:jc w:val="center"/>
              <w:rPr>
                <w:rFonts w:ascii="Calibri" w:eastAsia="Calibri" w:hAnsi="Calibri" w:cs="Calibri"/>
                <w:b/>
                <w:color w:val="4F81BD"/>
                <w:sz w:val="18"/>
                <w:szCs w:val="18"/>
              </w:rPr>
            </w:pPr>
          </w:p>
        </w:tc>
        <w:tc>
          <w:tcPr>
            <w:tcW w:w="1798" w:type="dxa"/>
            <w:tcBorders>
              <w:top w:val="single" w:sz="4" w:space="0" w:color="FFFFFF"/>
              <w:left w:val="single" w:sz="4" w:space="0" w:color="FFFFFF"/>
              <w:bottom w:val="single" w:sz="4" w:space="0" w:color="FFFFFF"/>
            </w:tcBorders>
            <w:shd w:val="clear" w:color="auto" w:fill="DBE5F1"/>
            <w:vAlign w:val="center"/>
          </w:tcPr>
          <w:p w14:paraId="60DE6609" w14:textId="77777777" w:rsidR="00600DEE" w:rsidRDefault="00600DEE">
            <w:pPr>
              <w:jc w:val="center"/>
              <w:rPr>
                <w:rFonts w:ascii="Calibri" w:eastAsia="Calibri" w:hAnsi="Calibri" w:cs="Calibri"/>
                <w:b/>
                <w:color w:val="4F81BD"/>
                <w:sz w:val="18"/>
                <w:szCs w:val="18"/>
              </w:rPr>
            </w:pPr>
          </w:p>
        </w:tc>
        <w:tc>
          <w:tcPr>
            <w:tcW w:w="1622" w:type="dxa"/>
            <w:tcBorders>
              <w:top w:val="single" w:sz="4" w:space="0" w:color="FFFFFF"/>
              <w:left w:val="single" w:sz="4" w:space="0" w:color="FFFFFF"/>
              <w:bottom w:val="single" w:sz="4" w:space="0" w:color="FFFFFF"/>
              <w:right w:val="single" w:sz="4" w:space="0" w:color="FFFFFF"/>
            </w:tcBorders>
            <w:shd w:val="clear" w:color="auto" w:fill="DBE5F1"/>
          </w:tcPr>
          <w:p w14:paraId="4EFD61DA"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DBE5F1"/>
            <w:vAlign w:val="center"/>
          </w:tcPr>
          <w:p w14:paraId="699FC853"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31D51A14"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c>
          <w:tcPr>
            <w:tcW w:w="2880" w:type="dxa"/>
            <w:tcBorders>
              <w:top w:val="single" w:sz="4" w:space="0" w:color="FFFFFF"/>
              <w:left w:val="single" w:sz="4" w:space="0" w:color="FFFFFF"/>
              <w:bottom w:val="single" w:sz="4" w:space="0" w:color="FFFFFF"/>
              <w:right w:val="single" w:sz="4" w:space="0" w:color="FFFFFF"/>
            </w:tcBorders>
            <w:shd w:val="clear" w:color="auto" w:fill="DBE5F1"/>
          </w:tcPr>
          <w:p w14:paraId="575649C1"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31E7F81C" w14:textId="77777777" w:rsidTr="0039454C">
        <w:trPr>
          <w:trHeight w:val="141"/>
        </w:trPr>
        <w:tc>
          <w:tcPr>
            <w:tcW w:w="1075" w:type="dxa"/>
            <w:tcBorders>
              <w:top w:val="single" w:sz="4" w:space="0" w:color="FFFFFF"/>
              <w:left w:val="single" w:sz="4" w:space="0" w:color="FFFFFF"/>
              <w:bottom w:val="single" w:sz="4" w:space="0" w:color="FFFFFF"/>
            </w:tcBorders>
            <w:shd w:val="clear" w:color="auto" w:fill="FFFFFF"/>
            <w:vAlign w:val="center"/>
          </w:tcPr>
          <w:p w14:paraId="6D3A020A" w14:textId="77777777" w:rsidR="00600DEE" w:rsidRDefault="00600DEE">
            <w:pPr>
              <w:jc w:val="center"/>
              <w:rPr>
                <w:rFonts w:ascii="Calibri" w:eastAsia="Calibri" w:hAnsi="Calibri" w:cs="Calibri"/>
                <w:b/>
                <w:color w:val="4F81BD"/>
                <w:sz w:val="18"/>
                <w:szCs w:val="18"/>
              </w:rPr>
            </w:pPr>
          </w:p>
        </w:tc>
        <w:tc>
          <w:tcPr>
            <w:tcW w:w="1620" w:type="dxa"/>
            <w:tcBorders>
              <w:top w:val="single" w:sz="4" w:space="0" w:color="FFFFFF"/>
              <w:left w:val="single" w:sz="4" w:space="0" w:color="FFFFFF"/>
              <w:bottom w:val="single" w:sz="4" w:space="0" w:color="FFFFFF"/>
            </w:tcBorders>
            <w:shd w:val="clear" w:color="auto" w:fill="FFFFFF"/>
            <w:vAlign w:val="center"/>
          </w:tcPr>
          <w:p w14:paraId="656D277A"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FFFFFF"/>
            <w:vAlign w:val="center"/>
          </w:tcPr>
          <w:p w14:paraId="27905840" w14:textId="77777777" w:rsidR="00600DEE" w:rsidRDefault="00600DEE">
            <w:pPr>
              <w:jc w:val="center"/>
              <w:rPr>
                <w:rFonts w:ascii="Calibri" w:eastAsia="Calibri" w:hAnsi="Calibri" w:cs="Calibri"/>
                <w:b/>
                <w:color w:val="4F81BD"/>
                <w:sz w:val="18"/>
                <w:szCs w:val="18"/>
              </w:rPr>
            </w:pPr>
          </w:p>
        </w:tc>
        <w:tc>
          <w:tcPr>
            <w:tcW w:w="1798" w:type="dxa"/>
            <w:tcBorders>
              <w:top w:val="single" w:sz="4" w:space="0" w:color="FFFFFF"/>
              <w:left w:val="single" w:sz="4" w:space="0" w:color="FFFFFF"/>
              <w:bottom w:val="single" w:sz="4" w:space="0" w:color="FFFFFF"/>
            </w:tcBorders>
            <w:shd w:val="clear" w:color="auto" w:fill="FFFFFF"/>
            <w:vAlign w:val="center"/>
          </w:tcPr>
          <w:p w14:paraId="67965C6D" w14:textId="77777777" w:rsidR="00600DEE" w:rsidRDefault="00600DEE">
            <w:pPr>
              <w:jc w:val="center"/>
              <w:rPr>
                <w:rFonts w:ascii="Calibri" w:eastAsia="Calibri" w:hAnsi="Calibri" w:cs="Calibri"/>
                <w:b/>
                <w:color w:val="4F81BD"/>
                <w:sz w:val="18"/>
                <w:szCs w:val="18"/>
              </w:rPr>
            </w:pPr>
          </w:p>
        </w:tc>
        <w:tc>
          <w:tcPr>
            <w:tcW w:w="1622" w:type="dxa"/>
            <w:tcBorders>
              <w:top w:val="single" w:sz="4" w:space="0" w:color="FFFFFF"/>
              <w:left w:val="single" w:sz="4" w:space="0" w:color="FFFFFF"/>
              <w:bottom w:val="single" w:sz="4" w:space="0" w:color="FFFFFF"/>
              <w:right w:val="single" w:sz="4" w:space="0" w:color="FFFFFF"/>
            </w:tcBorders>
            <w:shd w:val="clear" w:color="auto" w:fill="FFFFFF"/>
          </w:tcPr>
          <w:p w14:paraId="0E649EE3"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FFFFFF"/>
            <w:vAlign w:val="center"/>
          </w:tcPr>
          <w:p w14:paraId="45302369"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2CB4EC8" w14:textId="77777777" w:rsidR="00600DEE" w:rsidRDefault="00641FB5">
            <w:pPr>
              <w:pBdr>
                <w:top w:val="nil"/>
                <w:left w:val="nil"/>
                <w:bottom w:val="nil"/>
                <w:right w:val="nil"/>
                <w:between w:val="nil"/>
              </w:pBdr>
              <w:jc w:val="center"/>
              <w:rPr>
                <w:rFonts w:ascii="Calibri" w:eastAsia="Calibri" w:hAnsi="Calibri" w:cs="Calibri"/>
                <w:b/>
                <w:color w:val="4F81BD"/>
                <w:sz w:val="18"/>
                <w:szCs w:val="18"/>
              </w:rPr>
            </w:pPr>
            <w:r>
              <w:rPr>
                <w:rFonts w:ascii="Calibri" w:eastAsia="Calibri" w:hAnsi="Calibri" w:cs="Calibri"/>
                <w:b/>
                <w:color w:val="4F81BD"/>
                <w:sz w:val="18"/>
                <w:szCs w:val="18"/>
              </w:rPr>
              <w:t>ENPV</w:t>
            </w:r>
          </w:p>
        </w:tc>
        <w:tc>
          <w:tcPr>
            <w:tcW w:w="2880" w:type="dxa"/>
            <w:tcBorders>
              <w:top w:val="single" w:sz="4" w:space="0" w:color="FFFFFF"/>
              <w:left w:val="single" w:sz="4" w:space="0" w:color="FFFFFF"/>
              <w:bottom w:val="single" w:sz="4" w:space="0" w:color="FFFFFF"/>
              <w:right w:val="single" w:sz="4" w:space="0" w:color="FFFFFF"/>
            </w:tcBorders>
            <w:shd w:val="clear" w:color="auto" w:fill="DBE5F1"/>
          </w:tcPr>
          <w:p w14:paraId="2C9A2E1E"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r w:rsidR="00600DEE" w14:paraId="5D8E0D33" w14:textId="77777777" w:rsidTr="0039454C">
        <w:trPr>
          <w:trHeight w:val="109"/>
        </w:trPr>
        <w:tc>
          <w:tcPr>
            <w:tcW w:w="1075" w:type="dxa"/>
            <w:tcBorders>
              <w:top w:val="single" w:sz="4" w:space="0" w:color="FFFFFF"/>
              <w:left w:val="single" w:sz="4" w:space="0" w:color="FFFFFF"/>
              <w:bottom w:val="single" w:sz="4" w:space="0" w:color="FFFFFF"/>
            </w:tcBorders>
            <w:shd w:val="clear" w:color="auto" w:fill="FFFFFF"/>
            <w:vAlign w:val="center"/>
          </w:tcPr>
          <w:p w14:paraId="2B262164" w14:textId="77777777" w:rsidR="00600DEE" w:rsidRDefault="00600DEE">
            <w:pPr>
              <w:jc w:val="center"/>
              <w:rPr>
                <w:rFonts w:ascii="Calibri" w:eastAsia="Calibri" w:hAnsi="Calibri" w:cs="Calibri"/>
                <w:b/>
                <w:color w:val="4F81BD"/>
                <w:sz w:val="18"/>
                <w:szCs w:val="18"/>
              </w:rPr>
            </w:pPr>
          </w:p>
        </w:tc>
        <w:tc>
          <w:tcPr>
            <w:tcW w:w="1620" w:type="dxa"/>
            <w:tcBorders>
              <w:top w:val="single" w:sz="4" w:space="0" w:color="FFFFFF"/>
              <w:left w:val="single" w:sz="4" w:space="0" w:color="FFFFFF"/>
              <w:bottom w:val="single" w:sz="4" w:space="0" w:color="FFFFFF"/>
            </w:tcBorders>
            <w:shd w:val="clear" w:color="auto" w:fill="FFFFFF"/>
            <w:vAlign w:val="center"/>
          </w:tcPr>
          <w:p w14:paraId="70DBBD49"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FFFFFF"/>
            <w:vAlign w:val="center"/>
          </w:tcPr>
          <w:p w14:paraId="38F9900F" w14:textId="77777777" w:rsidR="00600DEE" w:rsidRDefault="00600DEE">
            <w:pPr>
              <w:jc w:val="center"/>
              <w:rPr>
                <w:rFonts w:ascii="Calibri" w:eastAsia="Calibri" w:hAnsi="Calibri" w:cs="Calibri"/>
                <w:b/>
                <w:color w:val="4F81BD"/>
                <w:sz w:val="18"/>
                <w:szCs w:val="18"/>
              </w:rPr>
            </w:pPr>
          </w:p>
        </w:tc>
        <w:tc>
          <w:tcPr>
            <w:tcW w:w="1798" w:type="dxa"/>
            <w:tcBorders>
              <w:top w:val="single" w:sz="4" w:space="0" w:color="FFFFFF"/>
              <w:left w:val="single" w:sz="4" w:space="0" w:color="FFFFFF"/>
              <w:bottom w:val="single" w:sz="4" w:space="0" w:color="FFFFFF"/>
            </w:tcBorders>
            <w:shd w:val="clear" w:color="auto" w:fill="FFFFFF"/>
            <w:vAlign w:val="center"/>
          </w:tcPr>
          <w:p w14:paraId="591850B6" w14:textId="77777777" w:rsidR="00600DEE" w:rsidRDefault="00600DEE">
            <w:pPr>
              <w:jc w:val="center"/>
              <w:rPr>
                <w:rFonts w:ascii="Calibri" w:eastAsia="Calibri" w:hAnsi="Calibri" w:cs="Calibri"/>
                <w:b/>
                <w:color w:val="4F81BD"/>
                <w:sz w:val="18"/>
                <w:szCs w:val="18"/>
              </w:rPr>
            </w:pPr>
          </w:p>
        </w:tc>
        <w:tc>
          <w:tcPr>
            <w:tcW w:w="1622" w:type="dxa"/>
            <w:tcBorders>
              <w:top w:val="single" w:sz="4" w:space="0" w:color="FFFFFF"/>
              <w:left w:val="single" w:sz="4" w:space="0" w:color="FFFFFF"/>
              <w:bottom w:val="single" w:sz="4" w:space="0" w:color="FFFFFF"/>
              <w:right w:val="single" w:sz="4" w:space="0" w:color="FFFFFF"/>
            </w:tcBorders>
            <w:shd w:val="clear" w:color="auto" w:fill="FFFFFF"/>
          </w:tcPr>
          <w:p w14:paraId="14DD37FA"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tcBorders>
            <w:shd w:val="clear" w:color="auto" w:fill="FFFFFF"/>
            <w:vAlign w:val="center"/>
          </w:tcPr>
          <w:p w14:paraId="05B92DD7" w14:textId="77777777" w:rsidR="00600DEE" w:rsidRDefault="00600DEE">
            <w:pPr>
              <w:jc w:val="center"/>
              <w:rPr>
                <w:rFonts w:ascii="Calibri" w:eastAsia="Calibri" w:hAnsi="Calibri" w:cs="Calibri"/>
                <w:b/>
                <w:color w:val="4F81BD"/>
                <w:sz w:val="18"/>
                <w:szCs w:val="18"/>
              </w:rPr>
            </w:pPr>
          </w:p>
        </w:tc>
        <w:tc>
          <w:tcPr>
            <w:tcW w:w="18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C20578A" w14:textId="77777777" w:rsidR="00600DEE" w:rsidRDefault="00641FB5">
            <w:pPr>
              <w:pBdr>
                <w:top w:val="nil"/>
                <w:left w:val="nil"/>
                <w:bottom w:val="nil"/>
                <w:right w:val="nil"/>
                <w:between w:val="nil"/>
              </w:pBdr>
              <w:jc w:val="center"/>
              <w:rPr>
                <w:rFonts w:ascii="Calibri" w:eastAsia="Calibri" w:hAnsi="Calibri" w:cs="Calibri"/>
                <w:b/>
                <w:color w:val="4F81BD"/>
                <w:sz w:val="18"/>
                <w:szCs w:val="18"/>
              </w:rPr>
            </w:pPr>
            <w:r>
              <w:rPr>
                <w:rFonts w:ascii="Calibri" w:eastAsia="Calibri" w:hAnsi="Calibri" w:cs="Calibri"/>
                <w:b/>
                <w:color w:val="4F81BD"/>
                <w:sz w:val="18"/>
                <w:szCs w:val="18"/>
              </w:rPr>
              <w:t>ERR</w:t>
            </w:r>
          </w:p>
        </w:tc>
        <w:tc>
          <w:tcPr>
            <w:tcW w:w="2880" w:type="dxa"/>
            <w:tcBorders>
              <w:top w:val="single" w:sz="4" w:space="0" w:color="FFFFFF"/>
              <w:left w:val="single" w:sz="4" w:space="0" w:color="FFFFFF"/>
              <w:bottom w:val="single" w:sz="4" w:space="0" w:color="FFFFFF"/>
              <w:right w:val="single" w:sz="4" w:space="0" w:color="FFFFFF"/>
            </w:tcBorders>
            <w:shd w:val="clear" w:color="auto" w:fill="DBE5F1"/>
          </w:tcPr>
          <w:p w14:paraId="6FCB1914" w14:textId="77777777" w:rsidR="00600DEE" w:rsidRDefault="00600DEE">
            <w:pPr>
              <w:pBdr>
                <w:top w:val="nil"/>
                <w:left w:val="nil"/>
                <w:bottom w:val="nil"/>
                <w:right w:val="nil"/>
                <w:between w:val="nil"/>
              </w:pBdr>
              <w:jc w:val="center"/>
              <w:rPr>
                <w:rFonts w:ascii="Calibri" w:eastAsia="Calibri" w:hAnsi="Calibri" w:cs="Calibri"/>
                <w:b/>
                <w:color w:val="4F81BD"/>
                <w:sz w:val="18"/>
                <w:szCs w:val="18"/>
              </w:rPr>
            </w:pPr>
          </w:p>
        </w:tc>
      </w:tr>
    </w:tbl>
    <w:p w14:paraId="2D9D3DF6" w14:textId="7CBB0333" w:rsidR="00600DEE" w:rsidRPr="0045151D" w:rsidRDefault="00641FB5">
      <w:pPr>
        <w:pBdr>
          <w:top w:val="nil"/>
          <w:left w:val="nil"/>
          <w:bottom w:val="nil"/>
          <w:right w:val="nil"/>
          <w:between w:val="nil"/>
        </w:pBdr>
        <w:spacing w:after="120"/>
        <w:jc w:val="both"/>
        <w:rPr>
          <w:rFonts w:ascii="Calibri" w:eastAsia="Calibri" w:hAnsi="Calibri" w:cs="Calibri"/>
          <w:i/>
          <w:color w:val="000000"/>
          <w:sz w:val="20"/>
          <w:szCs w:val="20"/>
          <w:lang w:val="en-GB"/>
        </w:rPr>
      </w:pPr>
      <w:r w:rsidRPr="0045151D">
        <w:rPr>
          <w:rFonts w:ascii="Calibri" w:eastAsia="Calibri" w:hAnsi="Calibri" w:cs="Calibri"/>
          <w:i/>
          <w:color w:val="000000"/>
          <w:sz w:val="20"/>
          <w:szCs w:val="20"/>
          <w:lang w:val="en-GB"/>
        </w:rPr>
        <w:t>In columns 2 and 3 values are quoted with sign (-) (assuming that incremental value—from W0 to Wn—of O&amp;M expenditures represents a cost; in the case that there are O&amp;M costs savings, this would be (+)), adjusted as described earlier and presented in Table 2</w:t>
      </w:r>
      <w:r w:rsidR="007463B9">
        <w:rPr>
          <w:rFonts w:ascii="Calibri" w:eastAsia="Calibri" w:hAnsi="Calibri" w:cs="Calibri"/>
          <w:i/>
          <w:color w:val="000000"/>
          <w:sz w:val="20"/>
          <w:szCs w:val="20"/>
          <w:lang w:val="en-GB"/>
        </w:rPr>
        <w:t>4</w:t>
      </w:r>
      <w:r w:rsidRPr="0045151D">
        <w:rPr>
          <w:rFonts w:ascii="Calibri" w:eastAsia="Calibri" w:hAnsi="Calibri" w:cs="Calibri"/>
          <w:i/>
          <w:color w:val="000000"/>
          <w:sz w:val="20"/>
          <w:szCs w:val="20"/>
          <w:lang w:val="en-GB"/>
        </w:rPr>
        <w:t>b.</w:t>
      </w:r>
    </w:p>
    <w:p w14:paraId="045ED772" w14:textId="2329FE19" w:rsidR="00600DEE" w:rsidRPr="0045151D" w:rsidRDefault="00641FB5">
      <w:pPr>
        <w:pBdr>
          <w:top w:val="nil"/>
          <w:left w:val="nil"/>
          <w:bottom w:val="nil"/>
          <w:right w:val="nil"/>
          <w:between w:val="nil"/>
        </w:pBdr>
        <w:spacing w:after="120"/>
        <w:jc w:val="both"/>
        <w:rPr>
          <w:rFonts w:ascii="Calibri" w:eastAsia="Calibri" w:hAnsi="Calibri" w:cs="Calibri"/>
          <w:i/>
          <w:color w:val="000000"/>
          <w:sz w:val="20"/>
          <w:szCs w:val="20"/>
          <w:lang w:val="en-GB"/>
        </w:rPr>
      </w:pPr>
      <w:r w:rsidRPr="0045151D">
        <w:rPr>
          <w:rFonts w:ascii="Calibri" w:eastAsia="Calibri" w:hAnsi="Calibri" w:cs="Calibri"/>
          <w:i/>
          <w:color w:val="000000"/>
          <w:sz w:val="20"/>
          <w:szCs w:val="20"/>
          <w:lang w:val="en-GB"/>
        </w:rPr>
        <w:t>In column 4, project economic benefits are the yearly total amounts calculated in table 2</w:t>
      </w:r>
      <w:r w:rsidR="007463B9">
        <w:rPr>
          <w:rFonts w:ascii="Calibri" w:eastAsia="Calibri" w:hAnsi="Calibri" w:cs="Calibri"/>
          <w:i/>
          <w:color w:val="000000"/>
          <w:sz w:val="20"/>
          <w:szCs w:val="20"/>
          <w:lang w:val="en-GB"/>
        </w:rPr>
        <w:t>4</w:t>
      </w:r>
      <w:r w:rsidRPr="0045151D">
        <w:rPr>
          <w:rFonts w:ascii="Calibri" w:eastAsia="Calibri" w:hAnsi="Calibri" w:cs="Calibri"/>
          <w:i/>
          <w:color w:val="000000"/>
          <w:sz w:val="20"/>
          <w:szCs w:val="20"/>
          <w:lang w:val="en-GB"/>
        </w:rPr>
        <w:t>a.</w:t>
      </w:r>
    </w:p>
    <w:p w14:paraId="457BD20F" w14:textId="02FFF44B" w:rsidR="00600DEE" w:rsidRDefault="00641FB5">
      <w:pPr>
        <w:pBdr>
          <w:top w:val="nil"/>
          <w:left w:val="nil"/>
          <w:bottom w:val="nil"/>
          <w:right w:val="nil"/>
          <w:between w:val="nil"/>
        </w:pBdr>
        <w:spacing w:before="120"/>
        <w:jc w:val="both"/>
        <w:rPr>
          <w:rFonts w:ascii="Calibri" w:eastAsia="Calibri" w:hAnsi="Calibri" w:cs="Calibri"/>
          <w:b/>
          <w:i/>
          <w:color w:val="000000"/>
          <w:sz w:val="16"/>
          <w:szCs w:val="16"/>
        </w:rPr>
      </w:pPr>
      <w:r>
        <w:rPr>
          <w:rFonts w:ascii="Calibri" w:eastAsia="Calibri" w:hAnsi="Calibri" w:cs="Calibri"/>
          <w:b/>
          <w:i/>
          <w:color w:val="000000"/>
          <w:sz w:val="16"/>
          <w:szCs w:val="16"/>
        </w:rPr>
        <w:t>Source: proprietary work.</w:t>
      </w:r>
    </w:p>
    <w:p w14:paraId="304B8D4E" w14:textId="5D78BBAF" w:rsidR="00FD10CF" w:rsidRDefault="00FD10CF">
      <w:pPr>
        <w:pBdr>
          <w:top w:val="nil"/>
          <w:left w:val="nil"/>
          <w:bottom w:val="nil"/>
          <w:right w:val="nil"/>
          <w:between w:val="nil"/>
        </w:pBdr>
        <w:spacing w:before="120"/>
        <w:jc w:val="both"/>
        <w:rPr>
          <w:rFonts w:ascii="Calibri" w:eastAsia="Calibri" w:hAnsi="Calibri" w:cs="Calibri"/>
          <w:b/>
          <w:i/>
          <w:color w:val="000000"/>
          <w:sz w:val="16"/>
          <w:szCs w:val="16"/>
        </w:rPr>
      </w:pPr>
    </w:p>
    <w:p w14:paraId="7BC50AF4" w14:textId="77777777" w:rsidR="00FD10CF" w:rsidRDefault="00FD10CF">
      <w:pPr>
        <w:pBdr>
          <w:top w:val="nil"/>
          <w:left w:val="nil"/>
          <w:bottom w:val="nil"/>
          <w:right w:val="nil"/>
          <w:between w:val="nil"/>
        </w:pBdr>
        <w:spacing w:before="120"/>
        <w:jc w:val="both"/>
        <w:rPr>
          <w:rFonts w:ascii="Calibri" w:eastAsia="Calibri" w:hAnsi="Calibri" w:cs="Calibri"/>
          <w:color w:val="000000"/>
          <w:sz w:val="20"/>
          <w:szCs w:val="20"/>
        </w:rPr>
      </w:pPr>
    </w:p>
    <w:tbl>
      <w:tblPr>
        <w:tblStyle w:val="affffff5"/>
        <w:tblW w:w="14571" w:type="dxa"/>
        <w:tblLayout w:type="fixed"/>
        <w:tblLook w:val="0400" w:firstRow="0" w:lastRow="0" w:firstColumn="0" w:lastColumn="0" w:noHBand="0" w:noVBand="1"/>
      </w:tblPr>
      <w:tblGrid>
        <w:gridCol w:w="7370"/>
        <w:gridCol w:w="7201"/>
      </w:tblGrid>
      <w:tr w:rsidR="00600DEE" w:rsidRPr="007463B9" w14:paraId="264F2B6D" w14:textId="77777777">
        <w:tc>
          <w:tcPr>
            <w:tcW w:w="7370" w:type="dxa"/>
            <w:tcBorders>
              <w:right w:val="single" w:sz="4" w:space="0" w:color="000000"/>
            </w:tcBorders>
            <w:tcMar>
              <w:left w:w="284" w:type="dxa"/>
              <w:right w:w="284" w:type="dxa"/>
            </w:tcMar>
          </w:tcPr>
          <w:p w14:paraId="3A365248" w14:textId="3E398E04"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Na zakończenie analizy społeczno-ekonomicznej zaleca się sporządzenie krótkiego podsumowania, które m.in. odnosiłoby się do zakładanych celów projektu określonych wcześniej (np. cel związany z zamiarem zredukowania czasu podróży powinien zostać potwierdzony w ramach AKK). Po obliczeniu trzech podstawowych wskaźników efektywności ekonomicznej należy dołączyć komentarz w formie interpretacji wyników.</w:t>
            </w:r>
          </w:p>
          <w:p w14:paraId="50FF5CE9" w14:textId="148D5BC0"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Korzyści ekonomiczne generowane przez projekt (oszczędności kosztów eksploatacji pojazdów, kosztów czasu, wypadków i środowiska – tych wykazujących korzyść) należy wyr</w:t>
            </w:r>
            <w:r w:rsidR="007463B9">
              <w:rPr>
                <w:rFonts w:ascii="Calibri" w:eastAsia="Calibri" w:hAnsi="Calibri" w:cs="Calibri"/>
                <w:color w:val="000000"/>
                <w:sz w:val="20"/>
                <w:szCs w:val="20"/>
              </w:rPr>
              <w:t>azić procentowo (patrz tabela 24</w:t>
            </w:r>
            <w:r>
              <w:rPr>
                <w:rFonts w:ascii="Calibri" w:eastAsia="Calibri" w:hAnsi="Calibri" w:cs="Calibri"/>
                <w:color w:val="000000"/>
                <w:sz w:val="20"/>
                <w:szCs w:val="20"/>
              </w:rPr>
              <w:t>b powyżej).  Składniki o największym udziale w korzyściach generowanych przez projekt należy odpowiednio w</w:t>
            </w:r>
            <w:r w:rsidR="007463B9">
              <w:rPr>
                <w:rFonts w:ascii="Calibri" w:eastAsia="Calibri" w:hAnsi="Calibri" w:cs="Calibri"/>
                <w:color w:val="000000"/>
                <w:sz w:val="20"/>
                <w:szCs w:val="20"/>
              </w:rPr>
              <w:t>yeksponować (zgodnie z tabelą 24</w:t>
            </w:r>
            <w:r>
              <w:rPr>
                <w:rFonts w:ascii="Calibri" w:eastAsia="Calibri" w:hAnsi="Calibri" w:cs="Calibri"/>
                <w:color w:val="000000"/>
                <w:sz w:val="20"/>
                <w:szCs w:val="20"/>
              </w:rPr>
              <w:t>b).</w:t>
            </w:r>
          </w:p>
        </w:tc>
        <w:tc>
          <w:tcPr>
            <w:tcW w:w="7201" w:type="dxa"/>
            <w:tcBorders>
              <w:left w:val="single" w:sz="4" w:space="0" w:color="000000"/>
            </w:tcBorders>
            <w:tcMar>
              <w:left w:w="284" w:type="dxa"/>
              <w:right w:w="284" w:type="dxa"/>
            </w:tcMar>
          </w:tcPr>
          <w:p w14:paraId="6F9C3ECB" w14:textId="495CD2C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At the end of the socio-economic analysis, it is recommended to present a short summary providing a link to project objectives defined at the beginning (e.g. if the objective is a reduction of travel time, then this should be confirmed within the CBA). Apart from the calculation of three basic economic performance indicators, it is recommended that they are accompanied by comments, in the form of results interpretation.</w:t>
            </w:r>
          </w:p>
          <w:p w14:paraId="5821DE04" w14:textId="0A0A22BF"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economic benefits generated by the project (vehicle operating costs savings, time savings, road accidents savings and all related environment costs savings – those constituting a benefit) should be presen</w:t>
            </w:r>
            <w:r w:rsidR="007463B9">
              <w:rPr>
                <w:rFonts w:ascii="Calibri" w:eastAsia="Calibri" w:hAnsi="Calibri" w:cs="Calibri"/>
                <w:color w:val="000000"/>
                <w:sz w:val="20"/>
                <w:szCs w:val="20"/>
                <w:lang w:val="en-GB"/>
              </w:rPr>
              <w:t>ted in percentages (see table 24</w:t>
            </w:r>
            <w:r w:rsidRPr="0045151D">
              <w:rPr>
                <w:rFonts w:ascii="Calibri" w:eastAsia="Calibri" w:hAnsi="Calibri" w:cs="Calibri"/>
                <w:color w:val="000000"/>
                <w:sz w:val="20"/>
                <w:szCs w:val="20"/>
                <w:lang w:val="en-GB"/>
              </w:rPr>
              <w:t>b above). Project economic benefits components generating the greatest share should be d</w:t>
            </w:r>
            <w:r w:rsidR="007463B9">
              <w:rPr>
                <w:rFonts w:ascii="Calibri" w:eastAsia="Calibri" w:hAnsi="Calibri" w:cs="Calibri"/>
                <w:color w:val="000000"/>
                <w:sz w:val="20"/>
                <w:szCs w:val="20"/>
                <w:lang w:val="en-GB"/>
              </w:rPr>
              <w:t>uly highlighted (as per table 24</w:t>
            </w:r>
            <w:r w:rsidRPr="0045151D">
              <w:rPr>
                <w:rFonts w:ascii="Calibri" w:eastAsia="Calibri" w:hAnsi="Calibri" w:cs="Calibri"/>
                <w:color w:val="000000"/>
                <w:sz w:val="20"/>
                <w:szCs w:val="20"/>
                <w:lang w:val="en-GB"/>
              </w:rPr>
              <w:t>b above).</w:t>
            </w:r>
          </w:p>
        </w:tc>
      </w:tr>
    </w:tbl>
    <w:p w14:paraId="4641C49F" w14:textId="42F18B4F" w:rsidR="00600DEE" w:rsidRPr="00E301CF" w:rsidRDefault="00641FB5" w:rsidP="00D5736B">
      <w:pPr>
        <w:pStyle w:val="Nagwek1"/>
        <w:numPr>
          <w:ilvl w:val="0"/>
          <w:numId w:val="17"/>
        </w:numPr>
        <w:ind w:left="709" w:hanging="709"/>
        <w:rPr>
          <w:rFonts w:ascii="Calibri" w:eastAsia="Calibri" w:hAnsi="Calibri" w:cs="Calibri"/>
          <w:color w:val="0070C0"/>
          <w:lang w:val="es-ES"/>
        </w:rPr>
      </w:pPr>
      <w:bookmarkStart w:id="97" w:name="_Toc95378001"/>
      <w:r w:rsidRPr="00E301CF">
        <w:rPr>
          <w:rFonts w:ascii="Calibri" w:eastAsia="Calibri" w:hAnsi="Calibri" w:cs="Calibri"/>
          <w:color w:val="0070C0"/>
          <w:lang w:val="es-ES"/>
        </w:rPr>
        <w:t>Faza III: Analiza Finansowa</w:t>
      </w:r>
      <w:r w:rsidRPr="00E301CF">
        <w:rPr>
          <w:rFonts w:ascii="Calibri" w:eastAsia="Calibri" w:hAnsi="Calibri" w:cs="Calibri"/>
          <w:color w:val="0070C0"/>
          <w:lang w:val="es-ES"/>
        </w:rPr>
        <w:br/>
      </w:r>
      <w:r w:rsidRPr="00E301CF">
        <w:rPr>
          <w:rFonts w:ascii="Calibri" w:eastAsia="Calibri" w:hAnsi="Calibri" w:cs="Calibri"/>
          <w:i/>
          <w:color w:val="0070C0"/>
          <w:lang w:val="es-ES"/>
        </w:rPr>
        <w:t>Phase III: Financial Analysis</w:t>
      </w:r>
      <w:bookmarkEnd w:id="97"/>
      <w:r w:rsidRPr="00E301CF">
        <w:rPr>
          <w:rFonts w:ascii="Calibri" w:eastAsia="Calibri" w:hAnsi="Calibri" w:cs="Calibri"/>
          <w:color w:val="0070C0"/>
          <w:lang w:val="es-ES"/>
        </w:rPr>
        <w:t xml:space="preserve"> </w:t>
      </w:r>
    </w:p>
    <w:tbl>
      <w:tblPr>
        <w:tblStyle w:val="affffff6"/>
        <w:tblW w:w="14571" w:type="dxa"/>
        <w:tblLayout w:type="fixed"/>
        <w:tblLook w:val="0400" w:firstRow="0" w:lastRow="0" w:firstColumn="0" w:lastColumn="0" w:noHBand="0" w:noVBand="1"/>
      </w:tblPr>
      <w:tblGrid>
        <w:gridCol w:w="7370"/>
        <w:gridCol w:w="7201"/>
      </w:tblGrid>
      <w:tr w:rsidR="00600DEE" w:rsidRPr="007463B9" w14:paraId="05C6BA8A" w14:textId="77777777">
        <w:tc>
          <w:tcPr>
            <w:tcW w:w="7370" w:type="dxa"/>
            <w:tcBorders>
              <w:right w:val="single" w:sz="4" w:space="0" w:color="000000"/>
            </w:tcBorders>
            <w:tcMar>
              <w:left w:w="284" w:type="dxa"/>
              <w:right w:w="284" w:type="dxa"/>
            </w:tcMar>
          </w:tcPr>
          <w:p w14:paraId="6420E14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Celem analizy finansowej jest uzyskanie informacji, czy planowany projekt wymaga dofinansowania z funduszy UE, a jeśli tak to: (i) ustalenie zakresu dofinansowania i (ii) sprawdzenie, czy planowany wariant inwestycyjny w fazie budowy i eksploatacji jest trwały finansowo i/lub czy zadeklarowane zobowiązania są wystarczające do zapewnienia jego trwałości.</w:t>
            </w:r>
          </w:p>
          <w:p w14:paraId="5C70232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praktyce oznacza to, że analiza finansowa powinna odpowiedzieć na następujące pytania:</w:t>
            </w:r>
          </w:p>
          <w:p w14:paraId="5500B939"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 jaki sposób projekt będzie finansowany?</w:t>
            </w:r>
          </w:p>
          <w:p w14:paraId="17CEB2CD"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Jaka jest rentowność finansowa projektu?</w:t>
            </w:r>
          </w:p>
          <w:p w14:paraId="6FAE15F2"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Jaki będzie wkład UE?</w:t>
            </w:r>
          </w:p>
          <w:p w14:paraId="048CDCF4"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Czy projekt będzie trwały finansowo?</w:t>
            </w:r>
          </w:p>
          <w:p w14:paraId="2B052FD1"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Biorąc pod uwagę powyższe, zaleca się następującą strukturę analizy finansowej:</w:t>
            </w:r>
          </w:p>
          <w:p w14:paraId="01084117"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przyjęcie założeń do analizy,</w:t>
            </w:r>
          </w:p>
          <w:p w14:paraId="34B5D2DE"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ustalenie wszystkich przepływów pieniężnych dla każdego roku analizy (kalkulacja wpływów i wydatków dla projektu),</w:t>
            </w:r>
          </w:p>
          <w:p w14:paraId="3E675B60"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określenie wysokości wkładu finansowego z funduszy UE, </w:t>
            </w:r>
          </w:p>
          <w:p w14:paraId="1E295738"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obliczenie wskaźników finansowych (wartość bieżąca netto (FNPV), rentowność (FRR)),</w:t>
            </w:r>
          </w:p>
          <w:p w14:paraId="3303B957"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weryfikacja trwałości finansowej projektu i stabilności finansowej Beneficjenta.</w:t>
            </w:r>
          </w:p>
          <w:p w14:paraId="30EA08B6" w14:textId="77777777" w:rsidR="00600DEE" w:rsidRDefault="00600DEE">
            <w:pPr>
              <w:pBdr>
                <w:top w:val="nil"/>
                <w:left w:val="nil"/>
                <w:bottom w:val="nil"/>
                <w:right w:val="nil"/>
                <w:between w:val="nil"/>
              </w:pBdr>
              <w:spacing w:before="120"/>
              <w:jc w:val="both"/>
              <w:rPr>
                <w:rFonts w:ascii="Calibri" w:eastAsia="Calibri" w:hAnsi="Calibri" w:cs="Calibri"/>
                <w:b/>
                <w:color w:val="323299"/>
                <w:sz w:val="20"/>
                <w:szCs w:val="20"/>
              </w:rPr>
            </w:pPr>
          </w:p>
        </w:tc>
        <w:tc>
          <w:tcPr>
            <w:tcW w:w="7201" w:type="dxa"/>
            <w:tcBorders>
              <w:left w:val="single" w:sz="4" w:space="0" w:color="000000"/>
            </w:tcBorders>
            <w:tcMar>
              <w:left w:w="284" w:type="dxa"/>
              <w:right w:w="284" w:type="dxa"/>
            </w:tcMar>
          </w:tcPr>
          <w:p w14:paraId="1D5CFA3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aim of financial analysis is to check whether the proposed project needs co-financing from EU funds; and if so, (i) to determine the co-financing contribution and (ii) to check whether the proposed project investment option is financially sustainable during construction and operation phases and/or whether there are adequate commitments to ensure its sustainability. </w:t>
            </w:r>
          </w:p>
          <w:p w14:paraId="12F90B5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practice, it means that the financial analysis should answer the following questions:</w:t>
            </w:r>
          </w:p>
          <w:p w14:paraId="7734FB3E" w14:textId="77777777" w:rsidR="00600DEE" w:rsidRPr="0045151D" w:rsidRDefault="00641FB5">
            <w:pPr>
              <w:numPr>
                <w:ilvl w:val="0"/>
                <w:numId w:val="7"/>
              </w:numPr>
              <w:pBdr>
                <w:top w:val="nil"/>
                <w:left w:val="nil"/>
                <w:bottom w:val="nil"/>
                <w:right w:val="nil"/>
                <w:between w:val="nil"/>
              </w:pBdr>
              <w:spacing w:before="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How will the project be financed?</w:t>
            </w:r>
          </w:p>
          <w:p w14:paraId="46977647" w14:textId="77777777" w:rsidR="00600DEE" w:rsidRPr="0045151D" w:rsidRDefault="00641FB5">
            <w:pPr>
              <w:numPr>
                <w:ilvl w:val="0"/>
                <w:numId w:val="7"/>
              </w:numPr>
              <w:pBdr>
                <w:top w:val="nil"/>
                <w:left w:val="nil"/>
                <w:bottom w:val="nil"/>
                <w:right w:val="nil"/>
                <w:between w:val="nil"/>
              </w:pBdr>
              <w:spacing w:before="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What is the project financial profitability?</w:t>
            </w:r>
          </w:p>
          <w:p w14:paraId="3BA16C44" w14:textId="77777777" w:rsidR="00600DEE" w:rsidRPr="0045151D" w:rsidRDefault="00641FB5">
            <w:pPr>
              <w:numPr>
                <w:ilvl w:val="0"/>
                <w:numId w:val="7"/>
              </w:numPr>
              <w:pBdr>
                <w:top w:val="nil"/>
                <w:left w:val="nil"/>
                <w:bottom w:val="nil"/>
                <w:right w:val="nil"/>
                <w:between w:val="nil"/>
              </w:pBdr>
              <w:spacing w:before="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What will be the EU contribution?</w:t>
            </w:r>
          </w:p>
          <w:p w14:paraId="3AC34AD0" w14:textId="77777777" w:rsidR="00600DEE" w:rsidRPr="0045151D" w:rsidRDefault="00641FB5">
            <w:pPr>
              <w:numPr>
                <w:ilvl w:val="0"/>
                <w:numId w:val="7"/>
              </w:numPr>
              <w:pBdr>
                <w:top w:val="nil"/>
                <w:left w:val="nil"/>
                <w:bottom w:val="nil"/>
                <w:right w:val="nil"/>
                <w:between w:val="nil"/>
              </w:pBdr>
              <w:spacing w:before="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Will the project be financially sustainable?</w:t>
            </w:r>
          </w:p>
          <w:p w14:paraId="7119ECC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Taking into consideration the above, the following sequence of financial analysis is recommended:</w:t>
            </w:r>
          </w:p>
          <w:p w14:paraId="0A9E22C8" w14:textId="77777777" w:rsidR="00600DEE" w:rsidRPr="0045151D" w:rsidRDefault="00641FB5">
            <w:pPr>
              <w:numPr>
                <w:ilvl w:val="0"/>
                <w:numId w:val="10"/>
              </w:numPr>
              <w:pBdr>
                <w:top w:val="nil"/>
                <w:left w:val="nil"/>
                <w:bottom w:val="nil"/>
                <w:right w:val="nil"/>
                <w:between w:val="nil"/>
              </w:pBdr>
              <w:spacing w:before="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setting assumptions for the analysis,</w:t>
            </w:r>
          </w:p>
          <w:p w14:paraId="6FA91005" w14:textId="77777777" w:rsidR="00600DEE" w:rsidRPr="0045151D" w:rsidRDefault="00641FB5">
            <w:pPr>
              <w:numPr>
                <w:ilvl w:val="0"/>
                <w:numId w:val="10"/>
              </w:numPr>
              <w:pBdr>
                <w:top w:val="nil"/>
                <w:left w:val="nil"/>
                <w:bottom w:val="nil"/>
                <w:right w:val="nil"/>
                <w:between w:val="nil"/>
              </w:pBdr>
              <w:spacing w:before="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determination of all cash flows for each year of analysis (calculation of project financial inflows and outflows),</w:t>
            </w:r>
          </w:p>
          <w:p w14:paraId="43D886F4" w14:textId="77777777" w:rsidR="00600DEE" w:rsidRPr="0045151D" w:rsidRDefault="00641FB5">
            <w:pPr>
              <w:numPr>
                <w:ilvl w:val="0"/>
                <w:numId w:val="10"/>
              </w:numPr>
              <w:pBdr>
                <w:top w:val="nil"/>
                <w:left w:val="nil"/>
                <w:bottom w:val="nil"/>
                <w:right w:val="nil"/>
                <w:between w:val="nil"/>
              </w:pBdr>
              <w:spacing w:before="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calculation of co-financing contribution from EU funds.</w:t>
            </w:r>
          </w:p>
          <w:p w14:paraId="64BE1149" w14:textId="77777777" w:rsidR="00600DEE" w:rsidRPr="0045151D" w:rsidRDefault="00641FB5">
            <w:pPr>
              <w:numPr>
                <w:ilvl w:val="0"/>
                <w:numId w:val="10"/>
              </w:numPr>
              <w:pBdr>
                <w:top w:val="nil"/>
                <w:left w:val="nil"/>
                <w:bottom w:val="nil"/>
                <w:right w:val="nil"/>
                <w:between w:val="nil"/>
              </w:pBdr>
              <w:spacing w:before="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calculation of financial indicators (net present value (FNPV), profitability (FRR)), </w:t>
            </w:r>
          </w:p>
          <w:p w14:paraId="6AAA04C5" w14:textId="77777777" w:rsidR="00600DEE" w:rsidRPr="0045151D" w:rsidRDefault="00641FB5">
            <w:pPr>
              <w:numPr>
                <w:ilvl w:val="0"/>
                <w:numId w:val="10"/>
              </w:numPr>
              <w:pBdr>
                <w:top w:val="nil"/>
                <w:left w:val="nil"/>
                <w:bottom w:val="nil"/>
                <w:right w:val="nil"/>
                <w:between w:val="nil"/>
              </w:pBdr>
              <w:spacing w:before="120"/>
              <w:ind w:left="885" w:hanging="885"/>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verification of the project financial sustainability and Beneficiary’s financial stability. </w:t>
            </w:r>
          </w:p>
          <w:p w14:paraId="1785DEF2"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33EF04B1"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7393DBDB" w14:textId="0537346E" w:rsidR="00600DEE" w:rsidRPr="0045151D" w:rsidRDefault="00641FB5" w:rsidP="00D5736B">
      <w:pPr>
        <w:pStyle w:val="Nagwek2"/>
        <w:numPr>
          <w:ilvl w:val="1"/>
          <w:numId w:val="17"/>
        </w:numPr>
        <w:ind w:left="0" w:firstLine="0"/>
        <w:rPr>
          <w:rFonts w:ascii="Calibri" w:eastAsia="Calibri" w:hAnsi="Calibri" w:cs="Calibri"/>
          <w:color w:val="4F81BD"/>
          <w:lang w:val="pl-PL"/>
        </w:rPr>
      </w:pPr>
      <w:bookmarkStart w:id="98" w:name="_Toc95378002"/>
      <w:r w:rsidRPr="0045151D">
        <w:rPr>
          <w:rFonts w:ascii="Calibri" w:eastAsia="Calibri" w:hAnsi="Calibri" w:cs="Calibri"/>
          <w:color w:val="4F81BD"/>
          <w:lang w:val="pl-PL"/>
        </w:rPr>
        <w:t>Projekt infrastruktury drogowej – droga niepłatna a analiza finansowa</w:t>
      </w:r>
      <w:r w:rsidRPr="0045151D">
        <w:rPr>
          <w:rFonts w:ascii="Calibri" w:eastAsia="Calibri" w:hAnsi="Calibri" w:cs="Calibri"/>
          <w:color w:val="4F81BD"/>
          <w:lang w:val="pl-PL"/>
        </w:rPr>
        <w:br/>
      </w:r>
      <w:r w:rsidRPr="0045151D">
        <w:rPr>
          <w:rFonts w:ascii="Calibri" w:eastAsia="Calibri" w:hAnsi="Calibri" w:cs="Calibri"/>
          <w:i/>
          <w:color w:val="4F81BD"/>
          <w:lang w:val="pl-PL"/>
        </w:rPr>
        <w:t>3.1    Road infrastructure project – non-toll roads and financial analysis</w:t>
      </w:r>
      <w:bookmarkEnd w:id="98"/>
    </w:p>
    <w:tbl>
      <w:tblPr>
        <w:tblStyle w:val="affffff7"/>
        <w:tblW w:w="14571" w:type="dxa"/>
        <w:tblLayout w:type="fixed"/>
        <w:tblLook w:val="0400" w:firstRow="0" w:lastRow="0" w:firstColumn="0" w:lastColumn="0" w:noHBand="0" w:noVBand="1"/>
      </w:tblPr>
      <w:tblGrid>
        <w:gridCol w:w="7370"/>
        <w:gridCol w:w="7201"/>
      </w:tblGrid>
      <w:tr w:rsidR="00600DEE" w:rsidRPr="007463B9" w14:paraId="4472ECDD" w14:textId="77777777">
        <w:tc>
          <w:tcPr>
            <w:tcW w:w="7370" w:type="dxa"/>
            <w:tcBorders>
              <w:right w:val="single" w:sz="4" w:space="0" w:color="000000"/>
            </w:tcBorders>
            <w:tcMar>
              <w:left w:w="284" w:type="dxa"/>
              <w:right w:w="284" w:type="dxa"/>
            </w:tcMar>
          </w:tcPr>
          <w:p w14:paraId="0A664D6F" w14:textId="77777777" w:rsidR="00600DEE" w:rsidRDefault="00641FB5" w:rsidP="0039454C">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Należy wprowadzić rozróżnienie projektów infrastruktury drogowej na drogi płatne i drogi niepłatne.</w:t>
            </w:r>
          </w:p>
          <w:p w14:paraId="11B54BF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Dla autostrad, dróg ekspresowych i wybranych dróg krajowych objętych systemem elektronicznego poboru opłat od pojazdów ciężarowych powyżej 3,5 tony, będących przedmiotem analizy kosztów i korzyści, rekomenduje się przeprowadzenie  uproszczonej analizy finansowej. </w:t>
            </w:r>
          </w:p>
          <w:p w14:paraId="732FA50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takim przypadku analizę finansową ogranicza się do wykazania, że projekt jest trwały finansowo, a Beneficjent ma zdolność finansową do utrzymania nowej infrastruktury drogowej w odpowiednim stanie technicznym (pokrycia wszelkich niezbędnych kosztów eksploatacji i utrzymania w trakcie okresu referencyjnego).</w:t>
            </w:r>
          </w:p>
          <w:p w14:paraId="05DC0CFD" w14:textId="21AD628D" w:rsidR="00600DEE" w:rsidRDefault="00641FB5">
            <w:pPr>
              <w:pBdr>
                <w:top w:val="nil"/>
                <w:left w:val="nil"/>
                <w:bottom w:val="nil"/>
                <w:right w:val="nil"/>
                <w:between w:val="nil"/>
              </w:pBdr>
              <w:spacing w:before="120"/>
              <w:jc w:val="both"/>
              <w:rPr>
                <w:rFonts w:ascii="Calibri" w:eastAsia="Calibri" w:hAnsi="Calibri" w:cs="Calibri"/>
                <w:b/>
                <w:color w:val="323299"/>
                <w:sz w:val="20"/>
                <w:szCs w:val="20"/>
              </w:rPr>
            </w:pPr>
            <w:r>
              <w:rPr>
                <w:rFonts w:ascii="Calibri" w:eastAsia="Calibri" w:hAnsi="Calibri" w:cs="Calibri"/>
                <w:color w:val="000000"/>
                <w:sz w:val="20"/>
                <w:szCs w:val="20"/>
              </w:rPr>
              <w:t>Dodatkowo, w przypadku projektów dróg o niepłatnej dostępności (lub takich, gdzie przychody z opłat nie są wystarczające na pokrycie kosztów utrzymania) realizowanych przez GDDKiA lub innych Beneficjentów, konieczne jest pokazanie niezbędnych nakładów finansowych na utrzymanie i eksploatację zapewniających trwałość projektu (w ramach analizy trwałości finansow</w:t>
            </w:r>
            <w:r w:rsidR="007E2ECA">
              <w:rPr>
                <w:rFonts w:ascii="Calibri" w:eastAsia="Calibri" w:hAnsi="Calibri" w:cs="Calibri"/>
                <w:color w:val="000000"/>
                <w:sz w:val="20"/>
                <w:szCs w:val="20"/>
              </w:rPr>
              <w:t>ej projektu – patrz rozdział 3.5</w:t>
            </w:r>
            <w:r>
              <w:rPr>
                <w:rFonts w:ascii="Calibri" w:eastAsia="Calibri" w:hAnsi="Calibri" w:cs="Calibri"/>
                <w:color w:val="000000"/>
                <w:sz w:val="20"/>
                <w:szCs w:val="20"/>
              </w:rPr>
              <w:t>).</w:t>
            </w:r>
          </w:p>
          <w:p w14:paraId="65EB05F9" w14:textId="77777777" w:rsidR="00600DEE" w:rsidRDefault="00600DEE">
            <w:pPr>
              <w:pBdr>
                <w:top w:val="nil"/>
                <w:left w:val="nil"/>
                <w:bottom w:val="nil"/>
                <w:right w:val="nil"/>
                <w:between w:val="nil"/>
              </w:pBdr>
              <w:spacing w:before="120"/>
              <w:jc w:val="both"/>
              <w:rPr>
                <w:rFonts w:ascii="Calibri" w:eastAsia="Calibri" w:hAnsi="Calibri" w:cs="Calibri"/>
                <w:b/>
                <w:color w:val="323299"/>
                <w:sz w:val="20"/>
                <w:szCs w:val="20"/>
              </w:rPr>
            </w:pPr>
          </w:p>
        </w:tc>
        <w:tc>
          <w:tcPr>
            <w:tcW w:w="7201" w:type="dxa"/>
            <w:tcBorders>
              <w:left w:val="single" w:sz="4" w:space="0" w:color="000000"/>
            </w:tcBorders>
            <w:tcMar>
              <w:left w:w="284" w:type="dxa"/>
              <w:right w:w="284" w:type="dxa"/>
            </w:tcMar>
          </w:tcPr>
          <w:p w14:paraId="045106EA" w14:textId="77777777" w:rsidR="00600DEE" w:rsidRPr="0045151D" w:rsidRDefault="00641FB5" w:rsidP="0039454C">
            <w:pPr>
              <w:pBdr>
                <w:top w:val="nil"/>
                <w:left w:val="nil"/>
                <w:bottom w:val="nil"/>
                <w:right w:val="nil"/>
                <w:between w:val="nil"/>
              </w:pBdr>
              <w:spacing w:before="100" w:beforeAutospacing="1"/>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 distinction has to be made between proposed toll road projects and non-toll road projects.</w:t>
            </w:r>
          </w:p>
          <w:p w14:paraId="3382F03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For all motorways, expressways and selected national roads covered by the ETC for trucks above 3.5 tons, that are subject of CBA, simplified financial analysis is recommended. </w:t>
            </w:r>
          </w:p>
          <w:p w14:paraId="4147149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such case, the financial analysis will be limited to the verification of the project’s financial sustainability and the Beneficiary’s financial capability to maintain the new road infrastructure (to cover all necessary O&amp;M costs during the project reference period).</w:t>
            </w:r>
          </w:p>
          <w:p w14:paraId="5EEE1383" w14:textId="52C079DE"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addition, in case of non-toll road projects (or projects where revenues are not sufficient to cover O&amp;M costs) implemented by GDDKiA or other Beneficiaries, the estimated O&amp;M financial expenditures to ensure project sustainability must be presented as part of the project financial sustainability anal</w:t>
            </w:r>
            <w:r w:rsidR="007E2ECA">
              <w:rPr>
                <w:rFonts w:ascii="Calibri" w:eastAsia="Calibri" w:hAnsi="Calibri" w:cs="Calibri"/>
                <w:color w:val="000000"/>
                <w:sz w:val="20"/>
                <w:szCs w:val="20"/>
                <w:lang w:val="en-GB"/>
              </w:rPr>
              <w:t>ysis (see respective chapter 3.5</w:t>
            </w:r>
            <w:r w:rsidRPr="0045151D">
              <w:rPr>
                <w:rFonts w:ascii="Calibri" w:eastAsia="Calibri" w:hAnsi="Calibri" w:cs="Calibri"/>
                <w:color w:val="000000"/>
                <w:sz w:val="20"/>
                <w:szCs w:val="20"/>
                <w:lang w:val="en-GB"/>
              </w:rPr>
              <w:t xml:space="preserve">). </w:t>
            </w:r>
          </w:p>
          <w:p w14:paraId="6E6F71F0"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07F5AAB0" w14:textId="3C347A87" w:rsidR="00600DEE" w:rsidRDefault="00641FB5" w:rsidP="00D5736B">
      <w:pPr>
        <w:pStyle w:val="Nagwek2"/>
        <w:numPr>
          <w:ilvl w:val="1"/>
          <w:numId w:val="17"/>
        </w:numPr>
        <w:ind w:left="0" w:firstLine="0"/>
        <w:rPr>
          <w:rFonts w:ascii="Calibri" w:eastAsia="Calibri" w:hAnsi="Calibri" w:cs="Calibri"/>
          <w:color w:val="4F81BD"/>
        </w:rPr>
      </w:pPr>
      <w:bookmarkStart w:id="99" w:name="_Toc95378003"/>
      <w:r>
        <w:rPr>
          <w:rFonts w:ascii="Calibri" w:eastAsia="Calibri" w:hAnsi="Calibri" w:cs="Calibri"/>
          <w:color w:val="4F81BD"/>
        </w:rPr>
        <w:t>Założenia i param</w:t>
      </w:r>
      <w:r w:rsidR="007E2ECA">
        <w:rPr>
          <w:rFonts w:ascii="Calibri" w:eastAsia="Calibri" w:hAnsi="Calibri" w:cs="Calibri"/>
          <w:color w:val="4F81BD"/>
        </w:rPr>
        <w:t>etry analizy finansowej</w:t>
      </w:r>
      <w:r w:rsidR="007E2ECA">
        <w:rPr>
          <w:rFonts w:ascii="Calibri" w:eastAsia="Calibri" w:hAnsi="Calibri" w:cs="Calibri"/>
          <w:color w:val="4F81BD"/>
        </w:rPr>
        <w:tab/>
      </w:r>
      <w:r w:rsidR="007E2ECA">
        <w:rPr>
          <w:rFonts w:ascii="Calibri" w:eastAsia="Calibri" w:hAnsi="Calibri" w:cs="Calibri"/>
          <w:color w:val="4F81BD"/>
        </w:rPr>
        <w:tab/>
        <w:t xml:space="preserve">    </w:t>
      </w:r>
      <w:r w:rsidR="007E2ECA">
        <w:rPr>
          <w:rFonts w:ascii="Calibri" w:eastAsia="Calibri" w:hAnsi="Calibri" w:cs="Calibri"/>
          <w:i/>
          <w:color w:val="4F81BD"/>
        </w:rPr>
        <w:t>3.2</w:t>
      </w:r>
      <w:r w:rsidR="007E2ECA">
        <w:rPr>
          <w:rFonts w:ascii="Calibri" w:eastAsia="Calibri" w:hAnsi="Calibri" w:cs="Calibri"/>
          <w:color w:val="4F81BD"/>
        </w:rPr>
        <w:t xml:space="preserve">   </w:t>
      </w:r>
      <w:r w:rsidR="007E2ECA">
        <w:rPr>
          <w:rFonts w:ascii="Calibri" w:eastAsia="Calibri" w:hAnsi="Calibri" w:cs="Calibri"/>
          <w:i/>
          <w:color w:val="4F81BD"/>
        </w:rPr>
        <w:t>Financial analysis - assumptions and parameters</w:t>
      </w:r>
      <w:bookmarkEnd w:id="99"/>
      <w:r w:rsidR="00A27FD9">
        <w:rPr>
          <w:rFonts w:ascii="Calibri" w:eastAsia="Calibri" w:hAnsi="Calibri" w:cs="Calibri"/>
          <w:color w:val="4F81BD"/>
        </w:rPr>
        <w:tab/>
      </w:r>
      <w:r w:rsidR="00A27FD9">
        <w:rPr>
          <w:rFonts w:ascii="Calibri" w:eastAsia="Calibri" w:hAnsi="Calibri" w:cs="Calibri"/>
          <w:color w:val="4F81BD"/>
        </w:rPr>
        <w:tab/>
      </w:r>
      <w:r w:rsidR="00A27FD9">
        <w:rPr>
          <w:rFonts w:ascii="Calibri" w:eastAsia="Calibri" w:hAnsi="Calibri" w:cs="Calibri"/>
          <w:color w:val="4F81BD"/>
        </w:rPr>
        <w:tab/>
      </w:r>
      <w:r w:rsidR="00A27FD9">
        <w:rPr>
          <w:rFonts w:ascii="Calibri" w:eastAsia="Calibri" w:hAnsi="Calibri" w:cs="Calibri"/>
          <w:color w:val="4F81BD"/>
        </w:rPr>
        <w:tab/>
      </w:r>
      <w:r w:rsidR="00A27FD9">
        <w:rPr>
          <w:rFonts w:ascii="Calibri" w:eastAsia="Calibri" w:hAnsi="Calibri" w:cs="Calibri"/>
          <w:color w:val="4F81BD"/>
        </w:rPr>
        <w:tab/>
      </w:r>
      <w:r w:rsidR="00A27FD9">
        <w:rPr>
          <w:rFonts w:ascii="Calibri" w:eastAsia="Calibri" w:hAnsi="Calibri" w:cs="Calibri"/>
          <w:color w:val="4F81BD"/>
        </w:rPr>
        <w:tab/>
      </w:r>
      <w:r w:rsidR="00A27FD9">
        <w:rPr>
          <w:rFonts w:ascii="Calibri" w:eastAsia="Calibri" w:hAnsi="Calibri" w:cs="Calibri"/>
          <w:color w:val="4F81BD"/>
        </w:rPr>
        <w:tab/>
      </w:r>
      <w:r w:rsidR="00A27FD9">
        <w:rPr>
          <w:rFonts w:ascii="Calibri" w:eastAsia="Calibri" w:hAnsi="Calibri" w:cs="Calibri"/>
          <w:color w:val="4F81BD"/>
        </w:rPr>
        <w:tab/>
      </w:r>
      <w:r w:rsidR="00A27FD9">
        <w:rPr>
          <w:rFonts w:ascii="Calibri" w:eastAsia="Calibri" w:hAnsi="Calibri" w:cs="Calibri"/>
          <w:color w:val="4F81BD"/>
        </w:rPr>
        <w:tab/>
      </w:r>
      <w:r w:rsidR="00A27FD9">
        <w:rPr>
          <w:rFonts w:ascii="Calibri" w:eastAsia="Calibri" w:hAnsi="Calibri" w:cs="Calibri"/>
          <w:color w:val="4F81BD"/>
        </w:rPr>
        <w:tab/>
      </w:r>
      <w:r>
        <w:rPr>
          <w:rFonts w:ascii="Calibri" w:eastAsia="Calibri" w:hAnsi="Calibri" w:cs="Calibri"/>
          <w:color w:val="4F81BD"/>
        </w:rPr>
        <w:t xml:space="preserve"> </w:t>
      </w:r>
    </w:p>
    <w:tbl>
      <w:tblPr>
        <w:tblStyle w:val="affffff8"/>
        <w:tblW w:w="14571" w:type="dxa"/>
        <w:tblLayout w:type="fixed"/>
        <w:tblLook w:val="0400" w:firstRow="0" w:lastRow="0" w:firstColumn="0" w:lastColumn="0" w:noHBand="0" w:noVBand="1"/>
      </w:tblPr>
      <w:tblGrid>
        <w:gridCol w:w="7370"/>
        <w:gridCol w:w="7201"/>
      </w:tblGrid>
      <w:tr w:rsidR="00600DEE" w:rsidRPr="007463B9" w14:paraId="5FAB5C32" w14:textId="77777777">
        <w:tc>
          <w:tcPr>
            <w:tcW w:w="7370" w:type="dxa"/>
            <w:tcBorders>
              <w:right w:val="single" w:sz="4" w:space="0" w:color="000000"/>
            </w:tcBorders>
            <w:tcMar>
              <w:left w:w="284" w:type="dxa"/>
              <w:right w:w="284" w:type="dxa"/>
            </w:tcMar>
          </w:tcPr>
          <w:p w14:paraId="76A1D197" w14:textId="77777777" w:rsidR="00600DEE" w:rsidRDefault="00641FB5" w:rsidP="0039454C">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Najważniejszą zasadą analizy finansowej jest rozpatrywanie wyłącznie faktycznych przepływów pieniężnych (bez amortyzacji, rezerw na nieprzewidziane okoliczności, korekt fiskalnych, itd.).</w:t>
            </w:r>
          </w:p>
          <w:p w14:paraId="38F27BC7" w14:textId="53D1E959"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Analiza finansowa sporządzana dla projektów infrastruktury drogowej powinna być oparta na cenach stałych w całym okresie analizy tzn. bez uwzględniania inflacyjnego wzrostu cen. Rok </w:t>
            </w:r>
            <w:r w:rsidR="007E2ECA">
              <w:rPr>
                <w:rFonts w:ascii="Calibri" w:eastAsia="Calibri" w:hAnsi="Calibri" w:cs="Calibri"/>
                <w:color w:val="000000"/>
                <w:sz w:val="20"/>
                <w:szCs w:val="20"/>
              </w:rPr>
              <w:t>bazowy</w:t>
            </w:r>
            <w:r>
              <w:rPr>
                <w:rFonts w:ascii="Calibri" w:eastAsia="Calibri" w:hAnsi="Calibri" w:cs="Calibri"/>
                <w:color w:val="000000"/>
                <w:sz w:val="20"/>
                <w:szCs w:val="20"/>
              </w:rPr>
              <w:t xml:space="preserve"> przyjęty w analizie powinien być wyraźnie określony.</w:t>
            </w:r>
          </w:p>
          <w:p w14:paraId="498346C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Należy przedstawić następujące założenia analizy finansowej: </w:t>
            </w:r>
          </w:p>
          <w:p w14:paraId="4C3E1C33" w14:textId="77777777" w:rsidR="00600DEE" w:rsidRDefault="00641FB5" w:rsidP="00D5736B">
            <w:pPr>
              <w:numPr>
                <w:ilvl w:val="0"/>
                <w:numId w:val="16"/>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horyzont czasowy – 25 lat, w tym okres realizacji projektu zgodnie z rekomendacją KE,</w:t>
            </w:r>
          </w:p>
          <w:p w14:paraId="05CCB250" w14:textId="11458C4C" w:rsidR="00600DEE" w:rsidRDefault="00641FB5" w:rsidP="00D5736B">
            <w:pPr>
              <w:numPr>
                <w:ilvl w:val="0"/>
                <w:numId w:val="16"/>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finansowa stopa dyskontowa (realna stopa – </w:t>
            </w:r>
            <w:r w:rsidR="007463B9" w:rsidRPr="007463B9">
              <w:rPr>
                <w:rFonts w:ascii="Calibri" w:eastAsia="Calibri" w:hAnsi="Calibri" w:cs="Calibri"/>
                <w:color w:val="000000"/>
                <w:sz w:val="20"/>
                <w:szCs w:val="20"/>
              </w:rPr>
              <w:t>4</w:t>
            </w:r>
            <w:r w:rsidRPr="007463B9">
              <w:rPr>
                <w:rFonts w:ascii="Calibri" w:eastAsia="Calibri" w:hAnsi="Calibri" w:cs="Calibri"/>
                <w:color w:val="000000"/>
                <w:sz w:val="20"/>
                <w:szCs w:val="20"/>
              </w:rPr>
              <w:t>%</w:t>
            </w:r>
            <w:r>
              <w:rPr>
                <w:rFonts w:ascii="Calibri" w:eastAsia="Calibri" w:hAnsi="Calibri" w:cs="Calibri"/>
                <w:color w:val="000000"/>
                <w:sz w:val="20"/>
                <w:szCs w:val="20"/>
              </w:rPr>
              <w:t>),</w:t>
            </w:r>
          </w:p>
          <w:p w14:paraId="18E15C1D" w14:textId="77777777" w:rsidR="00600DEE" w:rsidRDefault="00641FB5" w:rsidP="00D5736B">
            <w:pPr>
              <w:numPr>
                <w:ilvl w:val="0"/>
                <w:numId w:val="16"/>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wartość rezydualna projektu inwestycyjnego na koniec okresu analizy (patrz rozdział 1.11),</w:t>
            </w:r>
          </w:p>
          <w:p w14:paraId="18978F17" w14:textId="4A3430CA" w:rsidR="00600DEE" w:rsidRDefault="00641FB5" w:rsidP="00D5736B">
            <w:pPr>
              <w:numPr>
                <w:ilvl w:val="0"/>
                <w:numId w:val="16"/>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wartość kosztów projektu inwestycyjnego</w:t>
            </w:r>
            <w:r w:rsidR="00B250FD">
              <w:rPr>
                <w:rStyle w:val="Odwoanieprzypisudolnego"/>
                <w:rFonts w:ascii="Calibri" w:eastAsia="Calibri" w:hAnsi="Calibri" w:cs="Calibri"/>
                <w:color w:val="000000"/>
                <w:sz w:val="20"/>
                <w:szCs w:val="20"/>
              </w:rPr>
              <w:footnoteReference w:id="16"/>
            </w:r>
            <w:r>
              <w:rPr>
                <w:rFonts w:ascii="Calibri" w:eastAsia="Calibri" w:hAnsi="Calibri" w:cs="Calibri"/>
                <w:color w:val="000000"/>
                <w:sz w:val="20"/>
                <w:szCs w:val="20"/>
              </w:rPr>
              <w:t>,</w:t>
            </w:r>
          </w:p>
          <w:p w14:paraId="095934EF" w14:textId="412E7419" w:rsidR="00600DEE" w:rsidRDefault="00641FB5" w:rsidP="00D5736B">
            <w:pPr>
              <w:numPr>
                <w:ilvl w:val="0"/>
                <w:numId w:val="16"/>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oraz rok </w:t>
            </w:r>
            <w:r w:rsidR="007E2ECA">
              <w:rPr>
                <w:rFonts w:ascii="Calibri" w:eastAsia="Calibri" w:hAnsi="Calibri" w:cs="Calibri"/>
                <w:color w:val="000000"/>
                <w:sz w:val="20"/>
                <w:szCs w:val="20"/>
              </w:rPr>
              <w:t>bazowy</w:t>
            </w:r>
            <w:r>
              <w:rPr>
                <w:rFonts w:ascii="Calibri" w:eastAsia="Calibri" w:hAnsi="Calibri" w:cs="Calibri"/>
                <w:color w:val="000000"/>
                <w:sz w:val="20"/>
                <w:szCs w:val="20"/>
              </w:rPr>
              <w:t xml:space="preserve"> przyjęty dla analizy. </w:t>
            </w:r>
          </w:p>
          <w:p w14:paraId="3E50648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Wszystkie dane wejściowe i założenia analizy muszą być zgodne z założeniami analizy ekonomicznej i prognozą transportową (szczególnie prognozą ruchu).</w:t>
            </w:r>
          </w:p>
          <w:p w14:paraId="2D2E6A1D" w14:textId="77777777" w:rsidR="00600DEE" w:rsidRDefault="00600DEE">
            <w:pPr>
              <w:pBdr>
                <w:top w:val="nil"/>
                <w:left w:val="nil"/>
                <w:bottom w:val="nil"/>
                <w:right w:val="nil"/>
                <w:between w:val="nil"/>
              </w:pBdr>
              <w:spacing w:before="120"/>
              <w:jc w:val="both"/>
              <w:rPr>
                <w:rFonts w:ascii="Calibri" w:eastAsia="Calibri" w:hAnsi="Calibri" w:cs="Calibri"/>
                <w:b/>
                <w:color w:val="323299"/>
                <w:sz w:val="20"/>
                <w:szCs w:val="20"/>
              </w:rPr>
            </w:pPr>
          </w:p>
        </w:tc>
        <w:tc>
          <w:tcPr>
            <w:tcW w:w="7201" w:type="dxa"/>
            <w:tcBorders>
              <w:left w:val="single" w:sz="4" w:space="0" w:color="000000"/>
            </w:tcBorders>
            <w:tcMar>
              <w:left w:w="284" w:type="dxa"/>
              <w:right w:w="284" w:type="dxa"/>
            </w:tcMar>
          </w:tcPr>
          <w:p w14:paraId="68A99BCC" w14:textId="77777777" w:rsidR="00600DEE" w:rsidRPr="0045151D" w:rsidRDefault="00641FB5" w:rsidP="0039454C">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most important financial analysis principle is to consider only actual cash inflows and outflows (i.e. amortisation, reserves for unforeseen circumstances, or fiscal adjustments are disregarded).</w:t>
            </w:r>
          </w:p>
          <w:p w14:paraId="4DCAC2F7" w14:textId="73C5C3D1"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Financial analysis for road infrastructure projects should be based on constant prices over the entire reference period, i.e. without taking into account price increases due to inflation. The </w:t>
            </w:r>
            <w:r w:rsidR="007E2ECA">
              <w:rPr>
                <w:rFonts w:ascii="Calibri" w:eastAsia="Calibri" w:hAnsi="Calibri" w:cs="Calibri"/>
                <w:color w:val="000000"/>
                <w:sz w:val="20"/>
                <w:szCs w:val="20"/>
                <w:lang w:val="en-GB"/>
              </w:rPr>
              <w:t>base</w:t>
            </w:r>
            <w:r w:rsidRPr="0045151D">
              <w:rPr>
                <w:rFonts w:ascii="Calibri" w:eastAsia="Calibri" w:hAnsi="Calibri" w:cs="Calibri"/>
                <w:color w:val="000000"/>
                <w:sz w:val="20"/>
                <w:szCs w:val="20"/>
                <w:lang w:val="en-GB"/>
              </w:rPr>
              <w:t xml:space="preserve"> year considered for the analysis should be clearly indicated.</w:t>
            </w:r>
          </w:p>
          <w:p w14:paraId="76A6601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following assumptions should be presented for financial analysis:</w:t>
            </w:r>
          </w:p>
          <w:p w14:paraId="67C1FEF7" w14:textId="77777777" w:rsidR="00600DEE" w:rsidRPr="0045151D" w:rsidRDefault="00641FB5" w:rsidP="00D5736B">
            <w:pPr>
              <w:numPr>
                <w:ilvl w:val="0"/>
                <w:numId w:val="15"/>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reference period – 25 years, including the project implementation period, as recommended in EC guidelines,</w:t>
            </w:r>
          </w:p>
          <w:p w14:paraId="185F400C" w14:textId="0479A483" w:rsidR="00600DEE" w:rsidRPr="0045151D" w:rsidRDefault="00641FB5" w:rsidP="00D5736B">
            <w:pPr>
              <w:numPr>
                <w:ilvl w:val="0"/>
                <w:numId w:val="15"/>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financial discount rate (real rate – </w:t>
            </w:r>
            <w:r w:rsidR="007463B9" w:rsidRPr="007463B9">
              <w:rPr>
                <w:rFonts w:ascii="Calibri" w:eastAsia="Calibri" w:hAnsi="Calibri" w:cs="Calibri"/>
                <w:color w:val="000000"/>
                <w:sz w:val="20"/>
                <w:szCs w:val="20"/>
                <w:lang w:val="en-GB"/>
              </w:rPr>
              <w:t>4</w:t>
            </w:r>
            <w:r w:rsidRPr="007463B9">
              <w:rPr>
                <w:rFonts w:ascii="Calibri" w:eastAsia="Calibri" w:hAnsi="Calibri" w:cs="Calibri"/>
                <w:color w:val="000000"/>
                <w:sz w:val="20"/>
                <w:szCs w:val="20"/>
                <w:lang w:val="en-GB"/>
              </w:rPr>
              <w:t>%</w:t>
            </w:r>
            <w:r w:rsidRPr="0045151D">
              <w:rPr>
                <w:rFonts w:ascii="Calibri" w:eastAsia="Calibri" w:hAnsi="Calibri" w:cs="Calibri"/>
                <w:color w:val="000000"/>
                <w:sz w:val="20"/>
                <w:szCs w:val="20"/>
                <w:lang w:val="en-GB"/>
              </w:rPr>
              <w:t>),</w:t>
            </w:r>
          </w:p>
          <w:p w14:paraId="1928B892" w14:textId="77777777" w:rsidR="00600DEE" w:rsidRPr="0045151D" w:rsidRDefault="00641FB5" w:rsidP="00D5736B">
            <w:pPr>
              <w:numPr>
                <w:ilvl w:val="0"/>
                <w:numId w:val="15"/>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financial residual value of the investment project at the end of the reference period (refer to chapter 1.11 above),</w:t>
            </w:r>
          </w:p>
          <w:p w14:paraId="4A3D72F5" w14:textId="7BA831B5" w:rsidR="00600DEE" w:rsidRPr="0045151D" w:rsidRDefault="00641FB5" w:rsidP="00D5736B">
            <w:pPr>
              <w:numPr>
                <w:ilvl w:val="0"/>
                <w:numId w:val="15"/>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investment project costs value</w:t>
            </w:r>
            <w:r w:rsidR="00B250FD">
              <w:rPr>
                <w:rFonts w:ascii="Calibri" w:eastAsia="Calibri" w:hAnsi="Calibri" w:cs="Calibri"/>
                <w:color w:val="000000"/>
                <w:sz w:val="20"/>
                <w:szCs w:val="20"/>
                <w:vertAlign w:val="superscript"/>
                <w:lang w:val="en-GB"/>
              </w:rPr>
              <w:t>16</w:t>
            </w:r>
            <w:r w:rsidRPr="0045151D">
              <w:rPr>
                <w:rFonts w:ascii="Calibri" w:eastAsia="Calibri" w:hAnsi="Calibri" w:cs="Calibri"/>
                <w:color w:val="000000"/>
                <w:sz w:val="20"/>
                <w:szCs w:val="20"/>
                <w:lang w:val="en-GB"/>
              </w:rPr>
              <w:t>,</w:t>
            </w:r>
          </w:p>
          <w:p w14:paraId="32700A81" w14:textId="77777777" w:rsidR="00600DEE" w:rsidRPr="0045151D" w:rsidRDefault="00641FB5" w:rsidP="00D5736B">
            <w:pPr>
              <w:numPr>
                <w:ilvl w:val="0"/>
                <w:numId w:val="15"/>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and the base year year used for the analysis.</w:t>
            </w:r>
          </w:p>
          <w:p w14:paraId="0F4FC71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All input data and assumptions for the analysis must be coherent with economic analysis data and transport forecasts (in particular, traffic forecast).</w:t>
            </w:r>
          </w:p>
          <w:p w14:paraId="02966B9F"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4BFCD52A" w14:textId="0ACCAA94" w:rsidR="00600DEE" w:rsidRPr="0045151D" w:rsidRDefault="00641FB5" w:rsidP="00D5736B">
      <w:pPr>
        <w:pStyle w:val="Nagwek2"/>
        <w:numPr>
          <w:ilvl w:val="1"/>
          <w:numId w:val="17"/>
        </w:numPr>
        <w:ind w:left="0" w:firstLine="0"/>
        <w:rPr>
          <w:rFonts w:ascii="Calibri" w:eastAsia="Calibri" w:hAnsi="Calibri" w:cs="Calibri"/>
          <w:color w:val="4F81BD"/>
          <w:lang w:val="pl-PL"/>
        </w:rPr>
      </w:pPr>
      <w:bookmarkStart w:id="100" w:name="_Toc95378004"/>
      <w:r w:rsidRPr="0045151D">
        <w:rPr>
          <w:rFonts w:ascii="Calibri" w:eastAsia="Calibri" w:hAnsi="Calibri" w:cs="Calibri"/>
          <w:color w:val="4F81BD"/>
          <w:lang w:val="pl-PL"/>
        </w:rPr>
        <w:t>Zestawienie finansowych przepływów pieniężnych</w:t>
      </w:r>
      <w:r w:rsidR="007E2ECA">
        <w:rPr>
          <w:rFonts w:ascii="Calibri" w:eastAsia="Calibri" w:hAnsi="Calibri" w:cs="Calibri"/>
          <w:color w:val="4F81BD"/>
          <w:lang w:val="pl-PL"/>
        </w:rPr>
        <w:t xml:space="preserve"> </w:t>
      </w:r>
      <w:r w:rsidRPr="0045151D">
        <w:rPr>
          <w:rFonts w:ascii="Calibri" w:eastAsia="Calibri" w:hAnsi="Calibri" w:cs="Calibri"/>
          <w:color w:val="4F81BD"/>
          <w:lang w:val="pl-PL"/>
        </w:rPr>
        <w:t xml:space="preserve">      </w:t>
      </w:r>
      <w:r w:rsidR="007E2ECA" w:rsidRPr="0045151D">
        <w:rPr>
          <w:rFonts w:ascii="Calibri" w:eastAsia="Calibri" w:hAnsi="Calibri" w:cs="Calibri"/>
          <w:i/>
          <w:color w:val="4F81BD"/>
          <w:lang w:val="pl-PL"/>
        </w:rPr>
        <w:t>3.3   Determination of financial cash flows</w:t>
      </w:r>
      <w:bookmarkEnd w:id="100"/>
      <w:r w:rsidR="00A27FD9" w:rsidRPr="0045151D">
        <w:rPr>
          <w:rFonts w:ascii="Calibri" w:eastAsia="Calibri" w:hAnsi="Calibri" w:cs="Calibri"/>
          <w:color w:val="4F81BD"/>
          <w:lang w:val="pl-PL"/>
        </w:rPr>
        <w:tab/>
      </w:r>
      <w:r w:rsidR="00A27FD9" w:rsidRPr="0045151D">
        <w:rPr>
          <w:rFonts w:ascii="Calibri" w:eastAsia="Calibri" w:hAnsi="Calibri" w:cs="Calibri"/>
          <w:color w:val="4F81BD"/>
          <w:lang w:val="pl-PL"/>
        </w:rPr>
        <w:tab/>
      </w:r>
      <w:r w:rsidR="00A27FD9" w:rsidRPr="0045151D">
        <w:rPr>
          <w:rFonts w:ascii="Calibri" w:eastAsia="Calibri" w:hAnsi="Calibri" w:cs="Calibri"/>
          <w:color w:val="4F81BD"/>
          <w:lang w:val="pl-PL"/>
        </w:rPr>
        <w:tab/>
      </w:r>
      <w:r w:rsidR="00A27FD9" w:rsidRPr="0045151D">
        <w:rPr>
          <w:rFonts w:ascii="Calibri" w:eastAsia="Calibri" w:hAnsi="Calibri" w:cs="Calibri"/>
          <w:color w:val="4F81BD"/>
          <w:lang w:val="pl-PL"/>
        </w:rPr>
        <w:tab/>
      </w:r>
      <w:r w:rsidR="00A27FD9" w:rsidRPr="0045151D">
        <w:rPr>
          <w:rFonts w:ascii="Calibri" w:eastAsia="Calibri" w:hAnsi="Calibri" w:cs="Calibri"/>
          <w:color w:val="4F81BD"/>
          <w:lang w:val="pl-PL"/>
        </w:rPr>
        <w:tab/>
      </w:r>
      <w:r w:rsidR="00A27FD9" w:rsidRPr="0045151D">
        <w:rPr>
          <w:rFonts w:ascii="Calibri" w:eastAsia="Calibri" w:hAnsi="Calibri" w:cs="Calibri"/>
          <w:color w:val="4F81BD"/>
          <w:lang w:val="pl-PL"/>
        </w:rPr>
        <w:tab/>
      </w:r>
      <w:r w:rsidR="00A27FD9" w:rsidRPr="0045151D">
        <w:rPr>
          <w:rFonts w:ascii="Calibri" w:eastAsia="Calibri" w:hAnsi="Calibri" w:cs="Calibri"/>
          <w:color w:val="4F81BD"/>
          <w:lang w:val="pl-PL"/>
        </w:rPr>
        <w:tab/>
      </w:r>
      <w:r w:rsidR="00A27FD9" w:rsidRPr="0045151D">
        <w:rPr>
          <w:rFonts w:ascii="Calibri" w:eastAsia="Calibri" w:hAnsi="Calibri" w:cs="Calibri"/>
          <w:color w:val="4F81BD"/>
          <w:lang w:val="pl-PL"/>
        </w:rPr>
        <w:tab/>
      </w:r>
      <w:r w:rsidR="00A27FD9" w:rsidRPr="0045151D">
        <w:rPr>
          <w:rFonts w:ascii="Calibri" w:eastAsia="Calibri" w:hAnsi="Calibri" w:cs="Calibri"/>
          <w:color w:val="4F81BD"/>
          <w:lang w:val="pl-PL"/>
        </w:rPr>
        <w:tab/>
      </w:r>
      <w:r w:rsidRPr="0045151D">
        <w:rPr>
          <w:rFonts w:ascii="Calibri" w:eastAsia="Calibri" w:hAnsi="Calibri" w:cs="Calibri"/>
          <w:i/>
          <w:color w:val="4F81BD"/>
          <w:lang w:val="pl-PL"/>
        </w:rPr>
        <w:t xml:space="preserve"> </w:t>
      </w:r>
    </w:p>
    <w:tbl>
      <w:tblPr>
        <w:tblStyle w:val="affffff9"/>
        <w:tblW w:w="14571" w:type="dxa"/>
        <w:tblLayout w:type="fixed"/>
        <w:tblLook w:val="0400" w:firstRow="0" w:lastRow="0" w:firstColumn="0" w:lastColumn="0" w:noHBand="0" w:noVBand="1"/>
      </w:tblPr>
      <w:tblGrid>
        <w:gridCol w:w="7370"/>
        <w:gridCol w:w="7201"/>
      </w:tblGrid>
      <w:tr w:rsidR="00600DEE" w:rsidRPr="007463B9" w14:paraId="71702F36" w14:textId="77777777">
        <w:trPr>
          <w:trHeight w:val="6493"/>
        </w:trPr>
        <w:tc>
          <w:tcPr>
            <w:tcW w:w="7370" w:type="dxa"/>
            <w:tcBorders>
              <w:right w:val="single" w:sz="4" w:space="0" w:color="000000"/>
            </w:tcBorders>
            <w:tcMar>
              <w:left w:w="284" w:type="dxa"/>
              <w:right w:w="284" w:type="dxa"/>
            </w:tcMar>
          </w:tcPr>
          <w:p w14:paraId="3D8A856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tej części analizy finansowej następuje określenie (oszacowanie) przepływów finansowych dla projektu zarówno dla etapu budowy (realizacji) projektu, jak również dla jego eksploatacji (faza operacyjna). Określenia przepływów finansowych należy dokonać dla wariantu bezinwestycyjnego oraz wariantu inwestycyjnego w celu późniejszego obliczenia przyrostowych przepływów, wykorzystywanych do kalkulacji wskaźników finansowych i określenia wysokości wkładu finansowego z funduszy UE.</w:t>
            </w:r>
          </w:p>
          <w:p w14:paraId="062D5FE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Niezależnie od charakteru projektu inwestycyjnego (publiczny, komercyjny), należy obliczyć saldo finansowych przepływów pieniężnych obejmujących wszystkie koszty eksploatacji i utrzymania, zarówno dla wariantu bezinwestycyjnego, jak i wariantu inwestycyjnego. Należy uwzględnić wszystkie kategorie kosztów eksploatacji i utrzymania stosowane w analizie ekonomicznej projektów drogowych opisanej powyżej (patrz rozdział 1.9). Strumień przychodów powinien być określony w oparciu o analizę przychodów (patrz rozdział 1.10).</w:t>
            </w:r>
          </w:p>
          <w:p w14:paraId="15C5927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Po wyliczeniu dla każdego roku analizy, wszystkich przepływów pieniężnych związanych z kosztami i przychodami, zarówno dla scenariusza bezinwestycyjnego, jak i wariantów inwestycyjnych, można ustalić przepływy pieniężne netto dla każdego roku analizy.</w:t>
            </w:r>
          </w:p>
          <w:p w14:paraId="5791904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Wartość rezydualną określoną zgodnie z rozdziałem 1.11 należy uwzględnić w ostatnim roku analizy.</w:t>
            </w:r>
          </w:p>
          <w:p w14:paraId="065845C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Jeśli Beneficjent jest płatnikiem podatku VAT, to wszystkie wydatki finansowe powinny być przedstawione w cenach netto (bez VAT). Natomiast w przypadku Beneficjentów, którzy nie są płatnikami VAT, analiza finansowa powinna być przeprowadzona w cenach brutto.</w:t>
            </w:r>
          </w:p>
        </w:tc>
        <w:tc>
          <w:tcPr>
            <w:tcW w:w="7201" w:type="dxa"/>
            <w:tcBorders>
              <w:left w:val="single" w:sz="4" w:space="0" w:color="000000"/>
            </w:tcBorders>
            <w:tcMar>
              <w:left w:w="284" w:type="dxa"/>
              <w:right w:w="284" w:type="dxa"/>
            </w:tcMar>
          </w:tcPr>
          <w:p w14:paraId="037A1BF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This part of the financial analysis deals with the determination (estimation) of financial flows for the project, both for the construction (implementation) stage of the project and its operation. Determination of financial flows should be made for the non-investment option and the investment option for the purpose of further calculation of incremental flows used in the calculation of financial indicators and specification of the amount of the financial contribution from EU funds.</w:t>
            </w:r>
          </w:p>
          <w:p w14:paraId="7E90AF4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Regardless of the character of the investment project (public, commercial), financial cash flow balance including all O&amp;M costs, for both without-the-project and investment options, ought to be calculated. All categories of operating and maintenance costs used in the road project economic analysis described above (see Chapter 1.9) should be taken into account. The revenue stream should be defined on the basis of the revenue analysis (see Chapter 1.10).</w:t>
            </w:r>
          </w:p>
          <w:p w14:paraId="0FA1D02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When all cash flows related to costs and revenues are calculated for each year of the analysis, both for the ”without-the-project” option and investment option, net cash flows can be determined for each year of analysis.</w:t>
            </w:r>
          </w:p>
          <w:p w14:paraId="4DBB1E0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residual value calculated according to chapter 1.11 should be included in the last year of the reference period.</w:t>
            </w:r>
          </w:p>
          <w:p w14:paraId="1E7C567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If the Beneficiary is a VAT payer, the total financial expenditures are presented in net prices (without VAT). The remaining Beneficiaries, which are not VAT payers perform the financial analysis in gross prices.</w:t>
            </w:r>
          </w:p>
          <w:p w14:paraId="76F6B44F" w14:textId="6A3ABD34" w:rsidR="00600DEE" w:rsidRPr="0045151D" w:rsidRDefault="00600DEE">
            <w:pPr>
              <w:pBdr>
                <w:top w:val="nil"/>
                <w:left w:val="nil"/>
                <w:bottom w:val="nil"/>
                <w:right w:val="nil"/>
                <w:between w:val="nil"/>
              </w:pBdr>
              <w:spacing w:before="120"/>
              <w:jc w:val="both"/>
              <w:rPr>
                <w:rFonts w:ascii="Calibri" w:eastAsia="Calibri" w:hAnsi="Calibri" w:cs="Calibri"/>
                <w:b/>
                <w:i/>
                <w:color w:val="000000"/>
                <w:sz w:val="32"/>
                <w:szCs w:val="32"/>
                <w:lang w:val="en-GB"/>
              </w:rPr>
            </w:pPr>
          </w:p>
        </w:tc>
      </w:tr>
    </w:tbl>
    <w:p w14:paraId="77D015D6" w14:textId="77777777" w:rsidR="00600DEE" w:rsidRDefault="00641FB5" w:rsidP="007022E3">
      <w:pPr>
        <w:pStyle w:val="Nagwek2"/>
        <w:numPr>
          <w:ilvl w:val="0"/>
          <w:numId w:val="0"/>
        </w:numPr>
        <w:rPr>
          <w:rFonts w:ascii="Calibri" w:eastAsia="Calibri" w:hAnsi="Calibri" w:cs="Calibri"/>
          <w:i/>
          <w:color w:val="4F81BD"/>
        </w:rPr>
      </w:pP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bookmarkStart w:id="101" w:name="_Toc91596267"/>
      <w:bookmarkEnd w:id="101"/>
    </w:p>
    <w:tbl>
      <w:tblPr>
        <w:tblStyle w:val="affffffa"/>
        <w:tblW w:w="14571" w:type="dxa"/>
        <w:tblLayout w:type="fixed"/>
        <w:tblLook w:val="0400" w:firstRow="0" w:lastRow="0" w:firstColumn="0" w:lastColumn="0" w:noHBand="0" w:noVBand="1"/>
      </w:tblPr>
      <w:tblGrid>
        <w:gridCol w:w="7370"/>
        <w:gridCol w:w="7201"/>
      </w:tblGrid>
      <w:tr w:rsidR="00600DEE" w:rsidRPr="007463B9" w14:paraId="4499B2B0" w14:textId="77777777">
        <w:tc>
          <w:tcPr>
            <w:tcW w:w="7370" w:type="dxa"/>
            <w:tcBorders>
              <w:right w:val="single" w:sz="4" w:space="0" w:color="000000"/>
            </w:tcBorders>
            <w:tcMar>
              <w:left w:w="284" w:type="dxa"/>
              <w:right w:w="284" w:type="dxa"/>
            </w:tcMar>
          </w:tcPr>
          <w:p w14:paraId="04E2B040"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c>
          <w:tcPr>
            <w:tcW w:w="7201" w:type="dxa"/>
            <w:tcBorders>
              <w:left w:val="single" w:sz="4" w:space="0" w:color="000000"/>
            </w:tcBorders>
            <w:tcMar>
              <w:left w:w="284" w:type="dxa"/>
              <w:right w:w="284" w:type="dxa"/>
            </w:tcMar>
          </w:tcPr>
          <w:p w14:paraId="07904452"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5768ECEB" w14:textId="5724D3B6" w:rsidR="00600DEE" w:rsidRPr="0045151D" w:rsidRDefault="00641FB5" w:rsidP="00D5736B">
      <w:pPr>
        <w:pStyle w:val="Nagwek2"/>
        <w:numPr>
          <w:ilvl w:val="1"/>
          <w:numId w:val="17"/>
        </w:numPr>
        <w:ind w:left="0" w:firstLine="0"/>
        <w:rPr>
          <w:rFonts w:ascii="Calibri" w:eastAsia="Calibri" w:hAnsi="Calibri" w:cs="Calibri"/>
          <w:color w:val="4F81BD"/>
          <w:lang w:val="pl-PL"/>
        </w:rPr>
      </w:pPr>
      <w:bookmarkStart w:id="102" w:name="_Toc95378005"/>
      <w:r w:rsidRPr="0045151D">
        <w:rPr>
          <w:rFonts w:ascii="Calibri" w:eastAsia="Calibri" w:hAnsi="Calibri" w:cs="Calibri"/>
          <w:color w:val="4F81BD"/>
          <w:lang w:val="pl-PL"/>
        </w:rPr>
        <w:t>Rentowność finansowa projektu</w:t>
      </w:r>
      <w:r w:rsidRPr="0045151D">
        <w:rPr>
          <w:rFonts w:ascii="Calibri" w:eastAsia="Calibri" w:hAnsi="Calibri" w:cs="Calibri"/>
          <w:color w:val="4F81BD"/>
          <w:lang w:val="pl-PL"/>
        </w:rPr>
        <w:tab/>
      </w:r>
      <w:r w:rsidRPr="0045151D">
        <w:rPr>
          <w:rFonts w:ascii="Calibri" w:eastAsia="Calibri" w:hAnsi="Calibri" w:cs="Calibri"/>
          <w:color w:val="4F81BD"/>
          <w:lang w:val="pl-PL"/>
        </w:rPr>
        <w:tab/>
      </w:r>
      <w:r w:rsidRPr="0045151D">
        <w:rPr>
          <w:rFonts w:ascii="Calibri" w:eastAsia="Calibri" w:hAnsi="Calibri" w:cs="Calibri"/>
          <w:color w:val="4F81BD"/>
          <w:lang w:val="pl-PL"/>
        </w:rPr>
        <w:tab/>
        <w:t xml:space="preserve">       </w:t>
      </w:r>
      <w:r w:rsidR="00A27FD9" w:rsidRPr="0045151D">
        <w:rPr>
          <w:rFonts w:ascii="Calibri" w:eastAsia="Calibri" w:hAnsi="Calibri" w:cs="Calibri"/>
          <w:color w:val="4F81BD"/>
          <w:lang w:val="pl-PL"/>
        </w:rPr>
        <w:tab/>
      </w:r>
      <w:r w:rsidRPr="0045151D">
        <w:rPr>
          <w:rFonts w:ascii="Calibri" w:eastAsia="Calibri" w:hAnsi="Calibri" w:cs="Calibri"/>
          <w:color w:val="4F81BD"/>
          <w:lang w:val="pl-PL"/>
        </w:rPr>
        <w:t xml:space="preserve"> </w:t>
      </w:r>
      <w:r w:rsidRPr="0045151D">
        <w:rPr>
          <w:rFonts w:ascii="Calibri" w:eastAsia="Calibri" w:hAnsi="Calibri" w:cs="Calibri"/>
          <w:i/>
          <w:color w:val="4F81BD"/>
          <w:lang w:val="pl-PL"/>
        </w:rPr>
        <w:t>3.</w:t>
      </w:r>
      <w:r w:rsidR="007022E3" w:rsidRPr="0045151D">
        <w:rPr>
          <w:rFonts w:ascii="Calibri" w:eastAsia="Calibri" w:hAnsi="Calibri" w:cs="Calibri"/>
          <w:i/>
          <w:color w:val="4F81BD"/>
          <w:lang w:val="pl-PL"/>
        </w:rPr>
        <w:t>4</w:t>
      </w:r>
      <w:r w:rsidRPr="0045151D">
        <w:rPr>
          <w:rFonts w:ascii="Calibri" w:eastAsia="Calibri" w:hAnsi="Calibri" w:cs="Calibri"/>
          <w:i/>
          <w:color w:val="4F81BD"/>
          <w:lang w:val="pl-PL"/>
        </w:rPr>
        <w:t xml:space="preserve">   Project financial profitability</w:t>
      </w:r>
      <w:bookmarkEnd w:id="102"/>
    </w:p>
    <w:tbl>
      <w:tblPr>
        <w:tblStyle w:val="affffffb"/>
        <w:tblW w:w="14571" w:type="dxa"/>
        <w:tblLayout w:type="fixed"/>
        <w:tblLook w:val="0400" w:firstRow="0" w:lastRow="0" w:firstColumn="0" w:lastColumn="0" w:noHBand="0" w:noVBand="1"/>
      </w:tblPr>
      <w:tblGrid>
        <w:gridCol w:w="7354"/>
        <w:gridCol w:w="7217"/>
      </w:tblGrid>
      <w:tr w:rsidR="00600DEE" w:rsidRPr="007463B9" w14:paraId="7283C21E" w14:textId="77777777">
        <w:tc>
          <w:tcPr>
            <w:tcW w:w="7354" w:type="dxa"/>
            <w:tcBorders>
              <w:right w:val="single" w:sz="4" w:space="0" w:color="000000"/>
            </w:tcBorders>
            <w:tcMar>
              <w:left w:w="284" w:type="dxa"/>
              <w:right w:w="284" w:type="dxa"/>
            </w:tcMar>
          </w:tcPr>
          <w:p w14:paraId="6F55CB2F"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Ocena rentowności finansowej wiąże się z obliczaniem wskaźników efektywności finansowej i interpretacją wyników (tylko dla dróg płatnych).</w:t>
            </w:r>
          </w:p>
          <w:p w14:paraId="4960C5C8"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tym punkcie analizy finansowej następuje obliczenie wskaźników finansowych dla projektu, na podstawie których dokonywana jest ocena jego rentowności. Wyróżnia się dwie podstawowe grupy wskaźników:</w:t>
            </w:r>
          </w:p>
          <w:p w14:paraId="20905F4D" w14:textId="77777777" w:rsidR="00600DEE" w:rsidRDefault="00641FB5">
            <w:pPr>
              <w:numPr>
                <w:ilvl w:val="0"/>
                <w:numId w:val="1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Wskaźniki rentowności dla całej inwestycji (kosztów projektu) – tzw. wskaźniki na (C)</w:t>
            </w:r>
          </w:p>
          <w:p w14:paraId="5DA4D80D" w14:textId="77777777" w:rsidR="00600DEE" w:rsidRDefault="00641FB5">
            <w:pPr>
              <w:numPr>
                <w:ilvl w:val="0"/>
                <w:numId w:val="1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Wskaźniki rentowności dla kapitału krajowego – wskaźniki na (K).</w:t>
            </w:r>
          </w:p>
          <w:p w14:paraId="180144B7" w14:textId="77777777" w:rsidR="00600DEE" w:rsidRDefault="00641FB5">
            <w:p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Do podstawowych wskaźników należą: </w:t>
            </w:r>
          </w:p>
          <w:p w14:paraId="03B5D9BB" w14:textId="77777777" w:rsidR="00600DEE" w:rsidRDefault="00641FB5">
            <w:pPr>
              <w:numPr>
                <w:ilvl w:val="0"/>
                <w:numId w:val="1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Wartość bieżąca netto (FNPV), będąca sumą zdyskontowanych przepływów finansowych projektu,</w:t>
            </w:r>
          </w:p>
          <w:p w14:paraId="726E85B7" w14:textId="77777777" w:rsidR="00600DEE" w:rsidRDefault="00641FB5">
            <w:pPr>
              <w:numPr>
                <w:ilvl w:val="0"/>
                <w:numId w:val="1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Wewnętrzna stopa zwrotu (FRR), określająca wartość stopy dyskontowej, dla której wartość bieżąca netto osiąga wartość zero.</w:t>
            </w:r>
          </w:p>
          <w:p w14:paraId="150CB2D2"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przypadku obliczania powyższych wskaźników dla całej inwestycji (wskaźniki na C), należy uwzględnić wszystkie przepływy projektu, w całym horyzoncie czasowym analizy, tj.:</w:t>
            </w:r>
          </w:p>
          <w:p w14:paraId="2334E726" w14:textId="77777777" w:rsidR="00600DEE" w:rsidRDefault="00641FB5" w:rsidP="00D5736B">
            <w:pPr>
              <w:numPr>
                <w:ilvl w:val="0"/>
                <w:numId w:val="40"/>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Przychody</w:t>
            </w:r>
          </w:p>
          <w:p w14:paraId="3F9473DF" w14:textId="77777777" w:rsidR="00600DEE" w:rsidRDefault="00641FB5" w:rsidP="00D5736B">
            <w:pPr>
              <w:numPr>
                <w:ilvl w:val="0"/>
                <w:numId w:val="40"/>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Nakłady inwestycyjne</w:t>
            </w:r>
          </w:p>
          <w:p w14:paraId="3D2E0E66" w14:textId="77777777" w:rsidR="00600DEE" w:rsidRDefault="00641FB5" w:rsidP="00D5736B">
            <w:pPr>
              <w:numPr>
                <w:ilvl w:val="0"/>
                <w:numId w:val="40"/>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Koszty eksploatacji i utrzymania (obejmu</w:t>
            </w:r>
            <w:r>
              <w:rPr>
                <w:rFonts w:ascii="Calibri" w:eastAsia="Calibri" w:hAnsi="Calibri" w:cs="Calibri"/>
                <w:color w:val="222222"/>
                <w:sz w:val="20"/>
                <w:szCs w:val="20"/>
              </w:rPr>
              <w:t>jące zabiegi utrzymaniowe przywracające stan pierwotny określane także jako nakłady odtworzeniowe</w:t>
            </w:r>
            <w:r>
              <w:rPr>
                <w:rFonts w:ascii="Calibri" w:eastAsia="Calibri" w:hAnsi="Calibri" w:cs="Calibri"/>
                <w:color w:val="000000"/>
                <w:sz w:val="20"/>
                <w:szCs w:val="20"/>
              </w:rPr>
              <w:t>)</w:t>
            </w:r>
          </w:p>
          <w:p w14:paraId="2AEB3779" w14:textId="77777777" w:rsidR="00600DEE" w:rsidRDefault="00641FB5" w:rsidP="00D5736B">
            <w:pPr>
              <w:numPr>
                <w:ilvl w:val="0"/>
                <w:numId w:val="40"/>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Wartość rezydualna.</w:t>
            </w:r>
          </w:p>
          <w:p w14:paraId="1CBBDD53"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Przy wskaźnikach dla kapitału krajowego (wskaźniki na (K)), należy uwzględnić wartość projektu w kwocie nakładów przypadających na finansowanie ze środków krajowych, tj. z pominięciem środków pozyskanych z funduszy europejskich i finansowania dłużnego (dedykowanego dla finansowania nakładów inwestycyjnych projektu) oraz przepływy związane ze spłatą finansowania dłużnego (kapitał, odsetki, prowizje i opłaty), w okresach ich wystąpienia. Przychody, koszty eksploatacji i utrzymania oraz wartość rezydualną ujmuje się w takich samych wartościach, jak we wskaźniku na  (C).</w:t>
            </w:r>
          </w:p>
          <w:p w14:paraId="6E266DC0"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Ramowe zestawienie poszczególnych kategorii przepływów uwzględnianych </w:t>
            </w:r>
            <w:r>
              <w:rPr>
                <w:rFonts w:ascii="Calibri" w:eastAsia="Calibri" w:hAnsi="Calibri" w:cs="Calibri"/>
                <w:color w:val="000000"/>
                <w:sz w:val="20"/>
                <w:szCs w:val="20"/>
              </w:rPr>
              <w:br/>
              <w:t xml:space="preserve">w kalkulacji wskaźników z uwzględnieniem znaku, z jakim należy je uwzględniać, przedstawia tabela. Każda kategoria przepływów powinna być ujęta w analizie </w:t>
            </w:r>
            <w:r>
              <w:rPr>
                <w:rFonts w:ascii="Calibri" w:eastAsia="Calibri" w:hAnsi="Calibri" w:cs="Calibri"/>
                <w:color w:val="000000"/>
                <w:sz w:val="20"/>
                <w:szCs w:val="20"/>
              </w:rPr>
              <w:br/>
              <w:t>w okresie (latach) jej występowania.</w:t>
            </w:r>
          </w:p>
          <w:p w14:paraId="534D4C38" w14:textId="556CF695" w:rsidR="00600DEE" w:rsidRDefault="007E2ECA">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Table 27</w:t>
            </w:r>
            <w:r w:rsidR="00641FB5">
              <w:rPr>
                <w:rFonts w:ascii="Calibri" w:eastAsia="Calibri" w:hAnsi="Calibri" w:cs="Calibri"/>
                <w:b/>
                <w:color w:val="4F81BD"/>
                <w:sz w:val="20"/>
                <w:szCs w:val="20"/>
              </w:rPr>
              <w:t>. Elementy analizy (C) i (K)</w:t>
            </w:r>
          </w:p>
          <w:tbl>
            <w:tblPr>
              <w:tblStyle w:val="affffffc"/>
              <w:tblW w:w="69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305"/>
              <w:gridCol w:w="2305"/>
              <w:gridCol w:w="2305"/>
            </w:tblGrid>
            <w:tr w:rsidR="00600DEE" w14:paraId="1E538DA8" w14:textId="77777777" w:rsidTr="00B250FD">
              <w:trPr>
                <w:trHeight w:val="632"/>
              </w:trPr>
              <w:tc>
                <w:tcPr>
                  <w:tcW w:w="2305" w:type="dxa"/>
                  <w:shd w:val="clear" w:color="auto" w:fill="A6A6A6"/>
                  <w:vAlign w:val="center"/>
                </w:tcPr>
                <w:p w14:paraId="5771E8B8"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Przepływy finansowe</w:t>
                  </w:r>
                </w:p>
              </w:tc>
              <w:tc>
                <w:tcPr>
                  <w:tcW w:w="2305" w:type="dxa"/>
                  <w:shd w:val="clear" w:color="auto" w:fill="A6A6A6"/>
                  <w:vAlign w:val="center"/>
                </w:tcPr>
                <w:p w14:paraId="47F9B5A8"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Wskaźniki rentowności dla całej inwestycji</w:t>
                  </w:r>
                </w:p>
                <w:p w14:paraId="51BACD90"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(na (C))</w:t>
                  </w:r>
                </w:p>
              </w:tc>
              <w:tc>
                <w:tcPr>
                  <w:tcW w:w="2305" w:type="dxa"/>
                  <w:shd w:val="clear" w:color="auto" w:fill="A6A6A6"/>
                  <w:vAlign w:val="center"/>
                </w:tcPr>
                <w:p w14:paraId="066CFDDC"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Wskaźniki rentowności dla kapitału krajowego (na (K))</w:t>
                  </w:r>
                </w:p>
              </w:tc>
            </w:tr>
            <w:tr w:rsidR="00600DEE" w14:paraId="7E79C8C2" w14:textId="77777777" w:rsidTr="00B250FD">
              <w:trPr>
                <w:trHeight w:val="205"/>
              </w:trPr>
              <w:tc>
                <w:tcPr>
                  <w:tcW w:w="2305" w:type="dxa"/>
                  <w:shd w:val="clear" w:color="auto" w:fill="DBE5F1"/>
                </w:tcPr>
                <w:p w14:paraId="066E2A5F" w14:textId="77777777" w:rsidR="00600DEE" w:rsidRDefault="00641FB5">
                  <w:pPr>
                    <w:rPr>
                      <w:rFonts w:ascii="Calibri" w:eastAsia="Calibri" w:hAnsi="Calibri" w:cs="Calibri"/>
                      <w:color w:val="4F81BD"/>
                      <w:sz w:val="20"/>
                      <w:szCs w:val="20"/>
                    </w:rPr>
                  </w:pPr>
                  <w:r>
                    <w:rPr>
                      <w:rFonts w:ascii="Calibri" w:eastAsia="Calibri" w:hAnsi="Calibri" w:cs="Calibri"/>
                      <w:color w:val="4F81BD"/>
                      <w:sz w:val="20"/>
                      <w:szCs w:val="20"/>
                    </w:rPr>
                    <w:t>Całkowite nakłady inwestycyjne</w:t>
                  </w:r>
                </w:p>
              </w:tc>
              <w:tc>
                <w:tcPr>
                  <w:tcW w:w="2305" w:type="dxa"/>
                  <w:shd w:val="clear" w:color="auto" w:fill="DBE5F1"/>
                  <w:vAlign w:val="center"/>
                </w:tcPr>
                <w:p w14:paraId="4B5C24CD"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c>
                <w:tcPr>
                  <w:tcW w:w="2305" w:type="dxa"/>
                  <w:shd w:val="clear" w:color="auto" w:fill="DBE5F1"/>
                  <w:vAlign w:val="center"/>
                </w:tcPr>
                <w:p w14:paraId="28FC9F58"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nie dotyczy</w:t>
                  </w:r>
                </w:p>
              </w:tc>
            </w:tr>
            <w:tr w:rsidR="00600DEE" w14:paraId="669E5EC4" w14:textId="77777777" w:rsidTr="00B250FD">
              <w:trPr>
                <w:trHeight w:hRule="exact" w:val="1177"/>
              </w:trPr>
              <w:tc>
                <w:tcPr>
                  <w:tcW w:w="2305" w:type="dxa"/>
                  <w:shd w:val="clear" w:color="auto" w:fill="DBE5F1"/>
                </w:tcPr>
                <w:p w14:paraId="2117B9DB" w14:textId="77777777" w:rsidR="00600DEE" w:rsidRDefault="00641FB5">
                  <w:pPr>
                    <w:rPr>
                      <w:rFonts w:ascii="Calibri" w:eastAsia="Calibri" w:hAnsi="Calibri" w:cs="Calibri"/>
                      <w:color w:val="4F81BD"/>
                      <w:sz w:val="20"/>
                      <w:szCs w:val="20"/>
                    </w:rPr>
                  </w:pPr>
                  <w:r>
                    <w:rPr>
                      <w:rFonts w:ascii="Calibri" w:eastAsia="Calibri" w:hAnsi="Calibri" w:cs="Calibri"/>
                      <w:color w:val="4F81BD"/>
                      <w:sz w:val="20"/>
                      <w:szCs w:val="20"/>
                    </w:rPr>
                    <w:t>Środki krajowe finansujące nakłady (bez wkładu UE i finansowania długiem)</w:t>
                  </w:r>
                </w:p>
              </w:tc>
              <w:tc>
                <w:tcPr>
                  <w:tcW w:w="2305" w:type="dxa"/>
                  <w:shd w:val="clear" w:color="auto" w:fill="DBE5F1"/>
                  <w:vAlign w:val="center"/>
                </w:tcPr>
                <w:p w14:paraId="2641D84F"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nie dotyczy</w:t>
                  </w:r>
                </w:p>
              </w:tc>
              <w:tc>
                <w:tcPr>
                  <w:tcW w:w="2305" w:type="dxa"/>
                  <w:shd w:val="clear" w:color="auto" w:fill="DBE5F1"/>
                  <w:vAlign w:val="center"/>
                </w:tcPr>
                <w:p w14:paraId="471408B2"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r>
            <w:tr w:rsidR="00600DEE" w14:paraId="5ED1C186" w14:textId="77777777" w:rsidTr="00B250FD">
              <w:trPr>
                <w:trHeight w:val="412"/>
              </w:trPr>
              <w:tc>
                <w:tcPr>
                  <w:tcW w:w="2305" w:type="dxa"/>
                  <w:shd w:val="clear" w:color="auto" w:fill="DBE5F1"/>
                </w:tcPr>
                <w:p w14:paraId="64A677B1" w14:textId="77777777" w:rsidR="00600DEE" w:rsidRDefault="00641FB5">
                  <w:pPr>
                    <w:rPr>
                      <w:rFonts w:ascii="Calibri" w:eastAsia="Calibri" w:hAnsi="Calibri" w:cs="Calibri"/>
                      <w:color w:val="4F81BD"/>
                      <w:sz w:val="20"/>
                      <w:szCs w:val="20"/>
                    </w:rPr>
                  </w:pPr>
                  <w:r>
                    <w:rPr>
                      <w:rFonts w:ascii="Calibri" w:eastAsia="Calibri" w:hAnsi="Calibri" w:cs="Calibri"/>
                      <w:color w:val="4F81BD"/>
                      <w:sz w:val="20"/>
                      <w:szCs w:val="20"/>
                    </w:rPr>
                    <w:t>Koszty utrzymania i eksploatacji (przyrostowo W1-W0)</w:t>
                  </w:r>
                </w:p>
              </w:tc>
              <w:tc>
                <w:tcPr>
                  <w:tcW w:w="2305" w:type="dxa"/>
                  <w:shd w:val="clear" w:color="auto" w:fill="DBE5F1"/>
                  <w:vAlign w:val="center"/>
                </w:tcPr>
                <w:p w14:paraId="614AB01E"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c>
                <w:tcPr>
                  <w:tcW w:w="2305" w:type="dxa"/>
                  <w:shd w:val="clear" w:color="auto" w:fill="DBE5F1"/>
                  <w:vAlign w:val="center"/>
                </w:tcPr>
                <w:p w14:paraId="0953618B"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r>
            <w:tr w:rsidR="00600DEE" w14:paraId="328F9A03" w14:textId="77777777" w:rsidTr="00B250FD">
              <w:trPr>
                <w:trHeight w:val="205"/>
              </w:trPr>
              <w:tc>
                <w:tcPr>
                  <w:tcW w:w="2305" w:type="dxa"/>
                  <w:shd w:val="clear" w:color="auto" w:fill="DBE5F1"/>
                </w:tcPr>
                <w:p w14:paraId="2FFA1C14" w14:textId="77777777" w:rsidR="00600DEE" w:rsidRDefault="00641FB5">
                  <w:pPr>
                    <w:rPr>
                      <w:rFonts w:ascii="Calibri" w:eastAsia="Calibri" w:hAnsi="Calibri" w:cs="Calibri"/>
                      <w:color w:val="4F81BD"/>
                      <w:sz w:val="20"/>
                      <w:szCs w:val="20"/>
                    </w:rPr>
                  </w:pPr>
                  <w:r>
                    <w:rPr>
                      <w:rFonts w:ascii="Calibri" w:eastAsia="Calibri" w:hAnsi="Calibri" w:cs="Calibri"/>
                      <w:color w:val="4F81BD"/>
                      <w:sz w:val="20"/>
                      <w:szCs w:val="20"/>
                    </w:rPr>
                    <w:t>Przychody (przyrostowo W1-W0)</w:t>
                  </w:r>
                </w:p>
              </w:tc>
              <w:tc>
                <w:tcPr>
                  <w:tcW w:w="2305" w:type="dxa"/>
                  <w:shd w:val="clear" w:color="auto" w:fill="DBE5F1"/>
                  <w:vAlign w:val="center"/>
                </w:tcPr>
                <w:p w14:paraId="29140269"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c>
                <w:tcPr>
                  <w:tcW w:w="2305" w:type="dxa"/>
                  <w:shd w:val="clear" w:color="auto" w:fill="DBE5F1"/>
                  <w:vAlign w:val="center"/>
                </w:tcPr>
                <w:p w14:paraId="7FAD3322"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r>
            <w:tr w:rsidR="00600DEE" w14:paraId="5255C287" w14:textId="77777777" w:rsidTr="00B250FD">
              <w:trPr>
                <w:trHeight w:val="1177"/>
              </w:trPr>
              <w:tc>
                <w:tcPr>
                  <w:tcW w:w="2305" w:type="dxa"/>
                  <w:shd w:val="clear" w:color="auto" w:fill="DBE5F1"/>
                </w:tcPr>
                <w:p w14:paraId="4A1425E7" w14:textId="77777777" w:rsidR="00600DEE" w:rsidRDefault="00641FB5">
                  <w:pPr>
                    <w:rPr>
                      <w:rFonts w:ascii="Calibri" w:eastAsia="Calibri" w:hAnsi="Calibri" w:cs="Calibri"/>
                      <w:color w:val="4F81BD"/>
                      <w:sz w:val="20"/>
                      <w:szCs w:val="20"/>
                    </w:rPr>
                  </w:pPr>
                  <w:r>
                    <w:rPr>
                      <w:rFonts w:ascii="Calibri" w:eastAsia="Calibri" w:hAnsi="Calibri" w:cs="Calibri"/>
                      <w:color w:val="4F81BD"/>
                      <w:sz w:val="20"/>
                      <w:szCs w:val="20"/>
                    </w:rPr>
                    <w:t>Spłata rat kapitałowych, odsetki oraz inne opłaty i prowizje dla finansowania dłużnego</w:t>
                  </w:r>
                </w:p>
              </w:tc>
              <w:tc>
                <w:tcPr>
                  <w:tcW w:w="2305" w:type="dxa"/>
                  <w:shd w:val="clear" w:color="auto" w:fill="DBE5F1"/>
                  <w:vAlign w:val="center"/>
                </w:tcPr>
                <w:p w14:paraId="01FEED55"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nie dotyczy</w:t>
                  </w:r>
                </w:p>
              </w:tc>
              <w:tc>
                <w:tcPr>
                  <w:tcW w:w="2305" w:type="dxa"/>
                  <w:shd w:val="clear" w:color="auto" w:fill="DBE5F1"/>
                  <w:vAlign w:val="center"/>
                </w:tcPr>
                <w:p w14:paraId="2BE38443"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r>
            <w:tr w:rsidR="00600DEE" w14:paraId="48155ADD" w14:textId="77777777" w:rsidTr="00B250FD">
              <w:trPr>
                <w:trHeight w:val="220"/>
              </w:trPr>
              <w:tc>
                <w:tcPr>
                  <w:tcW w:w="2305" w:type="dxa"/>
                  <w:shd w:val="clear" w:color="auto" w:fill="DBE5F1"/>
                </w:tcPr>
                <w:p w14:paraId="3F148AC3" w14:textId="77777777" w:rsidR="00600DEE" w:rsidRDefault="00641FB5">
                  <w:pPr>
                    <w:rPr>
                      <w:rFonts w:ascii="Calibri" w:eastAsia="Calibri" w:hAnsi="Calibri" w:cs="Calibri"/>
                      <w:color w:val="4F81BD"/>
                      <w:sz w:val="20"/>
                      <w:szCs w:val="20"/>
                    </w:rPr>
                  </w:pPr>
                  <w:r>
                    <w:rPr>
                      <w:rFonts w:ascii="Calibri" w:eastAsia="Calibri" w:hAnsi="Calibri" w:cs="Calibri"/>
                      <w:color w:val="4F81BD"/>
                      <w:sz w:val="20"/>
                      <w:szCs w:val="20"/>
                    </w:rPr>
                    <w:t>Wartość rezydualna</w:t>
                  </w:r>
                </w:p>
              </w:tc>
              <w:tc>
                <w:tcPr>
                  <w:tcW w:w="2305" w:type="dxa"/>
                  <w:shd w:val="clear" w:color="auto" w:fill="DBE5F1"/>
                  <w:vAlign w:val="center"/>
                </w:tcPr>
                <w:p w14:paraId="121C2CE4"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c>
                <w:tcPr>
                  <w:tcW w:w="2305" w:type="dxa"/>
                  <w:shd w:val="clear" w:color="auto" w:fill="DBE5F1"/>
                  <w:vAlign w:val="center"/>
                </w:tcPr>
                <w:p w14:paraId="5DF2D655"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r>
          </w:tbl>
          <w:p w14:paraId="0F8EB3B3" w14:textId="6122EDCE" w:rsidR="000117E4" w:rsidRPr="00841992" w:rsidRDefault="00641FB5" w:rsidP="00841992">
            <w:pPr>
              <w:pBdr>
                <w:top w:val="nil"/>
                <w:left w:val="nil"/>
                <w:bottom w:val="nil"/>
                <w:right w:val="nil"/>
                <w:between w:val="nil"/>
              </w:pBdr>
              <w:spacing w:before="120"/>
              <w:jc w:val="both"/>
              <w:rPr>
                <w:rFonts w:ascii="Calibri" w:eastAsia="Calibri" w:hAnsi="Calibri" w:cs="Calibri"/>
                <w:b/>
                <w:i/>
                <w:color w:val="000000"/>
                <w:sz w:val="16"/>
                <w:szCs w:val="16"/>
              </w:rPr>
            </w:pPr>
            <w:r>
              <w:rPr>
                <w:rFonts w:ascii="Calibri" w:eastAsia="Calibri" w:hAnsi="Calibri" w:cs="Calibri"/>
                <w:b/>
                <w:i/>
                <w:color w:val="000000"/>
                <w:sz w:val="16"/>
                <w:szCs w:val="16"/>
              </w:rPr>
              <w:t>Źródło: opracowanie własne.</w:t>
            </w:r>
          </w:p>
          <w:p w14:paraId="0A597C45" w14:textId="77777777" w:rsidR="007E2ECA" w:rsidRDefault="007E2ECA" w:rsidP="007E2ECA">
            <w:pPr>
              <w:pStyle w:val="anxnormal"/>
              <w:spacing w:after="120"/>
              <w:ind w:left="0"/>
              <w:rPr>
                <w:rFonts w:asciiTheme="minorHAnsi" w:hAnsiTheme="minorHAnsi"/>
              </w:rPr>
            </w:pPr>
            <w:r w:rsidRPr="007E2ECA">
              <w:rPr>
                <w:rFonts w:asciiTheme="minorHAnsi" w:hAnsiTheme="minorHAnsi"/>
              </w:rPr>
              <w:t>W przypadku dużych projektów realizowanych w systemie PPP, analiza finansowa powinna uwzględniać poniższe aspekty zgodnie z „Przewodnikiem do analizy kosztów i korzyści projektów inwestycyjnych - Narzędzie oceny ekonomicznej dla polityki spójności 2014-2020”.</w:t>
            </w:r>
            <w:r>
              <w:rPr>
                <w:rFonts w:asciiTheme="minorHAnsi" w:hAnsiTheme="minorHAnsi"/>
              </w:rPr>
              <w:t xml:space="preserve"> </w:t>
            </w:r>
          </w:p>
          <w:p w14:paraId="4DF5D460"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Po pierwsze, należy przeprowadzić analizę skonsolidowaną w celu obliczenia ogólnej rentowności inwestycji. Po drugie, w celu sprawdzenia rentowności kapitału i aby uniknąć nadmiernie wysokiego zysku ze wsparcia UE, zwrot z kapitału jest obliczany oddzielnie dla partnera prywatnego i partnera publicznego. Wyniki dla partnera prywatnego należy porównać z krajowymi standardami dotyczącymi oczekiwanego zysku w danym sektorze. Zawsze, gdy partner prywatny jest wybierany na podstawie najkorzystniejszego ekonomicznie kryterium przetargowego, w drodze otwartego zamówienia publicznego, zakłada się, że takie dostosowanie do standardów krajowych jest automatycznie spełnione. Wynik dla partnera publicznego powinien być porównywany z finansową stopą dyskontową, w celu sprawdzenia czy projekt nie jest nadmiernie dofinansowany.</w:t>
            </w:r>
          </w:p>
          <w:p w14:paraId="6AE153E5" w14:textId="77777777" w:rsidR="00600DEE" w:rsidRDefault="00641FB5">
            <w:pPr>
              <w:numPr>
                <w:ilvl w:val="0"/>
                <w:numId w:val="1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Stopa zwrotu z kapitału prywatnego - FRR (Kp) </w:t>
            </w:r>
            <w:r>
              <w:rPr>
                <w:rFonts w:ascii="Calibri" w:eastAsia="Calibri" w:hAnsi="Calibri" w:cs="Calibri"/>
                <w:color w:val="333399"/>
                <w:sz w:val="20"/>
                <w:szCs w:val="20"/>
              </w:rPr>
              <w:t>–</w:t>
            </w:r>
            <w:r>
              <w:rPr>
                <w:rFonts w:ascii="Calibri" w:eastAsia="Calibri" w:hAnsi="Calibri" w:cs="Calibri"/>
                <w:color w:val="000000"/>
                <w:sz w:val="20"/>
                <w:szCs w:val="20"/>
              </w:rPr>
              <w:t xml:space="preserve"> oblicza się porównując wszystkie przychody partnera prywatnego, po potrąceniu kosztów operacyjnych, w tym opłaty koncesyjnej, (jeśli była wniesiona), z nakładami finansowymi ponoszonymi w trakcie realizacji inwestycji (zarówno z kapitału własnego jak i pożyczek).</w:t>
            </w:r>
          </w:p>
          <w:p w14:paraId="3D353F2E" w14:textId="0E64FD0D" w:rsidR="00600DEE" w:rsidRDefault="00641FB5">
            <w:pPr>
              <w:numPr>
                <w:ilvl w:val="0"/>
                <w:numId w:val="1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Stopa zwrotu z kapitału publicznego - FRR (Kg) </w:t>
            </w:r>
            <w:r>
              <w:rPr>
                <w:rFonts w:ascii="Calibri" w:eastAsia="Calibri" w:hAnsi="Calibri" w:cs="Calibri"/>
                <w:color w:val="333399"/>
                <w:sz w:val="20"/>
                <w:szCs w:val="20"/>
              </w:rPr>
              <w:t>–</w:t>
            </w:r>
            <w:r>
              <w:rPr>
                <w:rFonts w:ascii="Calibri" w:eastAsia="Calibri" w:hAnsi="Calibri" w:cs="Calibri"/>
                <w:color w:val="000000"/>
                <w:sz w:val="20"/>
                <w:szCs w:val="20"/>
              </w:rPr>
              <w:t xml:space="preserve"> porównuje przychody partnera publicznego, zwykle pochodzące z opłaty koncesyjnej, </w:t>
            </w:r>
            <w:r>
              <w:rPr>
                <w:rFonts w:ascii="Calibri" w:eastAsia="Calibri" w:hAnsi="Calibri" w:cs="Calibri"/>
                <w:color w:val="000000"/>
                <w:sz w:val="20"/>
                <w:szCs w:val="20"/>
              </w:rPr>
              <w:br/>
              <w:t>z wyłączeniem kosztów zarządzania umową, z nakładami finansowymi ponoszonymi w czasie realizacji inwestycji (zarówno z kapitału własnego jak i pożyczek).</w:t>
            </w:r>
          </w:p>
          <w:p w14:paraId="3C388DE6" w14:textId="77777777"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3C4DDC50" w14:textId="77777777"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1B1F6E40" w14:textId="77777777"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524C3AD0" w14:textId="77777777"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2D27A03B" w14:textId="77777777"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3C2E2220" w14:textId="77777777"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39DFE65B" w14:textId="77777777"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37A24451" w14:textId="77777777"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5E575AC1" w14:textId="77777777"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615C5D0B" w14:textId="6723AAAB" w:rsidR="000117E4" w:rsidRDefault="000117E4" w:rsidP="000117E4">
            <w:pPr>
              <w:pBdr>
                <w:top w:val="nil"/>
                <w:left w:val="nil"/>
                <w:bottom w:val="nil"/>
                <w:right w:val="nil"/>
                <w:between w:val="nil"/>
              </w:pBdr>
              <w:spacing w:before="120" w:after="120"/>
              <w:jc w:val="both"/>
              <w:rPr>
                <w:rFonts w:ascii="Calibri" w:eastAsia="Calibri" w:hAnsi="Calibri" w:cs="Calibri"/>
                <w:color w:val="000000"/>
                <w:sz w:val="20"/>
                <w:szCs w:val="20"/>
              </w:rPr>
            </w:pPr>
          </w:p>
        </w:tc>
        <w:tc>
          <w:tcPr>
            <w:tcW w:w="7217" w:type="dxa"/>
            <w:tcBorders>
              <w:left w:val="single" w:sz="4" w:space="0" w:color="000000"/>
            </w:tcBorders>
            <w:tcMar>
              <w:left w:w="284" w:type="dxa"/>
              <w:right w:w="284" w:type="dxa"/>
            </w:tcMar>
          </w:tcPr>
          <w:p w14:paraId="2F6A5BB8"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Assessing financial profitability means calculating financial performance indicators and interpreting the results (only for toll roads).</w:t>
            </w:r>
          </w:p>
          <w:p w14:paraId="1E4D6AD4"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sidRPr="0045151D">
              <w:rPr>
                <w:rFonts w:ascii="Calibri" w:eastAsia="Calibri" w:hAnsi="Calibri" w:cs="Calibri"/>
                <w:color w:val="000000"/>
                <w:sz w:val="20"/>
                <w:szCs w:val="20"/>
                <w:lang w:val="en-GB"/>
              </w:rPr>
              <w:t xml:space="preserve">This point of the analysis involves calculation of financial indicators for the project, on the basis of which the profitability assessment is performed. </w:t>
            </w:r>
            <w:r>
              <w:rPr>
                <w:rFonts w:ascii="Calibri" w:eastAsia="Calibri" w:hAnsi="Calibri" w:cs="Calibri"/>
                <w:color w:val="000000"/>
                <w:sz w:val="20"/>
                <w:szCs w:val="20"/>
              </w:rPr>
              <w:t>Two basic groups of indicators are distinguished:</w:t>
            </w:r>
          </w:p>
          <w:p w14:paraId="1B07F759" w14:textId="77777777" w:rsidR="00600DEE" w:rsidRPr="0045151D" w:rsidRDefault="00641FB5">
            <w:pPr>
              <w:numPr>
                <w:ilvl w:val="0"/>
                <w:numId w:val="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Profitability indicators for the entire investment (project costs) – the so-called indicators with (C),</w:t>
            </w:r>
          </w:p>
          <w:p w14:paraId="1BA8CAE1" w14:textId="77777777" w:rsidR="00600DEE" w:rsidRPr="0045151D" w:rsidRDefault="00641FB5">
            <w:pPr>
              <w:numPr>
                <w:ilvl w:val="0"/>
                <w:numId w:val="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Profitability indicators for the domestic capital – indicators with (K).</w:t>
            </w:r>
          </w:p>
          <w:p w14:paraId="357BE066" w14:textId="77777777" w:rsidR="00600DEE" w:rsidRDefault="00641FB5">
            <w:pPr>
              <w:pBdr>
                <w:top w:val="nil"/>
                <w:left w:val="nil"/>
                <w:bottom w:val="nil"/>
                <w:right w:val="nil"/>
                <w:between w:val="nil"/>
              </w:pBdr>
              <w:spacing w:before="120" w:after="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 xml:space="preserve">Basic indicators include: </w:t>
            </w:r>
          </w:p>
          <w:p w14:paraId="6C5C678B" w14:textId="77777777" w:rsidR="00600DEE" w:rsidRPr="0045151D" w:rsidRDefault="00641FB5">
            <w:pPr>
              <w:numPr>
                <w:ilvl w:val="0"/>
                <w:numId w:val="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Net present value (FNPV) which is the sum of the discounted financial flows of the project,</w:t>
            </w:r>
          </w:p>
          <w:p w14:paraId="2FFD2C12" w14:textId="77777777" w:rsidR="00600DEE" w:rsidRPr="0045151D" w:rsidRDefault="00641FB5">
            <w:pPr>
              <w:numPr>
                <w:ilvl w:val="0"/>
                <w:numId w:val="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Internal rate of return (FRR), specifying the value of the discount rate, for which the net present value reaches zero.</w:t>
            </w:r>
          </w:p>
          <w:p w14:paraId="1E9069A9"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case of calculating the above indicators for the entire investment (indicators with C), it is necessary to include all project flows in the entire time horizon of the analysis, that is:</w:t>
            </w:r>
          </w:p>
          <w:p w14:paraId="253237F0" w14:textId="77777777" w:rsidR="00600DEE" w:rsidRDefault="00641FB5" w:rsidP="00D5736B">
            <w:pPr>
              <w:numPr>
                <w:ilvl w:val="0"/>
                <w:numId w:val="39"/>
              </w:numPr>
              <w:pBdr>
                <w:top w:val="nil"/>
                <w:left w:val="nil"/>
                <w:bottom w:val="nil"/>
                <w:right w:val="nil"/>
                <w:between w:val="nil"/>
              </w:pBdr>
              <w:spacing w:before="120" w:after="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Revenue</w:t>
            </w:r>
          </w:p>
          <w:p w14:paraId="1298A6DD" w14:textId="77777777" w:rsidR="00600DEE" w:rsidRDefault="00641FB5" w:rsidP="00D5736B">
            <w:pPr>
              <w:numPr>
                <w:ilvl w:val="0"/>
                <w:numId w:val="39"/>
              </w:numPr>
              <w:pBdr>
                <w:top w:val="nil"/>
                <w:left w:val="nil"/>
                <w:bottom w:val="nil"/>
                <w:right w:val="nil"/>
                <w:between w:val="nil"/>
              </w:pBdr>
              <w:spacing w:before="120" w:after="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Capital expenditures</w:t>
            </w:r>
          </w:p>
          <w:p w14:paraId="05463A5D" w14:textId="77777777" w:rsidR="00600DEE" w:rsidRPr="0045151D" w:rsidRDefault="00641FB5" w:rsidP="00D5736B">
            <w:pPr>
              <w:numPr>
                <w:ilvl w:val="0"/>
                <w:numId w:val="39"/>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Operating and maintenance costs (including heavy/periodic maintenance also referred to as replacement costs)</w:t>
            </w:r>
          </w:p>
          <w:p w14:paraId="7239BF99" w14:textId="77777777" w:rsidR="00600DEE" w:rsidRDefault="00641FB5" w:rsidP="00D5736B">
            <w:pPr>
              <w:numPr>
                <w:ilvl w:val="0"/>
                <w:numId w:val="39"/>
              </w:numPr>
              <w:pBdr>
                <w:top w:val="nil"/>
                <w:left w:val="nil"/>
                <w:bottom w:val="nil"/>
                <w:right w:val="nil"/>
                <w:between w:val="nil"/>
              </w:pBdr>
              <w:spacing w:before="120" w:after="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Residual value.</w:t>
            </w:r>
          </w:p>
          <w:p w14:paraId="2C784B2B"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case of indicators for the domestic capital (indicators with (K)), it is necessary to take into account the project value in the amount of expenditures for the financing from domestic funds, i.e. omitting funds acquired from European funds and debt financing (dedicated to financing the capital expenditures of the project), and flows connected with repayment of debt financing (principal, interest, commission and fees), in the periods in which they occur. Revenue, operating and maintenance costs, as well as residual value, are recognised in the same values as in the indicator with  (C).</w:t>
            </w:r>
          </w:p>
          <w:p w14:paraId="1DE86A65"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following table presents a framework summary of individual categories of flows included in the calculation of indicators, including the sign with which those flows are to be included. Each category of flows should be recognised in the analysis within the period (years) of its occurrence.</w:t>
            </w:r>
          </w:p>
          <w:p w14:paraId="784659E3" w14:textId="7B6C7A82" w:rsidR="00600DEE" w:rsidRPr="0045151D" w:rsidRDefault="007E2ECA">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27</w:t>
            </w:r>
            <w:r w:rsidR="00641FB5" w:rsidRPr="0045151D">
              <w:rPr>
                <w:rFonts w:ascii="Calibri" w:eastAsia="Calibri" w:hAnsi="Calibri" w:cs="Calibri"/>
                <w:b/>
                <w:color w:val="4F81BD"/>
                <w:sz w:val="20"/>
                <w:szCs w:val="20"/>
                <w:lang w:val="en-GB"/>
              </w:rPr>
              <w:t>. Elements of analysis (C) and (K)</w:t>
            </w:r>
          </w:p>
          <w:tbl>
            <w:tblPr>
              <w:tblStyle w:val="affffffd"/>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253"/>
              <w:gridCol w:w="2311"/>
              <w:gridCol w:w="2375"/>
            </w:tblGrid>
            <w:tr w:rsidR="00600DEE" w:rsidRPr="007463B9" w14:paraId="48D55A2E" w14:textId="77777777">
              <w:trPr>
                <w:trHeight w:val="670"/>
              </w:trPr>
              <w:tc>
                <w:tcPr>
                  <w:tcW w:w="2253" w:type="dxa"/>
                  <w:shd w:val="clear" w:color="auto" w:fill="A6A6A6"/>
                  <w:vAlign w:val="center"/>
                </w:tcPr>
                <w:p w14:paraId="3DF35852" w14:textId="77777777" w:rsidR="00600DEE" w:rsidRDefault="00641FB5">
                  <w:pPr>
                    <w:jc w:val="center"/>
                    <w:rPr>
                      <w:rFonts w:ascii="Calibri" w:eastAsia="Calibri" w:hAnsi="Calibri" w:cs="Calibri"/>
                      <w:b/>
                      <w:color w:val="FFFFFF"/>
                      <w:sz w:val="20"/>
                      <w:szCs w:val="20"/>
                    </w:rPr>
                  </w:pPr>
                  <w:r>
                    <w:rPr>
                      <w:rFonts w:ascii="Calibri" w:eastAsia="Calibri" w:hAnsi="Calibri" w:cs="Calibri"/>
                      <w:b/>
                      <w:color w:val="FFFFFF"/>
                      <w:sz w:val="20"/>
                      <w:szCs w:val="20"/>
                    </w:rPr>
                    <w:t>Financial flows</w:t>
                  </w:r>
                </w:p>
              </w:tc>
              <w:tc>
                <w:tcPr>
                  <w:tcW w:w="2311" w:type="dxa"/>
                  <w:shd w:val="clear" w:color="auto" w:fill="A6A6A6"/>
                  <w:vAlign w:val="center"/>
                </w:tcPr>
                <w:p w14:paraId="3B900932" w14:textId="77777777" w:rsidR="00600DEE" w:rsidRPr="0045151D" w:rsidRDefault="00641FB5">
                  <w:pPr>
                    <w:jc w:val="center"/>
                    <w:rPr>
                      <w:rFonts w:ascii="Calibri" w:eastAsia="Calibri" w:hAnsi="Calibri" w:cs="Calibri"/>
                      <w:b/>
                      <w:color w:val="FFFFFF"/>
                      <w:sz w:val="20"/>
                      <w:szCs w:val="20"/>
                      <w:lang w:val="en-GB"/>
                    </w:rPr>
                  </w:pPr>
                  <w:r w:rsidRPr="0045151D">
                    <w:rPr>
                      <w:rFonts w:ascii="Calibri" w:eastAsia="Calibri" w:hAnsi="Calibri" w:cs="Calibri"/>
                      <w:b/>
                      <w:color w:val="FFFFFF"/>
                      <w:sz w:val="20"/>
                      <w:szCs w:val="20"/>
                      <w:lang w:val="en-GB"/>
                    </w:rPr>
                    <w:t>Profitability indicators for the entire investment (with (C))</w:t>
                  </w:r>
                </w:p>
              </w:tc>
              <w:tc>
                <w:tcPr>
                  <w:tcW w:w="2375" w:type="dxa"/>
                  <w:shd w:val="clear" w:color="auto" w:fill="A6A6A6"/>
                  <w:vAlign w:val="center"/>
                </w:tcPr>
                <w:p w14:paraId="1FBDA0FA" w14:textId="77777777" w:rsidR="00600DEE" w:rsidRPr="0045151D" w:rsidRDefault="00641FB5">
                  <w:pPr>
                    <w:jc w:val="center"/>
                    <w:rPr>
                      <w:rFonts w:ascii="Calibri" w:eastAsia="Calibri" w:hAnsi="Calibri" w:cs="Calibri"/>
                      <w:b/>
                      <w:color w:val="FFFFFF"/>
                      <w:sz w:val="20"/>
                      <w:szCs w:val="20"/>
                      <w:lang w:val="en-GB"/>
                    </w:rPr>
                  </w:pPr>
                  <w:r w:rsidRPr="0045151D">
                    <w:rPr>
                      <w:rFonts w:ascii="Calibri" w:eastAsia="Calibri" w:hAnsi="Calibri" w:cs="Calibri"/>
                      <w:b/>
                      <w:color w:val="FFFFFF"/>
                      <w:sz w:val="20"/>
                      <w:szCs w:val="20"/>
                      <w:lang w:val="en-GB"/>
                    </w:rPr>
                    <w:t>Profitability indicators for the domestic capital (with (K))</w:t>
                  </w:r>
                </w:p>
              </w:tc>
            </w:tr>
            <w:tr w:rsidR="00600DEE" w14:paraId="740CE4F8" w14:textId="77777777">
              <w:trPr>
                <w:trHeight w:val="218"/>
              </w:trPr>
              <w:tc>
                <w:tcPr>
                  <w:tcW w:w="2253" w:type="dxa"/>
                  <w:shd w:val="clear" w:color="auto" w:fill="DBE5F1"/>
                </w:tcPr>
                <w:p w14:paraId="3BF17BDD" w14:textId="77777777" w:rsidR="00600DEE" w:rsidRDefault="00641FB5" w:rsidP="00841992">
                  <w:pPr>
                    <w:jc w:val="center"/>
                    <w:rPr>
                      <w:rFonts w:ascii="Calibri" w:eastAsia="Calibri" w:hAnsi="Calibri" w:cs="Calibri"/>
                      <w:color w:val="4F81BD"/>
                      <w:sz w:val="20"/>
                      <w:szCs w:val="20"/>
                    </w:rPr>
                  </w:pPr>
                  <w:r>
                    <w:rPr>
                      <w:rFonts w:ascii="Calibri" w:eastAsia="Calibri" w:hAnsi="Calibri" w:cs="Calibri"/>
                      <w:color w:val="4F81BD"/>
                      <w:sz w:val="20"/>
                      <w:szCs w:val="20"/>
                    </w:rPr>
                    <w:t>Total capital expenditure</w:t>
                  </w:r>
                </w:p>
              </w:tc>
              <w:tc>
                <w:tcPr>
                  <w:tcW w:w="2311" w:type="dxa"/>
                  <w:shd w:val="clear" w:color="auto" w:fill="DBE5F1"/>
                  <w:vAlign w:val="center"/>
                </w:tcPr>
                <w:p w14:paraId="3A29AF5E"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c>
                <w:tcPr>
                  <w:tcW w:w="2375" w:type="dxa"/>
                  <w:shd w:val="clear" w:color="auto" w:fill="DBE5F1"/>
                  <w:vAlign w:val="center"/>
                </w:tcPr>
                <w:p w14:paraId="6C397A12" w14:textId="77777777" w:rsidR="00600DEE" w:rsidRDefault="00641FB5">
                  <w:pPr>
                    <w:jc w:val="center"/>
                    <w:rPr>
                      <w:rFonts w:ascii="Calibri" w:eastAsia="Calibri" w:hAnsi="Calibri" w:cs="Calibri"/>
                      <w:i/>
                      <w:color w:val="4F81BD"/>
                      <w:sz w:val="20"/>
                      <w:szCs w:val="20"/>
                    </w:rPr>
                  </w:pPr>
                  <w:r>
                    <w:rPr>
                      <w:rFonts w:ascii="Calibri" w:eastAsia="Calibri" w:hAnsi="Calibri" w:cs="Calibri"/>
                      <w:i/>
                      <w:color w:val="4F81BD"/>
                      <w:sz w:val="20"/>
                      <w:szCs w:val="20"/>
                    </w:rPr>
                    <w:t>not applicable</w:t>
                  </w:r>
                </w:p>
              </w:tc>
            </w:tr>
            <w:tr w:rsidR="00600DEE" w14:paraId="59CBA574" w14:textId="77777777" w:rsidTr="00841992">
              <w:trPr>
                <w:trHeight w:hRule="exact" w:val="1247"/>
              </w:trPr>
              <w:tc>
                <w:tcPr>
                  <w:tcW w:w="2253" w:type="dxa"/>
                  <w:shd w:val="clear" w:color="auto" w:fill="DBE5F1"/>
                </w:tcPr>
                <w:p w14:paraId="2DB8F59B" w14:textId="77777777" w:rsidR="00600DEE" w:rsidRPr="0045151D" w:rsidRDefault="00641FB5" w:rsidP="00841992">
                  <w:pPr>
                    <w:jc w:val="center"/>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Domestic funds financing expenditure (without EU contribution and debt financing)</w:t>
                  </w:r>
                </w:p>
              </w:tc>
              <w:tc>
                <w:tcPr>
                  <w:tcW w:w="2311" w:type="dxa"/>
                  <w:shd w:val="clear" w:color="auto" w:fill="DBE5F1"/>
                  <w:vAlign w:val="center"/>
                </w:tcPr>
                <w:p w14:paraId="2BB30A5C" w14:textId="77777777" w:rsidR="00600DEE" w:rsidRDefault="00641FB5">
                  <w:pPr>
                    <w:jc w:val="center"/>
                    <w:rPr>
                      <w:rFonts w:ascii="Calibri" w:eastAsia="Calibri" w:hAnsi="Calibri" w:cs="Calibri"/>
                      <w:i/>
                      <w:color w:val="4F81BD"/>
                      <w:sz w:val="20"/>
                      <w:szCs w:val="20"/>
                    </w:rPr>
                  </w:pPr>
                  <w:r>
                    <w:rPr>
                      <w:rFonts w:ascii="Calibri" w:eastAsia="Calibri" w:hAnsi="Calibri" w:cs="Calibri"/>
                      <w:i/>
                      <w:color w:val="4F81BD"/>
                      <w:sz w:val="20"/>
                      <w:szCs w:val="20"/>
                    </w:rPr>
                    <w:t>not applicable</w:t>
                  </w:r>
                </w:p>
              </w:tc>
              <w:tc>
                <w:tcPr>
                  <w:tcW w:w="2375" w:type="dxa"/>
                  <w:shd w:val="clear" w:color="auto" w:fill="DBE5F1"/>
                  <w:vAlign w:val="center"/>
                </w:tcPr>
                <w:p w14:paraId="0EA1371A"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r>
            <w:tr w:rsidR="00600DEE" w14:paraId="7A93C295" w14:textId="77777777">
              <w:trPr>
                <w:trHeight w:val="437"/>
              </w:trPr>
              <w:tc>
                <w:tcPr>
                  <w:tcW w:w="2253" w:type="dxa"/>
                  <w:shd w:val="clear" w:color="auto" w:fill="DBE5F1"/>
                </w:tcPr>
                <w:p w14:paraId="74973824" w14:textId="77777777" w:rsidR="00600DEE" w:rsidRPr="0045151D" w:rsidRDefault="00641FB5" w:rsidP="00841992">
                  <w:pPr>
                    <w:jc w:val="center"/>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Maintenance and operating costs (incremental W1 – W0)</w:t>
                  </w:r>
                </w:p>
              </w:tc>
              <w:tc>
                <w:tcPr>
                  <w:tcW w:w="2311" w:type="dxa"/>
                  <w:shd w:val="clear" w:color="auto" w:fill="DBE5F1"/>
                  <w:vAlign w:val="center"/>
                </w:tcPr>
                <w:p w14:paraId="6851B795"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c>
                <w:tcPr>
                  <w:tcW w:w="2375" w:type="dxa"/>
                  <w:shd w:val="clear" w:color="auto" w:fill="DBE5F1"/>
                  <w:vAlign w:val="center"/>
                </w:tcPr>
                <w:p w14:paraId="21FCCEBC"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r>
            <w:tr w:rsidR="00600DEE" w14:paraId="2884A556" w14:textId="77777777">
              <w:trPr>
                <w:trHeight w:val="218"/>
              </w:trPr>
              <w:tc>
                <w:tcPr>
                  <w:tcW w:w="2253" w:type="dxa"/>
                  <w:shd w:val="clear" w:color="auto" w:fill="DBE5F1"/>
                </w:tcPr>
                <w:p w14:paraId="119CC87D" w14:textId="77777777" w:rsidR="00600DEE" w:rsidRDefault="00641FB5" w:rsidP="00841992">
                  <w:pPr>
                    <w:jc w:val="center"/>
                    <w:rPr>
                      <w:rFonts w:ascii="Calibri" w:eastAsia="Calibri" w:hAnsi="Calibri" w:cs="Calibri"/>
                      <w:color w:val="4F81BD"/>
                      <w:sz w:val="20"/>
                      <w:szCs w:val="20"/>
                    </w:rPr>
                  </w:pPr>
                  <w:r>
                    <w:rPr>
                      <w:rFonts w:ascii="Calibri" w:eastAsia="Calibri" w:hAnsi="Calibri" w:cs="Calibri"/>
                      <w:color w:val="4F81BD"/>
                      <w:sz w:val="20"/>
                      <w:szCs w:val="20"/>
                    </w:rPr>
                    <w:t>Revenue (incremental W1 – W0)</w:t>
                  </w:r>
                </w:p>
              </w:tc>
              <w:tc>
                <w:tcPr>
                  <w:tcW w:w="2311" w:type="dxa"/>
                  <w:shd w:val="clear" w:color="auto" w:fill="DBE5F1"/>
                  <w:vAlign w:val="center"/>
                </w:tcPr>
                <w:p w14:paraId="46C42EB7"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c>
                <w:tcPr>
                  <w:tcW w:w="2375" w:type="dxa"/>
                  <w:shd w:val="clear" w:color="auto" w:fill="DBE5F1"/>
                  <w:vAlign w:val="center"/>
                </w:tcPr>
                <w:p w14:paraId="6F40EB02" w14:textId="77777777" w:rsidR="00600DEE" w:rsidRDefault="00641FB5">
                  <w:pPr>
                    <w:jc w:val="center"/>
                    <w:rPr>
                      <w:rFonts w:ascii="Calibri" w:eastAsia="Calibri" w:hAnsi="Calibri" w:cs="Calibri"/>
                      <w:color w:val="4F81BD"/>
                      <w:sz w:val="20"/>
                      <w:szCs w:val="20"/>
                    </w:rPr>
                  </w:pPr>
                  <w:r>
                    <w:rPr>
                      <w:rFonts w:ascii="Calibri" w:eastAsia="Calibri" w:hAnsi="Calibri" w:cs="Calibri"/>
                      <w:color w:val="4F81BD"/>
                      <w:sz w:val="20"/>
                      <w:szCs w:val="20"/>
                    </w:rPr>
                    <w:t>(+)</w:t>
                  </w:r>
                </w:p>
              </w:tc>
            </w:tr>
            <w:tr w:rsidR="00600DEE" w:rsidRPr="007463B9" w14:paraId="1693B5BD" w14:textId="77777777" w:rsidTr="00841992">
              <w:trPr>
                <w:trHeight w:val="1247"/>
              </w:trPr>
              <w:tc>
                <w:tcPr>
                  <w:tcW w:w="2253" w:type="dxa"/>
                  <w:shd w:val="clear" w:color="auto" w:fill="DBE5F1"/>
                </w:tcPr>
                <w:p w14:paraId="03C7A698" w14:textId="77777777" w:rsidR="00600DEE" w:rsidRPr="0045151D" w:rsidRDefault="00641FB5" w:rsidP="00841992">
                  <w:pPr>
                    <w:jc w:val="center"/>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Repayment of principal instalments, interest and other fees and commission for debt financing</w:t>
                  </w:r>
                </w:p>
              </w:tc>
              <w:tc>
                <w:tcPr>
                  <w:tcW w:w="2311" w:type="dxa"/>
                  <w:shd w:val="clear" w:color="auto" w:fill="DBE5F1"/>
                  <w:vAlign w:val="center"/>
                </w:tcPr>
                <w:p w14:paraId="1D4EBA3C" w14:textId="77777777" w:rsidR="00600DEE" w:rsidRPr="0045151D" w:rsidRDefault="00641FB5">
                  <w:pPr>
                    <w:jc w:val="center"/>
                    <w:rPr>
                      <w:rFonts w:ascii="Calibri" w:eastAsia="Calibri" w:hAnsi="Calibri" w:cs="Calibri"/>
                      <w:color w:val="4F81BD"/>
                      <w:sz w:val="20"/>
                      <w:szCs w:val="20"/>
                      <w:lang w:val="en-GB"/>
                    </w:rPr>
                  </w:pPr>
                  <w:r w:rsidRPr="0045151D">
                    <w:rPr>
                      <w:rFonts w:ascii="Calibri" w:eastAsia="Calibri" w:hAnsi="Calibri" w:cs="Calibri"/>
                      <w:i/>
                      <w:color w:val="4F81BD"/>
                      <w:sz w:val="20"/>
                      <w:szCs w:val="20"/>
                      <w:lang w:val="en-GB"/>
                    </w:rPr>
                    <w:t>not applicable</w:t>
                  </w:r>
                </w:p>
              </w:tc>
              <w:tc>
                <w:tcPr>
                  <w:tcW w:w="2375" w:type="dxa"/>
                  <w:shd w:val="clear" w:color="auto" w:fill="DBE5F1"/>
                  <w:vAlign w:val="center"/>
                </w:tcPr>
                <w:p w14:paraId="704B5F4B" w14:textId="77777777" w:rsidR="00600DEE" w:rsidRPr="0045151D" w:rsidRDefault="00641FB5">
                  <w:pPr>
                    <w:jc w:val="center"/>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w:t>
                  </w:r>
                </w:p>
              </w:tc>
            </w:tr>
            <w:tr w:rsidR="00600DEE" w:rsidRPr="007463B9" w14:paraId="5D6A63D1" w14:textId="77777777">
              <w:trPr>
                <w:trHeight w:val="233"/>
              </w:trPr>
              <w:tc>
                <w:tcPr>
                  <w:tcW w:w="2253" w:type="dxa"/>
                  <w:shd w:val="clear" w:color="auto" w:fill="DBE5F1"/>
                </w:tcPr>
                <w:p w14:paraId="3BAFBFF2" w14:textId="77777777" w:rsidR="00600DEE" w:rsidRPr="0045151D" w:rsidRDefault="00641FB5">
                  <w:pPr>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Residual value</w:t>
                  </w:r>
                </w:p>
              </w:tc>
              <w:tc>
                <w:tcPr>
                  <w:tcW w:w="2311" w:type="dxa"/>
                  <w:shd w:val="clear" w:color="auto" w:fill="DBE5F1"/>
                  <w:vAlign w:val="center"/>
                </w:tcPr>
                <w:p w14:paraId="606367CD" w14:textId="77777777" w:rsidR="00600DEE" w:rsidRPr="0045151D" w:rsidRDefault="00641FB5">
                  <w:pPr>
                    <w:jc w:val="center"/>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w:t>
                  </w:r>
                </w:p>
              </w:tc>
              <w:tc>
                <w:tcPr>
                  <w:tcW w:w="2375" w:type="dxa"/>
                  <w:shd w:val="clear" w:color="auto" w:fill="DBE5F1"/>
                  <w:vAlign w:val="center"/>
                </w:tcPr>
                <w:p w14:paraId="609208D9" w14:textId="77777777" w:rsidR="00600DEE" w:rsidRPr="0045151D" w:rsidRDefault="00641FB5">
                  <w:pPr>
                    <w:jc w:val="center"/>
                    <w:rPr>
                      <w:rFonts w:ascii="Calibri" w:eastAsia="Calibri" w:hAnsi="Calibri" w:cs="Calibri"/>
                      <w:color w:val="4F81BD"/>
                      <w:sz w:val="20"/>
                      <w:szCs w:val="20"/>
                      <w:lang w:val="en-GB"/>
                    </w:rPr>
                  </w:pPr>
                  <w:r w:rsidRPr="0045151D">
                    <w:rPr>
                      <w:rFonts w:ascii="Calibri" w:eastAsia="Calibri" w:hAnsi="Calibri" w:cs="Calibri"/>
                      <w:color w:val="4F81BD"/>
                      <w:sz w:val="20"/>
                      <w:szCs w:val="20"/>
                      <w:lang w:val="en-GB"/>
                    </w:rPr>
                    <w:t>(+)</w:t>
                  </w:r>
                </w:p>
              </w:tc>
            </w:tr>
          </w:tbl>
          <w:p w14:paraId="558433D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7282F7C0" w14:textId="77777777" w:rsidR="007E2ECA" w:rsidRDefault="007E2ECA" w:rsidP="007E2ECA">
            <w:pPr>
              <w:pStyle w:val="anxnormal"/>
              <w:spacing w:after="120"/>
              <w:ind w:left="0"/>
              <w:rPr>
                <w:rFonts w:asciiTheme="minorHAnsi" w:hAnsiTheme="minorHAnsi"/>
                <w:lang w:val="en-GB"/>
              </w:rPr>
            </w:pPr>
            <w:r w:rsidRPr="00B52A29">
              <w:rPr>
                <w:rFonts w:asciiTheme="minorHAnsi" w:hAnsiTheme="minorHAnsi"/>
                <w:lang w:val="en-GB"/>
              </w:rPr>
              <w:t>For major projects implemented as a PPP, financial analysis should consider the aspects below in accordance with the ”Guide to Cost-benefit Analysis of Investment Projects - Economic appraisal tool for Cohesion Policy 2014-2020”.</w:t>
            </w:r>
            <w:r>
              <w:rPr>
                <w:rFonts w:asciiTheme="minorHAnsi" w:hAnsiTheme="minorHAnsi"/>
                <w:lang w:val="en-GB"/>
              </w:rPr>
              <w:t xml:space="preserve"> </w:t>
            </w:r>
          </w:p>
          <w:p w14:paraId="4BC5ED63" w14:textId="77777777" w:rsidR="00600DEE" w:rsidRPr="0045151D" w:rsidRDefault="00641FB5" w:rsidP="000117E4">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Firstly, a consolidated analysis should be carried out in order to calculate the overall investment profitability. Secondly, in order to check profitability of the capital to avoid unduly high profit generated by the EU support, the return on capital shall be calculated separately for the private partner and public partner. The results for the private partner shall be compared with national benchmarks on expected profitability in the given sector. Whenever the private partner is selected on the basis of the most economically advantageous tender criterion, through open public procurement, it is expected that such alignment with national benchmarks is automatically fulfilled. The result for the public partner should be compared with the financial discount rate in order to ensure the project is not over-financed.</w:t>
            </w:r>
          </w:p>
          <w:p w14:paraId="0330DBD7" w14:textId="77777777" w:rsidR="00600DEE" w:rsidRPr="0045151D" w:rsidRDefault="00600DEE">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046E77AA" w14:textId="77777777" w:rsidR="00600DEE" w:rsidRPr="0045151D" w:rsidRDefault="00641FB5">
            <w:pPr>
              <w:numPr>
                <w:ilvl w:val="0"/>
                <w:numId w:val="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rate of return on private equity – FRR(Kp) – compares all the revenues accrued by the private partner, net of the operational costs borne, including the concession fee (if any), with the financial resources provided during investment (either through equity or loans). </w:t>
            </w:r>
          </w:p>
          <w:p w14:paraId="1CF15CD9" w14:textId="77777777" w:rsidR="00600DEE" w:rsidRPr="0045151D" w:rsidRDefault="00641FB5">
            <w:pPr>
              <w:numPr>
                <w:ilvl w:val="0"/>
                <w:numId w:val="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rate of return on public equity - FRR(Kg) – compares all the revenues accrued by the public partner, usually coming from the concession fee, net of the managerial costs of the contract, with the resources provided during investment (either through equity or loans).</w:t>
            </w:r>
          </w:p>
        </w:tc>
      </w:tr>
    </w:tbl>
    <w:p w14:paraId="43BAECED" w14:textId="47471ACC" w:rsidR="00600DEE" w:rsidRPr="0045151D" w:rsidRDefault="00641FB5" w:rsidP="00D5736B">
      <w:pPr>
        <w:pStyle w:val="Nagwek2"/>
        <w:numPr>
          <w:ilvl w:val="1"/>
          <w:numId w:val="17"/>
        </w:numPr>
        <w:ind w:left="0" w:firstLine="0"/>
        <w:rPr>
          <w:rFonts w:ascii="Calibri" w:eastAsia="Calibri" w:hAnsi="Calibri" w:cs="Calibri"/>
          <w:color w:val="4F81BD"/>
          <w:lang w:val="pl-PL"/>
        </w:rPr>
      </w:pPr>
      <w:bookmarkStart w:id="103" w:name="_Toc95378006"/>
      <w:r w:rsidRPr="0045151D">
        <w:rPr>
          <w:rFonts w:ascii="Calibri" w:eastAsia="Calibri" w:hAnsi="Calibri" w:cs="Calibri"/>
          <w:color w:val="4F81BD"/>
          <w:lang w:val="pl-PL"/>
        </w:rPr>
        <w:t xml:space="preserve">Trwałość finansowa i trwałość funkcjonalna projektu       </w:t>
      </w:r>
      <w:r w:rsidRPr="0045151D">
        <w:rPr>
          <w:rFonts w:ascii="Calibri" w:eastAsia="Calibri" w:hAnsi="Calibri" w:cs="Calibri"/>
          <w:i/>
          <w:color w:val="4F81BD"/>
          <w:lang w:val="pl-PL"/>
        </w:rPr>
        <w:t>3.</w:t>
      </w:r>
      <w:r w:rsidR="007022E3" w:rsidRPr="0045151D">
        <w:rPr>
          <w:rFonts w:ascii="Calibri" w:eastAsia="Calibri" w:hAnsi="Calibri" w:cs="Calibri"/>
          <w:i/>
          <w:color w:val="4F81BD"/>
          <w:lang w:val="pl-PL"/>
        </w:rPr>
        <w:t>5</w:t>
      </w:r>
      <w:r w:rsidRPr="0045151D">
        <w:rPr>
          <w:rFonts w:ascii="Calibri" w:eastAsia="Calibri" w:hAnsi="Calibri" w:cs="Calibri"/>
          <w:color w:val="4F81BD"/>
          <w:lang w:val="pl-PL"/>
        </w:rPr>
        <w:t xml:space="preserve">   </w:t>
      </w:r>
      <w:r w:rsidRPr="0045151D">
        <w:rPr>
          <w:rFonts w:ascii="Calibri" w:eastAsia="Calibri" w:hAnsi="Calibri" w:cs="Calibri"/>
          <w:i/>
          <w:color w:val="4F81BD"/>
          <w:lang w:val="pl-PL"/>
        </w:rPr>
        <w:t>Financial and functional sustainability of the project</w:t>
      </w:r>
      <w:bookmarkEnd w:id="103"/>
    </w:p>
    <w:tbl>
      <w:tblPr>
        <w:tblStyle w:val="affffffe"/>
        <w:tblW w:w="14571" w:type="dxa"/>
        <w:tblLayout w:type="fixed"/>
        <w:tblLook w:val="0400" w:firstRow="0" w:lastRow="0" w:firstColumn="0" w:lastColumn="0" w:noHBand="0" w:noVBand="1"/>
      </w:tblPr>
      <w:tblGrid>
        <w:gridCol w:w="7370"/>
        <w:gridCol w:w="7201"/>
      </w:tblGrid>
      <w:tr w:rsidR="00600DEE" w:rsidRPr="007463B9" w14:paraId="5B8FA4B2" w14:textId="77777777">
        <w:tc>
          <w:tcPr>
            <w:tcW w:w="7370" w:type="dxa"/>
            <w:tcBorders>
              <w:right w:val="single" w:sz="4" w:space="0" w:color="000000"/>
            </w:tcBorders>
            <w:tcMar>
              <w:left w:w="284" w:type="dxa"/>
              <w:right w:w="284" w:type="dxa"/>
            </w:tcMar>
          </w:tcPr>
          <w:p w14:paraId="7520113E" w14:textId="1AFA5608"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Projekt uważa się za trwały finansowo, jeżeli nie stwierdzono ryzyka niedoboru finansowego zarówno w fazie budowy jak i eksploatacji. Celem weryfikacji (sprawdzenia) trwałości finansowej projektów infrastruktury drogowej jest wykazanie zdolności Beneficjenta do ponoszenia wszystkich wydatków finansowych niezbędnych do eksploatacji i utrzymania infrastruktury drogowej (w tym obiektów inżynierskich, systemów zarządzania ruchem i poboru opłat) we właściwym stanie w całym okresie eksploatacji projektu. Należy uwzględnić wszystkie koszty, w tym koszty bieżącego utrzymania i eksploatacji, a także koszty remontów. Wprawdzie taka analiza dotyczy aspektów utrzymaniowych związanych z danym projektem, tym niemniej trwałość na poziomie całej sieci drogowej powinna być przedmiotem właściwej troski i skutecznego podejścia do jej z</w:t>
            </w:r>
            <w:r w:rsidR="00B250FD">
              <w:rPr>
                <w:rFonts w:ascii="Calibri" w:eastAsia="Calibri" w:hAnsi="Calibri" w:cs="Calibri"/>
                <w:color w:val="000000"/>
                <w:sz w:val="20"/>
                <w:szCs w:val="20"/>
              </w:rPr>
              <w:t>apewnienia. Mając to na uwadze,</w:t>
            </w:r>
            <w:r>
              <w:rPr>
                <w:rFonts w:ascii="Calibri" w:eastAsia="Calibri" w:hAnsi="Calibri" w:cs="Calibri"/>
                <w:color w:val="000000"/>
                <w:sz w:val="20"/>
                <w:szCs w:val="20"/>
              </w:rPr>
              <w:t xml:space="preserve"> potencjalne przychody generowane z opłat od użytkowników (myto) powinny być w pierwszej kolejności przeznaczone na utrzymanie istniejącej sieci, a nie na budowę nowych odcinków.</w:t>
            </w:r>
          </w:p>
          <w:p w14:paraId="6A426CDC"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Beneficjent projektu musi udowodnić lub jednoznacznie się zobowiązać, że dysponuje wystarczającymi zasobami finansowymi, które w kolejnych latach w pełni pokryją niezbędne wydatki związane z zapewnieniem odpowiedniego standardu infrastruktury drogowej. W przypadku projektów generujących dochód, przychody te muszą być wystarczające na pokrycie kosztów eksploatacji i utrzymania; w przeciwnym wypadku powinny być uzupełnione o dotacje operacyjne tak, aby zapewnić utrzymanie na właściwym poziomie. Oznacza to, że skumulowane (niezdyskontowane) przepływy pieniężne netto powinny być nieujemne we wszystkich latach rozpatrywanego horyzontu czasowego. W przypadku projektów, które nie generują dochodu, powinno się wykazać długoterminowe zobowiązanie Beneficjenta/operatora do zapewnienia odpowiednich środków z innych źródeł służących zapewnieniu trwałości projektu.</w:t>
            </w:r>
          </w:p>
          <w:p w14:paraId="11571F26"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celu sprawdzenia trwałości finansowej projektu należy wykorzystać następujące zestawienia przepływów pieniężnych:</w:t>
            </w:r>
          </w:p>
          <w:p w14:paraId="5652A582" w14:textId="77777777" w:rsidR="00600DEE" w:rsidRDefault="00641FB5" w:rsidP="00D5736B">
            <w:pPr>
              <w:numPr>
                <w:ilvl w:val="0"/>
                <w:numId w:val="28"/>
              </w:numPr>
              <w:pBdr>
                <w:top w:val="nil"/>
                <w:left w:val="nil"/>
                <w:bottom w:val="nil"/>
                <w:right w:val="nil"/>
                <w:between w:val="nil"/>
              </w:pBdr>
              <w:spacing w:before="120" w:after="120"/>
              <w:ind w:left="0" w:firstLine="0"/>
              <w:jc w:val="both"/>
              <w:rPr>
                <w:rFonts w:ascii="Calibri" w:eastAsia="Calibri" w:hAnsi="Calibri" w:cs="Calibri"/>
                <w:color w:val="000000"/>
                <w:sz w:val="20"/>
                <w:szCs w:val="20"/>
              </w:rPr>
            </w:pPr>
            <w:r>
              <w:rPr>
                <w:rFonts w:ascii="Calibri" w:eastAsia="Calibri" w:hAnsi="Calibri" w:cs="Calibri"/>
                <w:color w:val="000000"/>
                <w:sz w:val="20"/>
                <w:szCs w:val="20"/>
              </w:rPr>
              <w:t>koszty eksploatacji i utrzymania                                                  (-)</w:t>
            </w:r>
          </w:p>
          <w:p w14:paraId="3BA4489D" w14:textId="77777777" w:rsidR="00600DEE" w:rsidRDefault="00641FB5" w:rsidP="00D5736B">
            <w:pPr>
              <w:numPr>
                <w:ilvl w:val="0"/>
                <w:numId w:val="28"/>
              </w:numPr>
              <w:pBdr>
                <w:top w:val="nil"/>
                <w:left w:val="nil"/>
                <w:bottom w:val="nil"/>
                <w:right w:val="nil"/>
                <w:between w:val="nil"/>
              </w:pBdr>
              <w:spacing w:before="120" w:after="120"/>
              <w:ind w:left="0" w:firstLine="0"/>
              <w:jc w:val="both"/>
              <w:rPr>
                <w:rFonts w:ascii="Calibri" w:eastAsia="Calibri" w:hAnsi="Calibri" w:cs="Calibri"/>
                <w:color w:val="000000"/>
                <w:sz w:val="20"/>
                <w:szCs w:val="20"/>
              </w:rPr>
            </w:pPr>
            <w:r>
              <w:rPr>
                <w:rFonts w:ascii="Calibri" w:eastAsia="Calibri" w:hAnsi="Calibri" w:cs="Calibri"/>
                <w:color w:val="000000"/>
                <w:sz w:val="20"/>
                <w:szCs w:val="20"/>
              </w:rPr>
              <w:t>pożyczki i kredyty (jeżeli ma zastosowanie)                               (-)</w:t>
            </w:r>
          </w:p>
          <w:p w14:paraId="28828774" w14:textId="77777777" w:rsidR="00600DEE" w:rsidRDefault="00641FB5" w:rsidP="00D5736B">
            <w:pPr>
              <w:numPr>
                <w:ilvl w:val="0"/>
                <w:numId w:val="28"/>
              </w:numPr>
              <w:pBdr>
                <w:top w:val="nil"/>
                <w:left w:val="nil"/>
                <w:bottom w:val="nil"/>
                <w:right w:val="nil"/>
                <w:between w:val="nil"/>
              </w:pBdr>
              <w:spacing w:before="120" w:after="120"/>
              <w:ind w:left="0" w:firstLine="0"/>
              <w:jc w:val="both"/>
              <w:rPr>
                <w:rFonts w:ascii="Calibri" w:eastAsia="Calibri" w:hAnsi="Calibri" w:cs="Calibri"/>
                <w:color w:val="000000"/>
                <w:sz w:val="20"/>
                <w:szCs w:val="20"/>
              </w:rPr>
            </w:pPr>
            <w:r>
              <w:rPr>
                <w:rFonts w:ascii="Calibri" w:eastAsia="Calibri" w:hAnsi="Calibri" w:cs="Calibri"/>
                <w:color w:val="000000"/>
                <w:sz w:val="20"/>
                <w:szCs w:val="20"/>
              </w:rPr>
              <w:t>przychody                                                                                     (+)</w:t>
            </w:r>
          </w:p>
          <w:p w14:paraId="32932D81" w14:textId="0560D642" w:rsidR="00600DEE" w:rsidRDefault="00641FB5" w:rsidP="00D5736B">
            <w:pPr>
              <w:numPr>
                <w:ilvl w:val="0"/>
                <w:numId w:val="28"/>
              </w:numPr>
              <w:pBdr>
                <w:top w:val="nil"/>
                <w:left w:val="nil"/>
                <w:bottom w:val="nil"/>
                <w:right w:val="nil"/>
                <w:between w:val="nil"/>
              </w:pBdr>
              <w:spacing w:before="120" w:after="120"/>
              <w:ind w:left="0" w:firstLine="0"/>
              <w:jc w:val="both"/>
              <w:rPr>
                <w:rFonts w:ascii="Calibri" w:eastAsia="Calibri" w:hAnsi="Calibri" w:cs="Calibri"/>
                <w:color w:val="000000"/>
                <w:sz w:val="20"/>
                <w:szCs w:val="20"/>
              </w:rPr>
            </w:pPr>
            <w:r>
              <w:rPr>
                <w:rFonts w:ascii="Calibri" w:eastAsia="Calibri" w:hAnsi="Calibri" w:cs="Calibri"/>
                <w:color w:val="000000"/>
                <w:sz w:val="20"/>
                <w:szCs w:val="20"/>
              </w:rPr>
              <w:t>wszystkie zasoby finansowe (subsydia</w:t>
            </w:r>
            <w:r w:rsidR="00B250FD">
              <w:rPr>
                <w:rFonts w:ascii="Calibri" w:eastAsia="Calibri" w:hAnsi="Calibri" w:cs="Calibri"/>
                <w:color w:val="000000"/>
                <w:sz w:val="20"/>
                <w:szCs w:val="20"/>
              </w:rPr>
              <w:t xml:space="preserve"> krajowe)                   </w:t>
            </w:r>
            <w:r>
              <w:rPr>
                <w:rFonts w:ascii="Calibri" w:eastAsia="Calibri" w:hAnsi="Calibri" w:cs="Calibri"/>
                <w:color w:val="000000"/>
                <w:sz w:val="20"/>
                <w:szCs w:val="20"/>
              </w:rPr>
              <w:t>(+)</w:t>
            </w:r>
          </w:p>
          <w:p w14:paraId="534588D3" w14:textId="768F8856"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Zalecana forma prezentacji znajduje się poniżej.</w:t>
            </w:r>
          </w:p>
          <w:p w14:paraId="7B6E3CE8" w14:textId="77777777" w:rsidR="000117E4" w:rsidRDefault="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2D9EF420" w14:textId="26AC1247" w:rsidR="00600DEE" w:rsidRDefault="00B67038">
            <w:pPr>
              <w:pBdr>
                <w:top w:val="nil"/>
                <w:left w:val="nil"/>
                <w:bottom w:val="nil"/>
                <w:right w:val="nil"/>
                <w:between w:val="nil"/>
              </w:pBd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Tabela 28</w:t>
            </w:r>
            <w:r w:rsidR="00641FB5">
              <w:rPr>
                <w:rFonts w:ascii="Calibri" w:eastAsia="Calibri" w:hAnsi="Calibri" w:cs="Calibri"/>
                <w:b/>
                <w:color w:val="4F81BD"/>
                <w:sz w:val="20"/>
                <w:szCs w:val="20"/>
              </w:rPr>
              <w:t xml:space="preserve">. Wymagane przepływy pieniężne mające wpływ na trwałość finansową </w:t>
            </w:r>
            <w:r w:rsidR="00641FB5">
              <w:rPr>
                <w:rFonts w:ascii="Calibri" w:eastAsia="Calibri" w:hAnsi="Calibri" w:cs="Calibri"/>
                <w:b/>
                <w:color w:val="4F81BD"/>
                <w:sz w:val="20"/>
                <w:szCs w:val="20"/>
              </w:rPr>
              <w:br/>
              <w:t>projektu</w:t>
            </w:r>
          </w:p>
          <w:tbl>
            <w:tblPr>
              <w:tblStyle w:val="afffffff"/>
              <w:tblW w:w="6408" w:type="dxa"/>
              <w:tblLayout w:type="fixed"/>
              <w:tblLook w:val="0000" w:firstRow="0" w:lastRow="0" w:firstColumn="0" w:lastColumn="0" w:noHBand="0" w:noVBand="0"/>
            </w:tblPr>
            <w:tblGrid>
              <w:gridCol w:w="2037"/>
              <w:gridCol w:w="421"/>
              <w:gridCol w:w="480"/>
              <w:gridCol w:w="509"/>
              <w:gridCol w:w="550"/>
              <w:gridCol w:w="439"/>
              <w:gridCol w:w="493"/>
              <w:gridCol w:w="493"/>
              <w:gridCol w:w="493"/>
              <w:gridCol w:w="493"/>
            </w:tblGrid>
            <w:tr w:rsidR="00600DEE" w14:paraId="299E2330" w14:textId="77777777" w:rsidTr="000117E4">
              <w:trPr>
                <w:trHeight w:hRule="exact" w:val="454"/>
              </w:trPr>
              <w:tc>
                <w:tcPr>
                  <w:tcW w:w="2038" w:type="dxa"/>
                  <w:vMerge w:val="restart"/>
                  <w:tcBorders>
                    <w:top w:val="single" w:sz="4" w:space="0" w:color="FFFFFF"/>
                    <w:left w:val="single" w:sz="4" w:space="0" w:color="FFFFFF"/>
                  </w:tcBorders>
                  <w:shd w:val="clear" w:color="auto" w:fill="A6A6A6"/>
                  <w:vAlign w:val="center"/>
                </w:tcPr>
                <w:p w14:paraId="46083190"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Przepływy pieniężne</w:t>
                  </w:r>
                </w:p>
              </w:tc>
              <w:tc>
                <w:tcPr>
                  <w:tcW w:w="4371" w:type="dxa"/>
                  <w:gridSpan w:val="9"/>
                  <w:tcBorders>
                    <w:top w:val="single" w:sz="4" w:space="0" w:color="FFFFFF"/>
                    <w:left w:val="single" w:sz="4" w:space="0" w:color="FFFFFF"/>
                  </w:tcBorders>
                  <w:shd w:val="clear" w:color="auto" w:fill="A6A6A6"/>
                  <w:vAlign w:val="center"/>
                </w:tcPr>
                <w:p w14:paraId="43623528"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Rok</w:t>
                  </w:r>
                </w:p>
              </w:tc>
            </w:tr>
            <w:tr w:rsidR="00600DEE" w14:paraId="2C1FA491" w14:textId="77777777">
              <w:trPr>
                <w:trHeight w:val="232"/>
              </w:trPr>
              <w:tc>
                <w:tcPr>
                  <w:tcW w:w="2038" w:type="dxa"/>
                  <w:vMerge/>
                  <w:tcBorders>
                    <w:top w:val="single" w:sz="4" w:space="0" w:color="FFFFFF"/>
                    <w:left w:val="single" w:sz="4" w:space="0" w:color="FFFFFF"/>
                  </w:tcBorders>
                  <w:shd w:val="clear" w:color="auto" w:fill="A6A6A6"/>
                  <w:vAlign w:val="center"/>
                </w:tcPr>
                <w:p w14:paraId="32B8B23E"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421" w:type="dxa"/>
                  <w:tcBorders>
                    <w:top w:val="single" w:sz="4" w:space="0" w:color="FFFFFF"/>
                    <w:left w:val="single" w:sz="4" w:space="0" w:color="FFFFFF"/>
                    <w:bottom w:val="single" w:sz="4" w:space="0" w:color="FFFFFF"/>
                  </w:tcBorders>
                  <w:shd w:val="clear" w:color="auto" w:fill="A6A6A6"/>
                  <w:vAlign w:val="center"/>
                </w:tcPr>
                <w:p w14:paraId="729ACB23"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1</w:t>
                  </w:r>
                </w:p>
              </w:tc>
              <w:tc>
                <w:tcPr>
                  <w:tcW w:w="480" w:type="dxa"/>
                  <w:tcBorders>
                    <w:top w:val="single" w:sz="4" w:space="0" w:color="FFFFFF"/>
                    <w:left w:val="single" w:sz="4" w:space="0" w:color="FFFFFF"/>
                    <w:bottom w:val="single" w:sz="4" w:space="0" w:color="FFFFFF"/>
                  </w:tcBorders>
                  <w:shd w:val="clear" w:color="auto" w:fill="A6A6A6"/>
                  <w:vAlign w:val="center"/>
                </w:tcPr>
                <w:p w14:paraId="376FFD05"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2</w:t>
                  </w:r>
                </w:p>
              </w:tc>
              <w:tc>
                <w:tcPr>
                  <w:tcW w:w="509" w:type="dxa"/>
                  <w:tcBorders>
                    <w:top w:val="single" w:sz="4" w:space="0" w:color="FFFFFF"/>
                    <w:left w:val="single" w:sz="4" w:space="0" w:color="FFFFFF"/>
                    <w:bottom w:val="single" w:sz="4" w:space="0" w:color="FFFFFF"/>
                  </w:tcBorders>
                  <w:shd w:val="clear" w:color="auto" w:fill="A6A6A6"/>
                  <w:vAlign w:val="center"/>
                </w:tcPr>
                <w:p w14:paraId="5E4A73AB"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3</w:t>
                  </w:r>
                </w:p>
              </w:tc>
              <w:tc>
                <w:tcPr>
                  <w:tcW w:w="550" w:type="dxa"/>
                  <w:tcBorders>
                    <w:top w:val="single" w:sz="4" w:space="0" w:color="FFFFFF"/>
                    <w:left w:val="single" w:sz="4" w:space="0" w:color="FFFFFF"/>
                    <w:bottom w:val="single" w:sz="4" w:space="0" w:color="FFFFFF"/>
                  </w:tcBorders>
                  <w:shd w:val="clear" w:color="auto" w:fill="A6A6A6"/>
                  <w:vAlign w:val="center"/>
                </w:tcPr>
                <w:p w14:paraId="69445291"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4</w:t>
                  </w:r>
                </w:p>
              </w:tc>
              <w:tc>
                <w:tcPr>
                  <w:tcW w:w="439" w:type="dxa"/>
                  <w:tcBorders>
                    <w:top w:val="single" w:sz="4" w:space="0" w:color="FFFFFF"/>
                    <w:left w:val="single" w:sz="4" w:space="0" w:color="FFFFFF"/>
                    <w:bottom w:val="single" w:sz="4" w:space="0" w:color="FFFFFF"/>
                  </w:tcBorders>
                  <w:shd w:val="clear" w:color="auto" w:fill="A6A6A6"/>
                  <w:vAlign w:val="center"/>
                </w:tcPr>
                <w:p w14:paraId="7D2070A5"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5</w:t>
                  </w:r>
                </w:p>
              </w:tc>
              <w:tc>
                <w:tcPr>
                  <w:tcW w:w="493" w:type="dxa"/>
                  <w:tcBorders>
                    <w:top w:val="single" w:sz="4" w:space="0" w:color="FFFFFF"/>
                    <w:left w:val="single" w:sz="4" w:space="0" w:color="FFFFFF"/>
                    <w:bottom w:val="single" w:sz="4" w:space="0" w:color="FFFFFF"/>
                  </w:tcBorders>
                  <w:shd w:val="clear" w:color="auto" w:fill="A6A6A6"/>
                  <w:vAlign w:val="center"/>
                </w:tcPr>
                <w:p w14:paraId="608E6054"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6</w:t>
                  </w:r>
                </w:p>
              </w:tc>
              <w:tc>
                <w:tcPr>
                  <w:tcW w:w="493" w:type="dxa"/>
                  <w:tcBorders>
                    <w:top w:val="single" w:sz="4" w:space="0" w:color="FFFFFF"/>
                    <w:left w:val="single" w:sz="4" w:space="0" w:color="FFFFFF"/>
                    <w:bottom w:val="single" w:sz="4" w:space="0" w:color="FFFFFF"/>
                    <w:right w:val="single" w:sz="4" w:space="0" w:color="FFFFFF"/>
                  </w:tcBorders>
                  <w:shd w:val="clear" w:color="auto" w:fill="A6A6A6"/>
                </w:tcPr>
                <w:p w14:paraId="5112500E"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t>
                  </w:r>
                </w:p>
              </w:tc>
              <w:tc>
                <w:tcPr>
                  <w:tcW w:w="493" w:type="dxa"/>
                  <w:tcBorders>
                    <w:top w:val="single" w:sz="4" w:space="0" w:color="FFFFFF"/>
                    <w:left w:val="single" w:sz="4" w:space="0" w:color="FFFFFF"/>
                    <w:bottom w:val="single" w:sz="4" w:space="0" w:color="FFFFFF"/>
                    <w:right w:val="single" w:sz="4" w:space="0" w:color="FFFFFF"/>
                  </w:tcBorders>
                  <w:shd w:val="clear" w:color="auto" w:fill="A6A6A6"/>
                </w:tcPr>
                <w:p w14:paraId="4696053F"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t>
                  </w:r>
                </w:p>
              </w:tc>
              <w:tc>
                <w:tcPr>
                  <w:tcW w:w="493" w:type="dxa"/>
                  <w:tcBorders>
                    <w:top w:val="single" w:sz="4" w:space="0" w:color="FFFFFF"/>
                    <w:left w:val="single" w:sz="4" w:space="0" w:color="FFFFFF"/>
                    <w:bottom w:val="single" w:sz="4" w:space="0" w:color="FFFFFF"/>
                  </w:tcBorders>
                  <w:shd w:val="clear" w:color="auto" w:fill="A6A6A6"/>
                </w:tcPr>
                <w:p w14:paraId="04542BC4"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n</w:t>
                  </w:r>
                </w:p>
              </w:tc>
            </w:tr>
            <w:tr w:rsidR="00600DEE" w14:paraId="77A70978"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54F92884"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Koszty inwestycyjne</w:t>
                  </w:r>
                </w:p>
              </w:tc>
              <w:tc>
                <w:tcPr>
                  <w:tcW w:w="421" w:type="dxa"/>
                  <w:tcBorders>
                    <w:top w:val="single" w:sz="4" w:space="0" w:color="FFFFFF"/>
                    <w:left w:val="single" w:sz="4" w:space="0" w:color="FFFFFF"/>
                    <w:bottom w:val="single" w:sz="4" w:space="0" w:color="FFFFFF"/>
                  </w:tcBorders>
                  <w:shd w:val="clear" w:color="auto" w:fill="DBE5F1"/>
                  <w:vAlign w:val="center"/>
                </w:tcPr>
                <w:p w14:paraId="7594219F"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4EDAD084"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3B7E2641"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718E5E55"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7DC5D118"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8F38D6A"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2284F38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61802C1B"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0D28F761" w14:textId="77777777" w:rsidR="00600DEE" w:rsidRDefault="00600DEE">
                  <w:pPr>
                    <w:jc w:val="right"/>
                    <w:rPr>
                      <w:rFonts w:ascii="Calibri" w:eastAsia="Calibri" w:hAnsi="Calibri" w:cs="Calibri"/>
                      <w:color w:val="4F81BD"/>
                      <w:sz w:val="18"/>
                      <w:szCs w:val="18"/>
                    </w:rPr>
                  </w:pPr>
                </w:p>
              </w:tc>
            </w:tr>
            <w:tr w:rsidR="00600DEE" w14:paraId="4843FA3C"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5E233A80"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Koszty eksploatacji </w:t>
                  </w:r>
                </w:p>
                <w:p w14:paraId="08882EB9"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i utrzymania</w:t>
                  </w:r>
                </w:p>
              </w:tc>
              <w:tc>
                <w:tcPr>
                  <w:tcW w:w="421" w:type="dxa"/>
                  <w:tcBorders>
                    <w:top w:val="single" w:sz="4" w:space="0" w:color="FFFFFF"/>
                    <w:left w:val="single" w:sz="4" w:space="0" w:color="FFFFFF"/>
                    <w:bottom w:val="single" w:sz="4" w:space="0" w:color="FFFFFF"/>
                  </w:tcBorders>
                  <w:shd w:val="clear" w:color="auto" w:fill="DBE5F1"/>
                  <w:vAlign w:val="center"/>
                </w:tcPr>
                <w:p w14:paraId="6B752A19"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08DCF872"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2033EE87"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035284F7"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0FC3BBFE"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630FC4F5"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6F03D8FF"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01A8A15B"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3D42D722" w14:textId="77777777" w:rsidR="00600DEE" w:rsidRDefault="00600DEE">
                  <w:pPr>
                    <w:jc w:val="right"/>
                    <w:rPr>
                      <w:rFonts w:ascii="Calibri" w:eastAsia="Calibri" w:hAnsi="Calibri" w:cs="Calibri"/>
                      <w:color w:val="4F81BD"/>
                      <w:sz w:val="18"/>
                      <w:szCs w:val="18"/>
                    </w:rPr>
                  </w:pPr>
                </w:p>
              </w:tc>
            </w:tr>
            <w:tr w:rsidR="00600DEE" w14:paraId="3BE077A4"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72E3AEA7"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Pożyczki i kredyty</w:t>
                  </w:r>
                </w:p>
              </w:tc>
              <w:tc>
                <w:tcPr>
                  <w:tcW w:w="421" w:type="dxa"/>
                  <w:tcBorders>
                    <w:top w:val="single" w:sz="4" w:space="0" w:color="FFFFFF"/>
                    <w:left w:val="single" w:sz="4" w:space="0" w:color="FFFFFF"/>
                    <w:bottom w:val="single" w:sz="4" w:space="0" w:color="FFFFFF"/>
                  </w:tcBorders>
                  <w:shd w:val="clear" w:color="auto" w:fill="DBE5F1"/>
                  <w:vAlign w:val="center"/>
                </w:tcPr>
                <w:p w14:paraId="23B03B39"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3ADCCB9B"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437BC13D"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7DB12962"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108D87D8"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0A12B09"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61FCA945"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34F6B454"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7770C272" w14:textId="77777777" w:rsidR="00600DEE" w:rsidRDefault="00600DEE">
                  <w:pPr>
                    <w:jc w:val="right"/>
                    <w:rPr>
                      <w:rFonts w:ascii="Calibri" w:eastAsia="Calibri" w:hAnsi="Calibri" w:cs="Calibri"/>
                      <w:color w:val="4F81BD"/>
                      <w:sz w:val="18"/>
                      <w:szCs w:val="18"/>
                    </w:rPr>
                  </w:pPr>
                </w:p>
              </w:tc>
            </w:tr>
            <w:tr w:rsidR="00600DEE" w14:paraId="3B4BE16D"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2D5A9B88"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Inne</w:t>
                  </w:r>
                </w:p>
              </w:tc>
              <w:tc>
                <w:tcPr>
                  <w:tcW w:w="421" w:type="dxa"/>
                  <w:tcBorders>
                    <w:top w:val="single" w:sz="4" w:space="0" w:color="FFFFFF"/>
                    <w:left w:val="single" w:sz="4" w:space="0" w:color="FFFFFF"/>
                    <w:bottom w:val="single" w:sz="4" w:space="0" w:color="FFFFFF"/>
                  </w:tcBorders>
                  <w:shd w:val="clear" w:color="auto" w:fill="DBE5F1"/>
                  <w:vAlign w:val="center"/>
                </w:tcPr>
                <w:p w14:paraId="080D78CA"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07DFA2B2"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29713AD1"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77EA2795"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6CFD8027"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542A5047"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76569439"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72814624"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646CC198" w14:textId="77777777" w:rsidR="00600DEE" w:rsidRDefault="00600DEE">
                  <w:pPr>
                    <w:jc w:val="right"/>
                    <w:rPr>
                      <w:rFonts w:ascii="Calibri" w:eastAsia="Calibri" w:hAnsi="Calibri" w:cs="Calibri"/>
                      <w:color w:val="4F81BD"/>
                      <w:sz w:val="18"/>
                      <w:szCs w:val="18"/>
                    </w:rPr>
                  </w:pPr>
                </w:p>
              </w:tc>
            </w:tr>
            <w:tr w:rsidR="00600DEE" w14:paraId="5E65EC15"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6913DA14"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OGÓŁEM (wydatki)</w:t>
                  </w:r>
                </w:p>
              </w:tc>
              <w:tc>
                <w:tcPr>
                  <w:tcW w:w="421" w:type="dxa"/>
                  <w:tcBorders>
                    <w:top w:val="single" w:sz="4" w:space="0" w:color="FFFFFF"/>
                    <w:left w:val="single" w:sz="4" w:space="0" w:color="FFFFFF"/>
                    <w:bottom w:val="single" w:sz="4" w:space="0" w:color="FFFFFF"/>
                  </w:tcBorders>
                  <w:shd w:val="clear" w:color="auto" w:fill="DBE5F1"/>
                  <w:vAlign w:val="center"/>
                </w:tcPr>
                <w:p w14:paraId="39A2160B"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1A34899A"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6C8F981C"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5BCB48BB"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20B210C4"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6A39F915"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4D157837"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4BB1AAC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79F2459F" w14:textId="77777777" w:rsidR="00600DEE" w:rsidRDefault="00600DEE">
                  <w:pPr>
                    <w:jc w:val="right"/>
                    <w:rPr>
                      <w:rFonts w:ascii="Calibri" w:eastAsia="Calibri" w:hAnsi="Calibri" w:cs="Calibri"/>
                      <w:color w:val="4F81BD"/>
                      <w:sz w:val="18"/>
                      <w:szCs w:val="18"/>
                    </w:rPr>
                  </w:pPr>
                </w:p>
              </w:tc>
            </w:tr>
            <w:tr w:rsidR="00600DEE" w14:paraId="00A7B21D"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071EBD45"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Przychody </w:t>
                  </w:r>
                </w:p>
              </w:tc>
              <w:tc>
                <w:tcPr>
                  <w:tcW w:w="421" w:type="dxa"/>
                  <w:tcBorders>
                    <w:top w:val="single" w:sz="4" w:space="0" w:color="FFFFFF"/>
                    <w:left w:val="single" w:sz="4" w:space="0" w:color="FFFFFF"/>
                    <w:bottom w:val="single" w:sz="4" w:space="0" w:color="FFFFFF"/>
                  </w:tcBorders>
                  <w:shd w:val="clear" w:color="auto" w:fill="DBE5F1"/>
                  <w:vAlign w:val="center"/>
                </w:tcPr>
                <w:p w14:paraId="414FB929"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2A7F4378"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6F4C29CF"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57ECD485"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33A1E8EE"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6571BA8A"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570E364B"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5745C63E"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AD3210D" w14:textId="77777777" w:rsidR="00600DEE" w:rsidRDefault="00600DEE">
                  <w:pPr>
                    <w:jc w:val="right"/>
                    <w:rPr>
                      <w:rFonts w:ascii="Calibri" w:eastAsia="Calibri" w:hAnsi="Calibri" w:cs="Calibri"/>
                      <w:color w:val="4F81BD"/>
                      <w:sz w:val="18"/>
                      <w:szCs w:val="18"/>
                    </w:rPr>
                  </w:pPr>
                </w:p>
              </w:tc>
            </w:tr>
            <w:tr w:rsidR="00600DEE" w14:paraId="19D64FEE"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3C68B377"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Grant UE</w:t>
                  </w:r>
                </w:p>
              </w:tc>
              <w:tc>
                <w:tcPr>
                  <w:tcW w:w="421" w:type="dxa"/>
                  <w:tcBorders>
                    <w:top w:val="single" w:sz="4" w:space="0" w:color="FFFFFF"/>
                    <w:left w:val="single" w:sz="4" w:space="0" w:color="FFFFFF"/>
                    <w:bottom w:val="single" w:sz="4" w:space="0" w:color="FFFFFF"/>
                  </w:tcBorders>
                  <w:shd w:val="clear" w:color="auto" w:fill="DBE5F1"/>
                  <w:vAlign w:val="center"/>
                </w:tcPr>
                <w:p w14:paraId="17B9A72A"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484EA769"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0C7946FB"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23A4CAE0"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0407B5FE"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36DD70BF"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683B0DF3"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3C9316D1"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71DF2D35" w14:textId="77777777" w:rsidR="00600DEE" w:rsidRDefault="00600DEE">
                  <w:pPr>
                    <w:jc w:val="right"/>
                    <w:rPr>
                      <w:rFonts w:ascii="Calibri" w:eastAsia="Calibri" w:hAnsi="Calibri" w:cs="Calibri"/>
                      <w:color w:val="4F81BD"/>
                      <w:sz w:val="18"/>
                      <w:szCs w:val="18"/>
                    </w:rPr>
                  </w:pPr>
                </w:p>
              </w:tc>
            </w:tr>
            <w:tr w:rsidR="00600DEE" w14:paraId="1CDE454B" w14:textId="77777777" w:rsidTr="00E91CFE">
              <w:trPr>
                <w:trHeight w:hRule="exact" w:val="907"/>
              </w:trPr>
              <w:tc>
                <w:tcPr>
                  <w:tcW w:w="2038" w:type="dxa"/>
                  <w:tcBorders>
                    <w:top w:val="single" w:sz="4" w:space="0" w:color="FFFFFF"/>
                    <w:left w:val="single" w:sz="4" w:space="0" w:color="FFFFFF"/>
                    <w:bottom w:val="single" w:sz="4" w:space="0" w:color="FFFFFF"/>
                  </w:tcBorders>
                  <w:shd w:val="clear" w:color="auto" w:fill="DBE5F1"/>
                  <w:vAlign w:val="center"/>
                </w:tcPr>
                <w:p w14:paraId="4DC512BC"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Inne żródła finansowania (budżet, subsydia, itd.)</w:t>
                  </w:r>
                </w:p>
              </w:tc>
              <w:tc>
                <w:tcPr>
                  <w:tcW w:w="421" w:type="dxa"/>
                  <w:tcBorders>
                    <w:top w:val="single" w:sz="4" w:space="0" w:color="FFFFFF"/>
                    <w:left w:val="single" w:sz="4" w:space="0" w:color="FFFFFF"/>
                    <w:bottom w:val="single" w:sz="4" w:space="0" w:color="FFFFFF"/>
                  </w:tcBorders>
                  <w:shd w:val="clear" w:color="auto" w:fill="DBE5F1"/>
                  <w:vAlign w:val="center"/>
                </w:tcPr>
                <w:p w14:paraId="1C6C95C2"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0CB9F6B1"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55399527"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1D1BE37E"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51F328F2"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7876B363"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7CCCD73F"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596A7682"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64514559" w14:textId="77777777" w:rsidR="00600DEE" w:rsidRDefault="00600DEE">
                  <w:pPr>
                    <w:jc w:val="right"/>
                    <w:rPr>
                      <w:rFonts w:ascii="Calibri" w:eastAsia="Calibri" w:hAnsi="Calibri" w:cs="Calibri"/>
                      <w:color w:val="4F81BD"/>
                      <w:sz w:val="18"/>
                      <w:szCs w:val="18"/>
                    </w:rPr>
                  </w:pPr>
                </w:p>
              </w:tc>
            </w:tr>
            <w:tr w:rsidR="00600DEE" w14:paraId="15DC4B71"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16151F8C"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OGÓŁEM (wpływy)</w:t>
                  </w:r>
                </w:p>
              </w:tc>
              <w:tc>
                <w:tcPr>
                  <w:tcW w:w="421" w:type="dxa"/>
                  <w:tcBorders>
                    <w:top w:val="single" w:sz="4" w:space="0" w:color="FFFFFF"/>
                    <w:left w:val="single" w:sz="4" w:space="0" w:color="FFFFFF"/>
                    <w:bottom w:val="single" w:sz="4" w:space="0" w:color="FFFFFF"/>
                  </w:tcBorders>
                  <w:shd w:val="clear" w:color="auto" w:fill="DBE5F1"/>
                  <w:vAlign w:val="center"/>
                </w:tcPr>
                <w:p w14:paraId="4367F468"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06181C9E"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660E7CEA"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54DAFA98"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6FCC6E09"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10A640CA"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5510400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6B76152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C17531D" w14:textId="77777777" w:rsidR="00600DEE" w:rsidRDefault="00600DEE">
                  <w:pPr>
                    <w:jc w:val="right"/>
                    <w:rPr>
                      <w:rFonts w:ascii="Calibri" w:eastAsia="Calibri" w:hAnsi="Calibri" w:cs="Calibri"/>
                      <w:color w:val="4F81BD"/>
                      <w:sz w:val="18"/>
                      <w:szCs w:val="18"/>
                    </w:rPr>
                  </w:pPr>
                </w:p>
              </w:tc>
            </w:tr>
            <w:tr w:rsidR="00600DEE" w14:paraId="2FC52096" w14:textId="77777777" w:rsidTr="00E91CFE">
              <w:trPr>
                <w:trHeight w:hRule="exact" w:val="454"/>
              </w:trPr>
              <w:tc>
                <w:tcPr>
                  <w:tcW w:w="2038" w:type="dxa"/>
                  <w:tcBorders>
                    <w:top w:val="single" w:sz="4" w:space="0" w:color="FFFFFF"/>
                    <w:left w:val="single" w:sz="4" w:space="0" w:color="FFFFFF"/>
                    <w:bottom w:val="single" w:sz="4" w:space="0" w:color="FFFFFF"/>
                  </w:tcBorders>
                  <w:shd w:val="clear" w:color="auto" w:fill="DBE5F1"/>
                  <w:vAlign w:val="center"/>
                </w:tcPr>
                <w:p w14:paraId="3F46E19A"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PRZEPŁYWY PIENIĘŻNE NETTO</w:t>
                  </w:r>
                </w:p>
              </w:tc>
              <w:tc>
                <w:tcPr>
                  <w:tcW w:w="421" w:type="dxa"/>
                  <w:tcBorders>
                    <w:top w:val="single" w:sz="4" w:space="0" w:color="FFFFFF"/>
                    <w:left w:val="single" w:sz="4" w:space="0" w:color="FFFFFF"/>
                    <w:bottom w:val="single" w:sz="4" w:space="0" w:color="FFFFFF"/>
                  </w:tcBorders>
                  <w:shd w:val="clear" w:color="auto" w:fill="DBE5F1"/>
                  <w:vAlign w:val="center"/>
                </w:tcPr>
                <w:p w14:paraId="1D49A997"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2DFBB4C3"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2C526B71"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70F09647"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58C225E4"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B347EA9"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17EBE347"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4F7AD204"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35D7B846" w14:textId="77777777" w:rsidR="00600DEE" w:rsidRDefault="00600DEE">
                  <w:pPr>
                    <w:jc w:val="right"/>
                    <w:rPr>
                      <w:rFonts w:ascii="Calibri" w:eastAsia="Calibri" w:hAnsi="Calibri" w:cs="Calibri"/>
                      <w:color w:val="4F81BD"/>
                      <w:sz w:val="18"/>
                      <w:szCs w:val="18"/>
                    </w:rPr>
                  </w:pPr>
                </w:p>
              </w:tc>
            </w:tr>
          </w:tbl>
          <w:p w14:paraId="387FD516"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b/>
                <w:i/>
                <w:color w:val="000000"/>
                <w:sz w:val="16"/>
                <w:szCs w:val="16"/>
              </w:rPr>
              <w:t>Źródło: opracowanie własne.</w:t>
            </w:r>
          </w:p>
          <w:p w14:paraId="1B1E887B"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Rekomenduje się również zapewnienie szerszego oglądu sytuacji stabilności infrastruktury drogowej zarządzanej przez Beneficjenta. Po pierwsze, zaleca się analizę utrzymaniowych potrzeb finansowych z uwzględnieniem istniejącej infrastruktury sieci drogowej, ale także inwestycji planowanych oraz będących w trakcie realizacji.</w:t>
            </w:r>
          </w:p>
          <w:p w14:paraId="7D66A834" w14:textId="008F7A08"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Przygotowanie </w:t>
            </w:r>
            <w:r w:rsidR="00B67038">
              <w:rPr>
                <w:rFonts w:ascii="Calibri" w:eastAsia="Calibri" w:hAnsi="Calibri" w:cs="Calibri"/>
                <w:color w:val="000000"/>
                <w:sz w:val="20"/>
                <w:szCs w:val="20"/>
              </w:rPr>
              <w:t>poniższych tabel</w:t>
            </w:r>
            <w:r>
              <w:rPr>
                <w:rFonts w:ascii="Calibri" w:eastAsia="Calibri" w:hAnsi="Calibri" w:cs="Calibri"/>
                <w:color w:val="000000"/>
                <w:sz w:val="20"/>
                <w:szCs w:val="20"/>
              </w:rPr>
              <w:t xml:space="preserve"> nr 31 i 32 nie jest wymagane w odniesieniu do konkretnego projektu, a  zawarte w nich informacje mogą być przedstawione w innej formie. Celem jest przedstawienie (przez Beneficjenta, jeżeli to możliwe lub w przeciwym wypadku przez instytucję/</w:t>
            </w:r>
            <w:r w:rsidR="00B67038">
              <w:rPr>
                <w:rFonts w:ascii="Calibri" w:eastAsia="Calibri" w:hAnsi="Calibri" w:cs="Calibri"/>
                <w:color w:val="000000"/>
                <w:sz w:val="20"/>
                <w:szCs w:val="20"/>
              </w:rPr>
              <w:t xml:space="preserve"> organ odpowiedzialny</w:t>
            </w:r>
            <w:r>
              <w:rPr>
                <w:rFonts w:ascii="Calibri" w:eastAsia="Calibri" w:hAnsi="Calibri" w:cs="Calibri"/>
                <w:color w:val="000000"/>
                <w:sz w:val="20"/>
                <w:szCs w:val="20"/>
              </w:rPr>
              <w:t xml:space="preserve"> za finansowanie) informacji o potrzebach zapewniających trwałość finansową danej sieci drogowej. W przypadku GDDKiA takie informacje powinny być uzyskane od właściwego ministerstwa, a w przypadku JST </w:t>
            </w:r>
            <w:r w:rsidR="0079382E">
              <w:rPr>
                <w:rFonts w:asciiTheme="minorHAnsi" w:hAnsiTheme="minorHAnsi"/>
              </w:rPr>
              <w:t>–</w:t>
            </w:r>
            <w:r>
              <w:rPr>
                <w:rFonts w:ascii="Calibri" w:eastAsia="Calibri" w:hAnsi="Calibri" w:cs="Calibri"/>
                <w:color w:val="000000"/>
                <w:sz w:val="20"/>
                <w:szCs w:val="20"/>
              </w:rPr>
              <w:t xml:space="preserve"> od odpowiednich organów samorządowych.</w:t>
            </w:r>
          </w:p>
          <w:p w14:paraId="0B7062F0" w14:textId="77777777" w:rsidR="000117E4" w:rsidRDefault="000117E4">
            <w:pPr>
              <w:pBdr>
                <w:top w:val="nil"/>
                <w:left w:val="nil"/>
                <w:bottom w:val="nil"/>
                <w:right w:val="nil"/>
                <w:between w:val="nil"/>
              </w:pBdr>
              <w:spacing w:before="120" w:after="120"/>
              <w:jc w:val="both"/>
              <w:rPr>
                <w:rFonts w:ascii="Calibri" w:eastAsia="Calibri" w:hAnsi="Calibri" w:cs="Calibri"/>
                <w:color w:val="000000"/>
                <w:sz w:val="20"/>
                <w:szCs w:val="20"/>
              </w:rPr>
            </w:pPr>
          </w:p>
          <w:p w14:paraId="664FC4B4" w14:textId="46F40201" w:rsidR="00600DEE" w:rsidRDefault="00B67038">
            <w:pPr>
              <w:pBdr>
                <w:top w:val="nil"/>
                <w:left w:val="nil"/>
                <w:bottom w:val="nil"/>
                <w:right w:val="nil"/>
                <w:between w:val="nil"/>
              </w:pBdr>
              <w:spacing w:after="120"/>
              <w:ind w:left="851" w:hanging="851"/>
              <w:rPr>
                <w:rFonts w:ascii="Calibri" w:eastAsia="Calibri" w:hAnsi="Calibri" w:cs="Calibri"/>
                <w:b/>
                <w:color w:val="4F81BD"/>
                <w:sz w:val="20"/>
                <w:szCs w:val="20"/>
              </w:rPr>
            </w:pPr>
            <w:r>
              <w:rPr>
                <w:rFonts w:ascii="Calibri" w:eastAsia="Calibri" w:hAnsi="Calibri" w:cs="Calibri"/>
                <w:b/>
                <w:color w:val="4F81BD"/>
                <w:sz w:val="20"/>
                <w:szCs w:val="20"/>
              </w:rPr>
              <w:t>Tabela 29</w:t>
            </w:r>
            <w:r w:rsidR="00641FB5">
              <w:rPr>
                <w:rFonts w:ascii="Calibri" w:eastAsia="Calibri" w:hAnsi="Calibri" w:cs="Calibri"/>
                <w:b/>
                <w:color w:val="4F81BD"/>
                <w:sz w:val="20"/>
                <w:szCs w:val="20"/>
              </w:rPr>
              <w:t>. Prognoza kosztów eksploatacji i utrzymania na sieci drogowej zarządzanej przez Beneficjenta (dla wariantów in</w:t>
            </w:r>
            <w:r w:rsidR="0079382E">
              <w:rPr>
                <w:rFonts w:ascii="Calibri" w:eastAsia="Calibri" w:hAnsi="Calibri" w:cs="Calibri"/>
                <w:b/>
                <w:color w:val="4F81BD"/>
                <w:sz w:val="20"/>
                <w:szCs w:val="20"/>
              </w:rPr>
              <w:t>westycyjnych jeśli dotyczy i do</w:t>
            </w:r>
            <w:r w:rsidR="00641FB5">
              <w:rPr>
                <w:rFonts w:ascii="Calibri" w:eastAsia="Calibri" w:hAnsi="Calibri" w:cs="Calibri"/>
                <w:b/>
                <w:color w:val="4F81BD"/>
                <w:sz w:val="20"/>
                <w:szCs w:val="20"/>
              </w:rPr>
              <w:t xml:space="preserve"> ustrukturyzowania w zależności od Beneficjenta)</w:t>
            </w:r>
          </w:p>
          <w:tbl>
            <w:tblPr>
              <w:tblStyle w:val="afffffff0"/>
              <w:tblW w:w="700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2352"/>
              <w:gridCol w:w="774"/>
              <w:gridCol w:w="775"/>
              <w:gridCol w:w="775"/>
              <w:gridCol w:w="775"/>
              <w:gridCol w:w="775"/>
              <w:gridCol w:w="775"/>
            </w:tblGrid>
            <w:tr w:rsidR="00600DEE" w14:paraId="5F5C8F9C" w14:textId="77777777" w:rsidTr="00E91CFE">
              <w:trPr>
                <w:trHeight w:val="263"/>
              </w:trPr>
              <w:tc>
                <w:tcPr>
                  <w:tcW w:w="2352" w:type="dxa"/>
                  <w:shd w:val="clear" w:color="auto" w:fill="A6A6A6"/>
                  <w:vAlign w:val="center"/>
                </w:tcPr>
                <w:p w14:paraId="1D3A2A4C"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Lata</w:t>
                  </w:r>
                </w:p>
              </w:tc>
              <w:tc>
                <w:tcPr>
                  <w:tcW w:w="774" w:type="dxa"/>
                  <w:shd w:val="clear" w:color="auto" w:fill="A6A6A6"/>
                </w:tcPr>
                <w:p w14:paraId="5B757794"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2018</w:t>
                  </w:r>
                </w:p>
              </w:tc>
              <w:tc>
                <w:tcPr>
                  <w:tcW w:w="775" w:type="dxa"/>
                  <w:shd w:val="clear" w:color="auto" w:fill="A6A6A6"/>
                </w:tcPr>
                <w:p w14:paraId="44795E07"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w:t>
                  </w:r>
                </w:p>
              </w:tc>
              <w:tc>
                <w:tcPr>
                  <w:tcW w:w="775" w:type="dxa"/>
                  <w:shd w:val="clear" w:color="auto" w:fill="A6A6A6"/>
                </w:tcPr>
                <w:p w14:paraId="7F1916A5"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2020</w:t>
                  </w:r>
                </w:p>
              </w:tc>
              <w:tc>
                <w:tcPr>
                  <w:tcW w:w="775" w:type="dxa"/>
                  <w:shd w:val="clear" w:color="auto" w:fill="A6A6A6"/>
                </w:tcPr>
                <w:p w14:paraId="0086AB8F"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2025</w:t>
                  </w:r>
                </w:p>
              </w:tc>
              <w:tc>
                <w:tcPr>
                  <w:tcW w:w="775" w:type="dxa"/>
                  <w:shd w:val="clear" w:color="auto" w:fill="A6A6A6"/>
                </w:tcPr>
                <w:p w14:paraId="49704AEA"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2030</w:t>
                  </w:r>
                </w:p>
              </w:tc>
              <w:tc>
                <w:tcPr>
                  <w:tcW w:w="775" w:type="dxa"/>
                  <w:shd w:val="clear" w:color="auto" w:fill="A6A6A6"/>
                </w:tcPr>
                <w:p w14:paraId="73F6D52A"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2040</w:t>
                  </w:r>
                </w:p>
              </w:tc>
            </w:tr>
            <w:tr w:rsidR="00600DEE" w14:paraId="5B131221" w14:textId="77777777" w:rsidTr="00E91CFE">
              <w:trPr>
                <w:trHeight w:hRule="exact" w:val="1134"/>
              </w:trPr>
              <w:tc>
                <w:tcPr>
                  <w:tcW w:w="2352" w:type="dxa"/>
                  <w:shd w:val="clear" w:color="auto" w:fill="DBE5F1"/>
                </w:tcPr>
                <w:p w14:paraId="7CFE4E7A" w14:textId="77777777" w:rsidR="00600DEE" w:rsidRDefault="00641FB5">
                  <w:pPr>
                    <w:spacing w:before="40" w:after="40"/>
                    <w:rPr>
                      <w:rFonts w:ascii="Calibri" w:eastAsia="Calibri" w:hAnsi="Calibri" w:cs="Calibri"/>
                      <w:color w:val="4F81BD"/>
                      <w:sz w:val="16"/>
                      <w:szCs w:val="16"/>
                    </w:rPr>
                  </w:pPr>
                  <w:r>
                    <w:rPr>
                      <w:rFonts w:ascii="Calibri" w:eastAsia="Calibri" w:hAnsi="Calibri" w:cs="Calibri"/>
                      <w:color w:val="4F81BD"/>
                      <w:sz w:val="16"/>
                      <w:szCs w:val="16"/>
                    </w:rPr>
                    <w:t>Łączne koszty utrzymania i eksploatacji dróg realizowanych w ramach perspektyw 2014-2020 oraz 2021-2027</w:t>
                  </w:r>
                </w:p>
              </w:tc>
              <w:tc>
                <w:tcPr>
                  <w:tcW w:w="774" w:type="dxa"/>
                  <w:shd w:val="clear" w:color="auto" w:fill="DBE5F1"/>
                </w:tcPr>
                <w:p w14:paraId="4315935C"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2DC2FFC6"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2CDB101E"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6B0629C9"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667DEA85"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079ADCBE" w14:textId="77777777" w:rsidR="00600DEE" w:rsidRDefault="00600DEE">
                  <w:pPr>
                    <w:spacing w:before="40" w:after="40"/>
                    <w:rPr>
                      <w:rFonts w:ascii="Calibri" w:eastAsia="Calibri" w:hAnsi="Calibri" w:cs="Calibri"/>
                      <w:color w:val="4F81BD"/>
                      <w:sz w:val="16"/>
                      <w:szCs w:val="16"/>
                    </w:rPr>
                  </w:pPr>
                </w:p>
              </w:tc>
            </w:tr>
            <w:tr w:rsidR="00600DEE" w14:paraId="3F60E02F" w14:textId="77777777" w:rsidTr="00E91CFE">
              <w:trPr>
                <w:trHeight w:val="806"/>
              </w:trPr>
              <w:tc>
                <w:tcPr>
                  <w:tcW w:w="2352" w:type="dxa"/>
                  <w:shd w:val="clear" w:color="auto" w:fill="DBE5F1"/>
                </w:tcPr>
                <w:p w14:paraId="05AB632B" w14:textId="77777777" w:rsidR="00600DEE" w:rsidRDefault="00641FB5">
                  <w:pPr>
                    <w:spacing w:before="40" w:after="40"/>
                    <w:rPr>
                      <w:rFonts w:ascii="Calibri" w:eastAsia="Calibri" w:hAnsi="Calibri" w:cs="Calibri"/>
                      <w:color w:val="4F81BD"/>
                      <w:sz w:val="16"/>
                      <w:szCs w:val="16"/>
                    </w:rPr>
                  </w:pPr>
                  <w:r>
                    <w:rPr>
                      <w:rFonts w:ascii="Calibri" w:eastAsia="Calibri" w:hAnsi="Calibri" w:cs="Calibri"/>
                      <w:color w:val="4F81BD"/>
                      <w:sz w:val="16"/>
                      <w:szCs w:val="16"/>
                    </w:rPr>
                    <w:t xml:space="preserve">Koszty utrzymania i eksploatacji pozostałych dróg zarządzanych przez Beneficjenta (pozostała sieć) </w:t>
                  </w:r>
                </w:p>
              </w:tc>
              <w:tc>
                <w:tcPr>
                  <w:tcW w:w="774" w:type="dxa"/>
                  <w:shd w:val="clear" w:color="auto" w:fill="DBE5F1"/>
                </w:tcPr>
                <w:p w14:paraId="1B0820AC"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21DA14DE"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465F4CD5"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51136C75"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71349F9D"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0ADC4572" w14:textId="77777777" w:rsidR="00600DEE" w:rsidRDefault="00600DEE">
                  <w:pPr>
                    <w:spacing w:before="40" w:after="40"/>
                    <w:rPr>
                      <w:rFonts w:ascii="Calibri" w:eastAsia="Calibri" w:hAnsi="Calibri" w:cs="Calibri"/>
                      <w:color w:val="4F81BD"/>
                      <w:sz w:val="16"/>
                      <w:szCs w:val="16"/>
                    </w:rPr>
                  </w:pPr>
                </w:p>
              </w:tc>
            </w:tr>
            <w:tr w:rsidR="00600DEE" w14:paraId="4F6DDA1D" w14:textId="77777777" w:rsidTr="00E91CFE">
              <w:trPr>
                <w:trHeight w:val="444"/>
              </w:trPr>
              <w:tc>
                <w:tcPr>
                  <w:tcW w:w="2352" w:type="dxa"/>
                  <w:shd w:val="clear" w:color="auto" w:fill="DBE5F1"/>
                </w:tcPr>
                <w:p w14:paraId="028546A4" w14:textId="77777777" w:rsidR="00600DEE" w:rsidRDefault="00641FB5">
                  <w:pPr>
                    <w:spacing w:before="40" w:after="40"/>
                    <w:rPr>
                      <w:rFonts w:ascii="Calibri" w:eastAsia="Calibri" w:hAnsi="Calibri" w:cs="Calibri"/>
                      <w:b/>
                      <w:color w:val="4F81BD"/>
                      <w:sz w:val="16"/>
                      <w:szCs w:val="16"/>
                    </w:rPr>
                  </w:pPr>
                  <w:r>
                    <w:rPr>
                      <w:rFonts w:ascii="Calibri" w:eastAsia="Calibri" w:hAnsi="Calibri" w:cs="Calibri"/>
                      <w:b/>
                      <w:color w:val="4F81BD"/>
                      <w:sz w:val="16"/>
                      <w:szCs w:val="16"/>
                    </w:rPr>
                    <w:t>Łączne koszty utrzymania infrastruktury drogowej</w:t>
                  </w:r>
                </w:p>
              </w:tc>
              <w:tc>
                <w:tcPr>
                  <w:tcW w:w="774" w:type="dxa"/>
                  <w:shd w:val="clear" w:color="auto" w:fill="DBE5F1"/>
                </w:tcPr>
                <w:p w14:paraId="4DF3B3B4"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1941EE17"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1157AFD7"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6C018985"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120598EC"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7BC854E5" w14:textId="77777777" w:rsidR="00600DEE" w:rsidRDefault="00600DEE">
                  <w:pPr>
                    <w:spacing w:before="40" w:after="40"/>
                    <w:rPr>
                      <w:rFonts w:ascii="Calibri" w:eastAsia="Calibri" w:hAnsi="Calibri" w:cs="Calibri"/>
                      <w:color w:val="4F81BD"/>
                      <w:sz w:val="16"/>
                      <w:szCs w:val="16"/>
                    </w:rPr>
                  </w:pPr>
                </w:p>
              </w:tc>
            </w:tr>
            <w:tr w:rsidR="00600DEE" w14:paraId="0E44180E" w14:textId="77777777" w:rsidTr="00E91CFE">
              <w:trPr>
                <w:trHeight w:val="625"/>
              </w:trPr>
              <w:tc>
                <w:tcPr>
                  <w:tcW w:w="2352" w:type="dxa"/>
                  <w:shd w:val="clear" w:color="auto" w:fill="DBE5F1"/>
                </w:tcPr>
                <w:p w14:paraId="44556D5E" w14:textId="77777777" w:rsidR="00600DEE" w:rsidRDefault="00641FB5">
                  <w:pPr>
                    <w:spacing w:before="40" w:after="40"/>
                    <w:rPr>
                      <w:rFonts w:ascii="Calibri" w:eastAsia="Calibri" w:hAnsi="Calibri" w:cs="Calibri"/>
                      <w:color w:val="4F81BD"/>
                      <w:sz w:val="16"/>
                      <w:szCs w:val="16"/>
                    </w:rPr>
                  </w:pPr>
                  <w:r>
                    <w:rPr>
                      <w:rFonts w:ascii="Calibri" w:eastAsia="Calibri" w:hAnsi="Calibri" w:cs="Calibri"/>
                      <w:color w:val="4F81BD"/>
                      <w:sz w:val="16"/>
                      <w:szCs w:val="16"/>
                    </w:rPr>
                    <w:t>Pozostałe koszty, w tym finansowe (odsetki, spłaty długów)</w:t>
                  </w:r>
                </w:p>
              </w:tc>
              <w:tc>
                <w:tcPr>
                  <w:tcW w:w="774" w:type="dxa"/>
                  <w:shd w:val="clear" w:color="auto" w:fill="DBE5F1"/>
                </w:tcPr>
                <w:p w14:paraId="1C517908"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7C9CDF20"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2928C9CF"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1CD2D55B"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5F4FBEA7"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1151E829" w14:textId="77777777" w:rsidR="00600DEE" w:rsidRDefault="00600DEE">
                  <w:pPr>
                    <w:spacing w:before="40" w:after="40"/>
                    <w:rPr>
                      <w:rFonts w:ascii="Calibri" w:eastAsia="Calibri" w:hAnsi="Calibri" w:cs="Calibri"/>
                      <w:color w:val="4F81BD"/>
                      <w:sz w:val="16"/>
                      <w:szCs w:val="16"/>
                    </w:rPr>
                  </w:pPr>
                </w:p>
              </w:tc>
            </w:tr>
            <w:tr w:rsidR="00600DEE" w14:paraId="02390E82" w14:textId="77777777" w:rsidTr="00E91CFE">
              <w:trPr>
                <w:trHeight w:hRule="exact" w:val="567"/>
              </w:trPr>
              <w:tc>
                <w:tcPr>
                  <w:tcW w:w="2352" w:type="dxa"/>
                  <w:shd w:val="clear" w:color="auto" w:fill="DBE5F1"/>
                </w:tcPr>
                <w:p w14:paraId="655B9C89" w14:textId="77777777" w:rsidR="00600DEE" w:rsidRDefault="00641FB5">
                  <w:pPr>
                    <w:spacing w:before="40" w:after="40"/>
                    <w:rPr>
                      <w:rFonts w:ascii="Calibri" w:eastAsia="Calibri" w:hAnsi="Calibri" w:cs="Calibri"/>
                      <w:b/>
                      <w:color w:val="4F81BD"/>
                      <w:sz w:val="16"/>
                      <w:szCs w:val="16"/>
                    </w:rPr>
                  </w:pPr>
                  <w:r>
                    <w:rPr>
                      <w:rFonts w:ascii="Calibri" w:eastAsia="Calibri" w:hAnsi="Calibri" w:cs="Calibri"/>
                      <w:b/>
                      <w:color w:val="4F81BD"/>
                      <w:sz w:val="16"/>
                      <w:szCs w:val="16"/>
                    </w:rPr>
                    <w:t xml:space="preserve">Koszty łączne zarządcy infrastruktury </w:t>
                  </w:r>
                </w:p>
              </w:tc>
              <w:tc>
                <w:tcPr>
                  <w:tcW w:w="774" w:type="dxa"/>
                  <w:shd w:val="clear" w:color="auto" w:fill="DBE5F1"/>
                </w:tcPr>
                <w:p w14:paraId="0691309B"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0B024EF4"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729B934C"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556EAE57"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12231075" w14:textId="77777777" w:rsidR="00600DEE" w:rsidRDefault="00600DEE">
                  <w:pPr>
                    <w:spacing w:before="40" w:after="40"/>
                    <w:rPr>
                      <w:rFonts w:ascii="Calibri" w:eastAsia="Calibri" w:hAnsi="Calibri" w:cs="Calibri"/>
                      <w:color w:val="4F81BD"/>
                      <w:sz w:val="16"/>
                      <w:szCs w:val="16"/>
                    </w:rPr>
                  </w:pPr>
                </w:p>
              </w:tc>
              <w:tc>
                <w:tcPr>
                  <w:tcW w:w="775" w:type="dxa"/>
                  <w:shd w:val="clear" w:color="auto" w:fill="DBE5F1"/>
                </w:tcPr>
                <w:p w14:paraId="663B0B9A" w14:textId="77777777" w:rsidR="00600DEE" w:rsidRDefault="00600DEE">
                  <w:pPr>
                    <w:spacing w:before="40" w:after="40"/>
                    <w:rPr>
                      <w:rFonts w:ascii="Calibri" w:eastAsia="Calibri" w:hAnsi="Calibri" w:cs="Calibri"/>
                      <w:color w:val="4F81BD"/>
                      <w:sz w:val="16"/>
                      <w:szCs w:val="16"/>
                    </w:rPr>
                  </w:pPr>
                </w:p>
              </w:tc>
            </w:tr>
          </w:tbl>
          <w:p w14:paraId="61EE327E"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16"/>
                <w:szCs w:val="16"/>
              </w:rPr>
            </w:pPr>
            <w:r>
              <w:rPr>
                <w:rFonts w:ascii="Calibri" w:eastAsia="Calibri" w:hAnsi="Calibri" w:cs="Calibri"/>
                <w:b/>
                <w:i/>
                <w:color w:val="000000"/>
                <w:sz w:val="16"/>
                <w:szCs w:val="16"/>
              </w:rPr>
              <w:t>Uwaga: w </w:t>
            </w:r>
            <w:r>
              <w:rPr>
                <w:rFonts w:ascii="Calibri" w:eastAsia="Calibri" w:hAnsi="Calibri" w:cs="Calibri"/>
                <w:color w:val="000000"/>
                <w:sz w:val="16"/>
                <w:szCs w:val="16"/>
              </w:rPr>
              <w:t xml:space="preserve">przypadku GDDKiA powyższe informacje powinny być uzyskane od właściwego ministerstwa, </w:t>
            </w:r>
            <w:r>
              <w:rPr>
                <w:rFonts w:ascii="Calibri" w:eastAsia="Calibri" w:hAnsi="Calibri" w:cs="Calibri"/>
                <w:color w:val="000000"/>
                <w:sz w:val="16"/>
                <w:szCs w:val="16"/>
              </w:rPr>
              <w:br/>
              <w:t>a w przypadku JST - od odpowiednich organów samorządowych.</w:t>
            </w:r>
          </w:p>
          <w:p w14:paraId="0A13FE7F"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pozycji „</w:t>
            </w:r>
            <w:r>
              <w:rPr>
                <w:rFonts w:ascii="Calibri" w:eastAsia="Calibri" w:hAnsi="Calibri" w:cs="Calibri"/>
                <w:i/>
                <w:color w:val="000000"/>
                <w:sz w:val="20"/>
                <w:szCs w:val="20"/>
              </w:rPr>
              <w:t>koszty utrzymania i eksploatacji dróg realizowanych w ramach perspektywy 2014-2020 oraz 2021-2027</w:t>
            </w:r>
            <w:r>
              <w:rPr>
                <w:rFonts w:ascii="Calibri" w:eastAsia="Calibri" w:hAnsi="Calibri" w:cs="Calibri"/>
                <w:color w:val="000000"/>
                <w:sz w:val="20"/>
                <w:szCs w:val="20"/>
              </w:rPr>
              <w:t>” należy wymienić łączne koszty utrzymaniowe wszystkich odcinków dróg budowanych lub planowanych do modernizacji w tym okresie programowania. W przypadku braku informacji o pełnej liście projektów, należy zestawić inwestycje już zaplanowane i przyjęte w aktualnych dokumentach strategicznych. Koszty, w przypadku projektów planowanych do realizacji powinny być zestawione w oparciu o analizę porównawczą (np. koszt utrzymana 1km autostrady), a w przypadku projektów zrealizowanych – wykazane na bazie informacji zawartych we Wnioskach złożonych do KE lub zaakceptowanych na szczeblu krajowym.</w:t>
            </w:r>
          </w:p>
          <w:p w14:paraId="3C16F5C6" w14:textId="4F83B2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pozycji „</w:t>
            </w:r>
            <w:r>
              <w:rPr>
                <w:rFonts w:ascii="Calibri" w:eastAsia="Calibri" w:hAnsi="Calibri" w:cs="Calibri"/>
                <w:i/>
                <w:color w:val="000000"/>
                <w:sz w:val="20"/>
                <w:szCs w:val="20"/>
              </w:rPr>
              <w:t xml:space="preserve">koszty utrzymania i eksploatacji pozostałych dróg zarządzanych przez </w:t>
            </w:r>
            <w:r w:rsidR="00933C7D">
              <w:rPr>
                <w:rFonts w:ascii="Calibri" w:eastAsia="Calibri" w:hAnsi="Calibri" w:cs="Calibri"/>
                <w:i/>
                <w:color w:val="000000"/>
                <w:sz w:val="20"/>
                <w:szCs w:val="20"/>
              </w:rPr>
              <w:t>B</w:t>
            </w:r>
            <w:r>
              <w:rPr>
                <w:rFonts w:ascii="Calibri" w:eastAsia="Calibri" w:hAnsi="Calibri" w:cs="Calibri"/>
                <w:i/>
                <w:color w:val="000000"/>
                <w:sz w:val="20"/>
                <w:szCs w:val="20"/>
              </w:rPr>
              <w:t>eneficjenta (pozostała sieć)</w:t>
            </w:r>
            <w:r>
              <w:rPr>
                <w:rFonts w:ascii="Calibri" w:eastAsia="Calibri" w:hAnsi="Calibri" w:cs="Calibri"/>
                <w:color w:val="000000"/>
                <w:sz w:val="20"/>
                <w:szCs w:val="20"/>
              </w:rPr>
              <w:t>” należy zestawić średnie, realne koszty utrzymaniowe poniesione przez Beneficjenta w ciągu ostatnich 3 lat na tych drogach, które będą podstawą do wskaźnikowego (średni koszt utrzymania na 1 kilometr drogi jednojezdniowej/dwujezdniowej) oszacowania kosztów utrzymania i eksploatacji tych dróg w latach przyszłych.</w:t>
            </w:r>
          </w:p>
          <w:p w14:paraId="57DF8A24"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Dla celów analizy należy wykorzystać najbardziej aktualne informacje dotyczące planowania i szacunków kosztów.</w:t>
            </w:r>
          </w:p>
          <w:p w14:paraId="35C35F6B"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Z drugiej strony, prognozę przychodów Beneficjenta powinno się analizować według poniższych rekomendacji:</w:t>
            </w:r>
          </w:p>
          <w:p w14:paraId="23306BA2" w14:textId="64444A67" w:rsidR="00600DEE" w:rsidRDefault="00B67038" w:rsidP="000117E4">
            <w:pPr>
              <w:pBdr>
                <w:top w:val="nil"/>
                <w:left w:val="nil"/>
                <w:bottom w:val="nil"/>
                <w:right w:val="nil"/>
                <w:between w:val="nil"/>
              </w:pBdr>
              <w:spacing w:before="240" w:after="120"/>
              <w:ind w:left="851" w:hanging="851"/>
              <w:jc w:val="both"/>
              <w:rPr>
                <w:rFonts w:ascii="Calibri" w:eastAsia="Calibri" w:hAnsi="Calibri" w:cs="Calibri"/>
                <w:b/>
                <w:color w:val="4F81BD"/>
                <w:sz w:val="20"/>
                <w:szCs w:val="20"/>
              </w:rPr>
            </w:pPr>
            <w:r>
              <w:rPr>
                <w:rFonts w:ascii="Calibri" w:eastAsia="Calibri" w:hAnsi="Calibri" w:cs="Calibri"/>
                <w:b/>
                <w:color w:val="4F81BD"/>
                <w:sz w:val="20"/>
                <w:szCs w:val="20"/>
              </w:rPr>
              <w:t>Tabela 30</w:t>
            </w:r>
            <w:r w:rsidR="00641FB5">
              <w:rPr>
                <w:rFonts w:ascii="Calibri" w:eastAsia="Calibri" w:hAnsi="Calibri" w:cs="Calibri"/>
                <w:b/>
                <w:color w:val="4F81BD"/>
                <w:sz w:val="20"/>
                <w:szCs w:val="20"/>
              </w:rPr>
              <w:t>. Prognoza przychodów Beneficjenta (do ustrukturyzowania w zależności od Beneficjenta)</w:t>
            </w:r>
          </w:p>
          <w:tbl>
            <w:tblPr>
              <w:tblW w:w="7088" w:type="dxa"/>
              <w:tblCellSpacing w:w="20" w:type="dxa"/>
              <w:tblLayout w:type="fixed"/>
              <w:tblLook w:val="04A0" w:firstRow="1" w:lastRow="0" w:firstColumn="1" w:lastColumn="0" w:noHBand="0" w:noVBand="1"/>
            </w:tblPr>
            <w:tblGrid>
              <w:gridCol w:w="2153"/>
              <w:gridCol w:w="705"/>
              <w:gridCol w:w="828"/>
              <w:gridCol w:w="850"/>
              <w:gridCol w:w="851"/>
              <w:gridCol w:w="850"/>
              <w:gridCol w:w="851"/>
            </w:tblGrid>
            <w:tr w:rsidR="0079382E" w:rsidRPr="00731E4E" w14:paraId="2E799272" w14:textId="77777777" w:rsidTr="00505091">
              <w:trPr>
                <w:tblCellSpacing w:w="20" w:type="dxa"/>
              </w:trPr>
              <w:tc>
                <w:tcPr>
                  <w:tcW w:w="2093" w:type="dxa"/>
                  <w:shd w:val="clear" w:color="auto" w:fill="A6A6A6" w:themeFill="background1" w:themeFillShade="A6"/>
                </w:tcPr>
                <w:p w14:paraId="6BD07C61" w14:textId="77777777" w:rsidR="0079382E" w:rsidRPr="00731E4E" w:rsidRDefault="0079382E" w:rsidP="0079382E">
                  <w:pPr>
                    <w:spacing w:before="40" w:after="40"/>
                    <w:jc w:val="center"/>
                    <w:rPr>
                      <w:rFonts w:asciiTheme="minorHAnsi" w:hAnsiTheme="minorHAnsi" w:cs="Arial"/>
                      <w:color w:val="FFFFFF"/>
                      <w:sz w:val="16"/>
                      <w:szCs w:val="16"/>
                    </w:rPr>
                  </w:pPr>
                  <w:r w:rsidRPr="00731E4E">
                    <w:rPr>
                      <w:rFonts w:asciiTheme="minorHAnsi" w:hAnsiTheme="minorHAnsi" w:cs="Arial"/>
                      <w:color w:val="FFFFFF"/>
                      <w:sz w:val="16"/>
                      <w:szCs w:val="16"/>
                    </w:rPr>
                    <w:t xml:space="preserve">Lata </w:t>
                  </w:r>
                </w:p>
              </w:tc>
              <w:tc>
                <w:tcPr>
                  <w:tcW w:w="665" w:type="dxa"/>
                  <w:shd w:val="clear" w:color="auto" w:fill="A6A6A6" w:themeFill="background1" w:themeFillShade="A6"/>
                </w:tcPr>
                <w:p w14:paraId="3840858E" w14:textId="77777777" w:rsidR="0079382E" w:rsidRPr="00731E4E" w:rsidRDefault="0079382E" w:rsidP="0079382E">
                  <w:pPr>
                    <w:spacing w:before="40" w:after="40"/>
                    <w:jc w:val="center"/>
                    <w:rPr>
                      <w:rFonts w:asciiTheme="minorHAnsi" w:hAnsiTheme="minorHAnsi" w:cs="Arial"/>
                      <w:color w:val="FFFFFF"/>
                      <w:sz w:val="16"/>
                      <w:szCs w:val="16"/>
                    </w:rPr>
                  </w:pPr>
                  <w:r w:rsidRPr="00731E4E">
                    <w:rPr>
                      <w:rFonts w:asciiTheme="minorHAnsi" w:hAnsiTheme="minorHAnsi" w:cs="Arial"/>
                      <w:color w:val="FFFFFF"/>
                      <w:sz w:val="16"/>
                      <w:szCs w:val="16"/>
                    </w:rPr>
                    <w:t>201</w:t>
                  </w:r>
                  <w:r>
                    <w:rPr>
                      <w:rFonts w:asciiTheme="minorHAnsi" w:hAnsiTheme="minorHAnsi" w:cs="Arial"/>
                      <w:color w:val="FFFFFF"/>
                      <w:sz w:val="16"/>
                      <w:szCs w:val="16"/>
                    </w:rPr>
                    <w:t>8</w:t>
                  </w:r>
                </w:p>
              </w:tc>
              <w:tc>
                <w:tcPr>
                  <w:tcW w:w="788" w:type="dxa"/>
                  <w:shd w:val="clear" w:color="auto" w:fill="A6A6A6" w:themeFill="background1" w:themeFillShade="A6"/>
                </w:tcPr>
                <w:p w14:paraId="1E507D38" w14:textId="77777777" w:rsidR="0079382E" w:rsidRPr="00731E4E" w:rsidRDefault="0079382E" w:rsidP="0079382E">
                  <w:pPr>
                    <w:spacing w:before="40" w:after="40"/>
                    <w:jc w:val="center"/>
                    <w:rPr>
                      <w:rFonts w:asciiTheme="minorHAnsi" w:hAnsiTheme="minorHAnsi" w:cs="Arial"/>
                      <w:color w:val="FFFFFF"/>
                      <w:sz w:val="16"/>
                      <w:szCs w:val="16"/>
                    </w:rPr>
                  </w:pPr>
                  <w:r w:rsidRPr="00731E4E">
                    <w:rPr>
                      <w:rFonts w:asciiTheme="minorHAnsi" w:hAnsiTheme="minorHAnsi" w:cs="Arial"/>
                      <w:color w:val="FFFFFF"/>
                      <w:sz w:val="16"/>
                      <w:szCs w:val="16"/>
                    </w:rPr>
                    <w:t>…</w:t>
                  </w:r>
                </w:p>
              </w:tc>
              <w:tc>
                <w:tcPr>
                  <w:tcW w:w="810" w:type="dxa"/>
                  <w:shd w:val="clear" w:color="auto" w:fill="A6A6A6" w:themeFill="background1" w:themeFillShade="A6"/>
                </w:tcPr>
                <w:p w14:paraId="10E07EA6" w14:textId="77777777" w:rsidR="0079382E" w:rsidRPr="00731E4E" w:rsidRDefault="0079382E" w:rsidP="0079382E">
                  <w:pPr>
                    <w:spacing w:before="40" w:after="40"/>
                    <w:jc w:val="center"/>
                    <w:rPr>
                      <w:rFonts w:asciiTheme="minorHAnsi" w:hAnsiTheme="minorHAnsi" w:cs="Arial"/>
                      <w:color w:val="FFFFFF"/>
                      <w:sz w:val="16"/>
                      <w:szCs w:val="16"/>
                    </w:rPr>
                  </w:pPr>
                  <w:r w:rsidRPr="00731E4E">
                    <w:rPr>
                      <w:rFonts w:asciiTheme="minorHAnsi" w:hAnsiTheme="minorHAnsi" w:cs="Arial"/>
                      <w:color w:val="FFFFFF"/>
                      <w:sz w:val="16"/>
                      <w:szCs w:val="16"/>
                    </w:rPr>
                    <w:t>2020</w:t>
                  </w:r>
                </w:p>
              </w:tc>
              <w:tc>
                <w:tcPr>
                  <w:tcW w:w="811" w:type="dxa"/>
                  <w:shd w:val="clear" w:color="auto" w:fill="A6A6A6" w:themeFill="background1" w:themeFillShade="A6"/>
                </w:tcPr>
                <w:p w14:paraId="0F676DB7" w14:textId="77777777" w:rsidR="0079382E" w:rsidRPr="00731E4E" w:rsidRDefault="0079382E" w:rsidP="0079382E">
                  <w:pPr>
                    <w:spacing w:before="40" w:after="40"/>
                    <w:jc w:val="center"/>
                    <w:rPr>
                      <w:rFonts w:asciiTheme="minorHAnsi" w:hAnsiTheme="minorHAnsi" w:cs="Arial"/>
                      <w:color w:val="FFFFFF"/>
                      <w:sz w:val="16"/>
                      <w:szCs w:val="16"/>
                    </w:rPr>
                  </w:pPr>
                  <w:r w:rsidRPr="00731E4E">
                    <w:rPr>
                      <w:rFonts w:asciiTheme="minorHAnsi" w:hAnsiTheme="minorHAnsi" w:cs="Arial"/>
                      <w:color w:val="FFFFFF"/>
                      <w:sz w:val="16"/>
                      <w:szCs w:val="16"/>
                    </w:rPr>
                    <w:t>2025</w:t>
                  </w:r>
                </w:p>
              </w:tc>
              <w:tc>
                <w:tcPr>
                  <w:tcW w:w="810" w:type="dxa"/>
                  <w:shd w:val="clear" w:color="auto" w:fill="A6A6A6" w:themeFill="background1" w:themeFillShade="A6"/>
                </w:tcPr>
                <w:p w14:paraId="0DE8BCEE" w14:textId="77777777" w:rsidR="0079382E" w:rsidRPr="00731E4E" w:rsidRDefault="0079382E" w:rsidP="0079382E">
                  <w:pPr>
                    <w:spacing w:before="40" w:after="40"/>
                    <w:jc w:val="center"/>
                    <w:rPr>
                      <w:rFonts w:asciiTheme="minorHAnsi" w:hAnsiTheme="minorHAnsi" w:cs="Arial"/>
                      <w:color w:val="FFFFFF"/>
                      <w:sz w:val="16"/>
                      <w:szCs w:val="16"/>
                    </w:rPr>
                  </w:pPr>
                  <w:r w:rsidRPr="00731E4E">
                    <w:rPr>
                      <w:rFonts w:asciiTheme="minorHAnsi" w:hAnsiTheme="minorHAnsi" w:cs="Arial"/>
                      <w:color w:val="FFFFFF"/>
                      <w:sz w:val="16"/>
                      <w:szCs w:val="16"/>
                    </w:rPr>
                    <w:t>2030</w:t>
                  </w:r>
                </w:p>
              </w:tc>
              <w:tc>
                <w:tcPr>
                  <w:tcW w:w="791" w:type="dxa"/>
                  <w:shd w:val="clear" w:color="auto" w:fill="A6A6A6" w:themeFill="background1" w:themeFillShade="A6"/>
                </w:tcPr>
                <w:p w14:paraId="34A4B9D3" w14:textId="77777777" w:rsidR="0079382E" w:rsidRPr="00731E4E" w:rsidRDefault="0079382E" w:rsidP="0079382E">
                  <w:pPr>
                    <w:spacing w:before="40" w:after="40"/>
                    <w:jc w:val="center"/>
                    <w:rPr>
                      <w:rFonts w:asciiTheme="minorHAnsi" w:hAnsiTheme="minorHAnsi" w:cs="Arial"/>
                      <w:color w:val="FFFFFF"/>
                      <w:sz w:val="16"/>
                      <w:szCs w:val="16"/>
                    </w:rPr>
                  </w:pPr>
                  <w:r w:rsidRPr="00731E4E">
                    <w:rPr>
                      <w:rFonts w:asciiTheme="minorHAnsi" w:hAnsiTheme="minorHAnsi" w:cs="Arial"/>
                      <w:color w:val="FFFFFF"/>
                      <w:sz w:val="16"/>
                      <w:szCs w:val="16"/>
                    </w:rPr>
                    <w:t>2040</w:t>
                  </w:r>
                </w:p>
              </w:tc>
            </w:tr>
            <w:tr w:rsidR="0079382E" w:rsidRPr="00731E4E" w14:paraId="79078D8A" w14:textId="77777777" w:rsidTr="00505091">
              <w:trPr>
                <w:tblCellSpacing w:w="20" w:type="dxa"/>
              </w:trPr>
              <w:tc>
                <w:tcPr>
                  <w:tcW w:w="2093" w:type="dxa"/>
                  <w:shd w:val="clear" w:color="auto" w:fill="DBE5F1"/>
                </w:tcPr>
                <w:p w14:paraId="08F3DB23" w14:textId="77777777" w:rsidR="0079382E" w:rsidRPr="00C42EEC" w:rsidRDefault="0079382E" w:rsidP="0079382E">
                  <w:pPr>
                    <w:spacing w:before="40" w:after="40"/>
                    <w:rPr>
                      <w:rFonts w:asciiTheme="minorHAnsi" w:hAnsiTheme="minorHAnsi" w:cs="Arial"/>
                      <w:color w:val="4F81BD" w:themeColor="accent1"/>
                      <w:sz w:val="16"/>
                      <w:szCs w:val="16"/>
                    </w:rPr>
                  </w:pPr>
                  <w:r w:rsidRPr="00C42EEC">
                    <w:rPr>
                      <w:rFonts w:asciiTheme="minorHAnsi" w:hAnsiTheme="minorHAnsi" w:cs="Arial"/>
                      <w:color w:val="4F81BD" w:themeColor="accent1"/>
                      <w:sz w:val="16"/>
                      <w:szCs w:val="16"/>
                    </w:rPr>
                    <w:t xml:space="preserve">Przychody własne  </w:t>
                  </w:r>
                </w:p>
              </w:tc>
              <w:tc>
                <w:tcPr>
                  <w:tcW w:w="665" w:type="dxa"/>
                  <w:shd w:val="clear" w:color="auto" w:fill="DBE5F1"/>
                </w:tcPr>
                <w:p w14:paraId="0E2A7847"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88" w:type="dxa"/>
                  <w:shd w:val="clear" w:color="auto" w:fill="DBE5F1"/>
                </w:tcPr>
                <w:p w14:paraId="0E54F5DE"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6C68F05B"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1" w:type="dxa"/>
                  <w:shd w:val="clear" w:color="auto" w:fill="DBE5F1"/>
                </w:tcPr>
                <w:p w14:paraId="10D9C16E"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0CDE61DF"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91" w:type="dxa"/>
                  <w:shd w:val="clear" w:color="auto" w:fill="DBE5F1"/>
                </w:tcPr>
                <w:p w14:paraId="4A5D515F" w14:textId="77777777" w:rsidR="0079382E" w:rsidRPr="00C42EEC" w:rsidRDefault="0079382E" w:rsidP="0079382E">
                  <w:pPr>
                    <w:spacing w:before="40" w:after="40"/>
                    <w:rPr>
                      <w:rFonts w:asciiTheme="minorHAnsi" w:hAnsiTheme="minorHAnsi" w:cs="Arial"/>
                      <w:color w:val="4F81BD" w:themeColor="accent1"/>
                      <w:sz w:val="16"/>
                      <w:szCs w:val="16"/>
                    </w:rPr>
                  </w:pPr>
                </w:p>
              </w:tc>
            </w:tr>
            <w:tr w:rsidR="0079382E" w:rsidRPr="00731E4E" w14:paraId="5A65E4FD" w14:textId="77777777" w:rsidTr="00505091">
              <w:trPr>
                <w:tblCellSpacing w:w="20" w:type="dxa"/>
              </w:trPr>
              <w:tc>
                <w:tcPr>
                  <w:tcW w:w="2093" w:type="dxa"/>
                  <w:shd w:val="clear" w:color="auto" w:fill="DBE5F1"/>
                </w:tcPr>
                <w:p w14:paraId="31CDD3C8" w14:textId="77777777" w:rsidR="0079382E" w:rsidRPr="00C42EEC" w:rsidRDefault="0079382E" w:rsidP="0079382E">
                  <w:pPr>
                    <w:spacing w:before="40" w:after="40"/>
                    <w:rPr>
                      <w:rFonts w:asciiTheme="minorHAnsi" w:hAnsiTheme="minorHAnsi" w:cs="Arial"/>
                      <w:color w:val="4F81BD" w:themeColor="accent1"/>
                      <w:sz w:val="16"/>
                      <w:szCs w:val="16"/>
                    </w:rPr>
                  </w:pPr>
                  <w:r w:rsidRPr="00C42EEC">
                    <w:rPr>
                      <w:rFonts w:asciiTheme="minorHAnsi" w:hAnsiTheme="minorHAnsi" w:cs="Arial"/>
                      <w:color w:val="4F81BD" w:themeColor="accent1"/>
                      <w:sz w:val="16"/>
                      <w:szCs w:val="16"/>
                    </w:rPr>
                    <w:t>- opłaty za korzysztanie</w:t>
                  </w:r>
                  <w:r>
                    <w:rPr>
                      <w:rFonts w:asciiTheme="minorHAnsi" w:hAnsiTheme="minorHAnsi" w:cs="Arial"/>
                      <w:color w:val="4F81BD" w:themeColor="accent1"/>
                      <w:sz w:val="16"/>
                      <w:szCs w:val="16"/>
                    </w:rPr>
                    <w:t xml:space="preserve"> z </w:t>
                  </w:r>
                  <w:r w:rsidRPr="00C42EEC">
                    <w:rPr>
                      <w:rFonts w:asciiTheme="minorHAnsi" w:hAnsiTheme="minorHAnsi" w:cs="Arial"/>
                      <w:color w:val="4F81BD" w:themeColor="accent1"/>
                      <w:sz w:val="16"/>
                      <w:szCs w:val="16"/>
                    </w:rPr>
                    <w:t xml:space="preserve">infrastruktury drogowej </w:t>
                  </w:r>
                </w:p>
              </w:tc>
              <w:tc>
                <w:tcPr>
                  <w:tcW w:w="665" w:type="dxa"/>
                  <w:shd w:val="clear" w:color="auto" w:fill="DBE5F1"/>
                </w:tcPr>
                <w:p w14:paraId="404261D1"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88" w:type="dxa"/>
                  <w:shd w:val="clear" w:color="auto" w:fill="DBE5F1"/>
                </w:tcPr>
                <w:p w14:paraId="4DAF77AD"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5F8EFF23"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1" w:type="dxa"/>
                  <w:shd w:val="clear" w:color="auto" w:fill="DBE5F1"/>
                </w:tcPr>
                <w:p w14:paraId="0BDED303"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7E51BFC6"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91" w:type="dxa"/>
                  <w:shd w:val="clear" w:color="auto" w:fill="DBE5F1"/>
                </w:tcPr>
                <w:p w14:paraId="21371D25" w14:textId="77777777" w:rsidR="0079382E" w:rsidRPr="00C42EEC" w:rsidRDefault="0079382E" w:rsidP="0079382E">
                  <w:pPr>
                    <w:spacing w:before="40" w:after="40"/>
                    <w:rPr>
                      <w:rFonts w:asciiTheme="minorHAnsi" w:hAnsiTheme="minorHAnsi" w:cs="Arial"/>
                      <w:color w:val="4F81BD" w:themeColor="accent1"/>
                      <w:sz w:val="16"/>
                      <w:szCs w:val="16"/>
                    </w:rPr>
                  </w:pPr>
                </w:p>
              </w:tc>
            </w:tr>
            <w:tr w:rsidR="0079382E" w:rsidRPr="00731E4E" w14:paraId="0B3B10C7" w14:textId="77777777" w:rsidTr="00505091">
              <w:trPr>
                <w:tblCellSpacing w:w="20" w:type="dxa"/>
              </w:trPr>
              <w:tc>
                <w:tcPr>
                  <w:tcW w:w="2093" w:type="dxa"/>
                  <w:shd w:val="clear" w:color="auto" w:fill="DBE5F1"/>
                </w:tcPr>
                <w:p w14:paraId="120EA1DE" w14:textId="77777777" w:rsidR="0079382E" w:rsidRPr="00C42EEC" w:rsidRDefault="0079382E" w:rsidP="0079382E">
                  <w:pPr>
                    <w:spacing w:before="40" w:after="40"/>
                    <w:rPr>
                      <w:rFonts w:asciiTheme="minorHAnsi" w:hAnsiTheme="minorHAnsi" w:cs="Arial"/>
                      <w:color w:val="4F81BD" w:themeColor="accent1"/>
                      <w:sz w:val="16"/>
                      <w:szCs w:val="16"/>
                    </w:rPr>
                  </w:pPr>
                  <w:r w:rsidRPr="00C42EEC">
                    <w:rPr>
                      <w:rFonts w:asciiTheme="minorHAnsi" w:hAnsiTheme="minorHAnsi" w:cs="Arial"/>
                      <w:color w:val="4F81BD" w:themeColor="accent1"/>
                      <w:sz w:val="16"/>
                      <w:szCs w:val="16"/>
                    </w:rPr>
                    <w:t>- pozostałe przychody</w:t>
                  </w:r>
                </w:p>
              </w:tc>
              <w:tc>
                <w:tcPr>
                  <w:tcW w:w="665" w:type="dxa"/>
                  <w:shd w:val="clear" w:color="auto" w:fill="DBE5F1"/>
                </w:tcPr>
                <w:p w14:paraId="566480F6"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88" w:type="dxa"/>
                  <w:shd w:val="clear" w:color="auto" w:fill="DBE5F1"/>
                </w:tcPr>
                <w:p w14:paraId="68B449DC"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67827DB9"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1" w:type="dxa"/>
                  <w:shd w:val="clear" w:color="auto" w:fill="DBE5F1"/>
                </w:tcPr>
                <w:p w14:paraId="141E0544"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5EBCBA1F"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91" w:type="dxa"/>
                  <w:shd w:val="clear" w:color="auto" w:fill="DBE5F1"/>
                </w:tcPr>
                <w:p w14:paraId="093D2EDA" w14:textId="77777777" w:rsidR="0079382E" w:rsidRPr="00C42EEC" w:rsidRDefault="0079382E" w:rsidP="0079382E">
                  <w:pPr>
                    <w:spacing w:before="40" w:after="40"/>
                    <w:rPr>
                      <w:rFonts w:asciiTheme="minorHAnsi" w:hAnsiTheme="minorHAnsi" w:cs="Arial"/>
                      <w:color w:val="4F81BD" w:themeColor="accent1"/>
                      <w:sz w:val="16"/>
                      <w:szCs w:val="16"/>
                    </w:rPr>
                  </w:pPr>
                </w:p>
              </w:tc>
            </w:tr>
            <w:tr w:rsidR="0079382E" w:rsidRPr="00731E4E" w14:paraId="30F77A04" w14:textId="77777777" w:rsidTr="00505091">
              <w:trPr>
                <w:tblCellSpacing w:w="20" w:type="dxa"/>
              </w:trPr>
              <w:tc>
                <w:tcPr>
                  <w:tcW w:w="2093" w:type="dxa"/>
                  <w:shd w:val="clear" w:color="auto" w:fill="DBE5F1"/>
                </w:tcPr>
                <w:p w14:paraId="73FF62E1" w14:textId="77777777" w:rsidR="0079382E" w:rsidRPr="00C42EEC" w:rsidRDefault="0079382E" w:rsidP="0079382E">
                  <w:pPr>
                    <w:spacing w:before="40" w:after="40"/>
                    <w:rPr>
                      <w:rFonts w:asciiTheme="minorHAnsi" w:hAnsiTheme="minorHAnsi" w:cs="Arial"/>
                      <w:color w:val="4F81BD" w:themeColor="accent1"/>
                      <w:sz w:val="16"/>
                      <w:szCs w:val="16"/>
                    </w:rPr>
                  </w:pPr>
                  <w:r w:rsidRPr="00C42EEC">
                    <w:rPr>
                      <w:rFonts w:asciiTheme="minorHAnsi" w:hAnsiTheme="minorHAnsi" w:cs="Arial"/>
                      <w:color w:val="4F81BD" w:themeColor="accent1"/>
                      <w:sz w:val="16"/>
                      <w:szCs w:val="16"/>
                    </w:rPr>
                    <w:t>Pozostałe wpływy,</w:t>
                  </w:r>
                  <w:r>
                    <w:rPr>
                      <w:rFonts w:asciiTheme="minorHAnsi" w:hAnsiTheme="minorHAnsi" w:cs="Arial"/>
                      <w:color w:val="4F81BD" w:themeColor="accent1"/>
                      <w:sz w:val="16"/>
                      <w:szCs w:val="16"/>
                    </w:rPr>
                    <w:t xml:space="preserve"> w </w:t>
                  </w:r>
                  <w:r w:rsidRPr="00C42EEC">
                    <w:rPr>
                      <w:rFonts w:asciiTheme="minorHAnsi" w:hAnsiTheme="minorHAnsi" w:cs="Arial"/>
                      <w:color w:val="4F81BD" w:themeColor="accent1"/>
                      <w:sz w:val="16"/>
                      <w:szCs w:val="16"/>
                    </w:rPr>
                    <w:t xml:space="preserve">tym: </w:t>
                  </w:r>
                </w:p>
              </w:tc>
              <w:tc>
                <w:tcPr>
                  <w:tcW w:w="665" w:type="dxa"/>
                  <w:shd w:val="clear" w:color="auto" w:fill="DBE5F1"/>
                </w:tcPr>
                <w:p w14:paraId="2781419C"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88" w:type="dxa"/>
                  <w:shd w:val="clear" w:color="auto" w:fill="DBE5F1"/>
                </w:tcPr>
                <w:p w14:paraId="24BEB87E"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43B883CD"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1" w:type="dxa"/>
                  <w:shd w:val="clear" w:color="auto" w:fill="DBE5F1"/>
                </w:tcPr>
                <w:p w14:paraId="18A53AFF"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15D51537"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91" w:type="dxa"/>
                  <w:shd w:val="clear" w:color="auto" w:fill="DBE5F1"/>
                </w:tcPr>
                <w:p w14:paraId="2A9BAAE2" w14:textId="77777777" w:rsidR="0079382E" w:rsidRPr="00C42EEC" w:rsidRDefault="0079382E" w:rsidP="0079382E">
                  <w:pPr>
                    <w:spacing w:before="40" w:after="40"/>
                    <w:rPr>
                      <w:rFonts w:asciiTheme="minorHAnsi" w:hAnsiTheme="minorHAnsi" w:cs="Arial"/>
                      <w:color w:val="4F81BD" w:themeColor="accent1"/>
                      <w:sz w:val="16"/>
                      <w:szCs w:val="16"/>
                    </w:rPr>
                  </w:pPr>
                </w:p>
              </w:tc>
            </w:tr>
            <w:tr w:rsidR="0079382E" w:rsidRPr="00731E4E" w14:paraId="382A2B16" w14:textId="77777777" w:rsidTr="00505091">
              <w:trPr>
                <w:tblCellSpacing w:w="20" w:type="dxa"/>
              </w:trPr>
              <w:tc>
                <w:tcPr>
                  <w:tcW w:w="2093" w:type="dxa"/>
                  <w:shd w:val="clear" w:color="auto" w:fill="DBE5F1"/>
                </w:tcPr>
                <w:p w14:paraId="2110C418" w14:textId="77777777" w:rsidR="0079382E" w:rsidRPr="00C42EEC" w:rsidRDefault="0079382E" w:rsidP="0079382E">
                  <w:pPr>
                    <w:spacing w:before="40" w:after="40"/>
                    <w:rPr>
                      <w:rFonts w:asciiTheme="minorHAnsi" w:hAnsiTheme="minorHAnsi" w:cs="Arial"/>
                      <w:color w:val="4F81BD" w:themeColor="accent1"/>
                      <w:sz w:val="16"/>
                      <w:szCs w:val="16"/>
                    </w:rPr>
                  </w:pPr>
                  <w:r w:rsidRPr="00C42EEC">
                    <w:rPr>
                      <w:rFonts w:asciiTheme="minorHAnsi" w:hAnsiTheme="minorHAnsi" w:cs="Arial"/>
                      <w:color w:val="4F81BD" w:themeColor="accent1"/>
                      <w:sz w:val="16"/>
                      <w:szCs w:val="16"/>
                    </w:rPr>
                    <w:t>- Dotacja Skarbu Państwa (lub JST)</w:t>
                  </w:r>
                </w:p>
              </w:tc>
              <w:tc>
                <w:tcPr>
                  <w:tcW w:w="665" w:type="dxa"/>
                  <w:shd w:val="clear" w:color="auto" w:fill="DBE5F1"/>
                </w:tcPr>
                <w:p w14:paraId="1B3FA1FD"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88" w:type="dxa"/>
                  <w:shd w:val="clear" w:color="auto" w:fill="DBE5F1"/>
                </w:tcPr>
                <w:p w14:paraId="73363582"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01AFAAD3"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1" w:type="dxa"/>
                  <w:shd w:val="clear" w:color="auto" w:fill="DBE5F1"/>
                </w:tcPr>
                <w:p w14:paraId="4B391806"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685B80EF"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91" w:type="dxa"/>
                  <w:shd w:val="clear" w:color="auto" w:fill="DBE5F1"/>
                </w:tcPr>
                <w:p w14:paraId="196E511B" w14:textId="77777777" w:rsidR="0079382E" w:rsidRPr="00C42EEC" w:rsidRDefault="0079382E" w:rsidP="0079382E">
                  <w:pPr>
                    <w:spacing w:before="40" w:after="40"/>
                    <w:rPr>
                      <w:rFonts w:asciiTheme="minorHAnsi" w:hAnsiTheme="minorHAnsi" w:cs="Arial"/>
                      <w:color w:val="4F81BD" w:themeColor="accent1"/>
                      <w:sz w:val="16"/>
                      <w:szCs w:val="16"/>
                    </w:rPr>
                  </w:pPr>
                </w:p>
              </w:tc>
            </w:tr>
            <w:tr w:rsidR="0079382E" w:rsidRPr="00731E4E" w14:paraId="0C83B971" w14:textId="77777777" w:rsidTr="00505091">
              <w:trPr>
                <w:tblCellSpacing w:w="20" w:type="dxa"/>
              </w:trPr>
              <w:tc>
                <w:tcPr>
                  <w:tcW w:w="2093" w:type="dxa"/>
                  <w:shd w:val="clear" w:color="auto" w:fill="DBE5F1"/>
                </w:tcPr>
                <w:p w14:paraId="44C3C043" w14:textId="77777777" w:rsidR="0079382E" w:rsidRPr="00C42EEC" w:rsidRDefault="0079382E" w:rsidP="0079382E">
                  <w:pPr>
                    <w:spacing w:before="40" w:after="40"/>
                    <w:rPr>
                      <w:rFonts w:asciiTheme="minorHAnsi" w:hAnsiTheme="minorHAnsi" w:cs="Arial"/>
                      <w:color w:val="4F81BD" w:themeColor="accent1"/>
                      <w:sz w:val="16"/>
                      <w:szCs w:val="16"/>
                    </w:rPr>
                  </w:pPr>
                  <w:r w:rsidRPr="00C42EEC">
                    <w:rPr>
                      <w:rFonts w:asciiTheme="minorHAnsi" w:hAnsiTheme="minorHAnsi" w:cs="Arial"/>
                      <w:color w:val="4F81BD" w:themeColor="accent1"/>
                      <w:sz w:val="16"/>
                      <w:szCs w:val="16"/>
                    </w:rPr>
                    <w:t>- inne dotacje</w:t>
                  </w:r>
                  <w:r>
                    <w:rPr>
                      <w:rFonts w:asciiTheme="minorHAnsi" w:hAnsiTheme="minorHAnsi" w:cs="Arial"/>
                      <w:color w:val="4F81BD" w:themeColor="accent1"/>
                      <w:sz w:val="16"/>
                      <w:szCs w:val="16"/>
                    </w:rPr>
                    <w:t xml:space="preserve"> i </w:t>
                  </w:r>
                  <w:r w:rsidRPr="00C42EEC">
                    <w:rPr>
                      <w:rFonts w:asciiTheme="minorHAnsi" w:hAnsiTheme="minorHAnsi" w:cs="Arial"/>
                      <w:color w:val="4F81BD" w:themeColor="accent1"/>
                      <w:sz w:val="16"/>
                      <w:szCs w:val="16"/>
                    </w:rPr>
                    <w:t xml:space="preserve">wpływy* </w:t>
                  </w:r>
                </w:p>
              </w:tc>
              <w:tc>
                <w:tcPr>
                  <w:tcW w:w="665" w:type="dxa"/>
                  <w:shd w:val="clear" w:color="auto" w:fill="DBE5F1"/>
                </w:tcPr>
                <w:p w14:paraId="24B398F1"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88" w:type="dxa"/>
                  <w:shd w:val="clear" w:color="auto" w:fill="DBE5F1"/>
                </w:tcPr>
                <w:p w14:paraId="18FF1DC9"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0E265F65"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1" w:type="dxa"/>
                  <w:shd w:val="clear" w:color="auto" w:fill="DBE5F1"/>
                </w:tcPr>
                <w:p w14:paraId="71266215"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688DA8E7"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91" w:type="dxa"/>
                  <w:shd w:val="clear" w:color="auto" w:fill="DBE5F1"/>
                </w:tcPr>
                <w:p w14:paraId="1D9587B4" w14:textId="77777777" w:rsidR="0079382E" w:rsidRPr="00C42EEC" w:rsidRDefault="0079382E" w:rsidP="0079382E">
                  <w:pPr>
                    <w:spacing w:before="40" w:after="40"/>
                    <w:rPr>
                      <w:rFonts w:asciiTheme="minorHAnsi" w:hAnsiTheme="minorHAnsi" w:cs="Arial"/>
                      <w:color w:val="4F81BD" w:themeColor="accent1"/>
                      <w:sz w:val="16"/>
                      <w:szCs w:val="16"/>
                    </w:rPr>
                  </w:pPr>
                </w:p>
              </w:tc>
            </w:tr>
            <w:tr w:rsidR="0079382E" w:rsidRPr="00731E4E" w14:paraId="44754809" w14:textId="77777777" w:rsidTr="00505091">
              <w:trPr>
                <w:tblCellSpacing w:w="20" w:type="dxa"/>
              </w:trPr>
              <w:tc>
                <w:tcPr>
                  <w:tcW w:w="2093" w:type="dxa"/>
                  <w:shd w:val="clear" w:color="auto" w:fill="DBE5F1"/>
                </w:tcPr>
                <w:p w14:paraId="346DEE9B" w14:textId="77777777" w:rsidR="0079382E" w:rsidRPr="00C42EEC" w:rsidRDefault="0079382E" w:rsidP="0079382E">
                  <w:pPr>
                    <w:spacing w:before="40" w:after="40"/>
                    <w:rPr>
                      <w:rFonts w:asciiTheme="minorHAnsi" w:hAnsiTheme="minorHAnsi" w:cs="Arial"/>
                      <w:color w:val="4F81BD" w:themeColor="accent1"/>
                      <w:sz w:val="16"/>
                      <w:szCs w:val="16"/>
                    </w:rPr>
                  </w:pPr>
                  <w:r w:rsidRPr="00C42EEC">
                    <w:rPr>
                      <w:rFonts w:asciiTheme="minorHAnsi" w:hAnsiTheme="minorHAnsi" w:cs="Arial"/>
                      <w:color w:val="4F81BD" w:themeColor="accent1"/>
                      <w:sz w:val="16"/>
                      <w:szCs w:val="16"/>
                    </w:rPr>
                    <w:t xml:space="preserve">Razem wpływy </w:t>
                  </w:r>
                </w:p>
              </w:tc>
              <w:tc>
                <w:tcPr>
                  <w:tcW w:w="665" w:type="dxa"/>
                  <w:shd w:val="clear" w:color="auto" w:fill="DBE5F1"/>
                </w:tcPr>
                <w:p w14:paraId="78677FE1"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88" w:type="dxa"/>
                  <w:shd w:val="clear" w:color="auto" w:fill="DBE5F1"/>
                </w:tcPr>
                <w:p w14:paraId="35A1D732"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1CC967C4"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1" w:type="dxa"/>
                  <w:shd w:val="clear" w:color="auto" w:fill="DBE5F1"/>
                </w:tcPr>
                <w:p w14:paraId="759E926E"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810" w:type="dxa"/>
                  <w:shd w:val="clear" w:color="auto" w:fill="DBE5F1"/>
                </w:tcPr>
                <w:p w14:paraId="5F648A0F" w14:textId="77777777" w:rsidR="0079382E" w:rsidRPr="00C42EEC" w:rsidRDefault="0079382E" w:rsidP="0079382E">
                  <w:pPr>
                    <w:spacing w:before="40" w:after="40"/>
                    <w:rPr>
                      <w:rFonts w:asciiTheme="minorHAnsi" w:hAnsiTheme="minorHAnsi" w:cs="Arial"/>
                      <w:color w:val="4F81BD" w:themeColor="accent1"/>
                      <w:sz w:val="16"/>
                      <w:szCs w:val="16"/>
                    </w:rPr>
                  </w:pPr>
                </w:p>
              </w:tc>
              <w:tc>
                <w:tcPr>
                  <w:tcW w:w="791" w:type="dxa"/>
                  <w:shd w:val="clear" w:color="auto" w:fill="DBE5F1"/>
                </w:tcPr>
                <w:p w14:paraId="2F114448" w14:textId="77777777" w:rsidR="0079382E" w:rsidRPr="00C42EEC" w:rsidRDefault="0079382E" w:rsidP="0079382E">
                  <w:pPr>
                    <w:spacing w:before="40" w:after="40"/>
                    <w:rPr>
                      <w:rFonts w:asciiTheme="minorHAnsi" w:hAnsiTheme="minorHAnsi" w:cs="Arial"/>
                      <w:color w:val="4F81BD" w:themeColor="accent1"/>
                      <w:sz w:val="16"/>
                      <w:szCs w:val="16"/>
                    </w:rPr>
                  </w:pPr>
                </w:p>
              </w:tc>
            </w:tr>
          </w:tbl>
          <w:p w14:paraId="2195D9DB" w14:textId="77777777" w:rsidR="00600DEE" w:rsidRDefault="00641FB5">
            <w:pPr>
              <w:rPr>
                <w:rFonts w:ascii="Calibri" w:eastAsia="Calibri" w:hAnsi="Calibri" w:cs="Calibri"/>
                <w:sz w:val="16"/>
                <w:szCs w:val="16"/>
              </w:rPr>
            </w:pPr>
            <w:r>
              <w:rPr>
                <w:rFonts w:ascii="Calibri" w:eastAsia="Calibri" w:hAnsi="Calibri" w:cs="Calibri"/>
                <w:sz w:val="16"/>
                <w:szCs w:val="16"/>
              </w:rPr>
              <w:t>* należy nazwać szczegółowo inne źródła wpływów</w:t>
            </w:r>
          </w:p>
          <w:p w14:paraId="0CD3620E" w14:textId="77777777" w:rsidR="00600DEE" w:rsidRDefault="00641FB5">
            <w:pPr>
              <w:pBdr>
                <w:top w:val="nil"/>
                <w:left w:val="nil"/>
                <w:bottom w:val="nil"/>
                <w:right w:val="nil"/>
                <w:between w:val="nil"/>
              </w:pBdr>
              <w:spacing w:before="120" w:after="120"/>
              <w:jc w:val="both"/>
              <w:rPr>
                <w:rFonts w:ascii="Calibri" w:eastAsia="Calibri" w:hAnsi="Calibri" w:cs="Calibri"/>
                <w:b/>
                <w:i/>
                <w:color w:val="000000"/>
                <w:sz w:val="16"/>
                <w:szCs w:val="16"/>
              </w:rPr>
            </w:pPr>
            <w:r>
              <w:rPr>
                <w:rFonts w:ascii="Calibri" w:eastAsia="Calibri" w:hAnsi="Calibri" w:cs="Calibri"/>
                <w:b/>
                <w:i/>
                <w:color w:val="000000"/>
                <w:sz w:val="16"/>
                <w:szCs w:val="16"/>
              </w:rPr>
              <w:t>Uwaga: w </w:t>
            </w:r>
            <w:r>
              <w:rPr>
                <w:rFonts w:ascii="Calibri" w:eastAsia="Calibri" w:hAnsi="Calibri" w:cs="Calibri"/>
                <w:color w:val="000000"/>
                <w:sz w:val="16"/>
                <w:szCs w:val="16"/>
              </w:rPr>
              <w:t xml:space="preserve">przypadku GDDKiA powyższe informacje powinny być uzyskane od właściwego ministerstwa </w:t>
            </w:r>
            <w:r>
              <w:rPr>
                <w:rFonts w:ascii="Calibri" w:eastAsia="Calibri" w:hAnsi="Calibri" w:cs="Calibri"/>
                <w:color w:val="000000"/>
                <w:sz w:val="16"/>
                <w:szCs w:val="16"/>
              </w:rPr>
              <w:br/>
              <w:t>a w przypadku JST - od odpowiednich organów samorządowych.</w:t>
            </w:r>
          </w:p>
        </w:tc>
        <w:tc>
          <w:tcPr>
            <w:tcW w:w="7201" w:type="dxa"/>
            <w:tcBorders>
              <w:left w:val="single" w:sz="4" w:space="0" w:color="000000"/>
            </w:tcBorders>
            <w:tcMar>
              <w:left w:w="284" w:type="dxa"/>
              <w:right w:w="284" w:type="dxa"/>
            </w:tcMar>
          </w:tcPr>
          <w:p w14:paraId="24656F1B"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project is financially sustainable if there are sufficient funds to cover the expenses during the construction stage and the operation stage. The aim of the financial sustainability check in road infrastructure projects is to prove that the project Beneficiary will be able to bear all financial expenditures required to maintain the service operation of road infrastructure (including also engineering structures, traffic management system and toll collection system) during the whole reference period. All costs need to be included, such as routine operation and maintenance costs as well as rehabilitation costs. While this analysis concerns the specific project’s operation and maintenance sustainability, the sustainability of the entire road network should be also adequately considered within an efficient maintenance regime. In this sense, potential project revenues from tolls should be earmarked for the operation and maintenance of the existing network, rather than building new sections.</w:t>
            </w:r>
          </w:p>
          <w:p w14:paraId="6264253D"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 project Beneficiary must prove or show clear commitment that it has sufficient financial resources that will consistently match disbursements in the years to come to ensure an adequate level of service of the road infrastructure. In case of net revenue generating projects, the revenues will be sufficient to cover operation and maintenance expenditures; and if not, supplemented with operation subsidy to cover adequately project O&amp;M costs. It means that the cumulated (not discounted) net cash flows must be non-negative for all years of the reference period considered. In case of projects which do not generate net revenues, it must be indicated how costs will be covered with a clear long-term commitment of the Beneficiary/operator to provide adequate funding from other sources to ensure the sustainability of the project.</w:t>
            </w:r>
          </w:p>
          <w:p w14:paraId="36F58B79"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checking the project financial sustainability, the following cash flows are to be used:</w:t>
            </w:r>
          </w:p>
          <w:p w14:paraId="04F47388" w14:textId="77777777" w:rsidR="00600DEE" w:rsidRDefault="00641FB5" w:rsidP="00D5736B">
            <w:pPr>
              <w:numPr>
                <w:ilvl w:val="0"/>
                <w:numId w:val="27"/>
              </w:numPr>
              <w:pBdr>
                <w:top w:val="nil"/>
                <w:left w:val="nil"/>
                <w:bottom w:val="nil"/>
                <w:right w:val="nil"/>
                <w:between w:val="nil"/>
              </w:pBdr>
              <w:spacing w:before="120" w:after="120"/>
              <w:ind w:left="0" w:firstLine="0"/>
              <w:jc w:val="both"/>
              <w:rPr>
                <w:rFonts w:ascii="Calibri" w:eastAsia="Calibri" w:hAnsi="Calibri" w:cs="Calibri"/>
                <w:color w:val="000000"/>
                <w:sz w:val="20"/>
                <w:szCs w:val="20"/>
              </w:rPr>
            </w:pPr>
            <w:r>
              <w:rPr>
                <w:rFonts w:ascii="Calibri" w:eastAsia="Calibri" w:hAnsi="Calibri" w:cs="Calibri"/>
                <w:color w:val="000000"/>
                <w:sz w:val="20"/>
                <w:szCs w:val="20"/>
              </w:rPr>
              <w:t>Operating and maintenance costs                                               (-)</w:t>
            </w:r>
          </w:p>
          <w:p w14:paraId="3100E254" w14:textId="77777777" w:rsidR="00600DEE" w:rsidRDefault="00641FB5" w:rsidP="00D5736B">
            <w:pPr>
              <w:numPr>
                <w:ilvl w:val="0"/>
                <w:numId w:val="27"/>
              </w:numPr>
              <w:pBdr>
                <w:top w:val="nil"/>
                <w:left w:val="nil"/>
                <w:bottom w:val="nil"/>
                <w:right w:val="nil"/>
                <w:between w:val="nil"/>
              </w:pBdr>
              <w:spacing w:before="120" w:after="120"/>
              <w:ind w:left="0" w:firstLine="0"/>
              <w:jc w:val="both"/>
              <w:rPr>
                <w:rFonts w:ascii="Calibri" w:eastAsia="Calibri" w:hAnsi="Calibri" w:cs="Calibri"/>
                <w:color w:val="000000"/>
                <w:sz w:val="20"/>
                <w:szCs w:val="20"/>
              </w:rPr>
            </w:pPr>
            <w:r>
              <w:rPr>
                <w:rFonts w:ascii="Calibri" w:eastAsia="Calibri" w:hAnsi="Calibri" w:cs="Calibri"/>
                <w:color w:val="000000"/>
                <w:sz w:val="20"/>
                <w:szCs w:val="20"/>
              </w:rPr>
              <w:t>Loan repayment (where relevant)                                               (-)</w:t>
            </w:r>
          </w:p>
          <w:p w14:paraId="09F773A8" w14:textId="4C165976" w:rsidR="00600DEE" w:rsidRDefault="00641FB5" w:rsidP="00D5736B">
            <w:pPr>
              <w:numPr>
                <w:ilvl w:val="0"/>
                <w:numId w:val="27"/>
              </w:numPr>
              <w:pBdr>
                <w:top w:val="nil"/>
                <w:left w:val="nil"/>
                <w:bottom w:val="nil"/>
                <w:right w:val="nil"/>
                <w:between w:val="nil"/>
              </w:pBdr>
              <w:spacing w:before="120" w:after="120"/>
              <w:ind w:left="0"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Revenues                                                                                    </w:t>
            </w:r>
            <w:r w:rsidR="0079382E">
              <w:rPr>
                <w:rFonts w:ascii="Calibri" w:eastAsia="Calibri" w:hAnsi="Calibri" w:cs="Calibri"/>
                <w:color w:val="000000"/>
                <w:sz w:val="20"/>
                <w:szCs w:val="20"/>
              </w:rPr>
              <w:t xml:space="preserve">   </w:t>
            </w:r>
            <w:r>
              <w:rPr>
                <w:rFonts w:ascii="Calibri" w:eastAsia="Calibri" w:hAnsi="Calibri" w:cs="Calibri"/>
                <w:color w:val="000000"/>
                <w:sz w:val="20"/>
                <w:szCs w:val="20"/>
              </w:rPr>
              <w:t xml:space="preserve">  (+)</w:t>
            </w:r>
          </w:p>
          <w:p w14:paraId="751C9DEA" w14:textId="551AFC21" w:rsidR="00600DEE" w:rsidRPr="0045151D" w:rsidRDefault="00641FB5" w:rsidP="00D5736B">
            <w:pPr>
              <w:numPr>
                <w:ilvl w:val="0"/>
                <w:numId w:val="27"/>
              </w:numPr>
              <w:pBdr>
                <w:top w:val="nil"/>
                <w:left w:val="nil"/>
                <w:bottom w:val="nil"/>
                <w:right w:val="nil"/>
                <w:between w:val="nil"/>
              </w:pBdr>
              <w:spacing w:before="120" w:after="120"/>
              <w:ind w:left="0" w:firstLine="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All financial resources (national subsidies</w:t>
            </w:r>
            <w:r w:rsidR="0079382E">
              <w:rPr>
                <w:rFonts w:ascii="Calibri" w:eastAsia="Calibri" w:hAnsi="Calibri" w:cs="Calibri"/>
                <w:color w:val="000000"/>
                <w:sz w:val="20"/>
                <w:szCs w:val="20"/>
                <w:lang w:val="en-GB"/>
              </w:rPr>
              <w:t xml:space="preserve">)                              </w:t>
            </w:r>
            <w:r w:rsidRPr="0045151D">
              <w:rPr>
                <w:rFonts w:ascii="Calibri" w:eastAsia="Calibri" w:hAnsi="Calibri" w:cs="Calibri"/>
                <w:color w:val="000000"/>
                <w:sz w:val="20"/>
                <w:szCs w:val="20"/>
                <w:lang w:val="en-GB"/>
              </w:rPr>
              <w:t xml:space="preserve"> (+)</w:t>
            </w:r>
          </w:p>
          <w:p w14:paraId="65E30873" w14:textId="709083D6"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recommended presentation format is shown below.</w:t>
            </w:r>
          </w:p>
          <w:p w14:paraId="1FD5948A" w14:textId="77777777" w:rsidR="000117E4" w:rsidRPr="0045151D" w:rsidRDefault="000117E4" w:rsidP="000117E4">
            <w:pPr>
              <w:pBdr>
                <w:top w:val="nil"/>
                <w:left w:val="nil"/>
                <w:bottom w:val="nil"/>
                <w:right w:val="nil"/>
                <w:between w:val="nil"/>
              </w:pBdr>
              <w:spacing w:before="360" w:after="120"/>
              <w:jc w:val="both"/>
              <w:rPr>
                <w:rFonts w:ascii="Calibri" w:eastAsia="Calibri" w:hAnsi="Calibri" w:cs="Calibri"/>
                <w:color w:val="000000"/>
                <w:sz w:val="20"/>
                <w:szCs w:val="20"/>
                <w:lang w:val="en-GB"/>
              </w:rPr>
            </w:pPr>
          </w:p>
          <w:p w14:paraId="652D4015" w14:textId="77777777" w:rsidR="000117E4" w:rsidRPr="0045151D" w:rsidRDefault="000117E4" w:rsidP="000117E4">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51C81A17" w14:textId="6EB6BB8D" w:rsidR="00600DEE" w:rsidRPr="0045151D" w:rsidRDefault="00B67038" w:rsidP="000117E4">
            <w:pPr>
              <w:pBdr>
                <w:top w:val="nil"/>
                <w:left w:val="nil"/>
                <w:bottom w:val="nil"/>
                <w:right w:val="nil"/>
                <w:between w:val="nil"/>
              </w:pBdr>
              <w:spacing w:before="24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28</w:t>
            </w:r>
            <w:r w:rsidR="00641FB5" w:rsidRPr="0045151D">
              <w:rPr>
                <w:rFonts w:ascii="Calibri" w:eastAsia="Calibri" w:hAnsi="Calibri" w:cs="Calibri"/>
                <w:b/>
                <w:color w:val="4F81BD"/>
                <w:sz w:val="20"/>
                <w:szCs w:val="20"/>
                <w:lang w:val="en-GB"/>
              </w:rPr>
              <w:t>. Required cash flows influencing financial sustainability of a project</w:t>
            </w:r>
          </w:p>
          <w:p w14:paraId="08AA4948" w14:textId="77777777" w:rsidR="000117E4" w:rsidRPr="0045151D" w:rsidRDefault="000117E4" w:rsidP="000117E4">
            <w:pPr>
              <w:pBdr>
                <w:top w:val="nil"/>
                <w:left w:val="nil"/>
                <w:bottom w:val="nil"/>
                <w:right w:val="nil"/>
                <w:between w:val="nil"/>
              </w:pBdr>
              <w:jc w:val="both"/>
              <w:rPr>
                <w:rFonts w:ascii="Calibri" w:eastAsia="Calibri" w:hAnsi="Calibri" w:cs="Calibri"/>
                <w:b/>
                <w:color w:val="4F81BD"/>
                <w:sz w:val="20"/>
                <w:szCs w:val="20"/>
                <w:lang w:val="en-GB"/>
              </w:rPr>
            </w:pPr>
          </w:p>
          <w:tbl>
            <w:tblPr>
              <w:tblStyle w:val="afffffff2"/>
              <w:tblW w:w="6408" w:type="dxa"/>
              <w:tblLayout w:type="fixed"/>
              <w:tblLook w:val="0000" w:firstRow="0" w:lastRow="0" w:firstColumn="0" w:lastColumn="0" w:noHBand="0" w:noVBand="0"/>
            </w:tblPr>
            <w:tblGrid>
              <w:gridCol w:w="2037"/>
              <w:gridCol w:w="421"/>
              <w:gridCol w:w="480"/>
              <w:gridCol w:w="509"/>
              <w:gridCol w:w="550"/>
              <w:gridCol w:w="439"/>
              <w:gridCol w:w="493"/>
              <w:gridCol w:w="493"/>
              <w:gridCol w:w="493"/>
              <w:gridCol w:w="493"/>
            </w:tblGrid>
            <w:tr w:rsidR="00600DEE" w14:paraId="03B9ACBE" w14:textId="77777777" w:rsidTr="000117E4">
              <w:trPr>
                <w:trHeight w:hRule="exact" w:val="454"/>
              </w:trPr>
              <w:tc>
                <w:tcPr>
                  <w:tcW w:w="2038" w:type="dxa"/>
                  <w:vMerge w:val="restart"/>
                  <w:tcBorders>
                    <w:top w:val="single" w:sz="4" w:space="0" w:color="FFFFFF"/>
                    <w:left w:val="single" w:sz="4" w:space="0" w:color="FFFFFF"/>
                  </w:tcBorders>
                  <w:shd w:val="clear" w:color="auto" w:fill="A6A6A6"/>
                  <w:vAlign w:val="center"/>
                </w:tcPr>
                <w:p w14:paraId="049DB6EE"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Cash flows</w:t>
                  </w:r>
                </w:p>
              </w:tc>
              <w:tc>
                <w:tcPr>
                  <w:tcW w:w="4371" w:type="dxa"/>
                  <w:gridSpan w:val="9"/>
                  <w:tcBorders>
                    <w:top w:val="single" w:sz="4" w:space="0" w:color="FFFFFF"/>
                    <w:left w:val="single" w:sz="4" w:space="0" w:color="FFFFFF"/>
                  </w:tcBorders>
                  <w:shd w:val="clear" w:color="auto" w:fill="A6A6A6"/>
                  <w:vAlign w:val="center"/>
                </w:tcPr>
                <w:p w14:paraId="317F8262"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Year</w:t>
                  </w:r>
                </w:p>
              </w:tc>
            </w:tr>
            <w:tr w:rsidR="00600DEE" w14:paraId="36F166B3" w14:textId="77777777">
              <w:trPr>
                <w:trHeight w:val="232"/>
              </w:trPr>
              <w:tc>
                <w:tcPr>
                  <w:tcW w:w="2038" w:type="dxa"/>
                  <w:vMerge/>
                  <w:tcBorders>
                    <w:top w:val="single" w:sz="4" w:space="0" w:color="FFFFFF"/>
                    <w:left w:val="single" w:sz="4" w:space="0" w:color="FFFFFF"/>
                  </w:tcBorders>
                  <w:shd w:val="clear" w:color="auto" w:fill="A6A6A6"/>
                  <w:vAlign w:val="center"/>
                </w:tcPr>
                <w:p w14:paraId="05249EEA"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421" w:type="dxa"/>
                  <w:tcBorders>
                    <w:top w:val="single" w:sz="4" w:space="0" w:color="FFFFFF"/>
                    <w:left w:val="single" w:sz="4" w:space="0" w:color="FFFFFF"/>
                    <w:bottom w:val="single" w:sz="4" w:space="0" w:color="FFFFFF"/>
                  </w:tcBorders>
                  <w:shd w:val="clear" w:color="auto" w:fill="A6A6A6"/>
                  <w:vAlign w:val="center"/>
                </w:tcPr>
                <w:p w14:paraId="68F118B9"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1</w:t>
                  </w:r>
                </w:p>
              </w:tc>
              <w:tc>
                <w:tcPr>
                  <w:tcW w:w="480" w:type="dxa"/>
                  <w:tcBorders>
                    <w:top w:val="single" w:sz="4" w:space="0" w:color="FFFFFF"/>
                    <w:left w:val="single" w:sz="4" w:space="0" w:color="FFFFFF"/>
                    <w:bottom w:val="single" w:sz="4" w:space="0" w:color="FFFFFF"/>
                  </w:tcBorders>
                  <w:shd w:val="clear" w:color="auto" w:fill="A6A6A6"/>
                  <w:vAlign w:val="center"/>
                </w:tcPr>
                <w:p w14:paraId="044E675F"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2</w:t>
                  </w:r>
                </w:p>
              </w:tc>
              <w:tc>
                <w:tcPr>
                  <w:tcW w:w="509" w:type="dxa"/>
                  <w:tcBorders>
                    <w:top w:val="single" w:sz="4" w:space="0" w:color="FFFFFF"/>
                    <w:left w:val="single" w:sz="4" w:space="0" w:color="FFFFFF"/>
                    <w:bottom w:val="single" w:sz="4" w:space="0" w:color="FFFFFF"/>
                  </w:tcBorders>
                  <w:shd w:val="clear" w:color="auto" w:fill="A6A6A6"/>
                  <w:vAlign w:val="center"/>
                </w:tcPr>
                <w:p w14:paraId="4EE06C25"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3</w:t>
                  </w:r>
                </w:p>
              </w:tc>
              <w:tc>
                <w:tcPr>
                  <w:tcW w:w="550" w:type="dxa"/>
                  <w:tcBorders>
                    <w:top w:val="single" w:sz="4" w:space="0" w:color="FFFFFF"/>
                    <w:left w:val="single" w:sz="4" w:space="0" w:color="FFFFFF"/>
                    <w:bottom w:val="single" w:sz="4" w:space="0" w:color="FFFFFF"/>
                  </w:tcBorders>
                  <w:shd w:val="clear" w:color="auto" w:fill="A6A6A6"/>
                  <w:vAlign w:val="center"/>
                </w:tcPr>
                <w:p w14:paraId="12A1AFF8"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4</w:t>
                  </w:r>
                </w:p>
              </w:tc>
              <w:tc>
                <w:tcPr>
                  <w:tcW w:w="439" w:type="dxa"/>
                  <w:tcBorders>
                    <w:top w:val="single" w:sz="4" w:space="0" w:color="FFFFFF"/>
                    <w:left w:val="single" w:sz="4" w:space="0" w:color="FFFFFF"/>
                    <w:bottom w:val="single" w:sz="4" w:space="0" w:color="FFFFFF"/>
                  </w:tcBorders>
                  <w:shd w:val="clear" w:color="auto" w:fill="A6A6A6"/>
                  <w:vAlign w:val="center"/>
                </w:tcPr>
                <w:p w14:paraId="5FE87F7B"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5</w:t>
                  </w:r>
                </w:p>
              </w:tc>
              <w:tc>
                <w:tcPr>
                  <w:tcW w:w="493" w:type="dxa"/>
                  <w:tcBorders>
                    <w:top w:val="single" w:sz="4" w:space="0" w:color="FFFFFF"/>
                    <w:left w:val="single" w:sz="4" w:space="0" w:color="FFFFFF"/>
                    <w:bottom w:val="single" w:sz="4" w:space="0" w:color="FFFFFF"/>
                  </w:tcBorders>
                  <w:shd w:val="clear" w:color="auto" w:fill="A6A6A6"/>
                  <w:vAlign w:val="center"/>
                </w:tcPr>
                <w:p w14:paraId="756F68F9"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6</w:t>
                  </w:r>
                </w:p>
              </w:tc>
              <w:tc>
                <w:tcPr>
                  <w:tcW w:w="493" w:type="dxa"/>
                  <w:tcBorders>
                    <w:top w:val="single" w:sz="4" w:space="0" w:color="FFFFFF"/>
                    <w:left w:val="single" w:sz="4" w:space="0" w:color="FFFFFF"/>
                    <w:bottom w:val="single" w:sz="4" w:space="0" w:color="FFFFFF"/>
                    <w:right w:val="single" w:sz="4" w:space="0" w:color="FFFFFF"/>
                  </w:tcBorders>
                  <w:shd w:val="clear" w:color="auto" w:fill="A6A6A6"/>
                </w:tcPr>
                <w:p w14:paraId="4E1B09C0"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t>
                  </w:r>
                </w:p>
              </w:tc>
              <w:tc>
                <w:tcPr>
                  <w:tcW w:w="493" w:type="dxa"/>
                  <w:tcBorders>
                    <w:top w:val="single" w:sz="4" w:space="0" w:color="FFFFFF"/>
                    <w:left w:val="single" w:sz="4" w:space="0" w:color="FFFFFF"/>
                    <w:bottom w:val="single" w:sz="4" w:space="0" w:color="FFFFFF"/>
                    <w:right w:val="single" w:sz="4" w:space="0" w:color="FFFFFF"/>
                  </w:tcBorders>
                  <w:shd w:val="clear" w:color="auto" w:fill="A6A6A6"/>
                </w:tcPr>
                <w:p w14:paraId="7E51D6CC"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t>
                  </w:r>
                </w:p>
              </w:tc>
              <w:tc>
                <w:tcPr>
                  <w:tcW w:w="493" w:type="dxa"/>
                  <w:tcBorders>
                    <w:top w:val="single" w:sz="4" w:space="0" w:color="FFFFFF"/>
                    <w:left w:val="single" w:sz="4" w:space="0" w:color="FFFFFF"/>
                    <w:bottom w:val="single" w:sz="4" w:space="0" w:color="FFFFFF"/>
                  </w:tcBorders>
                  <w:shd w:val="clear" w:color="auto" w:fill="A6A6A6"/>
                </w:tcPr>
                <w:p w14:paraId="24AA5E53"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n</w:t>
                  </w:r>
                </w:p>
              </w:tc>
            </w:tr>
            <w:tr w:rsidR="00600DEE" w14:paraId="5BF999B8"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65FDC4FB"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Investment costs</w:t>
                  </w:r>
                </w:p>
              </w:tc>
              <w:tc>
                <w:tcPr>
                  <w:tcW w:w="421" w:type="dxa"/>
                  <w:tcBorders>
                    <w:top w:val="single" w:sz="4" w:space="0" w:color="FFFFFF"/>
                    <w:left w:val="single" w:sz="4" w:space="0" w:color="FFFFFF"/>
                    <w:bottom w:val="single" w:sz="4" w:space="0" w:color="FFFFFF"/>
                  </w:tcBorders>
                  <w:shd w:val="clear" w:color="auto" w:fill="DBE5F1"/>
                  <w:vAlign w:val="center"/>
                </w:tcPr>
                <w:p w14:paraId="537AB6DC"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25C6026C"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38579D4F"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143AC2C2"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2D4E44E6"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EB5FCC7"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16AF343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5A73C8BF"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6E93742" w14:textId="77777777" w:rsidR="00600DEE" w:rsidRDefault="00600DEE">
                  <w:pPr>
                    <w:jc w:val="right"/>
                    <w:rPr>
                      <w:rFonts w:ascii="Calibri" w:eastAsia="Calibri" w:hAnsi="Calibri" w:cs="Calibri"/>
                      <w:color w:val="4F81BD"/>
                      <w:sz w:val="18"/>
                      <w:szCs w:val="18"/>
                    </w:rPr>
                  </w:pPr>
                </w:p>
              </w:tc>
            </w:tr>
            <w:tr w:rsidR="00600DEE" w14:paraId="7AF98D0A"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118B1145"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Operating and maintenance costs</w:t>
                  </w:r>
                </w:p>
              </w:tc>
              <w:tc>
                <w:tcPr>
                  <w:tcW w:w="421" w:type="dxa"/>
                  <w:tcBorders>
                    <w:top w:val="single" w:sz="4" w:space="0" w:color="FFFFFF"/>
                    <w:left w:val="single" w:sz="4" w:space="0" w:color="FFFFFF"/>
                    <w:bottom w:val="single" w:sz="4" w:space="0" w:color="FFFFFF"/>
                  </w:tcBorders>
                  <w:shd w:val="clear" w:color="auto" w:fill="DBE5F1"/>
                  <w:vAlign w:val="center"/>
                </w:tcPr>
                <w:p w14:paraId="1F224D59"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01FE1B8A"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0C732632"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388D1453"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17517B8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BFD9EC0"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3BBFED03"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4CF46DF2"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582ABF4B" w14:textId="77777777" w:rsidR="00600DEE" w:rsidRDefault="00600DEE">
                  <w:pPr>
                    <w:jc w:val="right"/>
                    <w:rPr>
                      <w:rFonts w:ascii="Calibri" w:eastAsia="Calibri" w:hAnsi="Calibri" w:cs="Calibri"/>
                      <w:color w:val="4F81BD"/>
                      <w:sz w:val="18"/>
                      <w:szCs w:val="18"/>
                    </w:rPr>
                  </w:pPr>
                </w:p>
              </w:tc>
            </w:tr>
            <w:tr w:rsidR="00600DEE" w14:paraId="08BD2134"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52A4AEF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Loan repayment</w:t>
                  </w:r>
                </w:p>
              </w:tc>
              <w:tc>
                <w:tcPr>
                  <w:tcW w:w="421" w:type="dxa"/>
                  <w:tcBorders>
                    <w:top w:val="single" w:sz="4" w:space="0" w:color="FFFFFF"/>
                    <w:left w:val="single" w:sz="4" w:space="0" w:color="FFFFFF"/>
                    <w:bottom w:val="single" w:sz="4" w:space="0" w:color="FFFFFF"/>
                  </w:tcBorders>
                  <w:shd w:val="clear" w:color="auto" w:fill="DBE5F1"/>
                  <w:vAlign w:val="center"/>
                </w:tcPr>
                <w:p w14:paraId="12D84C90"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0EFDF134"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3F1B16E8"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0D4A92E8"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00F292D8"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74F823A9"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6E7CF744"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4B26CE3C"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AC2A83E" w14:textId="77777777" w:rsidR="00600DEE" w:rsidRDefault="00600DEE">
                  <w:pPr>
                    <w:jc w:val="right"/>
                    <w:rPr>
                      <w:rFonts w:ascii="Calibri" w:eastAsia="Calibri" w:hAnsi="Calibri" w:cs="Calibri"/>
                      <w:color w:val="4F81BD"/>
                      <w:sz w:val="18"/>
                      <w:szCs w:val="18"/>
                    </w:rPr>
                  </w:pPr>
                </w:p>
              </w:tc>
            </w:tr>
            <w:tr w:rsidR="00600DEE" w14:paraId="10F9108C"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5AAF70BA"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Other</w:t>
                  </w:r>
                </w:p>
              </w:tc>
              <w:tc>
                <w:tcPr>
                  <w:tcW w:w="421" w:type="dxa"/>
                  <w:tcBorders>
                    <w:top w:val="single" w:sz="4" w:space="0" w:color="FFFFFF"/>
                    <w:left w:val="single" w:sz="4" w:space="0" w:color="FFFFFF"/>
                    <w:bottom w:val="single" w:sz="4" w:space="0" w:color="FFFFFF"/>
                  </w:tcBorders>
                  <w:shd w:val="clear" w:color="auto" w:fill="DBE5F1"/>
                  <w:vAlign w:val="center"/>
                </w:tcPr>
                <w:p w14:paraId="17846930"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4DC41334"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762197A4"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01C3620C"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3F951664"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5588BE5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79FBE3E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4F63FBC0"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49BDC9F1" w14:textId="77777777" w:rsidR="00600DEE" w:rsidRDefault="00600DEE">
                  <w:pPr>
                    <w:jc w:val="right"/>
                    <w:rPr>
                      <w:rFonts w:ascii="Calibri" w:eastAsia="Calibri" w:hAnsi="Calibri" w:cs="Calibri"/>
                      <w:color w:val="4F81BD"/>
                      <w:sz w:val="18"/>
                      <w:szCs w:val="18"/>
                    </w:rPr>
                  </w:pPr>
                </w:p>
              </w:tc>
            </w:tr>
            <w:tr w:rsidR="00600DEE" w14:paraId="5607DAE3"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3DFC9736"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TOTAL (outflows)</w:t>
                  </w:r>
                </w:p>
              </w:tc>
              <w:tc>
                <w:tcPr>
                  <w:tcW w:w="421" w:type="dxa"/>
                  <w:tcBorders>
                    <w:top w:val="single" w:sz="4" w:space="0" w:color="FFFFFF"/>
                    <w:left w:val="single" w:sz="4" w:space="0" w:color="FFFFFF"/>
                    <w:bottom w:val="single" w:sz="4" w:space="0" w:color="FFFFFF"/>
                  </w:tcBorders>
                  <w:shd w:val="clear" w:color="auto" w:fill="DBE5F1"/>
                  <w:vAlign w:val="center"/>
                </w:tcPr>
                <w:p w14:paraId="1E41CFFB"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5DD49019"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3EA8E699"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70A35B6A"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45F6D78F"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29B87213"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23FD16A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3F5BA12C"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3942E2E9" w14:textId="77777777" w:rsidR="00600DEE" w:rsidRDefault="00600DEE">
                  <w:pPr>
                    <w:jc w:val="right"/>
                    <w:rPr>
                      <w:rFonts w:ascii="Calibri" w:eastAsia="Calibri" w:hAnsi="Calibri" w:cs="Calibri"/>
                      <w:color w:val="4F81BD"/>
                      <w:sz w:val="18"/>
                      <w:szCs w:val="18"/>
                    </w:rPr>
                  </w:pPr>
                </w:p>
              </w:tc>
            </w:tr>
            <w:tr w:rsidR="00600DEE" w14:paraId="4E538D3A"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066512EE"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Revenues </w:t>
                  </w:r>
                </w:p>
              </w:tc>
              <w:tc>
                <w:tcPr>
                  <w:tcW w:w="421" w:type="dxa"/>
                  <w:tcBorders>
                    <w:top w:val="single" w:sz="4" w:space="0" w:color="FFFFFF"/>
                    <w:left w:val="single" w:sz="4" w:space="0" w:color="FFFFFF"/>
                    <w:bottom w:val="single" w:sz="4" w:space="0" w:color="FFFFFF"/>
                  </w:tcBorders>
                  <w:shd w:val="clear" w:color="auto" w:fill="DBE5F1"/>
                  <w:vAlign w:val="center"/>
                </w:tcPr>
                <w:p w14:paraId="6E93ED7B"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3C0A6A4A"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769C7438"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6B23724A"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49E47B17"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5D530515"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54F6EDC4"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200C4AB4"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129A8E58" w14:textId="77777777" w:rsidR="00600DEE" w:rsidRDefault="00600DEE">
                  <w:pPr>
                    <w:jc w:val="right"/>
                    <w:rPr>
                      <w:rFonts w:ascii="Calibri" w:eastAsia="Calibri" w:hAnsi="Calibri" w:cs="Calibri"/>
                      <w:color w:val="4F81BD"/>
                      <w:sz w:val="18"/>
                      <w:szCs w:val="18"/>
                    </w:rPr>
                  </w:pPr>
                </w:p>
              </w:tc>
            </w:tr>
            <w:tr w:rsidR="00600DEE" w14:paraId="06167863"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765DB9F1"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EU grant</w:t>
                  </w:r>
                </w:p>
              </w:tc>
              <w:tc>
                <w:tcPr>
                  <w:tcW w:w="421" w:type="dxa"/>
                  <w:tcBorders>
                    <w:top w:val="single" w:sz="4" w:space="0" w:color="FFFFFF"/>
                    <w:left w:val="single" w:sz="4" w:space="0" w:color="FFFFFF"/>
                    <w:bottom w:val="single" w:sz="4" w:space="0" w:color="FFFFFF"/>
                  </w:tcBorders>
                  <w:shd w:val="clear" w:color="auto" w:fill="DBE5F1"/>
                  <w:vAlign w:val="center"/>
                </w:tcPr>
                <w:p w14:paraId="04B34485" w14:textId="77777777" w:rsidR="00600DEE" w:rsidRDefault="00600DEE">
                  <w:pPr>
                    <w:jc w:val="right"/>
                    <w:rPr>
                      <w:rFonts w:ascii="Calibri" w:eastAsia="Calibri" w:hAnsi="Calibri" w:cs="Calibri"/>
                      <w:color w:val="4F81BD"/>
                      <w:sz w:val="18"/>
                      <w:szCs w:val="18"/>
                    </w:rPr>
                  </w:pPr>
                </w:p>
              </w:tc>
              <w:tc>
                <w:tcPr>
                  <w:tcW w:w="480" w:type="dxa"/>
                  <w:tcBorders>
                    <w:top w:val="single" w:sz="4" w:space="0" w:color="FFFFFF"/>
                    <w:left w:val="single" w:sz="4" w:space="0" w:color="FFFFFF"/>
                    <w:bottom w:val="single" w:sz="4" w:space="0" w:color="FFFFFF"/>
                  </w:tcBorders>
                  <w:shd w:val="clear" w:color="auto" w:fill="DBE5F1"/>
                  <w:vAlign w:val="center"/>
                </w:tcPr>
                <w:p w14:paraId="6C58606E" w14:textId="77777777" w:rsidR="00600DEE" w:rsidRDefault="00600DEE">
                  <w:pPr>
                    <w:jc w:val="right"/>
                    <w:rPr>
                      <w:rFonts w:ascii="Calibri" w:eastAsia="Calibri" w:hAnsi="Calibri" w:cs="Calibri"/>
                      <w:color w:val="4F81BD"/>
                      <w:sz w:val="18"/>
                      <w:szCs w:val="18"/>
                    </w:rPr>
                  </w:pPr>
                </w:p>
              </w:tc>
              <w:tc>
                <w:tcPr>
                  <w:tcW w:w="509" w:type="dxa"/>
                  <w:tcBorders>
                    <w:top w:val="single" w:sz="4" w:space="0" w:color="FFFFFF"/>
                    <w:left w:val="single" w:sz="4" w:space="0" w:color="FFFFFF"/>
                    <w:bottom w:val="single" w:sz="4" w:space="0" w:color="FFFFFF"/>
                  </w:tcBorders>
                  <w:shd w:val="clear" w:color="auto" w:fill="DBE5F1"/>
                  <w:vAlign w:val="center"/>
                </w:tcPr>
                <w:p w14:paraId="15784C0E" w14:textId="77777777" w:rsidR="00600DEE" w:rsidRDefault="00600DEE">
                  <w:pPr>
                    <w:jc w:val="right"/>
                    <w:rPr>
                      <w:rFonts w:ascii="Calibri" w:eastAsia="Calibri" w:hAnsi="Calibri" w:cs="Calibri"/>
                      <w:color w:val="4F81BD"/>
                      <w:sz w:val="18"/>
                      <w:szCs w:val="18"/>
                    </w:rPr>
                  </w:pPr>
                </w:p>
              </w:tc>
              <w:tc>
                <w:tcPr>
                  <w:tcW w:w="550" w:type="dxa"/>
                  <w:tcBorders>
                    <w:top w:val="single" w:sz="4" w:space="0" w:color="FFFFFF"/>
                    <w:left w:val="single" w:sz="4" w:space="0" w:color="FFFFFF"/>
                    <w:bottom w:val="single" w:sz="4" w:space="0" w:color="FFFFFF"/>
                  </w:tcBorders>
                  <w:shd w:val="clear" w:color="auto" w:fill="DBE5F1"/>
                </w:tcPr>
                <w:p w14:paraId="430A84BC" w14:textId="77777777" w:rsidR="00600DEE" w:rsidRDefault="00600DEE">
                  <w:pPr>
                    <w:jc w:val="right"/>
                    <w:rPr>
                      <w:rFonts w:ascii="Calibri" w:eastAsia="Calibri" w:hAnsi="Calibri" w:cs="Calibri"/>
                      <w:color w:val="4F81BD"/>
                      <w:sz w:val="18"/>
                      <w:szCs w:val="18"/>
                    </w:rPr>
                  </w:pPr>
                </w:p>
              </w:tc>
              <w:tc>
                <w:tcPr>
                  <w:tcW w:w="439" w:type="dxa"/>
                  <w:tcBorders>
                    <w:top w:val="single" w:sz="4" w:space="0" w:color="FFFFFF"/>
                    <w:left w:val="single" w:sz="4" w:space="0" w:color="FFFFFF"/>
                    <w:bottom w:val="single" w:sz="4" w:space="0" w:color="FFFFFF"/>
                  </w:tcBorders>
                  <w:shd w:val="clear" w:color="auto" w:fill="DBE5F1"/>
                </w:tcPr>
                <w:p w14:paraId="0592FD5D"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730E7CD3"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0DD792A8"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2221EF01" w14:textId="77777777" w:rsidR="00600DEE" w:rsidRDefault="00600DEE">
                  <w:pPr>
                    <w:jc w:val="right"/>
                    <w:rPr>
                      <w:rFonts w:ascii="Calibri" w:eastAsia="Calibri" w:hAnsi="Calibri" w:cs="Calibri"/>
                      <w:color w:val="4F81BD"/>
                      <w:sz w:val="18"/>
                      <w:szCs w:val="18"/>
                    </w:rPr>
                  </w:pPr>
                </w:p>
              </w:tc>
              <w:tc>
                <w:tcPr>
                  <w:tcW w:w="493" w:type="dxa"/>
                  <w:tcBorders>
                    <w:top w:val="single" w:sz="4" w:space="0" w:color="FFFFFF"/>
                    <w:left w:val="single" w:sz="4" w:space="0" w:color="FFFFFF"/>
                    <w:bottom w:val="single" w:sz="4" w:space="0" w:color="FFFFFF"/>
                  </w:tcBorders>
                  <w:shd w:val="clear" w:color="auto" w:fill="DBE5F1"/>
                </w:tcPr>
                <w:p w14:paraId="0ADAC724" w14:textId="77777777" w:rsidR="00600DEE" w:rsidRDefault="00600DEE">
                  <w:pPr>
                    <w:jc w:val="right"/>
                    <w:rPr>
                      <w:rFonts w:ascii="Calibri" w:eastAsia="Calibri" w:hAnsi="Calibri" w:cs="Calibri"/>
                      <w:color w:val="4F81BD"/>
                      <w:sz w:val="18"/>
                      <w:szCs w:val="18"/>
                    </w:rPr>
                  </w:pPr>
                </w:p>
              </w:tc>
            </w:tr>
            <w:tr w:rsidR="00600DEE" w:rsidRPr="007463B9" w14:paraId="5F5EC8AA" w14:textId="77777777" w:rsidTr="00E91CFE">
              <w:trPr>
                <w:trHeight w:val="907"/>
              </w:trPr>
              <w:tc>
                <w:tcPr>
                  <w:tcW w:w="2038" w:type="dxa"/>
                  <w:tcBorders>
                    <w:top w:val="single" w:sz="4" w:space="0" w:color="FFFFFF"/>
                    <w:left w:val="single" w:sz="4" w:space="0" w:color="FFFFFF"/>
                    <w:bottom w:val="single" w:sz="4" w:space="0" w:color="FFFFFF"/>
                  </w:tcBorders>
                  <w:shd w:val="clear" w:color="auto" w:fill="DBE5F1"/>
                  <w:vAlign w:val="center"/>
                </w:tcPr>
                <w:p w14:paraId="27152C4F"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Other sources of funding (national contribution, subsidies, etc.)</w:t>
                  </w:r>
                </w:p>
              </w:tc>
              <w:tc>
                <w:tcPr>
                  <w:tcW w:w="421" w:type="dxa"/>
                  <w:tcBorders>
                    <w:top w:val="single" w:sz="4" w:space="0" w:color="FFFFFF"/>
                    <w:left w:val="single" w:sz="4" w:space="0" w:color="FFFFFF"/>
                    <w:bottom w:val="single" w:sz="4" w:space="0" w:color="FFFFFF"/>
                  </w:tcBorders>
                  <w:shd w:val="clear" w:color="auto" w:fill="DBE5F1"/>
                  <w:vAlign w:val="center"/>
                </w:tcPr>
                <w:p w14:paraId="72518AF8" w14:textId="77777777" w:rsidR="00600DEE" w:rsidRPr="0045151D" w:rsidRDefault="00600DEE">
                  <w:pPr>
                    <w:jc w:val="right"/>
                    <w:rPr>
                      <w:rFonts w:ascii="Calibri" w:eastAsia="Calibri" w:hAnsi="Calibri" w:cs="Calibri"/>
                      <w:color w:val="4F81BD"/>
                      <w:sz w:val="18"/>
                      <w:szCs w:val="18"/>
                      <w:lang w:val="en-GB"/>
                    </w:rPr>
                  </w:pPr>
                </w:p>
              </w:tc>
              <w:tc>
                <w:tcPr>
                  <w:tcW w:w="480" w:type="dxa"/>
                  <w:tcBorders>
                    <w:top w:val="single" w:sz="4" w:space="0" w:color="FFFFFF"/>
                    <w:left w:val="single" w:sz="4" w:space="0" w:color="FFFFFF"/>
                    <w:bottom w:val="single" w:sz="4" w:space="0" w:color="FFFFFF"/>
                  </w:tcBorders>
                  <w:shd w:val="clear" w:color="auto" w:fill="DBE5F1"/>
                  <w:vAlign w:val="center"/>
                </w:tcPr>
                <w:p w14:paraId="3D4D35BE" w14:textId="77777777" w:rsidR="00600DEE" w:rsidRPr="0045151D" w:rsidRDefault="00600DEE">
                  <w:pPr>
                    <w:jc w:val="right"/>
                    <w:rPr>
                      <w:rFonts w:ascii="Calibri" w:eastAsia="Calibri" w:hAnsi="Calibri" w:cs="Calibri"/>
                      <w:color w:val="4F81BD"/>
                      <w:sz w:val="18"/>
                      <w:szCs w:val="18"/>
                      <w:lang w:val="en-GB"/>
                    </w:rPr>
                  </w:pPr>
                </w:p>
              </w:tc>
              <w:tc>
                <w:tcPr>
                  <w:tcW w:w="509" w:type="dxa"/>
                  <w:tcBorders>
                    <w:top w:val="single" w:sz="4" w:space="0" w:color="FFFFFF"/>
                    <w:left w:val="single" w:sz="4" w:space="0" w:color="FFFFFF"/>
                    <w:bottom w:val="single" w:sz="4" w:space="0" w:color="FFFFFF"/>
                  </w:tcBorders>
                  <w:shd w:val="clear" w:color="auto" w:fill="DBE5F1"/>
                  <w:vAlign w:val="center"/>
                </w:tcPr>
                <w:p w14:paraId="5613985B" w14:textId="77777777" w:rsidR="00600DEE" w:rsidRPr="0045151D" w:rsidRDefault="00600DEE">
                  <w:pPr>
                    <w:jc w:val="right"/>
                    <w:rPr>
                      <w:rFonts w:ascii="Calibri" w:eastAsia="Calibri" w:hAnsi="Calibri" w:cs="Calibri"/>
                      <w:color w:val="4F81BD"/>
                      <w:sz w:val="18"/>
                      <w:szCs w:val="18"/>
                      <w:lang w:val="en-GB"/>
                    </w:rPr>
                  </w:pPr>
                </w:p>
              </w:tc>
              <w:tc>
                <w:tcPr>
                  <w:tcW w:w="550" w:type="dxa"/>
                  <w:tcBorders>
                    <w:top w:val="single" w:sz="4" w:space="0" w:color="FFFFFF"/>
                    <w:left w:val="single" w:sz="4" w:space="0" w:color="FFFFFF"/>
                    <w:bottom w:val="single" w:sz="4" w:space="0" w:color="FFFFFF"/>
                  </w:tcBorders>
                  <w:shd w:val="clear" w:color="auto" w:fill="DBE5F1"/>
                </w:tcPr>
                <w:p w14:paraId="48C8CF32" w14:textId="77777777" w:rsidR="00600DEE" w:rsidRPr="0045151D" w:rsidRDefault="00600DEE">
                  <w:pPr>
                    <w:jc w:val="right"/>
                    <w:rPr>
                      <w:rFonts w:ascii="Calibri" w:eastAsia="Calibri" w:hAnsi="Calibri" w:cs="Calibri"/>
                      <w:color w:val="4F81BD"/>
                      <w:sz w:val="18"/>
                      <w:szCs w:val="18"/>
                      <w:lang w:val="en-GB"/>
                    </w:rPr>
                  </w:pPr>
                </w:p>
              </w:tc>
              <w:tc>
                <w:tcPr>
                  <w:tcW w:w="439" w:type="dxa"/>
                  <w:tcBorders>
                    <w:top w:val="single" w:sz="4" w:space="0" w:color="FFFFFF"/>
                    <w:left w:val="single" w:sz="4" w:space="0" w:color="FFFFFF"/>
                    <w:bottom w:val="single" w:sz="4" w:space="0" w:color="FFFFFF"/>
                  </w:tcBorders>
                  <w:shd w:val="clear" w:color="auto" w:fill="DBE5F1"/>
                </w:tcPr>
                <w:p w14:paraId="5AC19FD5"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tcBorders>
                  <w:shd w:val="clear" w:color="auto" w:fill="DBE5F1"/>
                </w:tcPr>
                <w:p w14:paraId="511D9315"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76A06B43"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033FD2FE"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tcBorders>
                  <w:shd w:val="clear" w:color="auto" w:fill="DBE5F1"/>
                </w:tcPr>
                <w:p w14:paraId="428E123F" w14:textId="77777777" w:rsidR="00600DEE" w:rsidRPr="0045151D" w:rsidRDefault="00600DEE">
                  <w:pPr>
                    <w:jc w:val="right"/>
                    <w:rPr>
                      <w:rFonts w:ascii="Calibri" w:eastAsia="Calibri" w:hAnsi="Calibri" w:cs="Calibri"/>
                      <w:color w:val="4F81BD"/>
                      <w:sz w:val="18"/>
                      <w:szCs w:val="18"/>
                      <w:lang w:val="en-GB"/>
                    </w:rPr>
                  </w:pPr>
                </w:p>
              </w:tc>
            </w:tr>
            <w:tr w:rsidR="00600DEE" w:rsidRPr="007463B9" w14:paraId="57DF5551" w14:textId="77777777">
              <w:trPr>
                <w:trHeight w:val="232"/>
              </w:trPr>
              <w:tc>
                <w:tcPr>
                  <w:tcW w:w="2038" w:type="dxa"/>
                  <w:tcBorders>
                    <w:top w:val="single" w:sz="4" w:space="0" w:color="FFFFFF"/>
                    <w:left w:val="single" w:sz="4" w:space="0" w:color="FFFFFF"/>
                    <w:bottom w:val="single" w:sz="4" w:space="0" w:color="FFFFFF"/>
                  </w:tcBorders>
                  <w:shd w:val="clear" w:color="auto" w:fill="DBE5F1"/>
                  <w:vAlign w:val="center"/>
                </w:tcPr>
                <w:p w14:paraId="52450111" w14:textId="77777777" w:rsidR="00600DEE" w:rsidRPr="0045151D" w:rsidRDefault="00641FB5">
                  <w:pP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TOTAL (inflows)</w:t>
                  </w:r>
                </w:p>
              </w:tc>
              <w:tc>
                <w:tcPr>
                  <w:tcW w:w="421" w:type="dxa"/>
                  <w:tcBorders>
                    <w:top w:val="single" w:sz="4" w:space="0" w:color="FFFFFF"/>
                    <w:left w:val="single" w:sz="4" w:space="0" w:color="FFFFFF"/>
                    <w:bottom w:val="single" w:sz="4" w:space="0" w:color="FFFFFF"/>
                  </w:tcBorders>
                  <w:shd w:val="clear" w:color="auto" w:fill="DBE5F1"/>
                  <w:vAlign w:val="center"/>
                </w:tcPr>
                <w:p w14:paraId="3C46C4D0" w14:textId="77777777" w:rsidR="00600DEE" w:rsidRPr="0045151D" w:rsidRDefault="00600DEE">
                  <w:pPr>
                    <w:jc w:val="right"/>
                    <w:rPr>
                      <w:rFonts w:ascii="Calibri" w:eastAsia="Calibri" w:hAnsi="Calibri" w:cs="Calibri"/>
                      <w:color w:val="4F81BD"/>
                      <w:sz w:val="18"/>
                      <w:szCs w:val="18"/>
                      <w:lang w:val="en-GB"/>
                    </w:rPr>
                  </w:pPr>
                </w:p>
              </w:tc>
              <w:tc>
                <w:tcPr>
                  <w:tcW w:w="480" w:type="dxa"/>
                  <w:tcBorders>
                    <w:top w:val="single" w:sz="4" w:space="0" w:color="FFFFFF"/>
                    <w:left w:val="single" w:sz="4" w:space="0" w:color="FFFFFF"/>
                    <w:bottom w:val="single" w:sz="4" w:space="0" w:color="FFFFFF"/>
                  </w:tcBorders>
                  <w:shd w:val="clear" w:color="auto" w:fill="DBE5F1"/>
                  <w:vAlign w:val="center"/>
                </w:tcPr>
                <w:p w14:paraId="01F93F06" w14:textId="77777777" w:rsidR="00600DEE" w:rsidRPr="0045151D" w:rsidRDefault="00600DEE">
                  <w:pPr>
                    <w:jc w:val="right"/>
                    <w:rPr>
                      <w:rFonts w:ascii="Calibri" w:eastAsia="Calibri" w:hAnsi="Calibri" w:cs="Calibri"/>
                      <w:color w:val="4F81BD"/>
                      <w:sz w:val="18"/>
                      <w:szCs w:val="18"/>
                      <w:lang w:val="en-GB"/>
                    </w:rPr>
                  </w:pPr>
                </w:p>
              </w:tc>
              <w:tc>
                <w:tcPr>
                  <w:tcW w:w="509" w:type="dxa"/>
                  <w:tcBorders>
                    <w:top w:val="single" w:sz="4" w:space="0" w:color="FFFFFF"/>
                    <w:left w:val="single" w:sz="4" w:space="0" w:color="FFFFFF"/>
                    <w:bottom w:val="single" w:sz="4" w:space="0" w:color="FFFFFF"/>
                  </w:tcBorders>
                  <w:shd w:val="clear" w:color="auto" w:fill="DBE5F1"/>
                  <w:vAlign w:val="center"/>
                </w:tcPr>
                <w:p w14:paraId="51F38C64" w14:textId="77777777" w:rsidR="00600DEE" w:rsidRPr="0045151D" w:rsidRDefault="00600DEE">
                  <w:pPr>
                    <w:jc w:val="right"/>
                    <w:rPr>
                      <w:rFonts w:ascii="Calibri" w:eastAsia="Calibri" w:hAnsi="Calibri" w:cs="Calibri"/>
                      <w:color w:val="4F81BD"/>
                      <w:sz w:val="18"/>
                      <w:szCs w:val="18"/>
                      <w:lang w:val="en-GB"/>
                    </w:rPr>
                  </w:pPr>
                </w:p>
              </w:tc>
              <w:tc>
                <w:tcPr>
                  <w:tcW w:w="550" w:type="dxa"/>
                  <w:tcBorders>
                    <w:top w:val="single" w:sz="4" w:space="0" w:color="FFFFFF"/>
                    <w:left w:val="single" w:sz="4" w:space="0" w:color="FFFFFF"/>
                    <w:bottom w:val="single" w:sz="4" w:space="0" w:color="FFFFFF"/>
                  </w:tcBorders>
                  <w:shd w:val="clear" w:color="auto" w:fill="DBE5F1"/>
                </w:tcPr>
                <w:p w14:paraId="075DAF8D" w14:textId="77777777" w:rsidR="00600DEE" w:rsidRPr="0045151D" w:rsidRDefault="00600DEE">
                  <w:pPr>
                    <w:jc w:val="right"/>
                    <w:rPr>
                      <w:rFonts w:ascii="Calibri" w:eastAsia="Calibri" w:hAnsi="Calibri" w:cs="Calibri"/>
                      <w:color w:val="4F81BD"/>
                      <w:sz w:val="18"/>
                      <w:szCs w:val="18"/>
                      <w:lang w:val="en-GB"/>
                    </w:rPr>
                  </w:pPr>
                </w:p>
              </w:tc>
              <w:tc>
                <w:tcPr>
                  <w:tcW w:w="439" w:type="dxa"/>
                  <w:tcBorders>
                    <w:top w:val="single" w:sz="4" w:space="0" w:color="FFFFFF"/>
                    <w:left w:val="single" w:sz="4" w:space="0" w:color="FFFFFF"/>
                    <w:bottom w:val="single" w:sz="4" w:space="0" w:color="FFFFFF"/>
                  </w:tcBorders>
                  <w:shd w:val="clear" w:color="auto" w:fill="DBE5F1"/>
                </w:tcPr>
                <w:p w14:paraId="302468D3"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tcBorders>
                  <w:shd w:val="clear" w:color="auto" w:fill="DBE5F1"/>
                </w:tcPr>
                <w:p w14:paraId="7FD62DC1"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56A653C7"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45E8CD23"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tcBorders>
                  <w:shd w:val="clear" w:color="auto" w:fill="DBE5F1"/>
                </w:tcPr>
                <w:p w14:paraId="0F129B5F" w14:textId="77777777" w:rsidR="00600DEE" w:rsidRPr="0045151D" w:rsidRDefault="00600DEE">
                  <w:pPr>
                    <w:jc w:val="right"/>
                    <w:rPr>
                      <w:rFonts w:ascii="Calibri" w:eastAsia="Calibri" w:hAnsi="Calibri" w:cs="Calibri"/>
                      <w:color w:val="4F81BD"/>
                      <w:sz w:val="18"/>
                      <w:szCs w:val="18"/>
                      <w:lang w:val="en-GB"/>
                    </w:rPr>
                  </w:pPr>
                </w:p>
              </w:tc>
            </w:tr>
            <w:tr w:rsidR="00600DEE" w:rsidRPr="007463B9" w14:paraId="31DDC47E" w14:textId="77777777" w:rsidTr="00E91CFE">
              <w:trPr>
                <w:trHeight w:hRule="exact" w:val="454"/>
              </w:trPr>
              <w:tc>
                <w:tcPr>
                  <w:tcW w:w="2038" w:type="dxa"/>
                  <w:tcBorders>
                    <w:top w:val="single" w:sz="4" w:space="0" w:color="FFFFFF"/>
                    <w:left w:val="single" w:sz="4" w:space="0" w:color="FFFFFF"/>
                    <w:bottom w:val="single" w:sz="4" w:space="0" w:color="FFFFFF"/>
                  </w:tcBorders>
                  <w:shd w:val="clear" w:color="auto" w:fill="DBE5F1"/>
                  <w:vAlign w:val="center"/>
                </w:tcPr>
                <w:p w14:paraId="2DD8DB0B" w14:textId="77777777" w:rsidR="00600DEE" w:rsidRPr="0045151D" w:rsidRDefault="00641FB5">
                  <w:pP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NET CASHFLOWS</w:t>
                  </w:r>
                </w:p>
              </w:tc>
              <w:tc>
                <w:tcPr>
                  <w:tcW w:w="421" w:type="dxa"/>
                  <w:tcBorders>
                    <w:top w:val="single" w:sz="4" w:space="0" w:color="FFFFFF"/>
                    <w:left w:val="single" w:sz="4" w:space="0" w:color="FFFFFF"/>
                    <w:bottom w:val="single" w:sz="4" w:space="0" w:color="FFFFFF"/>
                  </w:tcBorders>
                  <w:shd w:val="clear" w:color="auto" w:fill="DBE5F1"/>
                  <w:vAlign w:val="center"/>
                </w:tcPr>
                <w:p w14:paraId="73580DEF" w14:textId="77777777" w:rsidR="00600DEE" w:rsidRPr="0045151D" w:rsidRDefault="00600DEE">
                  <w:pPr>
                    <w:jc w:val="right"/>
                    <w:rPr>
                      <w:rFonts w:ascii="Calibri" w:eastAsia="Calibri" w:hAnsi="Calibri" w:cs="Calibri"/>
                      <w:color w:val="4F81BD"/>
                      <w:sz w:val="18"/>
                      <w:szCs w:val="18"/>
                      <w:lang w:val="en-GB"/>
                    </w:rPr>
                  </w:pPr>
                </w:p>
              </w:tc>
              <w:tc>
                <w:tcPr>
                  <w:tcW w:w="480" w:type="dxa"/>
                  <w:tcBorders>
                    <w:top w:val="single" w:sz="4" w:space="0" w:color="FFFFFF"/>
                    <w:left w:val="single" w:sz="4" w:space="0" w:color="FFFFFF"/>
                    <w:bottom w:val="single" w:sz="4" w:space="0" w:color="FFFFFF"/>
                  </w:tcBorders>
                  <w:shd w:val="clear" w:color="auto" w:fill="DBE5F1"/>
                  <w:vAlign w:val="center"/>
                </w:tcPr>
                <w:p w14:paraId="141B7AF8" w14:textId="77777777" w:rsidR="00600DEE" w:rsidRPr="0045151D" w:rsidRDefault="00600DEE">
                  <w:pPr>
                    <w:jc w:val="right"/>
                    <w:rPr>
                      <w:rFonts w:ascii="Calibri" w:eastAsia="Calibri" w:hAnsi="Calibri" w:cs="Calibri"/>
                      <w:color w:val="4F81BD"/>
                      <w:sz w:val="18"/>
                      <w:szCs w:val="18"/>
                      <w:lang w:val="en-GB"/>
                    </w:rPr>
                  </w:pPr>
                </w:p>
              </w:tc>
              <w:tc>
                <w:tcPr>
                  <w:tcW w:w="509" w:type="dxa"/>
                  <w:tcBorders>
                    <w:top w:val="single" w:sz="4" w:space="0" w:color="FFFFFF"/>
                    <w:left w:val="single" w:sz="4" w:space="0" w:color="FFFFFF"/>
                    <w:bottom w:val="single" w:sz="4" w:space="0" w:color="FFFFFF"/>
                  </w:tcBorders>
                  <w:shd w:val="clear" w:color="auto" w:fill="DBE5F1"/>
                  <w:vAlign w:val="center"/>
                </w:tcPr>
                <w:p w14:paraId="7D493A5B" w14:textId="77777777" w:rsidR="00600DEE" w:rsidRPr="0045151D" w:rsidRDefault="00600DEE">
                  <w:pPr>
                    <w:jc w:val="right"/>
                    <w:rPr>
                      <w:rFonts w:ascii="Calibri" w:eastAsia="Calibri" w:hAnsi="Calibri" w:cs="Calibri"/>
                      <w:color w:val="4F81BD"/>
                      <w:sz w:val="18"/>
                      <w:szCs w:val="18"/>
                      <w:lang w:val="en-GB"/>
                    </w:rPr>
                  </w:pPr>
                </w:p>
              </w:tc>
              <w:tc>
                <w:tcPr>
                  <w:tcW w:w="550" w:type="dxa"/>
                  <w:tcBorders>
                    <w:top w:val="single" w:sz="4" w:space="0" w:color="FFFFFF"/>
                    <w:left w:val="single" w:sz="4" w:space="0" w:color="FFFFFF"/>
                    <w:bottom w:val="single" w:sz="4" w:space="0" w:color="FFFFFF"/>
                  </w:tcBorders>
                  <w:shd w:val="clear" w:color="auto" w:fill="DBE5F1"/>
                </w:tcPr>
                <w:p w14:paraId="7D50B316" w14:textId="77777777" w:rsidR="00600DEE" w:rsidRPr="0045151D" w:rsidRDefault="00600DEE">
                  <w:pPr>
                    <w:jc w:val="right"/>
                    <w:rPr>
                      <w:rFonts w:ascii="Calibri" w:eastAsia="Calibri" w:hAnsi="Calibri" w:cs="Calibri"/>
                      <w:color w:val="4F81BD"/>
                      <w:sz w:val="18"/>
                      <w:szCs w:val="18"/>
                      <w:lang w:val="en-GB"/>
                    </w:rPr>
                  </w:pPr>
                </w:p>
              </w:tc>
              <w:tc>
                <w:tcPr>
                  <w:tcW w:w="439" w:type="dxa"/>
                  <w:tcBorders>
                    <w:top w:val="single" w:sz="4" w:space="0" w:color="FFFFFF"/>
                    <w:left w:val="single" w:sz="4" w:space="0" w:color="FFFFFF"/>
                    <w:bottom w:val="single" w:sz="4" w:space="0" w:color="FFFFFF"/>
                  </w:tcBorders>
                  <w:shd w:val="clear" w:color="auto" w:fill="DBE5F1"/>
                </w:tcPr>
                <w:p w14:paraId="1BF340EA"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tcBorders>
                  <w:shd w:val="clear" w:color="auto" w:fill="DBE5F1"/>
                </w:tcPr>
                <w:p w14:paraId="5E0E1677"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5D80BBAE"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right w:val="single" w:sz="4" w:space="0" w:color="FFFFFF"/>
                  </w:tcBorders>
                  <w:shd w:val="clear" w:color="auto" w:fill="DBE5F1"/>
                </w:tcPr>
                <w:p w14:paraId="2EACE3FE" w14:textId="77777777" w:rsidR="00600DEE" w:rsidRPr="0045151D" w:rsidRDefault="00600DEE">
                  <w:pPr>
                    <w:jc w:val="right"/>
                    <w:rPr>
                      <w:rFonts w:ascii="Calibri" w:eastAsia="Calibri" w:hAnsi="Calibri" w:cs="Calibri"/>
                      <w:color w:val="4F81BD"/>
                      <w:sz w:val="18"/>
                      <w:szCs w:val="18"/>
                      <w:lang w:val="en-GB"/>
                    </w:rPr>
                  </w:pPr>
                </w:p>
              </w:tc>
              <w:tc>
                <w:tcPr>
                  <w:tcW w:w="493" w:type="dxa"/>
                  <w:tcBorders>
                    <w:top w:val="single" w:sz="4" w:space="0" w:color="FFFFFF"/>
                    <w:left w:val="single" w:sz="4" w:space="0" w:color="FFFFFF"/>
                    <w:bottom w:val="single" w:sz="4" w:space="0" w:color="FFFFFF"/>
                  </w:tcBorders>
                  <w:shd w:val="clear" w:color="auto" w:fill="DBE5F1"/>
                </w:tcPr>
                <w:p w14:paraId="39B362B0" w14:textId="77777777" w:rsidR="00600DEE" w:rsidRPr="0045151D" w:rsidRDefault="00600DEE">
                  <w:pPr>
                    <w:jc w:val="right"/>
                    <w:rPr>
                      <w:rFonts w:ascii="Calibri" w:eastAsia="Calibri" w:hAnsi="Calibri" w:cs="Calibri"/>
                      <w:color w:val="4F81BD"/>
                      <w:sz w:val="18"/>
                      <w:szCs w:val="18"/>
                      <w:lang w:val="en-GB"/>
                    </w:rPr>
                  </w:pPr>
                </w:p>
              </w:tc>
            </w:tr>
          </w:tbl>
          <w:p w14:paraId="23C7E55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i/>
                <w:color w:val="000000"/>
                <w:sz w:val="16"/>
                <w:szCs w:val="16"/>
                <w:lang w:val="en-GB"/>
              </w:rPr>
              <w:t>Source: proprietary work.</w:t>
            </w:r>
          </w:p>
          <w:p w14:paraId="46B65D6D"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It is recommended to also provide a broader overview of the sustainability of road infrastructure managed by the Beneficiary. </w:t>
            </w:r>
          </w:p>
          <w:p w14:paraId="5D2AED1F"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Firstly, it is recommended to analyse the O&amp;M financial needs considering existing road network infrastructure, but also the planned investments and the ones under construction. </w:t>
            </w:r>
          </w:p>
          <w:p w14:paraId="52D7A5E3" w14:textId="79C85A0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proposed tables No. 31 and 32 below are not mandatory for a given project and the information could be presented in a different form. The aim is to provide (by the Beneficiary, if possible, and if not - by the financing authority) an overview of the financial sustainability needs of the respective road network. In case of GDDKiA, such information should be provided by the relevant ministry, and in case of Local Government Unit </w:t>
            </w:r>
            <w:r w:rsidR="0079382E" w:rsidRPr="0079382E">
              <w:rPr>
                <w:rFonts w:asciiTheme="minorHAnsi" w:hAnsiTheme="minorHAnsi"/>
                <w:lang w:val="en-US"/>
              </w:rPr>
              <w:t>–</w:t>
            </w:r>
            <w:r w:rsidRPr="0045151D">
              <w:rPr>
                <w:rFonts w:ascii="Calibri" w:eastAsia="Calibri" w:hAnsi="Calibri" w:cs="Calibri"/>
                <w:color w:val="000000"/>
                <w:sz w:val="20"/>
                <w:szCs w:val="20"/>
                <w:lang w:val="en-GB"/>
              </w:rPr>
              <w:t xml:space="preserve"> the relevant local authority bodies.</w:t>
            </w:r>
          </w:p>
          <w:p w14:paraId="3603D752" w14:textId="77777777" w:rsidR="00600DEE" w:rsidRPr="0045151D" w:rsidRDefault="00600DEE">
            <w:pPr>
              <w:pBdr>
                <w:top w:val="nil"/>
                <w:left w:val="nil"/>
                <w:bottom w:val="nil"/>
                <w:right w:val="nil"/>
                <w:between w:val="nil"/>
              </w:pBdr>
              <w:ind w:left="851" w:hanging="851"/>
              <w:jc w:val="both"/>
              <w:rPr>
                <w:rFonts w:ascii="Calibri" w:eastAsia="Calibri" w:hAnsi="Calibri" w:cs="Calibri"/>
                <w:b/>
                <w:color w:val="4F81BD"/>
                <w:sz w:val="20"/>
                <w:szCs w:val="20"/>
                <w:lang w:val="en-GB"/>
              </w:rPr>
            </w:pPr>
          </w:p>
          <w:p w14:paraId="4C68472B" w14:textId="10689852" w:rsidR="00600DEE" w:rsidRPr="0045151D" w:rsidRDefault="00B67038" w:rsidP="000117E4">
            <w:pPr>
              <w:pBdr>
                <w:top w:val="nil"/>
                <w:left w:val="nil"/>
                <w:bottom w:val="nil"/>
                <w:right w:val="nil"/>
                <w:between w:val="nil"/>
              </w:pBdr>
              <w:spacing w:before="120" w:after="120"/>
              <w:ind w:left="851" w:hanging="851"/>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29</w:t>
            </w:r>
            <w:r w:rsidR="00641FB5" w:rsidRPr="0045151D">
              <w:rPr>
                <w:rFonts w:ascii="Calibri" w:eastAsia="Calibri" w:hAnsi="Calibri" w:cs="Calibri"/>
                <w:b/>
                <w:color w:val="4F81BD"/>
                <w:sz w:val="20"/>
                <w:szCs w:val="20"/>
                <w:lang w:val="en-GB"/>
              </w:rPr>
              <w:t>. Forecast of O&amp;M costs for the road network managed by the Beneficiary (where applicable to the investment option and to be structured as relevant to the Beneficiary)</w:t>
            </w:r>
          </w:p>
          <w:tbl>
            <w:tblPr>
              <w:tblStyle w:val="afffffff3"/>
              <w:tblW w:w="70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2153"/>
              <w:gridCol w:w="803"/>
              <w:gridCol w:w="805"/>
              <w:gridCol w:w="806"/>
              <w:gridCol w:w="805"/>
              <w:gridCol w:w="805"/>
              <w:gridCol w:w="827"/>
            </w:tblGrid>
            <w:tr w:rsidR="00600DEE" w14:paraId="0EC954C9" w14:textId="77777777" w:rsidTr="00E91CFE">
              <w:trPr>
                <w:trHeight w:val="261"/>
              </w:trPr>
              <w:tc>
                <w:tcPr>
                  <w:tcW w:w="2153" w:type="dxa"/>
                  <w:shd w:val="clear" w:color="auto" w:fill="A6A6A6"/>
                </w:tcPr>
                <w:p w14:paraId="577F296A"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 xml:space="preserve">Years </w:t>
                  </w:r>
                </w:p>
              </w:tc>
              <w:tc>
                <w:tcPr>
                  <w:tcW w:w="803" w:type="dxa"/>
                  <w:shd w:val="clear" w:color="auto" w:fill="A6A6A6"/>
                </w:tcPr>
                <w:p w14:paraId="4464BDD2"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2018</w:t>
                  </w:r>
                </w:p>
              </w:tc>
              <w:tc>
                <w:tcPr>
                  <w:tcW w:w="805" w:type="dxa"/>
                  <w:shd w:val="clear" w:color="auto" w:fill="A6A6A6"/>
                </w:tcPr>
                <w:p w14:paraId="67D2F3DC"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w:t>
                  </w:r>
                </w:p>
              </w:tc>
              <w:tc>
                <w:tcPr>
                  <w:tcW w:w="806" w:type="dxa"/>
                  <w:shd w:val="clear" w:color="auto" w:fill="A6A6A6"/>
                </w:tcPr>
                <w:p w14:paraId="22E21F35"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2020</w:t>
                  </w:r>
                </w:p>
              </w:tc>
              <w:tc>
                <w:tcPr>
                  <w:tcW w:w="805" w:type="dxa"/>
                  <w:shd w:val="clear" w:color="auto" w:fill="A6A6A6"/>
                </w:tcPr>
                <w:p w14:paraId="57D3F763"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2025</w:t>
                  </w:r>
                </w:p>
              </w:tc>
              <w:tc>
                <w:tcPr>
                  <w:tcW w:w="805" w:type="dxa"/>
                  <w:shd w:val="clear" w:color="auto" w:fill="A6A6A6"/>
                </w:tcPr>
                <w:p w14:paraId="79C68793"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2030</w:t>
                  </w:r>
                </w:p>
              </w:tc>
              <w:tc>
                <w:tcPr>
                  <w:tcW w:w="827" w:type="dxa"/>
                  <w:shd w:val="clear" w:color="auto" w:fill="A6A6A6"/>
                </w:tcPr>
                <w:p w14:paraId="504C00D9" w14:textId="77777777" w:rsidR="00600DEE" w:rsidRDefault="00641FB5">
                  <w:pPr>
                    <w:spacing w:before="40" w:after="40"/>
                    <w:jc w:val="center"/>
                    <w:rPr>
                      <w:rFonts w:ascii="Calibri" w:eastAsia="Calibri" w:hAnsi="Calibri" w:cs="Calibri"/>
                      <w:color w:val="FFFFFF"/>
                      <w:sz w:val="16"/>
                      <w:szCs w:val="16"/>
                    </w:rPr>
                  </w:pPr>
                  <w:r>
                    <w:rPr>
                      <w:rFonts w:ascii="Calibri" w:eastAsia="Calibri" w:hAnsi="Calibri" w:cs="Calibri"/>
                      <w:color w:val="FFFFFF"/>
                      <w:sz w:val="16"/>
                      <w:szCs w:val="16"/>
                    </w:rPr>
                    <w:t>2040</w:t>
                  </w:r>
                </w:p>
              </w:tc>
            </w:tr>
            <w:tr w:rsidR="00600DEE" w:rsidRPr="007463B9" w14:paraId="5075F149" w14:textId="77777777" w:rsidTr="00E91CFE">
              <w:trPr>
                <w:trHeight w:hRule="exact" w:val="1134"/>
              </w:trPr>
              <w:tc>
                <w:tcPr>
                  <w:tcW w:w="2153" w:type="dxa"/>
                  <w:shd w:val="clear" w:color="auto" w:fill="DBE5F1"/>
                </w:tcPr>
                <w:p w14:paraId="5CC64F3A" w14:textId="77777777" w:rsidR="00600DEE" w:rsidRPr="0045151D" w:rsidRDefault="00641FB5">
                  <w:pPr>
                    <w:spacing w:before="40" w:after="40"/>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Total O&amp;M costs of road projects implemented under EU financial perspectives 2014-2020 and 2021-2027</w:t>
                  </w:r>
                </w:p>
              </w:tc>
              <w:tc>
                <w:tcPr>
                  <w:tcW w:w="803" w:type="dxa"/>
                  <w:shd w:val="clear" w:color="auto" w:fill="DBE5F1"/>
                </w:tcPr>
                <w:p w14:paraId="3EDA445B"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567D1A31" w14:textId="77777777" w:rsidR="00600DEE" w:rsidRPr="0045151D" w:rsidRDefault="00600DEE">
                  <w:pPr>
                    <w:spacing w:before="40" w:after="40"/>
                    <w:rPr>
                      <w:rFonts w:ascii="Calibri" w:eastAsia="Calibri" w:hAnsi="Calibri" w:cs="Calibri"/>
                      <w:color w:val="4F81BD"/>
                      <w:sz w:val="16"/>
                      <w:szCs w:val="16"/>
                      <w:lang w:val="en-GB"/>
                    </w:rPr>
                  </w:pPr>
                </w:p>
              </w:tc>
              <w:tc>
                <w:tcPr>
                  <w:tcW w:w="806" w:type="dxa"/>
                  <w:shd w:val="clear" w:color="auto" w:fill="DBE5F1"/>
                </w:tcPr>
                <w:p w14:paraId="1862C06A"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1F7C6A97"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0311F2A8" w14:textId="77777777" w:rsidR="00600DEE" w:rsidRPr="0045151D" w:rsidRDefault="00600DEE">
                  <w:pPr>
                    <w:spacing w:before="40" w:after="40"/>
                    <w:rPr>
                      <w:rFonts w:ascii="Calibri" w:eastAsia="Calibri" w:hAnsi="Calibri" w:cs="Calibri"/>
                      <w:color w:val="4F81BD"/>
                      <w:sz w:val="16"/>
                      <w:szCs w:val="16"/>
                      <w:lang w:val="en-GB"/>
                    </w:rPr>
                  </w:pPr>
                </w:p>
              </w:tc>
              <w:tc>
                <w:tcPr>
                  <w:tcW w:w="827" w:type="dxa"/>
                  <w:shd w:val="clear" w:color="auto" w:fill="DBE5F1"/>
                </w:tcPr>
                <w:p w14:paraId="6296DBAA" w14:textId="77777777" w:rsidR="00600DEE" w:rsidRPr="0045151D" w:rsidRDefault="00600DEE">
                  <w:pPr>
                    <w:spacing w:before="40" w:after="40"/>
                    <w:rPr>
                      <w:rFonts w:ascii="Calibri" w:eastAsia="Calibri" w:hAnsi="Calibri" w:cs="Calibri"/>
                      <w:color w:val="4F81BD"/>
                      <w:sz w:val="16"/>
                      <w:szCs w:val="16"/>
                      <w:lang w:val="en-GB"/>
                    </w:rPr>
                  </w:pPr>
                </w:p>
              </w:tc>
            </w:tr>
            <w:tr w:rsidR="00600DEE" w:rsidRPr="007463B9" w14:paraId="787CAE69" w14:textId="77777777" w:rsidTr="00E91CFE">
              <w:trPr>
                <w:trHeight w:val="831"/>
              </w:trPr>
              <w:tc>
                <w:tcPr>
                  <w:tcW w:w="2153" w:type="dxa"/>
                  <w:shd w:val="clear" w:color="auto" w:fill="DBE5F1"/>
                </w:tcPr>
                <w:p w14:paraId="57B656E8" w14:textId="77777777" w:rsidR="00600DEE" w:rsidRPr="0045151D" w:rsidRDefault="00641FB5">
                  <w:pPr>
                    <w:spacing w:before="40" w:after="40"/>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Total O&amp;M costs of other road infrastructure managed by the Beneficiary (remaining part of the network)</w:t>
                  </w:r>
                </w:p>
              </w:tc>
              <w:tc>
                <w:tcPr>
                  <w:tcW w:w="803" w:type="dxa"/>
                  <w:shd w:val="clear" w:color="auto" w:fill="DBE5F1"/>
                </w:tcPr>
                <w:p w14:paraId="0930F6E0"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367B94C4" w14:textId="77777777" w:rsidR="00600DEE" w:rsidRPr="0045151D" w:rsidRDefault="00600DEE">
                  <w:pPr>
                    <w:spacing w:before="40" w:after="40"/>
                    <w:rPr>
                      <w:rFonts w:ascii="Calibri" w:eastAsia="Calibri" w:hAnsi="Calibri" w:cs="Calibri"/>
                      <w:color w:val="4F81BD"/>
                      <w:sz w:val="16"/>
                      <w:szCs w:val="16"/>
                      <w:lang w:val="en-GB"/>
                    </w:rPr>
                  </w:pPr>
                </w:p>
              </w:tc>
              <w:tc>
                <w:tcPr>
                  <w:tcW w:w="806" w:type="dxa"/>
                  <w:shd w:val="clear" w:color="auto" w:fill="DBE5F1"/>
                </w:tcPr>
                <w:p w14:paraId="3E06EF2E"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2B129898"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0374D3BE" w14:textId="77777777" w:rsidR="00600DEE" w:rsidRPr="0045151D" w:rsidRDefault="00600DEE">
                  <w:pPr>
                    <w:spacing w:before="40" w:after="40"/>
                    <w:rPr>
                      <w:rFonts w:ascii="Calibri" w:eastAsia="Calibri" w:hAnsi="Calibri" w:cs="Calibri"/>
                      <w:color w:val="4F81BD"/>
                      <w:sz w:val="16"/>
                      <w:szCs w:val="16"/>
                      <w:lang w:val="en-GB"/>
                    </w:rPr>
                  </w:pPr>
                </w:p>
              </w:tc>
              <w:tc>
                <w:tcPr>
                  <w:tcW w:w="827" w:type="dxa"/>
                  <w:shd w:val="clear" w:color="auto" w:fill="DBE5F1"/>
                </w:tcPr>
                <w:p w14:paraId="33EBCF4E" w14:textId="77777777" w:rsidR="00600DEE" w:rsidRPr="0045151D" w:rsidRDefault="00600DEE">
                  <w:pPr>
                    <w:spacing w:before="40" w:after="40"/>
                    <w:rPr>
                      <w:rFonts w:ascii="Calibri" w:eastAsia="Calibri" w:hAnsi="Calibri" w:cs="Calibri"/>
                      <w:color w:val="4F81BD"/>
                      <w:sz w:val="16"/>
                      <w:szCs w:val="16"/>
                      <w:lang w:val="en-GB"/>
                    </w:rPr>
                  </w:pPr>
                </w:p>
              </w:tc>
            </w:tr>
            <w:tr w:rsidR="00600DEE" w:rsidRPr="007463B9" w14:paraId="43E5737D" w14:textId="77777777" w:rsidTr="00E91CFE">
              <w:trPr>
                <w:trHeight w:val="440"/>
              </w:trPr>
              <w:tc>
                <w:tcPr>
                  <w:tcW w:w="2153" w:type="dxa"/>
                  <w:shd w:val="clear" w:color="auto" w:fill="DBE5F1"/>
                </w:tcPr>
                <w:p w14:paraId="623BF27F" w14:textId="77777777" w:rsidR="00600DEE" w:rsidRPr="0045151D" w:rsidRDefault="00641FB5">
                  <w:pPr>
                    <w:spacing w:before="40" w:after="40"/>
                    <w:rPr>
                      <w:rFonts w:ascii="Calibri" w:eastAsia="Calibri" w:hAnsi="Calibri" w:cs="Calibri"/>
                      <w:b/>
                      <w:color w:val="4F81BD"/>
                      <w:sz w:val="16"/>
                      <w:szCs w:val="16"/>
                      <w:lang w:val="en-GB"/>
                    </w:rPr>
                  </w:pPr>
                  <w:r w:rsidRPr="0045151D">
                    <w:rPr>
                      <w:rFonts w:ascii="Calibri" w:eastAsia="Calibri" w:hAnsi="Calibri" w:cs="Calibri"/>
                      <w:b/>
                      <w:color w:val="4F81BD"/>
                      <w:sz w:val="16"/>
                      <w:szCs w:val="16"/>
                      <w:lang w:val="en-GB"/>
                    </w:rPr>
                    <w:t xml:space="preserve">Total O&amp;M costs of road infrastructure  </w:t>
                  </w:r>
                </w:p>
              </w:tc>
              <w:tc>
                <w:tcPr>
                  <w:tcW w:w="803" w:type="dxa"/>
                  <w:shd w:val="clear" w:color="auto" w:fill="DBE5F1"/>
                </w:tcPr>
                <w:p w14:paraId="30D2D1D2" w14:textId="77777777" w:rsidR="00600DEE" w:rsidRPr="0045151D" w:rsidRDefault="00600DEE">
                  <w:pPr>
                    <w:spacing w:before="40" w:after="40"/>
                    <w:rPr>
                      <w:rFonts w:ascii="Calibri" w:eastAsia="Calibri" w:hAnsi="Calibri" w:cs="Calibri"/>
                      <w:b/>
                      <w:color w:val="4F81BD"/>
                      <w:sz w:val="16"/>
                      <w:szCs w:val="16"/>
                      <w:lang w:val="en-GB"/>
                    </w:rPr>
                  </w:pPr>
                </w:p>
              </w:tc>
              <w:tc>
                <w:tcPr>
                  <w:tcW w:w="805" w:type="dxa"/>
                  <w:shd w:val="clear" w:color="auto" w:fill="DBE5F1"/>
                </w:tcPr>
                <w:p w14:paraId="22C83D68" w14:textId="77777777" w:rsidR="00600DEE" w:rsidRPr="0045151D" w:rsidRDefault="00600DEE">
                  <w:pPr>
                    <w:spacing w:before="40" w:after="40"/>
                    <w:rPr>
                      <w:rFonts w:ascii="Calibri" w:eastAsia="Calibri" w:hAnsi="Calibri" w:cs="Calibri"/>
                      <w:b/>
                      <w:color w:val="4F81BD"/>
                      <w:sz w:val="16"/>
                      <w:szCs w:val="16"/>
                      <w:lang w:val="en-GB"/>
                    </w:rPr>
                  </w:pPr>
                </w:p>
              </w:tc>
              <w:tc>
                <w:tcPr>
                  <w:tcW w:w="806" w:type="dxa"/>
                  <w:shd w:val="clear" w:color="auto" w:fill="DBE5F1"/>
                </w:tcPr>
                <w:p w14:paraId="76E889A2" w14:textId="77777777" w:rsidR="00600DEE" w:rsidRPr="0045151D" w:rsidRDefault="00600DEE">
                  <w:pPr>
                    <w:spacing w:before="40" w:after="40"/>
                    <w:rPr>
                      <w:rFonts w:ascii="Calibri" w:eastAsia="Calibri" w:hAnsi="Calibri" w:cs="Calibri"/>
                      <w:b/>
                      <w:color w:val="4F81BD"/>
                      <w:sz w:val="16"/>
                      <w:szCs w:val="16"/>
                      <w:lang w:val="en-GB"/>
                    </w:rPr>
                  </w:pPr>
                </w:p>
              </w:tc>
              <w:tc>
                <w:tcPr>
                  <w:tcW w:w="805" w:type="dxa"/>
                  <w:shd w:val="clear" w:color="auto" w:fill="DBE5F1"/>
                </w:tcPr>
                <w:p w14:paraId="51F4F74C" w14:textId="77777777" w:rsidR="00600DEE" w:rsidRPr="0045151D" w:rsidRDefault="00600DEE">
                  <w:pPr>
                    <w:spacing w:before="40" w:after="40"/>
                    <w:rPr>
                      <w:rFonts w:ascii="Calibri" w:eastAsia="Calibri" w:hAnsi="Calibri" w:cs="Calibri"/>
                      <w:b/>
                      <w:color w:val="4F81BD"/>
                      <w:sz w:val="16"/>
                      <w:szCs w:val="16"/>
                      <w:lang w:val="en-GB"/>
                    </w:rPr>
                  </w:pPr>
                </w:p>
              </w:tc>
              <w:tc>
                <w:tcPr>
                  <w:tcW w:w="805" w:type="dxa"/>
                  <w:shd w:val="clear" w:color="auto" w:fill="DBE5F1"/>
                </w:tcPr>
                <w:p w14:paraId="3DC00ABB" w14:textId="77777777" w:rsidR="00600DEE" w:rsidRPr="0045151D" w:rsidRDefault="00600DEE">
                  <w:pPr>
                    <w:spacing w:before="40" w:after="40"/>
                    <w:rPr>
                      <w:rFonts w:ascii="Calibri" w:eastAsia="Calibri" w:hAnsi="Calibri" w:cs="Calibri"/>
                      <w:b/>
                      <w:color w:val="4F81BD"/>
                      <w:sz w:val="16"/>
                      <w:szCs w:val="16"/>
                      <w:lang w:val="en-GB"/>
                    </w:rPr>
                  </w:pPr>
                </w:p>
              </w:tc>
              <w:tc>
                <w:tcPr>
                  <w:tcW w:w="827" w:type="dxa"/>
                  <w:shd w:val="clear" w:color="auto" w:fill="DBE5F1"/>
                </w:tcPr>
                <w:p w14:paraId="0B6885E6" w14:textId="77777777" w:rsidR="00600DEE" w:rsidRPr="0045151D" w:rsidRDefault="00600DEE">
                  <w:pPr>
                    <w:spacing w:before="40" w:after="40"/>
                    <w:rPr>
                      <w:rFonts w:ascii="Calibri" w:eastAsia="Calibri" w:hAnsi="Calibri" w:cs="Calibri"/>
                      <w:b/>
                      <w:color w:val="4F81BD"/>
                      <w:sz w:val="16"/>
                      <w:szCs w:val="16"/>
                      <w:lang w:val="en-GB"/>
                    </w:rPr>
                  </w:pPr>
                </w:p>
              </w:tc>
            </w:tr>
            <w:tr w:rsidR="00600DEE" w:rsidRPr="007463B9" w14:paraId="7F6E3080" w14:textId="77777777" w:rsidTr="00E91CFE">
              <w:trPr>
                <w:trHeight w:val="562"/>
              </w:trPr>
              <w:tc>
                <w:tcPr>
                  <w:tcW w:w="2153" w:type="dxa"/>
                  <w:shd w:val="clear" w:color="auto" w:fill="DBE5F1"/>
                </w:tcPr>
                <w:p w14:paraId="548C5F52" w14:textId="77777777" w:rsidR="00600DEE" w:rsidRPr="0045151D" w:rsidRDefault="00641FB5">
                  <w:pPr>
                    <w:spacing w:before="40" w:after="40"/>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Other costs, including financial costs (interest, repayment of debts)</w:t>
                  </w:r>
                </w:p>
              </w:tc>
              <w:tc>
                <w:tcPr>
                  <w:tcW w:w="803" w:type="dxa"/>
                  <w:shd w:val="clear" w:color="auto" w:fill="DBE5F1"/>
                </w:tcPr>
                <w:p w14:paraId="2831AF9F"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152B30A5" w14:textId="77777777" w:rsidR="00600DEE" w:rsidRPr="0045151D" w:rsidRDefault="00600DEE">
                  <w:pPr>
                    <w:spacing w:before="40" w:after="40"/>
                    <w:rPr>
                      <w:rFonts w:ascii="Calibri" w:eastAsia="Calibri" w:hAnsi="Calibri" w:cs="Calibri"/>
                      <w:color w:val="4F81BD"/>
                      <w:sz w:val="16"/>
                      <w:szCs w:val="16"/>
                      <w:lang w:val="en-GB"/>
                    </w:rPr>
                  </w:pPr>
                </w:p>
              </w:tc>
              <w:tc>
                <w:tcPr>
                  <w:tcW w:w="806" w:type="dxa"/>
                  <w:shd w:val="clear" w:color="auto" w:fill="DBE5F1"/>
                </w:tcPr>
                <w:p w14:paraId="34F5E12A"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57CBDD13"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42ED136B" w14:textId="77777777" w:rsidR="00600DEE" w:rsidRPr="0045151D" w:rsidRDefault="00600DEE">
                  <w:pPr>
                    <w:spacing w:before="40" w:after="40"/>
                    <w:rPr>
                      <w:rFonts w:ascii="Calibri" w:eastAsia="Calibri" w:hAnsi="Calibri" w:cs="Calibri"/>
                      <w:color w:val="4F81BD"/>
                      <w:sz w:val="16"/>
                      <w:szCs w:val="16"/>
                      <w:lang w:val="en-GB"/>
                    </w:rPr>
                  </w:pPr>
                </w:p>
              </w:tc>
              <w:tc>
                <w:tcPr>
                  <w:tcW w:w="827" w:type="dxa"/>
                  <w:shd w:val="clear" w:color="auto" w:fill="DBE5F1"/>
                </w:tcPr>
                <w:p w14:paraId="1C0ED0D5" w14:textId="77777777" w:rsidR="00600DEE" w:rsidRPr="0045151D" w:rsidRDefault="00600DEE">
                  <w:pPr>
                    <w:spacing w:before="40" w:after="40"/>
                    <w:rPr>
                      <w:rFonts w:ascii="Calibri" w:eastAsia="Calibri" w:hAnsi="Calibri" w:cs="Calibri"/>
                      <w:color w:val="4F81BD"/>
                      <w:sz w:val="16"/>
                      <w:szCs w:val="16"/>
                      <w:lang w:val="en-GB"/>
                    </w:rPr>
                  </w:pPr>
                </w:p>
              </w:tc>
            </w:tr>
            <w:tr w:rsidR="00600DEE" w:rsidRPr="007463B9" w14:paraId="7E425263" w14:textId="77777777" w:rsidTr="00E91CFE">
              <w:trPr>
                <w:trHeight w:val="567"/>
              </w:trPr>
              <w:tc>
                <w:tcPr>
                  <w:tcW w:w="2153" w:type="dxa"/>
                  <w:shd w:val="clear" w:color="auto" w:fill="DBE5F1"/>
                </w:tcPr>
                <w:p w14:paraId="41479663" w14:textId="77777777" w:rsidR="00600DEE" w:rsidRPr="0045151D" w:rsidRDefault="00641FB5">
                  <w:pPr>
                    <w:spacing w:before="40" w:after="40"/>
                    <w:rPr>
                      <w:rFonts w:ascii="Calibri" w:eastAsia="Calibri" w:hAnsi="Calibri" w:cs="Calibri"/>
                      <w:b/>
                      <w:color w:val="4F81BD"/>
                      <w:sz w:val="16"/>
                      <w:szCs w:val="16"/>
                      <w:lang w:val="en-GB"/>
                    </w:rPr>
                  </w:pPr>
                  <w:r w:rsidRPr="0045151D">
                    <w:rPr>
                      <w:rFonts w:ascii="Calibri" w:eastAsia="Calibri" w:hAnsi="Calibri" w:cs="Calibri"/>
                      <w:b/>
                      <w:color w:val="4F81BD"/>
                      <w:sz w:val="16"/>
                      <w:szCs w:val="16"/>
                      <w:lang w:val="en-GB"/>
                    </w:rPr>
                    <w:t xml:space="preserve">Total costs of the infrastructure administrator </w:t>
                  </w:r>
                </w:p>
              </w:tc>
              <w:tc>
                <w:tcPr>
                  <w:tcW w:w="803" w:type="dxa"/>
                  <w:shd w:val="clear" w:color="auto" w:fill="DBE5F1"/>
                </w:tcPr>
                <w:p w14:paraId="72611F6A"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12FF2257" w14:textId="77777777" w:rsidR="00600DEE" w:rsidRPr="0045151D" w:rsidRDefault="00600DEE">
                  <w:pPr>
                    <w:spacing w:before="40" w:after="40"/>
                    <w:rPr>
                      <w:rFonts w:ascii="Calibri" w:eastAsia="Calibri" w:hAnsi="Calibri" w:cs="Calibri"/>
                      <w:color w:val="4F81BD"/>
                      <w:sz w:val="16"/>
                      <w:szCs w:val="16"/>
                      <w:lang w:val="en-GB"/>
                    </w:rPr>
                  </w:pPr>
                </w:p>
              </w:tc>
              <w:tc>
                <w:tcPr>
                  <w:tcW w:w="806" w:type="dxa"/>
                  <w:shd w:val="clear" w:color="auto" w:fill="DBE5F1"/>
                </w:tcPr>
                <w:p w14:paraId="60D52EC2"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6D6FA96E" w14:textId="77777777" w:rsidR="00600DEE" w:rsidRPr="0045151D" w:rsidRDefault="00600DEE">
                  <w:pPr>
                    <w:spacing w:before="40" w:after="40"/>
                    <w:rPr>
                      <w:rFonts w:ascii="Calibri" w:eastAsia="Calibri" w:hAnsi="Calibri" w:cs="Calibri"/>
                      <w:color w:val="4F81BD"/>
                      <w:sz w:val="16"/>
                      <w:szCs w:val="16"/>
                      <w:lang w:val="en-GB"/>
                    </w:rPr>
                  </w:pPr>
                </w:p>
              </w:tc>
              <w:tc>
                <w:tcPr>
                  <w:tcW w:w="805" w:type="dxa"/>
                  <w:shd w:val="clear" w:color="auto" w:fill="DBE5F1"/>
                </w:tcPr>
                <w:p w14:paraId="6FC3E2CF" w14:textId="77777777" w:rsidR="00600DEE" w:rsidRPr="0045151D" w:rsidRDefault="00600DEE">
                  <w:pPr>
                    <w:spacing w:before="40" w:after="40"/>
                    <w:rPr>
                      <w:rFonts w:ascii="Calibri" w:eastAsia="Calibri" w:hAnsi="Calibri" w:cs="Calibri"/>
                      <w:color w:val="4F81BD"/>
                      <w:sz w:val="16"/>
                      <w:szCs w:val="16"/>
                      <w:lang w:val="en-GB"/>
                    </w:rPr>
                  </w:pPr>
                </w:p>
              </w:tc>
              <w:tc>
                <w:tcPr>
                  <w:tcW w:w="827" w:type="dxa"/>
                  <w:shd w:val="clear" w:color="auto" w:fill="DBE5F1"/>
                </w:tcPr>
                <w:p w14:paraId="48E11729" w14:textId="77777777" w:rsidR="00600DEE" w:rsidRPr="0045151D" w:rsidRDefault="00600DEE">
                  <w:pPr>
                    <w:spacing w:before="40" w:after="40"/>
                    <w:rPr>
                      <w:rFonts w:ascii="Calibri" w:eastAsia="Calibri" w:hAnsi="Calibri" w:cs="Calibri"/>
                      <w:color w:val="4F81BD"/>
                      <w:sz w:val="16"/>
                      <w:szCs w:val="16"/>
                      <w:lang w:val="en-GB"/>
                    </w:rPr>
                  </w:pPr>
                </w:p>
              </w:tc>
            </w:tr>
          </w:tbl>
          <w:p w14:paraId="515F9FA4"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16"/>
                <w:szCs w:val="16"/>
                <w:lang w:val="en-GB"/>
              </w:rPr>
            </w:pPr>
            <w:r w:rsidRPr="0045151D">
              <w:rPr>
                <w:rFonts w:ascii="Calibri" w:eastAsia="Calibri" w:hAnsi="Calibri" w:cs="Calibri"/>
                <w:b/>
                <w:i/>
                <w:color w:val="000000"/>
                <w:sz w:val="16"/>
                <w:szCs w:val="16"/>
                <w:lang w:val="en-GB"/>
              </w:rPr>
              <w:t xml:space="preserve">Note: </w:t>
            </w:r>
            <w:r w:rsidRPr="0045151D">
              <w:rPr>
                <w:rFonts w:ascii="Calibri" w:eastAsia="Calibri" w:hAnsi="Calibri" w:cs="Calibri"/>
                <w:color w:val="000000"/>
                <w:sz w:val="16"/>
                <w:szCs w:val="16"/>
                <w:lang w:val="en-GB"/>
              </w:rPr>
              <w:t>In case of GDDKiA, above information should be provided by the relevant ministry, and in case of Local Government Unit, by the relevant local authority body.</w:t>
            </w:r>
          </w:p>
          <w:p w14:paraId="5C7C4432"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item “</w:t>
            </w:r>
            <w:r w:rsidRPr="0045151D">
              <w:rPr>
                <w:rFonts w:ascii="Calibri" w:eastAsia="Calibri" w:hAnsi="Calibri" w:cs="Calibri"/>
                <w:i/>
                <w:color w:val="000000"/>
                <w:sz w:val="20"/>
                <w:szCs w:val="20"/>
                <w:lang w:val="en-GB"/>
              </w:rPr>
              <w:t>total O&amp;M costs of road projects implemented under EU financial perspectives 2014-2020 and 2021-2027</w:t>
            </w:r>
            <w:r w:rsidRPr="0045151D">
              <w:rPr>
                <w:rFonts w:ascii="Calibri" w:eastAsia="Calibri" w:hAnsi="Calibri" w:cs="Calibri"/>
                <w:color w:val="000000"/>
                <w:sz w:val="20"/>
                <w:szCs w:val="20"/>
                <w:lang w:val="en-GB"/>
              </w:rPr>
              <w:t>”, the total O&amp;M costs of all sections of roads that were built/scheduled for upgrade with EU funds support under this programming period should be specified. If the final list of projects is not known, it is recommended to consider the ones that have been planned and analysed in the current strategic documents. In the case of projects planned for implementation – costs should be put together on the basis of benchmarks (e.g. O&amp;M cost per 1 km of motorway), in the case of projects under implementation – costs should be demonstrated on the basis of information included in the Applications submitted to the European Commission or accepted at the national level.</w:t>
            </w:r>
          </w:p>
          <w:p w14:paraId="26512867"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item “</w:t>
            </w:r>
            <w:r w:rsidRPr="0045151D">
              <w:rPr>
                <w:rFonts w:ascii="Calibri" w:eastAsia="Calibri" w:hAnsi="Calibri" w:cs="Calibri"/>
                <w:i/>
                <w:color w:val="000000"/>
                <w:sz w:val="20"/>
                <w:szCs w:val="20"/>
                <w:lang w:val="en-GB"/>
              </w:rPr>
              <w:t>total O&amp;M costs of other road infrastructure managed by the Beneficiary (remaining part of the network)</w:t>
            </w:r>
            <w:r w:rsidRPr="0045151D">
              <w:rPr>
                <w:rFonts w:ascii="Calibri" w:eastAsia="Calibri" w:hAnsi="Calibri" w:cs="Calibri"/>
                <w:color w:val="000000"/>
                <w:sz w:val="20"/>
                <w:szCs w:val="20"/>
                <w:lang w:val="en-GB"/>
              </w:rPr>
              <w:t>”, the average real O&amp;M costs incurred by the Beneficiary within the last 3 years on that network could be considered as benchmark to assess O&amp;M costs of those roads in future years (average O&amp;M cost per 1 kilometre of single/double carriageway).</w:t>
            </w:r>
          </w:p>
          <w:p w14:paraId="1287C306"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most up-to-date planning information and estimates should be considered in the analysis. </w:t>
            </w:r>
          </w:p>
          <w:p w14:paraId="7D517B38"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On the other hand, the Beneficiary’s revenue forecast should be also analysed as recommended below:</w:t>
            </w:r>
          </w:p>
          <w:p w14:paraId="39F0FC78" w14:textId="77777777" w:rsidR="00600DEE" w:rsidRPr="0045151D" w:rsidRDefault="00600DEE">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6D125B70" w14:textId="2B96942E" w:rsidR="00600DEE" w:rsidRPr="0045151D" w:rsidRDefault="00B67038" w:rsidP="000117E4">
            <w:pPr>
              <w:pBdr>
                <w:top w:val="nil"/>
                <w:left w:val="nil"/>
                <w:bottom w:val="nil"/>
                <w:right w:val="nil"/>
                <w:between w:val="nil"/>
              </w:pBdr>
              <w:spacing w:before="120" w:after="120"/>
              <w:ind w:left="851" w:hanging="851"/>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30</w:t>
            </w:r>
            <w:r w:rsidR="00641FB5" w:rsidRPr="0045151D">
              <w:rPr>
                <w:rFonts w:ascii="Calibri" w:eastAsia="Calibri" w:hAnsi="Calibri" w:cs="Calibri"/>
                <w:b/>
                <w:color w:val="4F81BD"/>
                <w:sz w:val="20"/>
                <w:szCs w:val="20"/>
                <w:lang w:val="en-GB"/>
              </w:rPr>
              <w:t xml:space="preserve">. Forecast of Beneficiary revenues (to be structured as relevant to the </w:t>
            </w:r>
            <w:r w:rsidR="00641FB5" w:rsidRPr="0045151D">
              <w:rPr>
                <w:rFonts w:ascii="Calibri" w:eastAsia="Calibri" w:hAnsi="Calibri" w:cs="Calibri"/>
                <w:b/>
                <w:color w:val="4F81BD"/>
                <w:sz w:val="20"/>
                <w:szCs w:val="20"/>
                <w:lang w:val="en-GB"/>
              </w:rPr>
              <w:br/>
              <w:t xml:space="preserve"> Beneficiary)</w:t>
            </w:r>
          </w:p>
          <w:tbl>
            <w:tblPr>
              <w:tblW w:w="0" w:type="auto"/>
              <w:tblCellSpacing w:w="20" w:type="dxa"/>
              <w:tblInd w:w="19" w:type="dxa"/>
              <w:tblBorders>
                <w:top w:val="single" w:sz="2" w:space="0" w:color="FFFFFF"/>
                <w:left w:val="single" w:sz="2" w:space="0" w:color="FFFFFF"/>
                <w:bottom w:val="single" w:sz="2" w:space="0" w:color="FFFFFF"/>
                <w:right w:val="single" w:sz="2" w:space="0" w:color="FFFFFF"/>
              </w:tblBorders>
              <w:tblLayout w:type="fixed"/>
              <w:tblLook w:val="04A0" w:firstRow="1" w:lastRow="0" w:firstColumn="1" w:lastColumn="0" w:noHBand="0" w:noVBand="1"/>
            </w:tblPr>
            <w:tblGrid>
              <w:gridCol w:w="2153"/>
              <w:gridCol w:w="791"/>
              <w:gridCol w:w="791"/>
              <w:gridCol w:w="792"/>
              <w:gridCol w:w="791"/>
              <w:gridCol w:w="791"/>
              <w:gridCol w:w="812"/>
            </w:tblGrid>
            <w:tr w:rsidR="0079382E" w:rsidRPr="00C42EEC" w14:paraId="38770850" w14:textId="77777777" w:rsidTr="00505091">
              <w:trPr>
                <w:tblCellSpacing w:w="20" w:type="dxa"/>
              </w:trPr>
              <w:tc>
                <w:tcPr>
                  <w:tcW w:w="2093" w:type="dxa"/>
                  <w:shd w:val="clear" w:color="auto" w:fill="A6A6A6" w:themeFill="background1" w:themeFillShade="A6"/>
                </w:tcPr>
                <w:p w14:paraId="2EF7F243" w14:textId="77777777" w:rsidR="0079382E" w:rsidRPr="00C42EEC" w:rsidRDefault="0079382E" w:rsidP="0079382E">
                  <w:pPr>
                    <w:spacing w:before="40" w:after="40"/>
                    <w:jc w:val="center"/>
                    <w:rPr>
                      <w:rFonts w:asciiTheme="minorHAnsi" w:hAnsiTheme="minorHAnsi"/>
                      <w:color w:val="FFFFFF"/>
                      <w:sz w:val="16"/>
                      <w:lang w:val="en-US"/>
                    </w:rPr>
                  </w:pPr>
                  <w:r w:rsidRPr="00C42EEC">
                    <w:rPr>
                      <w:rFonts w:asciiTheme="minorHAnsi" w:hAnsiTheme="minorHAnsi"/>
                      <w:color w:val="FFFFFF"/>
                      <w:sz w:val="16"/>
                      <w:lang w:val="en-US"/>
                    </w:rPr>
                    <w:t xml:space="preserve">Years </w:t>
                  </w:r>
                </w:p>
              </w:tc>
              <w:tc>
                <w:tcPr>
                  <w:tcW w:w="751" w:type="dxa"/>
                  <w:shd w:val="clear" w:color="auto" w:fill="A6A6A6" w:themeFill="background1" w:themeFillShade="A6"/>
                </w:tcPr>
                <w:p w14:paraId="7915C1AA" w14:textId="77777777" w:rsidR="0079382E" w:rsidRPr="00C42EEC" w:rsidRDefault="0079382E" w:rsidP="0079382E">
                  <w:pPr>
                    <w:spacing w:before="40" w:after="40"/>
                    <w:jc w:val="center"/>
                    <w:rPr>
                      <w:rFonts w:asciiTheme="minorHAnsi" w:hAnsiTheme="minorHAnsi"/>
                      <w:color w:val="FFFFFF"/>
                      <w:sz w:val="16"/>
                      <w:lang w:val="en-US"/>
                    </w:rPr>
                  </w:pPr>
                  <w:r w:rsidRPr="00C42EEC">
                    <w:rPr>
                      <w:rFonts w:asciiTheme="minorHAnsi" w:hAnsiTheme="minorHAnsi"/>
                      <w:color w:val="FFFFFF"/>
                      <w:sz w:val="16"/>
                      <w:lang w:val="en-US"/>
                    </w:rPr>
                    <w:t>201</w:t>
                  </w:r>
                  <w:r>
                    <w:rPr>
                      <w:rFonts w:asciiTheme="minorHAnsi" w:hAnsiTheme="minorHAnsi"/>
                      <w:color w:val="FFFFFF"/>
                      <w:sz w:val="16"/>
                      <w:lang w:val="en-US"/>
                    </w:rPr>
                    <w:t>8</w:t>
                  </w:r>
                </w:p>
              </w:tc>
              <w:tc>
                <w:tcPr>
                  <w:tcW w:w="751" w:type="dxa"/>
                  <w:shd w:val="clear" w:color="auto" w:fill="A6A6A6" w:themeFill="background1" w:themeFillShade="A6"/>
                </w:tcPr>
                <w:p w14:paraId="52B381FB" w14:textId="77777777" w:rsidR="0079382E" w:rsidRPr="00C42EEC" w:rsidRDefault="0079382E" w:rsidP="0079382E">
                  <w:pPr>
                    <w:spacing w:before="40" w:after="40"/>
                    <w:jc w:val="center"/>
                    <w:rPr>
                      <w:rFonts w:asciiTheme="minorHAnsi" w:hAnsiTheme="minorHAnsi"/>
                      <w:color w:val="FFFFFF"/>
                      <w:sz w:val="16"/>
                      <w:lang w:val="en-US"/>
                    </w:rPr>
                  </w:pPr>
                  <w:r w:rsidRPr="00C42EEC">
                    <w:rPr>
                      <w:rFonts w:asciiTheme="minorHAnsi" w:hAnsiTheme="minorHAnsi"/>
                      <w:color w:val="FFFFFF"/>
                      <w:sz w:val="16"/>
                      <w:lang w:val="en-US"/>
                    </w:rPr>
                    <w:t>…</w:t>
                  </w:r>
                </w:p>
              </w:tc>
              <w:tc>
                <w:tcPr>
                  <w:tcW w:w="752" w:type="dxa"/>
                  <w:shd w:val="clear" w:color="auto" w:fill="A6A6A6" w:themeFill="background1" w:themeFillShade="A6"/>
                </w:tcPr>
                <w:p w14:paraId="4B8E5153" w14:textId="77777777" w:rsidR="0079382E" w:rsidRPr="00C42EEC" w:rsidRDefault="0079382E" w:rsidP="0079382E">
                  <w:pPr>
                    <w:spacing w:before="40" w:after="40"/>
                    <w:jc w:val="center"/>
                    <w:rPr>
                      <w:rFonts w:asciiTheme="minorHAnsi" w:hAnsiTheme="minorHAnsi"/>
                      <w:color w:val="FFFFFF"/>
                      <w:sz w:val="16"/>
                      <w:lang w:val="en-US"/>
                    </w:rPr>
                  </w:pPr>
                  <w:r w:rsidRPr="00C42EEC">
                    <w:rPr>
                      <w:rFonts w:asciiTheme="minorHAnsi" w:hAnsiTheme="minorHAnsi"/>
                      <w:color w:val="FFFFFF"/>
                      <w:sz w:val="16"/>
                      <w:lang w:val="en-US"/>
                    </w:rPr>
                    <w:t>2020</w:t>
                  </w:r>
                </w:p>
              </w:tc>
              <w:tc>
                <w:tcPr>
                  <w:tcW w:w="751" w:type="dxa"/>
                  <w:shd w:val="clear" w:color="auto" w:fill="A6A6A6" w:themeFill="background1" w:themeFillShade="A6"/>
                </w:tcPr>
                <w:p w14:paraId="2DD2C082" w14:textId="77777777" w:rsidR="0079382E" w:rsidRPr="00C42EEC" w:rsidRDefault="0079382E" w:rsidP="0079382E">
                  <w:pPr>
                    <w:spacing w:before="40" w:after="40"/>
                    <w:jc w:val="center"/>
                    <w:rPr>
                      <w:rFonts w:asciiTheme="minorHAnsi" w:hAnsiTheme="minorHAnsi"/>
                      <w:color w:val="FFFFFF"/>
                      <w:sz w:val="16"/>
                      <w:lang w:val="en-US"/>
                    </w:rPr>
                  </w:pPr>
                  <w:r w:rsidRPr="00C42EEC">
                    <w:rPr>
                      <w:rFonts w:asciiTheme="minorHAnsi" w:hAnsiTheme="minorHAnsi"/>
                      <w:color w:val="FFFFFF"/>
                      <w:sz w:val="16"/>
                      <w:lang w:val="en-US"/>
                    </w:rPr>
                    <w:t>2025</w:t>
                  </w:r>
                </w:p>
              </w:tc>
              <w:tc>
                <w:tcPr>
                  <w:tcW w:w="751" w:type="dxa"/>
                  <w:shd w:val="clear" w:color="auto" w:fill="A6A6A6" w:themeFill="background1" w:themeFillShade="A6"/>
                </w:tcPr>
                <w:p w14:paraId="09300F86" w14:textId="77777777" w:rsidR="0079382E" w:rsidRPr="00C42EEC" w:rsidRDefault="0079382E" w:rsidP="0079382E">
                  <w:pPr>
                    <w:spacing w:before="40" w:after="40"/>
                    <w:jc w:val="center"/>
                    <w:rPr>
                      <w:rFonts w:asciiTheme="minorHAnsi" w:hAnsiTheme="minorHAnsi"/>
                      <w:color w:val="FFFFFF"/>
                      <w:sz w:val="16"/>
                      <w:lang w:val="en-US"/>
                    </w:rPr>
                  </w:pPr>
                  <w:r w:rsidRPr="00C42EEC">
                    <w:rPr>
                      <w:rFonts w:asciiTheme="minorHAnsi" w:hAnsiTheme="minorHAnsi"/>
                      <w:color w:val="FFFFFF"/>
                      <w:sz w:val="16"/>
                      <w:lang w:val="en-US"/>
                    </w:rPr>
                    <w:t>2030</w:t>
                  </w:r>
                </w:p>
              </w:tc>
              <w:tc>
                <w:tcPr>
                  <w:tcW w:w="752" w:type="dxa"/>
                  <w:shd w:val="clear" w:color="auto" w:fill="A6A6A6" w:themeFill="background1" w:themeFillShade="A6"/>
                </w:tcPr>
                <w:p w14:paraId="13D0486C" w14:textId="77777777" w:rsidR="0079382E" w:rsidRPr="00C42EEC" w:rsidRDefault="0079382E" w:rsidP="0079382E">
                  <w:pPr>
                    <w:spacing w:before="40" w:after="40"/>
                    <w:jc w:val="center"/>
                    <w:rPr>
                      <w:rFonts w:asciiTheme="minorHAnsi" w:hAnsiTheme="minorHAnsi"/>
                      <w:color w:val="FFFFFF"/>
                      <w:sz w:val="16"/>
                      <w:lang w:val="en-US"/>
                    </w:rPr>
                  </w:pPr>
                  <w:r w:rsidRPr="00C42EEC">
                    <w:rPr>
                      <w:rFonts w:asciiTheme="minorHAnsi" w:hAnsiTheme="minorHAnsi"/>
                      <w:color w:val="FFFFFF"/>
                      <w:sz w:val="16"/>
                      <w:lang w:val="en-US"/>
                    </w:rPr>
                    <w:t>2040</w:t>
                  </w:r>
                </w:p>
              </w:tc>
            </w:tr>
            <w:tr w:rsidR="0079382E" w:rsidRPr="00C42EEC" w14:paraId="199B65BE" w14:textId="77777777" w:rsidTr="00505091">
              <w:trPr>
                <w:tblCellSpacing w:w="20" w:type="dxa"/>
              </w:trPr>
              <w:tc>
                <w:tcPr>
                  <w:tcW w:w="2093" w:type="dxa"/>
                  <w:shd w:val="clear" w:color="auto" w:fill="DBE5F1"/>
                </w:tcPr>
                <w:p w14:paraId="4986BDED" w14:textId="77777777" w:rsidR="0079382E" w:rsidRPr="00C42EEC" w:rsidRDefault="0079382E" w:rsidP="0079382E">
                  <w:pPr>
                    <w:spacing w:before="40" w:after="40"/>
                    <w:rPr>
                      <w:rFonts w:asciiTheme="minorHAnsi" w:hAnsiTheme="minorHAnsi"/>
                      <w:color w:val="4F81BD" w:themeColor="accent1"/>
                      <w:sz w:val="16"/>
                      <w:lang w:val="en-US"/>
                    </w:rPr>
                  </w:pPr>
                  <w:r w:rsidRPr="00C42EEC">
                    <w:rPr>
                      <w:rFonts w:asciiTheme="minorHAnsi" w:hAnsiTheme="minorHAnsi"/>
                      <w:color w:val="4F81BD" w:themeColor="accent1"/>
                      <w:sz w:val="16"/>
                      <w:lang w:val="en-US"/>
                    </w:rPr>
                    <w:t xml:space="preserve">Own revenue </w:t>
                  </w:r>
                </w:p>
              </w:tc>
              <w:tc>
                <w:tcPr>
                  <w:tcW w:w="751" w:type="dxa"/>
                  <w:shd w:val="clear" w:color="auto" w:fill="DBE5F1"/>
                </w:tcPr>
                <w:p w14:paraId="51311745" w14:textId="77777777" w:rsidR="0079382E" w:rsidRPr="00C42EEC" w:rsidRDefault="0079382E" w:rsidP="0079382E">
                  <w:pPr>
                    <w:spacing w:before="40" w:after="40"/>
                    <w:rPr>
                      <w:rFonts w:asciiTheme="minorHAnsi" w:hAnsiTheme="minorHAnsi"/>
                      <w:color w:val="4F81BD" w:themeColor="accent1"/>
                      <w:sz w:val="16"/>
                      <w:lang w:val="en-US"/>
                    </w:rPr>
                  </w:pPr>
                </w:p>
              </w:tc>
              <w:tc>
                <w:tcPr>
                  <w:tcW w:w="751" w:type="dxa"/>
                  <w:shd w:val="clear" w:color="auto" w:fill="DBE5F1"/>
                </w:tcPr>
                <w:p w14:paraId="63569AAA" w14:textId="77777777" w:rsidR="0079382E" w:rsidRPr="00C42EEC" w:rsidRDefault="0079382E" w:rsidP="0079382E">
                  <w:pPr>
                    <w:spacing w:before="40" w:after="40"/>
                    <w:rPr>
                      <w:rFonts w:asciiTheme="minorHAnsi" w:hAnsiTheme="minorHAnsi"/>
                      <w:color w:val="4F81BD" w:themeColor="accent1"/>
                      <w:sz w:val="16"/>
                      <w:lang w:val="en-US"/>
                    </w:rPr>
                  </w:pPr>
                </w:p>
              </w:tc>
              <w:tc>
                <w:tcPr>
                  <w:tcW w:w="752" w:type="dxa"/>
                  <w:shd w:val="clear" w:color="auto" w:fill="DBE5F1"/>
                </w:tcPr>
                <w:p w14:paraId="0C785B7B" w14:textId="77777777" w:rsidR="0079382E" w:rsidRPr="00C42EEC" w:rsidRDefault="0079382E" w:rsidP="0079382E">
                  <w:pPr>
                    <w:spacing w:before="40" w:after="40"/>
                    <w:rPr>
                      <w:rFonts w:asciiTheme="minorHAnsi" w:hAnsiTheme="minorHAnsi"/>
                      <w:color w:val="4F81BD" w:themeColor="accent1"/>
                      <w:sz w:val="16"/>
                      <w:lang w:val="en-US"/>
                    </w:rPr>
                  </w:pPr>
                </w:p>
              </w:tc>
              <w:tc>
                <w:tcPr>
                  <w:tcW w:w="751" w:type="dxa"/>
                  <w:shd w:val="clear" w:color="auto" w:fill="DBE5F1"/>
                </w:tcPr>
                <w:p w14:paraId="005A2A7F" w14:textId="77777777" w:rsidR="0079382E" w:rsidRPr="00C42EEC" w:rsidRDefault="0079382E" w:rsidP="0079382E">
                  <w:pPr>
                    <w:spacing w:before="40" w:after="40"/>
                    <w:rPr>
                      <w:rFonts w:asciiTheme="minorHAnsi" w:hAnsiTheme="minorHAnsi"/>
                      <w:color w:val="4F81BD" w:themeColor="accent1"/>
                      <w:sz w:val="16"/>
                      <w:lang w:val="en-US"/>
                    </w:rPr>
                  </w:pPr>
                </w:p>
              </w:tc>
              <w:tc>
                <w:tcPr>
                  <w:tcW w:w="751" w:type="dxa"/>
                  <w:shd w:val="clear" w:color="auto" w:fill="DBE5F1"/>
                </w:tcPr>
                <w:p w14:paraId="1E1CEF14" w14:textId="77777777" w:rsidR="0079382E" w:rsidRPr="00C42EEC" w:rsidRDefault="0079382E" w:rsidP="0079382E">
                  <w:pPr>
                    <w:spacing w:before="40" w:after="40"/>
                    <w:rPr>
                      <w:rFonts w:asciiTheme="minorHAnsi" w:hAnsiTheme="minorHAnsi"/>
                      <w:color w:val="4F81BD" w:themeColor="accent1"/>
                      <w:sz w:val="16"/>
                      <w:lang w:val="en-US"/>
                    </w:rPr>
                  </w:pPr>
                </w:p>
              </w:tc>
              <w:tc>
                <w:tcPr>
                  <w:tcW w:w="752" w:type="dxa"/>
                  <w:shd w:val="clear" w:color="auto" w:fill="DBE5F1"/>
                </w:tcPr>
                <w:p w14:paraId="570C9ACC" w14:textId="77777777" w:rsidR="0079382E" w:rsidRPr="00C42EEC" w:rsidRDefault="0079382E" w:rsidP="0079382E">
                  <w:pPr>
                    <w:spacing w:before="40" w:after="40"/>
                    <w:rPr>
                      <w:rFonts w:asciiTheme="minorHAnsi" w:hAnsiTheme="minorHAnsi"/>
                      <w:color w:val="4F81BD" w:themeColor="accent1"/>
                      <w:sz w:val="16"/>
                      <w:lang w:val="en-US"/>
                    </w:rPr>
                  </w:pPr>
                </w:p>
              </w:tc>
            </w:tr>
            <w:tr w:rsidR="0079382E" w:rsidRPr="007463B9" w14:paraId="64A48021" w14:textId="77777777" w:rsidTr="00505091">
              <w:trPr>
                <w:tblCellSpacing w:w="20" w:type="dxa"/>
              </w:trPr>
              <w:tc>
                <w:tcPr>
                  <w:tcW w:w="2093" w:type="dxa"/>
                  <w:shd w:val="clear" w:color="auto" w:fill="DBE5F1"/>
                </w:tcPr>
                <w:p w14:paraId="799AF77F" w14:textId="77777777" w:rsidR="0079382E" w:rsidRPr="00C42EEC" w:rsidRDefault="0079382E" w:rsidP="0079382E">
                  <w:pPr>
                    <w:spacing w:before="40" w:after="40"/>
                    <w:rPr>
                      <w:rFonts w:asciiTheme="minorHAnsi" w:hAnsiTheme="minorHAnsi"/>
                      <w:color w:val="4F81BD" w:themeColor="accent1"/>
                      <w:sz w:val="16"/>
                      <w:lang w:val="en-GB"/>
                    </w:rPr>
                  </w:pPr>
                  <w:r w:rsidRPr="00C42EEC">
                    <w:rPr>
                      <w:rFonts w:asciiTheme="minorHAnsi" w:hAnsiTheme="minorHAnsi"/>
                      <w:color w:val="4F81BD" w:themeColor="accent1"/>
                      <w:sz w:val="16"/>
                      <w:lang w:val="en-GB"/>
                    </w:rPr>
                    <w:t xml:space="preserve">- tolls from the users of road infrastructure </w:t>
                  </w:r>
                </w:p>
              </w:tc>
              <w:tc>
                <w:tcPr>
                  <w:tcW w:w="751" w:type="dxa"/>
                  <w:shd w:val="clear" w:color="auto" w:fill="DBE5F1"/>
                </w:tcPr>
                <w:p w14:paraId="4915BC4C"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61E57E82"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3C332555"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112BFB22"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5F4E053E"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4F2BF6B6" w14:textId="77777777" w:rsidR="0079382E" w:rsidRPr="00C42EEC" w:rsidRDefault="0079382E" w:rsidP="0079382E">
                  <w:pPr>
                    <w:spacing w:before="40" w:after="40"/>
                    <w:rPr>
                      <w:rFonts w:asciiTheme="minorHAnsi" w:hAnsiTheme="minorHAnsi"/>
                      <w:color w:val="4F81BD" w:themeColor="accent1"/>
                      <w:sz w:val="16"/>
                      <w:lang w:val="en-GB"/>
                    </w:rPr>
                  </w:pPr>
                </w:p>
              </w:tc>
            </w:tr>
            <w:tr w:rsidR="0079382E" w:rsidRPr="00494782" w14:paraId="3B77BBA5" w14:textId="77777777" w:rsidTr="00505091">
              <w:trPr>
                <w:tblCellSpacing w:w="20" w:type="dxa"/>
              </w:trPr>
              <w:tc>
                <w:tcPr>
                  <w:tcW w:w="2093" w:type="dxa"/>
                  <w:shd w:val="clear" w:color="auto" w:fill="DBE5F1"/>
                </w:tcPr>
                <w:p w14:paraId="15D44DEE" w14:textId="77777777" w:rsidR="0079382E" w:rsidRPr="00C42EEC" w:rsidRDefault="0079382E" w:rsidP="0079382E">
                  <w:pPr>
                    <w:spacing w:before="40" w:after="40"/>
                    <w:rPr>
                      <w:rFonts w:asciiTheme="minorHAnsi" w:hAnsiTheme="minorHAnsi"/>
                      <w:color w:val="4F81BD" w:themeColor="accent1"/>
                      <w:sz w:val="16"/>
                      <w:lang w:val="en-GB"/>
                    </w:rPr>
                  </w:pPr>
                  <w:r w:rsidRPr="00C42EEC">
                    <w:rPr>
                      <w:rFonts w:asciiTheme="minorHAnsi" w:hAnsiTheme="minorHAnsi"/>
                      <w:color w:val="4F81BD" w:themeColor="accent1"/>
                      <w:sz w:val="16"/>
                      <w:lang w:val="en-GB"/>
                    </w:rPr>
                    <w:t xml:space="preserve">- other revenues </w:t>
                  </w:r>
                </w:p>
              </w:tc>
              <w:tc>
                <w:tcPr>
                  <w:tcW w:w="751" w:type="dxa"/>
                  <w:shd w:val="clear" w:color="auto" w:fill="DBE5F1"/>
                </w:tcPr>
                <w:p w14:paraId="0CBE5212"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7C5F2F43"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6AA51C6A"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5B40111B"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43DD29A7"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1693B447" w14:textId="77777777" w:rsidR="0079382E" w:rsidRPr="00C42EEC" w:rsidRDefault="0079382E" w:rsidP="0079382E">
                  <w:pPr>
                    <w:spacing w:before="40" w:after="40"/>
                    <w:rPr>
                      <w:rFonts w:asciiTheme="minorHAnsi" w:hAnsiTheme="minorHAnsi"/>
                      <w:color w:val="4F81BD" w:themeColor="accent1"/>
                      <w:sz w:val="16"/>
                      <w:lang w:val="en-GB"/>
                    </w:rPr>
                  </w:pPr>
                </w:p>
              </w:tc>
            </w:tr>
            <w:tr w:rsidR="0079382E" w:rsidRPr="00731E4E" w14:paraId="493D0F75" w14:textId="77777777" w:rsidTr="00505091">
              <w:trPr>
                <w:tblCellSpacing w:w="20" w:type="dxa"/>
              </w:trPr>
              <w:tc>
                <w:tcPr>
                  <w:tcW w:w="2093" w:type="dxa"/>
                  <w:shd w:val="clear" w:color="auto" w:fill="DBE5F1"/>
                </w:tcPr>
                <w:p w14:paraId="7B667717" w14:textId="77777777" w:rsidR="0079382E" w:rsidRPr="00C42EEC" w:rsidRDefault="0079382E" w:rsidP="0079382E">
                  <w:pPr>
                    <w:spacing w:before="40" w:after="40"/>
                    <w:rPr>
                      <w:rFonts w:asciiTheme="minorHAnsi" w:hAnsiTheme="minorHAnsi"/>
                      <w:color w:val="4F81BD" w:themeColor="accent1"/>
                      <w:sz w:val="16"/>
                    </w:rPr>
                  </w:pPr>
                  <w:r w:rsidRPr="00C42EEC">
                    <w:rPr>
                      <w:rFonts w:asciiTheme="minorHAnsi" w:hAnsiTheme="minorHAnsi"/>
                      <w:color w:val="4F81BD" w:themeColor="accent1"/>
                      <w:sz w:val="16"/>
                    </w:rPr>
                    <w:t xml:space="preserve">Other inflows, including: </w:t>
                  </w:r>
                </w:p>
              </w:tc>
              <w:tc>
                <w:tcPr>
                  <w:tcW w:w="751" w:type="dxa"/>
                  <w:shd w:val="clear" w:color="auto" w:fill="DBE5F1"/>
                </w:tcPr>
                <w:p w14:paraId="24F39881" w14:textId="77777777" w:rsidR="0079382E" w:rsidRPr="00C42EEC" w:rsidRDefault="0079382E" w:rsidP="0079382E">
                  <w:pPr>
                    <w:spacing w:before="40" w:after="40"/>
                    <w:rPr>
                      <w:rFonts w:asciiTheme="minorHAnsi" w:hAnsiTheme="minorHAnsi"/>
                      <w:color w:val="4F81BD" w:themeColor="accent1"/>
                      <w:sz w:val="16"/>
                    </w:rPr>
                  </w:pPr>
                </w:p>
              </w:tc>
              <w:tc>
                <w:tcPr>
                  <w:tcW w:w="751" w:type="dxa"/>
                  <w:shd w:val="clear" w:color="auto" w:fill="DBE5F1"/>
                </w:tcPr>
                <w:p w14:paraId="302E5D1D" w14:textId="77777777" w:rsidR="0079382E" w:rsidRPr="00C42EEC" w:rsidRDefault="0079382E" w:rsidP="0079382E">
                  <w:pPr>
                    <w:spacing w:before="40" w:after="40"/>
                    <w:rPr>
                      <w:rFonts w:asciiTheme="minorHAnsi" w:hAnsiTheme="minorHAnsi"/>
                      <w:color w:val="4F81BD" w:themeColor="accent1"/>
                      <w:sz w:val="16"/>
                    </w:rPr>
                  </w:pPr>
                </w:p>
              </w:tc>
              <w:tc>
                <w:tcPr>
                  <w:tcW w:w="752" w:type="dxa"/>
                  <w:shd w:val="clear" w:color="auto" w:fill="DBE5F1"/>
                </w:tcPr>
                <w:p w14:paraId="7DB6E99D" w14:textId="77777777" w:rsidR="0079382E" w:rsidRPr="00C42EEC" w:rsidRDefault="0079382E" w:rsidP="0079382E">
                  <w:pPr>
                    <w:spacing w:before="40" w:after="40"/>
                    <w:rPr>
                      <w:rFonts w:asciiTheme="minorHAnsi" w:hAnsiTheme="minorHAnsi"/>
                      <w:color w:val="4F81BD" w:themeColor="accent1"/>
                      <w:sz w:val="16"/>
                    </w:rPr>
                  </w:pPr>
                </w:p>
              </w:tc>
              <w:tc>
                <w:tcPr>
                  <w:tcW w:w="751" w:type="dxa"/>
                  <w:shd w:val="clear" w:color="auto" w:fill="DBE5F1"/>
                </w:tcPr>
                <w:p w14:paraId="6D2D2232" w14:textId="77777777" w:rsidR="0079382E" w:rsidRPr="00C42EEC" w:rsidRDefault="0079382E" w:rsidP="0079382E">
                  <w:pPr>
                    <w:spacing w:before="40" w:after="40"/>
                    <w:rPr>
                      <w:rFonts w:asciiTheme="minorHAnsi" w:hAnsiTheme="minorHAnsi"/>
                      <w:color w:val="4F81BD" w:themeColor="accent1"/>
                      <w:sz w:val="16"/>
                    </w:rPr>
                  </w:pPr>
                </w:p>
              </w:tc>
              <w:tc>
                <w:tcPr>
                  <w:tcW w:w="751" w:type="dxa"/>
                  <w:shd w:val="clear" w:color="auto" w:fill="DBE5F1"/>
                </w:tcPr>
                <w:p w14:paraId="7785C33C" w14:textId="77777777" w:rsidR="0079382E" w:rsidRPr="00C42EEC" w:rsidRDefault="0079382E" w:rsidP="0079382E">
                  <w:pPr>
                    <w:spacing w:before="40" w:after="40"/>
                    <w:rPr>
                      <w:rFonts w:asciiTheme="minorHAnsi" w:hAnsiTheme="minorHAnsi"/>
                      <w:color w:val="4F81BD" w:themeColor="accent1"/>
                      <w:sz w:val="16"/>
                    </w:rPr>
                  </w:pPr>
                </w:p>
              </w:tc>
              <w:tc>
                <w:tcPr>
                  <w:tcW w:w="752" w:type="dxa"/>
                  <w:shd w:val="clear" w:color="auto" w:fill="DBE5F1"/>
                </w:tcPr>
                <w:p w14:paraId="619FC45D" w14:textId="77777777" w:rsidR="0079382E" w:rsidRPr="00C42EEC" w:rsidRDefault="0079382E" w:rsidP="0079382E">
                  <w:pPr>
                    <w:spacing w:before="40" w:after="40"/>
                    <w:rPr>
                      <w:rFonts w:asciiTheme="minorHAnsi" w:hAnsiTheme="minorHAnsi"/>
                      <w:color w:val="4F81BD" w:themeColor="accent1"/>
                      <w:sz w:val="16"/>
                    </w:rPr>
                  </w:pPr>
                </w:p>
              </w:tc>
            </w:tr>
            <w:tr w:rsidR="0079382E" w:rsidRPr="007463B9" w14:paraId="2662E9EF" w14:textId="77777777" w:rsidTr="00505091">
              <w:trPr>
                <w:tblCellSpacing w:w="20" w:type="dxa"/>
              </w:trPr>
              <w:tc>
                <w:tcPr>
                  <w:tcW w:w="2093" w:type="dxa"/>
                  <w:shd w:val="clear" w:color="auto" w:fill="DBE5F1"/>
                </w:tcPr>
                <w:p w14:paraId="4686D604" w14:textId="77777777" w:rsidR="0079382E" w:rsidRPr="00C42EEC" w:rsidRDefault="0079382E" w:rsidP="0079382E">
                  <w:pPr>
                    <w:spacing w:before="40" w:after="40"/>
                    <w:rPr>
                      <w:rFonts w:asciiTheme="minorHAnsi" w:hAnsiTheme="minorHAnsi"/>
                      <w:color w:val="4F81BD" w:themeColor="accent1"/>
                      <w:sz w:val="16"/>
                      <w:lang w:val="en-GB"/>
                    </w:rPr>
                  </w:pPr>
                  <w:r w:rsidRPr="00C42EEC">
                    <w:rPr>
                      <w:rFonts w:asciiTheme="minorHAnsi" w:hAnsiTheme="minorHAnsi"/>
                      <w:color w:val="4F81BD" w:themeColor="accent1"/>
                      <w:sz w:val="16"/>
                      <w:lang w:val="en-GB"/>
                    </w:rPr>
                    <w:t>- Subsidy of the State Treasury (or JST)</w:t>
                  </w:r>
                </w:p>
              </w:tc>
              <w:tc>
                <w:tcPr>
                  <w:tcW w:w="751" w:type="dxa"/>
                  <w:shd w:val="clear" w:color="auto" w:fill="DBE5F1"/>
                </w:tcPr>
                <w:p w14:paraId="3DCD417A"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0655BFFD"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22B2F825"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46E675DD"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124471A2"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66C81F3A" w14:textId="77777777" w:rsidR="0079382E" w:rsidRPr="00C42EEC" w:rsidRDefault="0079382E" w:rsidP="0079382E">
                  <w:pPr>
                    <w:spacing w:before="40" w:after="40"/>
                    <w:rPr>
                      <w:rFonts w:asciiTheme="minorHAnsi" w:hAnsiTheme="minorHAnsi"/>
                      <w:color w:val="4F81BD" w:themeColor="accent1"/>
                      <w:sz w:val="16"/>
                      <w:lang w:val="en-GB"/>
                    </w:rPr>
                  </w:pPr>
                </w:p>
              </w:tc>
            </w:tr>
            <w:tr w:rsidR="0079382E" w:rsidRPr="007463B9" w14:paraId="54A39459" w14:textId="77777777" w:rsidTr="00505091">
              <w:trPr>
                <w:tblCellSpacing w:w="20" w:type="dxa"/>
              </w:trPr>
              <w:tc>
                <w:tcPr>
                  <w:tcW w:w="2093" w:type="dxa"/>
                  <w:shd w:val="clear" w:color="auto" w:fill="DBE5F1"/>
                </w:tcPr>
                <w:p w14:paraId="3BB544F3" w14:textId="77777777" w:rsidR="0079382E" w:rsidRPr="00C42EEC" w:rsidRDefault="0079382E" w:rsidP="0079382E">
                  <w:pPr>
                    <w:spacing w:before="40" w:after="40"/>
                    <w:rPr>
                      <w:rFonts w:asciiTheme="minorHAnsi" w:hAnsiTheme="minorHAnsi"/>
                      <w:color w:val="4F81BD" w:themeColor="accent1"/>
                      <w:sz w:val="16"/>
                      <w:lang w:val="en-GB"/>
                    </w:rPr>
                  </w:pPr>
                  <w:r w:rsidRPr="00C42EEC">
                    <w:rPr>
                      <w:rFonts w:asciiTheme="minorHAnsi" w:hAnsiTheme="minorHAnsi"/>
                      <w:color w:val="4F81BD" w:themeColor="accent1"/>
                      <w:sz w:val="16"/>
                      <w:lang w:val="en-GB"/>
                    </w:rPr>
                    <w:t xml:space="preserve">- other subsidies and inflows* </w:t>
                  </w:r>
                </w:p>
              </w:tc>
              <w:tc>
                <w:tcPr>
                  <w:tcW w:w="751" w:type="dxa"/>
                  <w:shd w:val="clear" w:color="auto" w:fill="DBE5F1"/>
                </w:tcPr>
                <w:p w14:paraId="3422F0ED"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3B8174FC"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7071CCEC"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58CF70B8"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29242DC5"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6BFC99C2" w14:textId="77777777" w:rsidR="0079382E" w:rsidRPr="00C42EEC" w:rsidRDefault="0079382E" w:rsidP="0079382E">
                  <w:pPr>
                    <w:spacing w:before="40" w:after="40"/>
                    <w:rPr>
                      <w:rFonts w:asciiTheme="minorHAnsi" w:hAnsiTheme="minorHAnsi"/>
                      <w:color w:val="4F81BD" w:themeColor="accent1"/>
                      <w:sz w:val="16"/>
                      <w:lang w:val="en-GB"/>
                    </w:rPr>
                  </w:pPr>
                </w:p>
              </w:tc>
            </w:tr>
            <w:tr w:rsidR="0079382E" w:rsidRPr="007463B9" w14:paraId="6000F54E" w14:textId="77777777" w:rsidTr="00505091">
              <w:trPr>
                <w:tblCellSpacing w:w="20" w:type="dxa"/>
              </w:trPr>
              <w:tc>
                <w:tcPr>
                  <w:tcW w:w="2093" w:type="dxa"/>
                  <w:shd w:val="clear" w:color="auto" w:fill="DBE5F1"/>
                </w:tcPr>
                <w:p w14:paraId="227EF153" w14:textId="77777777" w:rsidR="0079382E" w:rsidRPr="00C42EEC" w:rsidRDefault="0079382E" w:rsidP="0079382E">
                  <w:pPr>
                    <w:spacing w:before="40" w:after="40"/>
                    <w:rPr>
                      <w:rFonts w:asciiTheme="minorHAnsi" w:hAnsiTheme="minorHAnsi"/>
                      <w:color w:val="4F81BD" w:themeColor="accent1"/>
                      <w:sz w:val="16"/>
                      <w:lang w:val="en-GB"/>
                    </w:rPr>
                  </w:pPr>
                  <w:r w:rsidRPr="00C42EEC">
                    <w:rPr>
                      <w:rFonts w:asciiTheme="minorHAnsi" w:hAnsiTheme="minorHAnsi"/>
                      <w:color w:val="4F81BD" w:themeColor="accent1"/>
                      <w:sz w:val="16"/>
                      <w:lang w:val="en-GB"/>
                    </w:rPr>
                    <w:t xml:space="preserve">Total inflows </w:t>
                  </w:r>
                </w:p>
              </w:tc>
              <w:tc>
                <w:tcPr>
                  <w:tcW w:w="751" w:type="dxa"/>
                  <w:shd w:val="clear" w:color="auto" w:fill="DBE5F1"/>
                </w:tcPr>
                <w:p w14:paraId="7AFCD291"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50270793"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045A78D5"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1DDA4279" w14:textId="77777777" w:rsidR="0079382E" w:rsidRPr="00C42EEC" w:rsidRDefault="0079382E" w:rsidP="0079382E">
                  <w:pPr>
                    <w:spacing w:before="40" w:after="40"/>
                    <w:rPr>
                      <w:rFonts w:asciiTheme="minorHAnsi" w:hAnsiTheme="minorHAnsi"/>
                      <w:color w:val="4F81BD" w:themeColor="accent1"/>
                      <w:sz w:val="16"/>
                      <w:lang w:val="en-GB"/>
                    </w:rPr>
                  </w:pPr>
                </w:p>
              </w:tc>
              <w:tc>
                <w:tcPr>
                  <w:tcW w:w="751" w:type="dxa"/>
                  <w:shd w:val="clear" w:color="auto" w:fill="DBE5F1"/>
                </w:tcPr>
                <w:p w14:paraId="5934CD2F" w14:textId="77777777" w:rsidR="0079382E" w:rsidRPr="00C42EEC" w:rsidRDefault="0079382E" w:rsidP="0079382E">
                  <w:pPr>
                    <w:spacing w:before="40" w:after="40"/>
                    <w:rPr>
                      <w:rFonts w:asciiTheme="minorHAnsi" w:hAnsiTheme="minorHAnsi"/>
                      <w:color w:val="4F81BD" w:themeColor="accent1"/>
                      <w:sz w:val="16"/>
                      <w:lang w:val="en-GB"/>
                    </w:rPr>
                  </w:pPr>
                </w:p>
              </w:tc>
              <w:tc>
                <w:tcPr>
                  <w:tcW w:w="752" w:type="dxa"/>
                  <w:shd w:val="clear" w:color="auto" w:fill="DBE5F1"/>
                </w:tcPr>
                <w:p w14:paraId="59B06AE0" w14:textId="77777777" w:rsidR="0079382E" w:rsidRPr="00C42EEC" w:rsidRDefault="0079382E" w:rsidP="0079382E">
                  <w:pPr>
                    <w:spacing w:before="40" w:after="40"/>
                    <w:rPr>
                      <w:rFonts w:asciiTheme="minorHAnsi" w:hAnsiTheme="minorHAnsi"/>
                      <w:color w:val="4F81BD" w:themeColor="accent1"/>
                      <w:sz w:val="16"/>
                      <w:lang w:val="en-GB"/>
                    </w:rPr>
                  </w:pPr>
                </w:p>
              </w:tc>
            </w:tr>
          </w:tbl>
          <w:p w14:paraId="6952A483" w14:textId="77777777" w:rsidR="00600DEE" w:rsidRPr="0045151D" w:rsidRDefault="00641FB5">
            <w:pPr>
              <w:rPr>
                <w:rFonts w:ascii="Calibri" w:eastAsia="Calibri" w:hAnsi="Calibri" w:cs="Calibri"/>
                <w:sz w:val="16"/>
                <w:szCs w:val="16"/>
                <w:lang w:val="en-GB"/>
              </w:rPr>
            </w:pPr>
            <w:r w:rsidRPr="0045151D">
              <w:rPr>
                <w:rFonts w:ascii="Calibri" w:eastAsia="Calibri" w:hAnsi="Calibri" w:cs="Calibri"/>
                <w:sz w:val="16"/>
                <w:szCs w:val="16"/>
                <w:lang w:val="en-GB"/>
              </w:rPr>
              <w:t>* please provide details on other sources of inflows</w:t>
            </w:r>
          </w:p>
          <w:p w14:paraId="227E1F9E" w14:textId="77777777" w:rsidR="00600DEE" w:rsidRPr="0045151D" w:rsidRDefault="00641FB5">
            <w:pPr>
              <w:pBdr>
                <w:top w:val="nil"/>
                <w:left w:val="nil"/>
                <w:bottom w:val="nil"/>
                <w:right w:val="nil"/>
                <w:between w:val="nil"/>
              </w:pBdr>
              <w:spacing w:before="6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 xml:space="preserve">Note: </w:t>
            </w:r>
            <w:r w:rsidRPr="0045151D">
              <w:rPr>
                <w:rFonts w:ascii="Calibri" w:eastAsia="Calibri" w:hAnsi="Calibri" w:cs="Calibri"/>
                <w:color w:val="000000"/>
                <w:sz w:val="16"/>
                <w:szCs w:val="16"/>
                <w:lang w:val="en-GB"/>
              </w:rPr>
              <w:t>In case of GDDKiA, above information should be provided by the relevant ministry, and in case of Local Government Unit, by the relevant local authority body.</w:t>
            </w:r>
          </w:p>
        </w:tc>
      </w:tr>
    </w:tbl>
    <w:p w14:paraId="30AE38A0" w14:textId="0FB445A3" w:rsidR="00600DEE" w:rsidRPr="0045151D" w:rsidRDefault="00641FB5" w:rsidP="00D5736B">
      <w:pPr>
        <w:pStyle w:val="Nagwek1"/>
        <w:numPr>
          <w:ilvl w:val="0"/>
          <w:numId w:val="17"/>
        </w:numPr>
        <w:ind w:left="709" w:hanging="709"/>
        <w:rPr>
          <w:rFonts w:ascii="Calibri" w:eastAsia="Calibri" w:hAnsi="Calibri" w:cs="Calibri"/>
          <w:i/>
          <w:color w:val="0070C0"/>
          <w:lang w:val="pl-PL"/>
        </w:rPr>
      </w:pPr>
      <w:bookmarkStart w:id="104" w:name="_Toc95378007"/>
      <w:r w:rsidRPr="0045151D">
        <w:rPr>
          <w:rFonts w:ascii="Calibri" w:eastAsia="Calibri" w:hAnsi="Calibri" w:cs="Calibri"/>
          <w:color w:val="0070C0"/>
          <w:lang w:val="pl-PL"/>
        </w:rPr>
        <w:t>Faza IV: Ocena ryzyk projektu</w:t>
      </w:r>
      <w:r w:rsidRPr="0045151D">
        <w:rPr>
          <w:rFonts w:ascii="Calibri" w:eastAsia="Calibri" w:hAnsi="Calibri" w:cs="Calibri"/>
          <w:color w:val="0070C0"/>
          <w:lang w:val="pl-PL"/>
        </w:rPr>
        <w:br/>
      </w:r>
      <w:r w:rsidRPr="0045151D">
        <w:rPr>
          <w:rFonts w:ascii="Calibri" w:eastAsia="Calibri" w:hAnsi="Calibri" w:cs="Calibri"/>
          <w:i/>
          <w:color w:val="0070C0"/>
          <w:lang w:val="pl-PL"/>
        </w:rPr>
        <w:t>Phase IV: Project risk assessment</w:t>
      </w:r>
      <w:bookmarkEnd w:id="104"/>
    </w:p>
    <w:tbl>
      <w:tblPr>
        <w:tblStyle w:val="afffffff5"/>
        <w:tblW w:w="14571" w:type="dxa"/>
        <w:tblLayout w:type="fixed"/>
        <w:tblLook w:val="0400" w:firstRow="0" w:lastRow="0" w:firstColumn="0" w:lastColumn="0" w:noHBand="0" w:noVBand="1"/>
      </w:tblPr>
      <w:tblGrid>
        <w:gridCol w:w="7370"/>
        <w:gridCol w:w="7201"/>
      </w:tblGrid>
      <w:tr w:rsidR="00600DEE" w:rsidRPr="007463B9" w14:paraId="7F84B325" w14:textId="77777777">
        <w:tc>
          <w:tcPr>
            <w:tcW w:w="7370" w:type="dxa"/>
            <w:tcBorders>
              <w:right w:val="single" w:sz="4" w:space="0" w:color="000000"/>
            </w:tcBorders>
            <w:tcMar>
              <w:left w:w="284" w:type="dxa"/>
              <w:right w:w="284" w:type="dxa"/>
            </w:tcMar>
          </w:tcPr>
          <w:p w14:paraId="26BF248C" w14:textId="34EC6125"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105" w:name="bookmark=id.2w5ecyt" w:colFirst="0" w:colLast="0"/>
            <w:bookmarkStart w:id="106" w:name="bookmark=id.1baon6m" w:colFirst="0" w:colLast="0"/>
            <w:bookmarkEnd w:id="105"/>
            <w:bookmarkEnd w:id="106"/>
            <w:r>
              <w:rPr>
                <w:rFonts w:ascii="Calibri" w:eastAsia="Calibri" w:hAnsi="Calibri" w:cs="Calibri"/>
                <w:color w:val="000000"/>
                <w:sz w:val="20"/>
                <w:szCs w:val="20"/>
              </w:rPr>
              <w:t xml:space="preserve">Ocena ryzyka umożliwia Beneficjentowi projektu lepiej zrozumieć, w jaki sposób szacowane koszty i korzyści projektu mogą się zmienić w przypadku, gdy kluczowe zmienne </w:t>
            </w:r>
            <w:r w:rsidR="00B67038">
              <w:rPr>
                <w:rFonts w:ascii="Calibri" w:eastAsia="Calibri" w:hAnsi="Calibri" w:cs="Calibri"/>
                <w:color w:val="000000"/>
                <w:sz w:val="20"/>
                <w:szCs w:val="20"/>
              </w:rPr>
              <w:t>okażą się inne niż oczekiwane. W</w:t>
            </w:r>
            <w:r>
              <w:rPr>
                <w:rFonts w:ascii="Calibri" w:eastAsia="Calibri" w:hAnsi="Calibri" w:cs="Calibri"/>
                <w:color w:val="000000"/>
                <w:sz w:val="20"/>
                <w:szCs w:val="20"/>
              </w:rPr>
              <w:t> celu zapewnienia ekonomicznego uzasadnienia i kwalifikowalności finansowej projektu, ocena ryzyka powinna wskazać, które ryzyka są akceptowalne, a które potrzebują dodatkowych działań zaradczych. Pomimo, że analiza ryzyka opiera się na szacunkach i prognozach (np. dotyczących kosztów), to jest to narzędzie zwiększające pewność, że decyzja dotycząca projektu inwestycyjnego jest słuszna.</w:t>
            </w:r>
          </w:p>
          <w:p w14:paraId="0DE9E13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Ocena ryzyka przeprowadzona na potrzeby wniosku o dofinansowanie jest obrazem postrzeganego ryzyka projektu w momencie jego składania (lub istotnej aktualizacji) do Instytucji Zarządzającej (IZ), jednakże Beneficjenci powinni traktować analizę ryzyka jako „żywe” narzędzie, które powinno być aktualizowane wraz z rozwojem projektu, aby monitorowanie i zarządzanie ryzykiem było właściwe. Różne rodzaje ryzyka mogą być istotne dla projektu, o różnym prawdopodobieństwie wystąpienia i sile oddziaływania, na różnych jego etapach (przygotowanie, wdrażanie, eksploatacja).</w:t>
            </w:r>
          </w:p>
          <w:p w14:paraId="607179A1" w14:textId="438AA710"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Ocena ryzyka projektu obejmuje zarówno analizę wrażliwości, jak i analizę ryzyka. </w:t>
            </w:r>
            <w:r>
              <w:rPr>
                <w:rFonts w:ascii="Calibri" w:eastAsia="Calibri" w:hAnsi="Calibri" w:cs="Calibri"/>
                <w:color w:val="222222"/>
                <w:sz w:val="20"/>
                <w:szCs w:val="20"/>
              </w:rPr>
              <w:t>Kolejne rozdziały zawierają metodyczne wytyczne dotyczące p</w:t>
            </w:r>
            <w:r w:rsidR="00B67038">
              <w:rPr>
                <w:rFonts w:ascii="Calibri" w:eastAsia="Calibri" w:hAnsi="Calibri" w:cs="Calibri"/>
                <w:color w:val="222222"/>
                <w:sz w:val="20"/>
                <w:szCs w:val="20"/>
              </w:rPr>
              <w:t>rzeprowadzania analizy ryzyka. W</w:t>
            </w:r>
            <w:r>
              <w:rPr>
                <w:rFonts w:ascii="Calibri" w:eastAsia="Calibri" w:hAnsi="Calibri" w:cs="Calibri"/>
                <w:color w:val="222222"/>
                <w:sz w:val="20"/>
                <w:szCs w:val="20"/>
              </w:rPr>
              <w:t> końcowym rozdziale znaduje się podsumowanie dotyczące prezentacji wyników (i) analizy wrażliwości oraz (ii) analizy ryzyka.</w:t>
            </w:r>
          </w:p>
          <w:p w14:paraId="7C540B59"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tc>
        <w:tc>
          <w:tcPr>
            <w:tcW w:w="7201" w:type="dxa"/>
            <w:tcBorders>
              <w:left w:val="single" w:sz="4" w:space="0" w:color="000000"/>
            </w:tcBorders>
            <w:tcMar>
              <w:left w:w="284" w:type="dxa"/>
              <w:right w:w="284" w:type="dxa"/>
            </w:tcMar>
          </w:tcPr>
          <w:p w14:paraId="3F444AD2"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Risk assessment enables the project Beneficiary to better understand the way the estimated impacts are likely to change should some key project variables turn out to be different from those expected. In order to ensure the economic justification and financial eligibility of the project, the risk assessment needs to identify which risks are acceptable, and which risks need additional mitigation. On the other hand, risk assessment is a tool to deal with uncertainty in the assumptions and forecasts (e.g. costs estimation) as a way of boosting confidence that project investment decision is correct.</w:t>
            </w:r>
          </w:p>
          <w:p w14:paraId="39F72CF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risk assessment carried out for the Funding Application is a snapshot of the project’s perceived risks at the time of the submission (or significant update) to the MA; while the Beneficiary should use the risk analysis as a live tool to be updated along the project evolution in order to monitor and manage these risks adequately. Different risks might be relevant, or with a different probability of occurrence or severity at different project stages (preparation, implementation, operation).</w:t>
            </w:r>
          </w:p>
          <w:p w14:paraId="5A83B41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Risk assessment covers both sensitivity analysis and risk analysis. In the chapters below, the methodological guidance on how to carry out the risk assessment is described. At the end, the chapter summarizes the required outputs to be presented for both (i) sensitivity analysis and (ii) risk analysis.</w:t>
            </w:r>
          </w:p>
          <w:p w14:paraId="09A02249"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F4FF4C7"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196E6138"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3A945C8A"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68AEE0A3"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72213895"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20D99EEF" w14:textId="63F3CE99" w:rsidR="00600DEE" w:rsidRPr="00126CBA" w:rsidRDefault="00BF2FDE" w:rsidP="00D5736B">
      <w:pPr>
        <w:pStyle w:val="Nagwek2"/>
        <w:numPr>
          <w:ilvl w:val="1"/>
          <w:numId w:val="17"/>
        </w:numPr>
        <w:rPr>
          <w:rFonts w:ascii="Calibri" w:eastAsia="Calibri" w:hAnsi="Calibri" w:cs="Calibri"/>
          <w:color w:val="4F81BD"/>
        </w:rPr>
      </w:pPr>
      <w:bookmarkStart w:id="107" w:name="_Toc95378008"/>
      <w:r>
        <w:rPr>
          <w:rFonts w:ascii="Calibri" w:eastAsia="Calibri" w:hAnsi="Calibri" w:cs="Calibri"/>
          <w:color w:val="4F81BD"/>
        </w:rPr>
        <w:t>Analiza wrażliwości</w:t>
      </w:r>
      <w:r>
        <w:rPr>
          <w:rFonts w:ascii="Calibri" w:eastAsia="Calibri" w:hAnsi="Calibri" w:cs="Calibri"/>
          <w:color w:val="4F81BD"/>
        </w:rPr>
        <w:tab/>
        <w:t xml:space="preserve">                    </w:t>
      </w:r>
      <w:r w:rsidR="00126CBA">
        <w:rPr>
          <w:rFonts w:ascii="Calibri" w:eastAsia="Calibri" w:hAnsi="Calibri" w:cs="Calibri"/>
          <w:color w:val="4F81BD"/>
        </w:rPr>
        <w:t xml:space="preserve">     </w:t>
      </w:r>
      <w:r>
        <w:rPr>
          <w:rFonts w:ascii="Calibri" w:eastAsia="Calibri" w:hAnsi="Calibri" w:cs="Calibri"/>
          <w:color w:val="4F81BD"/>
        </w:rPr>
        <w:t xml:space="preserve">                            </w:t>
      </w:r>
      <w:r w:rsidR="00126CBA">
        <w:rPr>
          <w:rFonts w:ascii="Calibri" w:eastAsia="Calibri" w:hAnsi="Calibri" w:cs="Calibri"/>
          <w:color w:val="4F81BD"/>
        </w:rPr>
        <w:t xml:space="preserve">   </w:t>
      </w:r>
      <w:r>
        <w:rPr>
          <w:rFonts w:ascii="Calibri" w:eastAsia="Calibri" w:hAnsi="Calibri" w:cs="Calibri"/>
          <w:i/>
          <w:color w:val="4F81BD"/>
        </w:rPr>
        <w:t>4.1</w:t>
      </w:r>
      <w:r>
        <w:rPr>
          <w:rFonts w:ascii="Calibri" w:eastAsia="Calibri" w:hAnsi="Calibri" w:cs="Calibri"/>
          <w:color w:val="4F81BD"/>
        </w:rPr>
        <w:t xml:space="preserve">   Sensitivity</w:t>
      </w:r>
      <w:r>
        <w:rPr>
          <w:rFonts w:ascii="Calibri" w:eastAsia="Calibri" w:hAnsi="Calibri" w:cs="Calibri"/>
          <w:i/>
          <w:color w:val="4F81BD"/>
        </w:rPr>
        <w:t xml:space="preserve"> analysis</w:t>
      </w:r>
      <w:bookmarkEnd w:id="107"/>
    </w:p>
    <w:tbl>
      <w:tblPr>
        <w:tblStyle w:val="afffffff6"/>
        <w:tblW w:w="14571" w:type="dxa"/>
        <w:tblLayout w:type="fixed"/>
        <w:tblLook w:val="0400" w:firstRow="0" w:lastRow="0" w:firstColumn="0" w:lastColumn="0" w:noHBand="0" w:noVBand="1"/>
      </w:tblPr>
      <w:tblGrid>
        <w:gridCol w:w="7370"/>
        <w:gridCol w:w="7201"/>
      </w:tblGrid>
      <w:tr w:rsidR="00600DEE" w:rsidRPr="007463B9" w14:paraId="46845B44" w14:textId="77777777">
        <w:tc>
          <w:tcPr>
            <w:tcW w:w="7370" w:type="dxa"/>
            <w:tcBorders>
              <w:right w:val="single" w:sz="4" w:space="0" w:color="000000"/>
            </w:tcBorders>
            <w:tcMar>
              <w:left w:w="284" w:type="dxa"/>
              <w:right w:w="284" w:type="dxa"/>
            </w:tcMar>
          </w:tcPr>
          <w:p w14:paraId="57B3007A"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Analiza wrażliwości służy identyfikacji tzw. zmiennych krytycznych, tj. tych zmiennych, których zmiany, pozytywne lub negatywne, mają największy wpływ na wskaźniki efektywności projektu. Jeśli wariant inwestycyjny został zidentyfikowany na wcześniejszych etapach analizy, analiza ryzyka może dotyczyć tylko wybranego wariantu inwestycyjnego.</w:t>
            </w:r>
          </w:p>
          <w:p w14:paraId="0926375E"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Analiza wrażliwości powinna zostać przeprowadzona w następujących aspektach:</w:t>
            </w:r>
          </w:p>
          <w:p w14:paraId="1A26CBF8" w14:textId="58280682" w:rsidR="00600DEE" w:rsidRDefault="00641FB5">
            <w:pPr>
              <w:numPr>
                <w:ilvl w:val="0"/>
                <w:numId w:val="1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Określenie zmiennych krytycznych czyli tych, których zmiana wartości o ±1% powoduje zmianę wartości ENPV i FNPV (dla analizy ekonomiczn</w:t>
            </w:r>
            <w:r w:rsidR="0079382E">
              <w:rPr>
                <w:rFonts w:ascii="Calibri" w:eastAsia="Calibri" w:hAnsi="Calibri" w:cs="Calibri"/>
                <w:color w:val="000000"/>
                <w:sz w:val="20"/>
                <w:szCs w:val="20"/>
              </w:rPr>
              <w:t xml:space="preserve">ej i finansowej) o co najmniej ±1%. </w:t>
            </w:r>
            <w:r>
              <w:rPr>
                <w:rFonts w:ascii="Calibri" w:eastAsia="Calibri" w:hAnsi="Calibri" w:cs="Calibri"/>
                <w:color w:val="000000"/>
                <w:sz w:val="20"/>
                <w:szCs w:val="20"/>
              </w:rPr>
              <w:t>Analizę przeprowadza się dla każdego elementu oddzielnie (zmienna badana) przy założeniu, że pozostałe elementy są niezmienne.</w:t>
            </w:r>
          </w:p>
          <w:p w14:paraId="5D6BB31F" w14:textId="77777777" w:rsidR="00600DEE" w:rsidRDefault="00641FB5">
            <w:pPr>
              <w:numPr>
                <w:ilvl w:val="0"/>
                <w:numId w:val="1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Wartości progowe zmiennych krytycznych określa się jako procentową zmianę zmiennej badanej, która powoduje, że NPV jest równa zero. Gdy dla danej zmiennej krytycznej, wartość progowa jest stosunkowo bliska wartości bazowej tej zmiennej, to ryzyko dla efektywności projektu można uznać za wysokie i odpowiednie działania zaradcze powinny zostać uwzględnione w ramach projektu (na etapie przygotowania, wdrażania lub eksploatacji projektu). Wartości progowe zmiennych należy obliczyć przynajmniej dla: ruchu (SDR), kosztu budowy i oszczędności czasu.</w:t>
            </w:r>
          </w:p>
          <w:p w14:paraId="07C397CA"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Ponadto, analiza wrażliwości powinna zostać uzupełniona o analizę scenariuszy (tj. zmiany jednego lub więcej parametrów jednocześnie). Na podstawie najlepszych praktyk i polskich doświadczeń, poniżej zaproponowano podstawowe zmienne kluczowe, które często są niedoszacowane lub przeszacowane w trakcie przygotowywania projektu, a ponadto mają największy wpływ na poziom wskaźników efektywności ekonomicznej i finansowej (ENPV, ERR, FNPV, FRR) drogowego projektu infrastrukturalnego.</w:t>
            </w:r>
          </w:p>
          <w:p w14:paraId="75A2C698"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Wrażliwość wskaźników efektywności ekonomicznej:</w:t>
            </w:r>
          </w:p>
          <w:p w14:paraId="00A9A77D"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w:t>
            </w:r>
            <w:r>
              <w:rPr>
                <w:rFonts w:ascii="Calibri" w:eastAsia="Calibri" w:hAnsi="Calibri" w:cs="Calibri"/>
                <w:color w:val="000000"/>
                <w:sz w:val="20"/>
                <w:szCs w:val="20"/>
              </w:rPr>
              <w:tab/>
              <w:t>SDR</w:t>
            </w:r>
            <w:r>
              <w:rPr>
                <w:rFonts w:ascii="Calibri" w:eastAsia="Calibri" w:hAnsi="Calibri" w:cs="Calibri"/>
                <w:color w:val="000000"/>
                <w:sz w:val="20"/>
                <w:szCs w:val="20"/>
              </w:rPr>
              <w:tab/>
            </w:r>
            <w:r>
              <w:rPr>
                <w:rFonts w:ascii="Calibri" w:eastAsia="Calibri" w:hAnsi="Calibri" w:cs="Calibri"/>
                <w:color w:val="000000"/>
                <w:sz w:val="20"/>
                <w:szCs w:val="20"/>
              </w:rPr>
              <w:tab/>
              <w:t xml:space="preserve">                                                                                        -15% </w:t>
            </w:r>
          </w:p>
          <w:p w14:paraId="078B1A0A"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(ii)</w:t>
            </w:r>
            <w:r>
              <w:rPr>
                <w:rFonts w:ascii="Calibri" w:eastAsia="Calibri" w:hAnsi="Calibri" w:cs="Calibri"/>
                <w:color w:val="000000"/>
                <w:sz w:val="20"/>
                <w:szCs w:val="20"/>
              </w:rPr>
              <w:tab/>
              <w:t>Nakłady inwestycyjne</w:t>
            </w:r>
            <w:r>
              <w:rPr>
                <w:rFonts w:ascii="Calibri" w:eastAsia="Calibri" w:hAnsi="Calibri" w:cs="Calibri"/>
                <w:color w:val="000000"/>
                <w:sz w:val="20"/>
                <w:szCs w:val="20"/>
              </w:rPr>
              <w:tab/>
              <w:t>(w tym opóźnienia realizacji)                    +35%</w:t>
            </w:r>
          </w:p>
          <w:p w14:paraId="7E72AAE0"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(iii)</w:t>
            </w:r>
            <w:r>
              <w:rPr>
                <w:rFonts w:ascii="Calibri" w:eastAsia="Calibri" w:hAnsi="Calibri" w:cs="Calibri"/>
                <w:color w:val="000000"/>
                <w:sz w:val="20"/>
                <w:szCs w:val="20"/>
              </w:rPr>
              <w:tab/>
              <w:t>Koszty czasu</w:t>
            </w:r>
            <w:r>
              <w:rPr>
                <w:rFonts w:ascii="Calibri" w:eastAsia="Calibri" w:hAnsi="Calibri" w:cs="Calibri"/>
                <w:color w:val="000000"/>
                <w:sz w:val="20"/>
                <w:szCs w:val="20"/>
              </w:rPr>
              <w:tab/>
              <w:t xml:space="preserve">                                                                        -15%</w:t>
            </w:r>
          </w:p>
          <w:p w14:paraId="10125664"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(iv)</w:t>
            </w:r>
            <w:r>
              <w:rPr>
                <w:rFonts w:ascii="Calibri" w:eastAsia="Calibri" w:hAnsi="Calibri" w:cs="Calibri"/>
                <w:color w:val="000000"/>
                <w:sz w:val="20"/>
                <w:szCs w:val="20"/>
              </w:rPr>
              <w:tab/>
              <w:t>Razem: SDR -15% i nakłady inwestycyjne                                              +20%</w:t>
            </w:r>
          </w:p>
          <w:p w14:paraId="2A88F1B4"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Wrażliwość wskaźników efektywności finansowej </w:t>
            </w:r>
          </w:p>
          <w:p w14:paraId="62AD42C8"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w:t>
            </w:r>
            <w:r>
              <w:rPr>
                <w:rFonts w:ascii="Calibri" w:eastAsia="Calibri" w:hAnsi="Calibri" w:cs="Calibri"/>
                <w:color w:val="000000"/>
                <w:sz w:val="20"/>
                <w:szCs w:val="20"/>
              </w:rPr>
              <w:tab/>
              <w:t>SDR</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t xml:space="preserve">                         -15%</w:t>
            </w:r>
          </w:p>
          <w:p w14:paraId="2BE7DBEF"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(ii)</w:t>
            </w:r>
            <w:r>
              <w:rPr>
                <w:rFonts w:ascii="Calibri" w:eastAsia="Calibri" w:hAnsi="Calibri" w:cs="Calibri"/>
                <w:color w:val="000000"/>
                <w:sz w:val="20"/>
                <w:szCs w:val="20"/>
              </w:rPr>
              <w:tab/>
              <w:t xml:space="preserve">Poziom opłat za przejazd lub przychody z tytułu poboru opłat za przejazd </w:t>
            </w:r>
            <w:r>
              <w:rPr>
                <w:rFonts w:ascii="Calibri" w:eastAsia="Calibri" w:hAnsi="Calibri" w:cs="Calibri"/>
                <w:color w:val="000000"/>
                <w:sz w:val="20"/>
                <w:szCs w:val="20"/>
              </w:rPr>
              <w:br/>
              <w:t xml:space="preserve">                                                                                                                                   +/-10%</w:t>
            </w:r>
          </w:p>
          <w:p w14:paraId="78ED1B2A"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(iii)</w:t>
            </w:r>
            <w:r>
              <w:rPr>
                <w:rFonts w:ascii="Calibri" w:eastAsia="Calibri" w:hAnsi="Calibri" w:cs="Calibri"/>
                <w:color w:val="000000"/>
                <w:sz w:val="20"/>
                <w:szCs w:val="20"/>
              </w:rPr>
              <w:tab/>
              <w:t>Nakłady inwestycyjne</w:t>
            </w:r>
            <w:r>
              <w:rPr>
                <w:rFonts w:ascii="Calibri" w:eastAsia="Calibri" w:hAnsi="Calibri" w:cs="Calibri"/>
                <w:color w:val="000000"/>
                <w:sz w:val="20"/>
                <w:szCs w:val="20"/>
              </w:rPr>
              <w:tab/>
              <w:t>(w tym opóźnienia realizacji)                    +35%</w:t>
            </w:r>
          </w:p>
          <w:p w14:paraId="3B381511"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(iv)</w:t>
            </w:r>
            <w:r>
              <w:rPr>
                <w:rFonts w:ascii="Calibri" w:eastAsia="Calibri" w:hAnsi="Calibri" w:cs="Calibri"/>
                <w:color w:val="000000"/>
                <w:sz w:val="20"/>
                <w:szCs w:val="20"/>
              </w:rPr>
              <w:tab/>
              <w:t xml:space="preserve">Razem: nakłady inwestycyjne +20% i przychody z tytułu opłat za przejazd </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t xml:space="preserve">                         -10%</w:t>
            </w:r>
          </w:p>
          <w:p w14:paraId="718CFBEC"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bookmarkStart w:id="108" w:name="_heading=h.2afmg28" w:colFirst="0" w:colLast="0"/>
            <w:bookmarkEnd w:id="108"/>
            <w:r>
              <w:rPr>
                <w:rFonts w:ascii="Calibri" w:eastAsia="Calibri" w:hAnsi="Calibri" w:cs="Calibri"/>
                <w:color w:val="000000"/>
                <w:sz w:val="20"/>
                <w:szCs w:val="20"/>
              </w:rPr>
              <w:t>Uwzględniając obowiązujące polityki i cele w zakresie łagodzenia zmian klimatu, oczekuje się przeniesienia ruchu na różne środki transportu szynowego, a ogólniej na środki niskoemisyjne (oprócz ograniczenia popytu na transport). Dlatego zachęca się, w ramach analizy wrażliwości, do rozważenia dodatkowego scenariusza, w którym założone przyrosty ruchu drogowego byłyby bardzo zachowawcze (patrz wcześniejsze odniesienie do polityki pożyczkowej EBI zawartej w dokumencie ‘’Climate Bank Roadmap’’), tzn. w latach 2020-2030 średni roczny przyrost ruchu drogowego na poziomie 0,9-1%, a w latach 2030-2050 0,3-0,5%.</w:t>
            </w:r>
          </w:p>
          <w:p w14:paraId="48A98944"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Powyższe zmiany procentowe odnoszą się, i powinny być stosowane, do zmian wartości bezwzględnych (a nie przyrostowych) parametrów wariantu inwestycyjnego i bezinwestycyjnego projektu. W przypadku nakładów kapitałowych, zmiany powinny dotyczyć zmian nakładów tylko w wariancie inwestycyjnym.</w:t>
            </w:r>
          </w:p>
          <w:p w14:paraId="2B03CB59"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Prezentacja wyników analizy wrażliwości powinna zawierać przynajmniej nazwę badanej zmiennej, zalecane założone odchylenie procentowe oraz wartość nowo obliczonego wskaźnika.</w:t>
            </w:r>
          </w:p>
          <w:p w14:paraId="4B9CE069"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Zaleca się załączanie interpretacji uzyskanych wyników, aby uzasadnić, że planowana inwestycja pozostanie efektywna nawet przy istotnych odchyleniach kluczowych zmiennych. Jeżeli po uwzględnieniu badania zmiennych, projekt nadal wykazuje wymagane minimalne wskaźniki efektywności ekonomicznej (ENPV&gt; 0, ERR&gt; 4,5%), to inwestycja pozostaje ekonomicznie uzasadniona.</w:t>
            </w:r>
          </w:p>
          <w:p w14:paraId="5C59F622"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przypadku, gdy wartość testowanego wskaźnika spada poniżej wymaganego poziomu (np. ENPV &lt;0; ERR&lt; 4,5%), zidentyfikowana zmienna powinna zostać poddana rozszerzonej analizie ryzyka. Rozszerzona analiza zmienności danej zmiennej powinna zawierać omówienie prawdopodobieństwa wystąpienia zmian oraz identyfikację możliwych środków zaradczych lub łagodzących.</w:t>
            </w:r>
          </w:p>
          <w:p w14:paraId="024455F7"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Scenariusze wrażliwości wskaźników efektywności ekonomicznej wspomniane powyżej, powinny być zawsze stosowane gdyż jest to zgodne z dotychczasową praktyką.</w:t>
            </w:r>
          </w:p>
          <w:p w14:paraId="12A28F85" w14:textId="77777777" w:rsidR="00600DEE" w:rsidRDefault="00600DEE">
            <w:pPr>
              <w:pBdr>
                <w:top w:val="nil"/>
                <w:left w:val="nil"/>
                <w:bottom w:val="nil"/>
                <w:right w:val="nil"/>
                <w:between w:val="nil"/>
              </w:pBdr>
              <w:spacing w:before="120" w:after="120"/>
              <w:jc w:val="both"/>
              <w:rPr>
                <w:rFonts w:ascii="Calibri" w:eastAsia="Calibri" w:hAnsi="Calibri" w:cs="Calibri"/>
                <w:color w:val="000000"/>
                <w:sz w:val="20"/>
                <w:szCs w:val="20"/>
              </w:rPr>
            </w:pPr>
          </w:p>
        </w:tc>
        <w:tc>
          <w:tcPr>
            <w:tcW w:w="7201" w:type="dxa"/>
            <w:tcBorders>
              <w:left w:val="single" w:sz="4" w:space="0" w:color="000000"/>
            </w:tcBorders>
            <w:tcMar>
              <w:left w:w="284" w:type="dxa"/>
              <w:right w:w="284" w:type="dxa"/>
            </w:tcMar>
          </w:tcPr>
          <w:p w14:paraId="016889E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sensitivity analysis will be used to identify “critical” parameters i.e. those whose variations, positive or negative, have the greatest impact on project’s performance indicators. In case the implementation option has been identified at an earlier stage of the analysis, the risk analysis may be limited to only the selected investment option.</w:t>
            </w:r>
          </w:p>
          <w:p w14:paraId="22804B2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sensitivity analysis should present the following aspects:</w:t>
            </w:r>
          </w:p>
          <w:p w14:paraId="2ED0BD6A" w14:textId="77777777" w:rsidR="00600DEE" w:rsidRPr="0045151D" w:rsidRDefault="00641FB5" w:rsidP="00D5736B">
            <w:pPr>
              <w:numPr>
                <w:ilvl w:val="0"/>
                <w:numId w:val="35"/>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Identification of the “critical” variables which are considered the ones whose ±1% variation of the base case results in corresponding variation of not less than ±1% in ENPV and FNPV (for the economic and financial analysis). The analysis is carried out by varying one element at a time (analysed variable) while the others are kept constant.</w:t>
            </w:r>
          </w:p>
          <w:p w14:paraId="18FF561A" w14:textId="77777777" w:rsidR="00600DEE" w:rsidRPr="0045151D" w:rsidRDefault="00641FB5" w:rsidP="00D5736B">
            <w:pPr>
              <w:numPr>
                <w:ilvl w:val="0"/>
                <w:numId w:val="35"/>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Calculation of the switching values which are defined as the percentage change of the analysed variable to make the NPV equal to zero. When for a given variable the switching value is relatively close to the base case value, the risk can be considered as serious and a proper mitigating measure should be included as part of the project (at preparatory, implementation or operational stage). Switching values must be calculated for, at least, traffic (AADT), CAPEX, and time savings.</w:t>
            </w:r>
          </w:p>
          <w:p w14:paraId="1696E35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Additionally, sensitivity analysis should be complemented by scenario analysis (scenarios in which one or more parameters change at the same time). Based on the best practices and Polish experiences, basic key variables have been proposed, which often are underestimated or overestimated during the project preparation stage, and at the same time, they have the greatest influence on the level of economic and financial performance indicators (ENPV, ERR, FNPV, FRR) of a road infrastructure project.</w:t>
            </w:r>
          </w:p>
          <w:p w14:paraId="359BA80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Sensitivity of economic performance indicators:</w:t>
            </w:r>
          </w:p>
          <w:p w14:paraId="2F88FD1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w:t>
            </w:r>
            <w:r w:rsidRPr="0045151D">
              <w:rPr>
                <w:rFonts w:ascii="Calibri" w:eastAsia="Calibri" w:hAnsi="Calibri" w:cs="Calibri"/>
                <w:color w:val="000000"/>
                <w:sz w:val="20"/>
                <w:szCs w:val="20"/>
                <w:lang w:val="en-GB"/>
              </w:rPr>
              <w:tab/>
              <w:t xml:space="preserve">AADT                                                                  </w:t>
            </w:r>
            <w:r w:rsidRPr="0045151D">
              <w:rPr>
                <w:rFonts w:ascii="Calibri" w:eastAsia="Calibri" w:hAnsi="Calibri" w:cs="Calibri"/>
                <w:color w:val="000000"/>
                <w:sz w:val="20"/>
                <w:szCs w:val="20"/>
                <w:lang w:val="en-GB"/>
              </w:rPr>
              <w:tab/>
              <w:t xml:space="preserve">                                - 15% </w:t>
            </w:r>
          </w:p>
          <w:p w14:paraId="3561A7C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(ii)</w:t>
            </w:r>
            <w:r w:rsidRPr="0045151D">
              <w:rPr>
                <w:rFonts w:ascii="Calibri" w:eastAsia="Calibri" w:hAnsi="Calibri" w:cs="Calibri"/>
                <w:color w:val="000000"/>
                <w:sz w:val="20"/>
                <w:szCs w:val="20"/>
                <w:lang w:val="en-GB"/>
              </w:rPr>
              <w:tab/>
              <w:t>Investment expenditures (incl. implementation delays)           + 35%</w:t>
            </w:r>
          </w:p>
          <w:p w14:paraId="7E6F64D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(iii)</w:t>
            </w:r>
            <w:r w:rsidRPr="0045151D">
              <w:rPr>
                <w:rFonts w:ascii="Calibri" w:eastAsia="Calibri" w:hAnsi="Calibri" w:cs="Calibri"/>
                <w:color w:val="000000"/>
                <w:sz w:val="20"/>
                <w:szCs w:val="20"/>
                <w:lang w:val="en-GB"/>
              </w:rPr>
              <w:tab/>
              <w:t>Time costs                                                                                         -15%</w:t>
            </w:r>
          </w:p>
          <w:p w14:paraId="127DB37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(iv)</w:t>
            </w:r>
            <w:r w:rsidRPr="0045151D">
              <w:rPr>
                <w:rFonts w:ascii="Calibri" w:eastAsia="Calibri" w:hAnsi="Calibri" w:cs="Calibri"/>
                <w:color w:val="000000"/>
                <w:sz w:val="20"/>
                <w:szCs w:val="20"/>
                <w:lang w:val="en-GB"/>
              </w:rPr>
              <w:tab/>
              <w:t>Combined: AADT -15% and investment expenditures               + 20%</w:t>
            </w:r>
          </w:p>
          <w:p w14:paraId="7B5A271A" w14:textId="77777777" w:rsidR="00600DEE" w:rsidRPr="0045151D" w:rsidRDefault="00641FB5">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Sensitivity of financial performance indicators:</w:t>
            </w:r>
          </w:p>
          <w:p w14:paraId="4C9B18F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w:t>
            </w:r>
            <w:r w:rsidRPr="0045151D">
              <w:rPr>
                <w:rFonts w:ascii="Calibri" w:eastAsia="Calibri" w:hAnsi="Calibri" w:cs="Calibri"/>
                <w:color w:val="000000"/>
                <w:sz w:val="20"/>
                <w:szCs w:val="20"/>
                <w:lang w:val="en-GB"/>
              </w:rPr>
              <w:tab/>
              <w:t>AADT                                                                                                    - 15%</w:t>
            </w:r>
          </w:p>
          <w:p w14:paraId="751993C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(ii)</w:t>
            </w:r>
            <w:r w:rsidRPr="0045151D">
              <w:rPr>
                <w:rFonts w:ascii="Calibri" w:eastAsia="Calibri" w:hAnsi="Calibri" w:cs="Calibri"/>
                <w:color w:val="000000"/>
                <w:sz w:val="20"/>
                <w:szCs w:val="20"/>
                <w:lang w:val="en-GB"/>
              </w:rPr>
              <w:tab/>
              <w:t>Toll level/ Toll revenues                                                                +/-10%</w:t>
            </w:r>
          </w:p>
          <w:p w14:paraId="7146D6D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(iii)</w:t>
            </w:r>
            <w:r w:rsidRPr="0045151D">
              <w:rPr>
                <w:rFonts w:ascii="Calibri" w:eastAsia="Calibri" w:hAnsi="Calibri" w:cs="Calibri"/>
                <w:color w:val="000000"/>
                <w:sz w:val="20"/>
                <w:szCs w:val="20"/>
                <w:lang w:val="en-GB"/>
              </w:rPr>
              <w:tab/>
              <w:t>Investment expenditures    (incl. implementation delays)       + 35%</w:t>
            </w:r>
          </w:p>
          <w:p w14:paraId="45ABD94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(iv)</w:t>
            </w:r>
            <w:r w:rsidRPr="0045151D">
              <w:rPr>
                <w:rFonts w:ascii="Calibri" w:eastAsia="Calibri" w:hAnsi="Calibri" w:cs="Calibri"/>
                <w:color w:val="000000"/>
                <w:sz w:val="20"/>
                <w:szCs w:val="20"/>
                <w:lang w:val="en-GB"/>
              </w:rPr>
              <w:tab/>
              <w:t>Combined:  investment expenditures + 20% and revenues from tolls</w:t>
            </w:r>
            <w:r w:rsidRPr="0045151D">
              <w:rPr>
                <w:rFonts w:ascii="Calibri" w:eastAsia="Calibri" w:hAnsi="Calibri" w:cs="Calibri"/>
                <w:color w:val="000000"/>
                <w:sz w:val="20"/>
                <w:szCs w:val="20"/>
                <w:lang w:val="en-GB"/>
              </w:rPr>
              <w:tab/>
            </w:r>
            <w:r w:rsidRPr="0045151D">
              <w:rPr>
                <w:rFonts w:ascii="Calibri" w:eastAsia="Calibri" w:hAnsi="Calibri" w:cs="Calibri"/>
                <w:color w:val="000000"/>
                <w:sz w:val="20"/>
                <w:szCs w:val="20"/>
                <w:lang w:val="en-GB"/>
              </w:rPr>
              <w:tab/>
            </w:r>
            <w:r w:rsidRPr="0045151D">
              <w:rPr>
                <w:rFonts w:ascii="Calibri" w:eastAsia="Calibri" w:hAnsi="Calibri" w:cs="Calibri"/>
                <w:color w:val="000000"/>
                <w:sz w:val="20"/>
                <w:szCs w:val="20"/>
                <w:lang w:val="en-GB"/>
              </w:rPr>
              <w:tab/>
            </w:r>
            <w:r w:rsidRPr="0045151D">
              <w:rPr>
                <w:rFonts w:ascii="Calibri" w:eastAsia="Calibri" w:hAnsi="Calibri" w:cs="Calibri"/>
                <w:color w:val="000000"/>
                <w:sz w:val="20"/>
                <w:szCs w:val="20"/>
                <w:lang w:val="en-GB"/>
              </w:rPr>
              <w:tab/>
            </w:r>
            <w:r w:rsidRPr="0045151D">
              <w:rPr>
                <w:rFonts w:ascii="Calibri" w:eastAsia="Calibri" w:hAnsi="Calibri" w:cs="Calibri"/>
                <w:color w:val="000000"/>
                <w:sz w:val="20"/>
                <w:szCs w:val="20"/>
                <w:lang w:val="en-GB"/>
              </w:rPr>
              <w:tab/>
            </w:r>
            <w:r w:rsidRPr="0045151D">
              <w:rPr>
                <w:rFonts w:ascii="Calibri" w:eastAsia="Calibri" w:hAnsi="Calibri" w:cs="Calibri"/>
                <w:color w:val="000000"/>
                <w:sz w:val="20"/>
                <w:szCs w:val="20"/>
                <w:lang w:val="en-GB"/>
              </w:rPr>
              <w:tab/>
            </w:r>
            <w:r w:rsidRPr="0045151D">
              <w:rPr>
                <w:rFonts w:ascii="Calibri" w:eastAsia="Calibri" w:hAnsi="Calibri" w:cs="Calibri"/>
                <w:color w:val="000000"/>
                <w:sz w:val="20"/>
                <w:szCs w:val="20"/>
                <w:lang w:val="en-GB"/>
              </w:rPr>
              <w:tab/>
            </w:r>
            <w:r w:rsidRPr="0045151D">
              <w:rPr>
                <w:rFonts w:ascii="Calibri" w:eastAsia="Calibri" w:hAnsi="Calibri" w:cs="Calibri"/>
                <w:color w:val="000000"/>
                <w:sz w:val="20"/>
                <w:szCs w:val="20"/>
                <w:lang w:val="en-GB"/>
              </w:rPr>
              <w:tab/>
              <w:t xml:space="preserve">               - 10%</w:t>
            </w:r>
          </w:p>
          <w:p w14:paraId="6CBB726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Considering current climate mitigation policies and objectives, it is expected to increase traffic shift to rail modes and, more generally, to low-carbon modes (in addition to reduction of transport demand). Therefore, it is encouraged to consider, as part of sensitivity analysis, an additional scenario where assumed road traffic growths would be very conservative (see reference above to EIB Climate Bank Roadmap lending policy), i.e.: from 2020-2030 a road traffic average annual growth rate (a.a.g.r.) of 0.9-1%, and from 2030-2050 a.a.g.r. of 0.3-0.5%.</w:t>
            </w:r>
          </w:p>
          <w:p w14:paraId="6E20ABB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above proposed percentage changes relate and should be applied to the absolute (not incremental) values of the project investment and non-investment scenario. In case of capital expenditure the changes relate only to the investment scenario.</w:t>
            </w:r>
          </w:p>
          <w:p w14:paraId="766769D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presentation of results of the sensitivity analysis should include at least the name of the analysed variable, the recommended assumed percentage change and the absolute value of the tested indicator.</w:t>
            </w:r>
          </w:p>
          <w:p w14:paraId="7854FE8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It is recommended to provide an interpretation of the above results to show whether the planned investment is still effective, even when the key variables have changed. If, after taking into account the changed variables, the project still shows the required minimum economic efficiency indicators (ENPV &gt; 0; ERR &gt; 4,5%), the investment project will still be economically justifiable.</w:t>
            </w:r>
          </w:p>
          <w:p w14:paraId="6FB65B22"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case the tested variable falls below the required level (ENPV &lt; 0; ERR &lt; 4.5%), the identified variable should be subject to an extended analysis of risks in the risk analysis section. The extended analysis of possible variation in the variable should include the discussion of probability of occurrence and identification of possible remedy and/or mitigation measures.</w:t>
            </w:r>
          </w:p>
          <w:p w14:paraId="41D3278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scenarios to test economic and financial sensitivity listed above are recommended to be always carried out; this is in line with common practice so far.</w:t>
            </w:r>
          </w:p>
          <w:p w14:paraId="5CA14455" w14:textId="77777777" w:rsidR="00600DEE" w:rsidRPr="0045151D" w:rsidRDefault="00600DEE">
            <w:pPr>
              <w:spacing w:line="276" w:lineRule="auto"/>
              <w:ind w:right="170"/>
              <w:jc w:val="both"/>
              <w:rPr>
                <w:rFonts w:ascii="Calibri" w:eastAsia="Calibri" w:hAnsi="Calibri" w:cs="Calibri"/>
                <w:sz w:val="20"/>
                <w:szCs w:val="20"/>
                <w:lang w:val="en-GB"/>
              </w:rPr>
            </w:pPr>
          </w:p>
          <w:p w14:paraId="31C7513D" w14:textId="77777777" w:rsidR="00600DEE" w:rsidRPr="0045151D" w:rsidRDefault="00600DEE">
            <w:pPr>
              <w:pBdr>
                <w:top w:val="nil"/>
                <w:left w:val="nil"/>
                <w:bottom w:val="nil"/>
                <w:right w:val="nil"/>
                <w:between w:val="nil"/>
              </w:pBdr>
              <w:spacing w:before="120" w:after="120"/>
              <w:jc w:val="both"/>
              <w:rPr>
                <w:rFonts w:ascii="Calibri" w:eastAsia="Calibri" w:hAnsi="Calibri" w:cs="Calibri"/>
                <w:color w:val="000000"/>
                <w:sz w:val="20"/>
                <w:szCs w:val="20"/>
                <w:lang w:val="en-GB"/>
              </w:rPr>
            </w:pPr>
          </w:p>
        </w:tc>
      </w:tr>
    </w:tbl>
    <w:p w14:paraId="5EAE0BD4" w14:textId="33371389" w:rsidR="00600DEE" w:rsidRDefault="00641FB5" w:rsidP="00D5736B">
      <w:pPr>
        <w:pStyle w:val="Nagwek2"/>
        <w:numPr>
          <w:ilvl w:val="1"/>
          <w:numId w:val="17"/>
        </w:numPr>
        <w:ind w:left="0" w:firstLine="0"/>
        <w:rPr>
          <w:rFonts w:ascii="Calibri" w:eastAsia="Calibri" w:hAnsi="Calibri" w:cs="Calibri"/>
          <w:color w:val="4F81BD"/>
        </w:rPr>
      </w:pPr>
      <w:bookmarkStart w:id="109" w:name="_Toc95378009"/>
      <w:r>
        <w:rPr>
          <w:rFonts w:ascii="Calibri" w:eastAsia="Calibri" w:hAnsi="Calibri" w:cs="Calibri"/>
          <w:color w:val="4F81BD"/>
        </w:rPr>
        <w:t>Analiza ryzyka</w:t>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r>
      <w:r>
        <w:rPr>
          <w:rFonts w:ascii="Calibri" w:eastAsia="Calibri" w:hAnsi="Calibri" w:cs="Calibri"/>
          <w:color w:val="4F81BD"/>
        </w:rPr>
        <w:tab/>
        <w:t xml:space="preserve">        </w:t>
      </w:r>
      <w:r>
        <w:rPr>
          <w:rFonts w:ascii="Calibri" w:eastAsia="Calibri" w:hAnsi="Calibri" w:cs="Calibri"/>
          <w:i/>
          <w:color w:val="4F81BD"/>
        </w:rPr>
        <w:t>4.2</w:t>
      </w:r>
      <w:r>
        <w:rPr>
          <w:rFonts w:ascii="Calibri" w:eastAsia="Calibri" w:hAnsi="Calibri" w:cs="Calibri"/>
          <w:color w:val="4F81BD"/>
        </w:rPr>
        <w:t xml:space="preserve">   </w:t>
      </w:r>
      <w:r>
        <w:rPr>
          <w:rFonts w:ascii="Calibri" w:eastAsia="Calibri" w:hAnsi="Calibri" w:cs="Calibri"/>
          <w:i/>
          <w:color w:val="4F81BD"/>
        </w:rPr>
        <w:t>Risk analysis</w:t>
      </w:r>
      <w:bookmarkEnd w:id="109"/>
    </w:p>
    <w:tbl>
      <w:tblPr>
        <w:tblStyle w:val="afffffff7"/>
        <w:tblW w:w="14571" w:type="dxa"/>
        <w:tblLayout w:type="fixed"/>
        <w:tblLook w:val="0400" w:firstRow="0" w:lastRow="0" w:firstColumn="0" w:lastColumn="0" w:noHBand="0" w:noVBand="1"/>
      </w:tblPr>
      <w:tblGrid>
        <w:gridCol w:w="7370"/>
        <w:gridCol w:w="7201"/>
      </w:tblGrid>
      <w:tr w:rsidR="00600DEE" w:rsidRPr="007463B9" w14:paraId="570CE4C5" w14:textId="77777777" w:rsidTr="000A249F">
        <w:tc>
          <w:tcPr>
            <w:tcW w:w="7370" w:type="dxa"/>
            <w:tcBorders>
              <w:right w:val="single" w:sz="4" w:space="0" w:color="000000"/>
            </w:tcBorders>
            <w:tcMar>
              <w:left w:w="284" w:type="dxa"/>
              <w:right w:w="284" w:type="dxa"/>
            </w:tcMar>
            <w:vAlign w:val="center"/>
          </w:tcPr>
          <w:p w14:paraId="5608B2D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Rekomendowany zakres analizy ryzyka obejmuje następujące etapy:</w:t>
            </w:r>
          </w:p>
          <w:p w14:paraId="26C18805"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Identyfikacja ryzyka</w:t>
            </w:r>
          </w:p>
          <w:p w14:paraId="698BFE35"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Analiza jakościowa ryzyka</w:t>
            </w:r>
          </w:p>
          <w:p w14:paraId="3AA421A7"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Działania zaradcze i ich alokacja</w:t>
            </w:r>
          </w:p>
          <w:p w14:paraId="45ABDACF"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Monitorowanie</w:t>
            </w:r>
          </w:p>
          <w:p w14:paraId="6CF61A8D"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Analiza ilościowa ryzyka (w przypadkach opisanych poniżej)</w:t>
            </w:r>
          </w:p>
          <w:p w14:paraId="38658DE2" w14:textId="04D98872"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Metodyka przeprowadzenia analiz w wyżej wymienionych etapach została opisana poniżej. Wyniki analiz powinny być przedstawione w formie tabelarycznej, z wykorzystaniem wzorów tabel podanych w ostatnim rozdziale dotyczącym analizy ryzyka, a także zawierać opis wyników.</w:t>
            </w:r>
          </w:p>
          <w:p w14:paraId="28542BA6" w14:textId="77777777" w:rsidR="00FD2E0C" w:rsidRDefault="00FD2E0C">
            <w:pPr>
              <w:pBdr>
                <w:top w:val="nil"/>
                <w:left w:val="nil"/>
                <w:bottom w:val="nil"/>
                <w:right w:val="nil"/>
                <w:between w:val="nil"/>
              </w:pBdr>
              <w:spacing w:before="120"/>
              <w:jc w:val="both"/>
              <w:rPr>
                <w:rFonts w:ascii="Calibri" w:eastAsia="Calibri" w:hAnsi="Calibri" w:cs="Calibri"/>
                <w:color w:val="000000"/>
                <w:sz w:val="20"/>
                <w:szCs w:val="20"/>
              </w:rPr>
            </w:pPr>
          </w:p>
          <w:p w14:paraId="2B00D7EB"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bookmarkStart w:id="110" w:name="_heading=h.39kk8xu" w:colFirst="0" w:colLast="0"/>
            <w:bookmarkEnd w:id="110"/>
            <w:r>
              <w:rPr>
                <w:rFonts w:ascii="Calibri" w:eastAsia="Calibri" w:hAnsi="Calibri" w:cs="Calibri"/>
                <w:b/>
                <w:color w:val="000000"/>
                <w:sz w:val="20"/>
                <w:szCs w:val="20"/>
              </w:rPr>
              <w:t>Identyfikacja ryzyka</w:t>
            </w:r>
          </w:p>
          <w:p w14:paraId="5A680A6B"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Beneficjent powinien zidentyfikować wszystkie czynniki ryzyka, które mogłyby mieć wpływ na projekt. Kilka najczęściej występujących czynników ryzyka dla projektów infrastruktury drogowej wyszczególniono w poniższej tabeli. Dla każdego ryzyka należy zidentyfikować, czy ryzyko to jest uważane za „aktywne”, tzn. identyfikowalne i istotne dla projektu na obecnym etapie analizy. Jeśli ryzyko jest „nieaktywne”, należy krótko wyjaśnić przyczynę nieaktywności. W przypadku zidentyfikowania ryzyka jako aktywnego dla projektu, należy przeprowadzić dalszą szczegółową analizę jakościową takiego ryzyka.</w:t>
            </w:r>
          </w:p>
          <w:p w14:paraId="64647F9D"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7E809494" w14:textId="7B1261DB"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0B41112A" w14:textId="5A3C1C72" w:rsidR="00FD2E0C" w:rsidRDefault="00FD2E0C">
            <w:pPr>
              <w:pBdr>
                <w:top w:val="nil"/>
                <w:left w:val="nil"/>
                <w:bottom w:val="nil"/>
                <w:right w:val="nil"/>
                <w:between w:val="nil"/>
              </w:pBdr>
              <w:spacing w:before="120"/>
              <w:jc w:val="both"/>
              <w:rPr>
                <w:rFonts w:ascii="Calibri" w:eastAsia="Calibri" w:hAnsi="Calibri" w:cs="Calibri"/>
                <w:color w:val="000000"/>
                <w:sz w:val="20"/>
                <w:szCs w:val="20"/>
              </w:rPr>
            </w:pPr>
          </w:p>
          <w:p w14:paraId="5B793123" w14:textId="77777777" w:rsidR="00FD2E0C" w:rsidRDefault="00FD2E0C">
            <w:pPr>
              <w:pBdr>
                <w:top w:val="nil"/>
                <w:left w:val="nil"/>
                <w:bottom w:val="nil"/>
                <w:right w:val="nil"/>
                <w:between w:val="nil"/>
              </w:pBdr>
              <w:spacing w:before="120"/>
              <w:jc w:val="both"/>
              <w:rPr>
                <w:rFonts w:ascii="Calibri" w:eastAsia="Calibri" w:hAnsi="Calibri" w:cs="Calibri"/>
                <w:color w:val="000000"/>
                <w:sz w:val="20"/>
                <w:szCs w:val="20"/>
              </w:rPr>
            </w:pPr>
          </w:p>
          <w:p w14:paraId="25D0FD36" w14:textId="060580A4" w:rsidR="00600DEE" w:rsidRDefault="00B67038">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31</w:t>
            </w:r>
            <w:r w:rsidR="00641FB5">
              <w:rPr>
                <w:rFonts w:ascii="Calibri" w:eastAsia="Calibri" w:hAnsi="Calibri" w:cs="Calibri"/>
                <w:b/>
                <w:color w:val="4F81BD"/>
                <w:sz w:val="20"/>
                <w:szCs w:val="20"/>
              </w:rPr>
              <w:t>. Identyfikacja ryzyka</w:t>
            </w:r>
          </w:p>
          <w:tbl>
            <w:tblPr>
              <w:tblStyle w:val="afffffff8"/>
              <w:tblW w:w="6984" w:type="dxa"/>
              <w:tblLayout w:type="fixed"/>
              <w:tblLook w:val="0000" w:firstRow="0" w:lastRow="0" w:firstColumn="0" w:lastColumn="0" w:noHBand="0" w:noVBand="0"/>
            </w:tblPr>
            <w:tblGrid>
              <w:gridCol w:w="3630"/>
              <w:gridCol w:w="1941"/>
              <w:gridCol w:w="1413"/>
            </w:tblGrid>
            <w:tr w:rsidR="00600DEE" w14:paraId="71CF23B7" w14:textId="77777777" w:rsidTr="0079382E">
              <w:trPr>
                <w:trHeight w:hRule="exact" w:val="674"/>
              </w:trPr>
              <w:tc>
                <w:tcPr>
                  <w:tcW w:w="3630" w:type="dxa"/>
                  <w:tcBorders>
                    <w:top w:val="single" w:sz="4" w:space="0" w:color="FFFFFF"/>
                    <w:left w:val="single" w:sz="4" w:space="0" w:color="FFFFFF"/>
                    <w:bottom w:val="single" w:sz="4" w:space="0" w:color="FFFFFF"/>
                  </w:tcBorders>
                  <w:shd w:val="clear" w:color="auto" w:fill="A6A6A6"/>
                  <w:vAlign w:val="center"/>
                </w:tcPr>
                <w:p w14:paraId="5D8EB571" w14:textId="77777777" w:rsidR="00600DEE" w:rsidRDefault="00641FB5">
                  <w:pPr>
                    <w:spacing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Nazwa ryzyka</w:t>
                  </w:r>
                </w:p>
              </w:tc>
              <w:tc>
                <w:tcPr>
                  <w:tcW w:w="1941"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46D38C10" w14:textId="77777777" w:rsidR="00600DEE" w:rsidRDefault="00641FB5">
                  <w:pPr>
                    <w:spacing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Status ryzyka (aktywne/nieaktywne)</w:t>
                  </w:r>
                </w:p>
              </w:tc>
              <w:tc>
                <w:tcPr>
                  <w:tcW w:w="1413"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3CB11DC0" w14:textId="77777777" w:rsidR="00600DEE" w:rsidRDefault="00641FB5">
                  <w:pPr>
                    <w:spacing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Jeśli nieaktywne, dlaczego:</w:t>
                  </w:r>
                </w:p>
              </w:tc>
            </w:tr>
            <w:tr w:rsidR="00600DEE" w14:paraId="6AEAC014" w14:textId="77777777" w:rsidTr="0079382E">
              <w:trPr>
                <w:trHeight w:hRule="exact" w:val="787"/>
              </w:trPr>
              <w:tc>
                <w:tcPr>
                  <w:tcW w:w="3630" w:type="dxa"/>
                  <w:tcBorders>
                    <w:left w:val="single" w:sz="4" w:space="0" w:color="FFFFFF"/>
                    <w:bottom w:val="single" w:sz="4" w:space="0" w:color="FFFFFF"/>
                  </w:tcBorders>
                  <w:shd w:val="clear" w:color="auto" w:fill="DBE5F1"/>
                </w:tcPr>
                <w:p w14:paraId="329A22EF"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popytowe:</w:t>
                  </w:r>
                </w:p>
                <w:p w14:paraId="5E3B039D"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Poziom ruchu niższy niż prognozowany</w:t>
                  </w:r>
                </w:p>
              </w:tc>
              <w:tc>
                <w:tcPr>
                  <w:tcW w:w="1941" w:type="dxa"/>
                  <w:tcBorders>
                    <w:left w:val="single" w:sz="4" w:space="0" w:color="FFFFFF"/>
                    <w:bottom w:val="single" w:sz="4" w:space="0" w:color="FFFFFF"/>
                    <w:right w:val="single" w:sz="4" w:space="0" w:color="FFFFFF"/>
                  </w:tcBorders>
                  <w:shd w:val="clear" w:color="auto" w:fill="DBE5F1"/>
                </w:tcPr>
                <w:p w14:paraId="1906813E"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tcPr>
                <w:p w14:paraId="2998EDE2" w14:textId="77777777" w:rsidR="00600DEE" w:rsidRDefault="00600DEE">
                  <w:pPr>
                    <w:jc w:val="center"/>
                    <w:rPr>
                      <w:rFonts w:ascii="Calibri" w:eastAsia="Calibri" w:hAnsi="Calibri" w:cs="Calibri"/>
                      <w:color w:val="4F81BD"/>
                      <w:sz w:val="17"/>
                      <w:szCs w:val="17"/>
                    </w:rPr>
                  </w:pPr>
                </w:p>
              </w:tc>
            </w:tr>
            <w:tr w:rsidR="00600DEE" w14:paraId="65136146" w14:textId="77777777" w:rsidTr="0079382E">
              <w:trPr>
                <w:trHeight w:val="1125"/>
              </w:trPr>
              <w:tc>
                <w:tcPr>
                  <w:tcW w:w="3630" w:type="dxa"/>
                  <w:tcBorders>
                    <w:left w:val="single" w:sz="4" w:space="0" w:color="FFFFFF"/>
                    <w:bottom w:val="single" w:sz="4" w:space="0" w:color="FFFFFF"/>
                  </w:tcBorders>
                  <w:shd w:val="clear" w:color="auto" w:fill="DBE5F1"/>
                </w:tcPr>
                <w:p w14:paraId="4AD7BC52"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związane z projektowaniem:</w:t>
                  </w:r>
                </w:p>
                <w:p w14:paraId="516075C5"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Niedostateczne wizje lokalne i inwentaryzacja</w:t>
                  </w:r>
                </w:p>
                <w:p w14:paraId="7C92FA8D"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Niedoszacowanie kosztu projektowania</w:t>
                  </w:r>
                </w:p>
                <w:p w14:paraId="2DA2FA52" w14:textId="77777777" w:rsidR="00600DEE" w:rsidRDefault="00641FB5">
                  <w:pPr>
                    <w:rPr>
                      <w:rFonts w:ascii="Calibri" w:eastAsia="Calibri" w:hAnsi="Calibri" w:cs="Calibri"/>
                      <w:b/>
                      <w:color w:val="4F81BD"/>
                      <w:sz w:val="17"/>
                      <w:szCs w:val="17"/>
                    </w:rPr>
                  </w:pPr>
                  <w:r>
                    <w:rPr>
                      <w:rFonts w:ascii="Calibri" w:eastAsia="Calibri" w:hAnsi="Calibri" w:cs="Calibri"/>
                      <w:color w:val="4F81BD"/>
                      <w:sz w:val="17"/>
                      <w:szCs w:val="17"/>
                    </w:rPr>
                    <w:t>Błędy w projektowaniu</w:t>
                  </w:r>
                </w:p>
              </w:tc>
              <w:tc>
                <w:tcPr>
                  <w:tcW w:w="1941" w:type="dxa"/>
                  <w:tcBorders>
                    <w:left w:val="single" w:sz="4" w:space="0" w:color="FFFFFF"/>
                    <w:bottom w:val="single" w:sz="4" w:space="0" w:color="FFFFFF"/>
                    <w:right w:val="single" w:sz="4" w:space="0" w:color="FFFFFF"/>
                  </w:tcBorders>
                  <w:shd w:val="clear" w:color="auto" w:fill="DBE5F1"/>
                </w:tcPr>
                <w:p w14:paraId="6069E272"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tcPr>
                <w:p w14:paraId="59211444" w14:textId="77777777" w:rsidR="00600DEE" w:rsidRDefault="00600DEE">
                  <w:pPr>
                    <w:jc w:val="center"/>
                    <w:rPr>
                      <w:rFonts w:ascii="Calibri" w:eastAsia="Calibri" w:hAnsi="Calibri" w:cs="Calibri"/>
                      <w:color w:val="4F81BD"/>
                      <w:sz w:val="17"/>
                      <w:szCs w:val="17"/>
                    </w:rPr>
                  </w:pPr>
                </w:p>
              </w:tc>
            </w:tr>
            <w:tr w:rsidR="00600DEE" w14:paraId="467F15FE" w14:textId="77777777" w:rsidTr="0079382E">
              <w:trPr>
                <w:trHeight w:val="2250"/>
              </w:trPr>
              <w:tc>
                <w:tcPr>
                  <w:tcW w:w="3630" w:type="dxa"/>
                  <w:tcBorders>
                    <w:left w:val="single" w:sz="4" w:space="0" w:color="FFFFFF"/>
                    <w:bottom w:val="single" w:sz="4" w:space="0" w:color="FFFFFF"/>
                  </w:tcBorders>
                  <w:shd w:val="clear" w:color="auto" w:fill="DBE5F1"/>
                </w:tcPr>
                <w:p w14:paraId="33879BD6"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administracyjne (pozwolenia)</w:t>
                  </w:r>
                </w:p>
                <w:p w14:paraId="74723FAC"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Opóźnienia w uzyskiwaniu pozwoleń na realizację inwestycji (np. na budowę)</w:t>
                  </w:r>
                </w:p>
                <w:p w14:paraId="5E01AF01"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 xml:space="preserve">Opóźnienia związane z podłączeniem do sieci dystrybucyjnych </w:t>
                  </w:r>
                </w:p>
                <w:p w14:paraId="01A3AD95"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Opóźnienia w uzyskiwaniu decyzji środowiskowych</w:t>
                  </w:r>
                </w:p>
                <w:p w14:paraId="7F46D609"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Opóźnienia w usuwaniu kolizji z sieciami dystrybucyjnymi</w:t>
                  </w:r>
                </w:p>
              </w:tc>
              <w:tc>
                <w:tcPr>
                  <w:tcW w:w="1941" w:type="dxa"/>
                  <w:tcBorders>
                    <w:left w:val="single" w:sz="4" w:space="0" w:color="FFFFFF"/>
                    <w:bottom w:val="single" w:sz="4" w:space="0" w:color="FFFFFF"/>
                    <w:right w:val="single" w:sz="4" w:space="0" w:color="FFFFFF"/>
                  </w:tcBorders>
                  <w:shd w:val="clear" w:color="auto" w:fill="DBE5F1"/>
                </w:tcPr>
                <w:p w14:paraId="5B8E1E37"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tcPr>
                <w:p w14:paraId="762A0E9A" w14:textId="77777777" w:rsidR="00600DEE" w:rsidRDefault="00600DEE">
                  <w:pPr>
                    <w:jc w:val="center"/>
                    <w:rPr>
                      <w:rFonts w:ascii="Calibri" w:eastAsia="Calibri" w:hAnsi="Calibri" w:cs="Calibri"/>
                      <w:color w:val="4F81BD"/>
                      <w:sz w:val="17"/>
                      <w:szCs w:val="17"/>
                    </w:rPr>
                  </w:pPr>
                </w:p>
              </w:tc>
            </w:tr>
            <w:tr w:rsidR="00600DEE" w14:paraId="4A39A238" w14:textId="77777777" w:rsidTr="0079382E">
              <w:trPr>
                <w:trHeight w:hRule="exact" w:val="674"/>
              </w:trPr>
              <w:tc>
                <w:tcPr>
                  <w:tcW w:w="3630" w:type="dxa"/>
                  <w:tcBorders>
                    <w:left w:val="single" w:sz="4" w:space="0" w:color="FFFFFF"/>
                    <w:bottom w:val="single" w:sz="4" w:space="0" w:color="FFFFFF"/>
                  </w:tcBorders>
                  <w:shd w:val="clear" w:color="auto" w:fill="DBE5F1"/>
                </w:tcPr>
                <w:p w14:paraId="147B886B"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związane z nabyciem gruntów</w:t>
                  </w:r>
                </w:p>
                <w:p w14:paraId="622D2DDC"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Koszty gruntów wyższe, niż planowane</w:t>
                  </w:r>
                </w:p>
                <w:p w14:paraId="4F0124A4"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 xml:space="preserve">Opóźnienia w realizacji procedur </w:t>
                  </w:r>
                </w:p>
                <w:p w14:paraId="42486CF0" w14:textId="77777777" w:rsidR="000A249F" w:rsidRDefault="000A249F">
                  <w:pPr>
                    <w:rPr>
                      <w:rFonts w:ascii="Calibri" w:eastAsia="Calibri" w:hAnsi="Calibri" w:cs="Calibri"/>
                      <w:color w:val="4F81BD"/>
                      <w:sz w:val="17"/>
                      <w:szCs w:val="17"/>
                    </w:rPr>
                  </w:pPr>
                </w:p>
                <w:p w14:paraId="7A454B94" w14:textId="79E7878F" w:rsidR="000A249F" w:rsidRDefault="000A249F">
                  <w:pPr>
                    <w:rPr>
                      <w:rFonts w:ascii="Calibri" w:eastAsia="Calibri" w:hAnsi="Calibri" w:cs="Calibri"/>
                      <w:color w:val="4F81BD"/>
                      <w:sz w:val="17"/>
                      <w:szCs w:val="17"/>
                    </w:rPr>
                  </w:pPr>
                </w:p>
              </w:tc>
              <w:tc>
                <w:tcPr>
                  <w:tcW w:w="1941" w:type="dxa"/>
                  <w:tcBorders>
                    <w:left w:val="single" w:sz="4" w:space="0" w:color="FFFFFF"/>
                    <w:bottom w:val="single" w:sz="4" w:space="0" w:color="FFFFFF"/>
                    <w:right w:val="single" w:sz="4" w:space="0" w:color="FFFFFF"/>
                  </w:tcBorders>
                  <w:shd w:val="clear" w:color="auto" w:fill="DBE5F1"/>
                </w:tcPr>
                <w:p w14:paraId="4F7153DE"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tcPr>
                <w:p w14:paraId="49AB4317" w14:textId="77777777" w:rsidR="00600DEE" w:rsidRDefault="00600DEE">
                  <w:pPr>
                    <w:jc w:val="center"/>
                    <w:rPr>
                      <w:rFonts w:ascii="Calibri" w:eastAsia="Calibri" w:hAnsi="Calibri" w:cs="Calibri"/>
                      <w:color w:val="4F81BD"/>
                      <w:sz w:val="17"/>
                      <w:szCs w:val="17"/>
                    </w:rPr>
                  </w:pPr>
                </w:p>
              </w:tc>
            </w:tr>
            <w:tr w:rsidR="00600DEE" w14:paraId="595B5C83" w14:textId="77777777" w:rsidTr="0079382E">
              <w:trPr>
                <w:trHeight w:hRule="exact" w:val="674"/>
              </w:trPr>
              <w:tc>
                <w:tcPr>
                  <w:tcW w:w="3630" w:type="dxa"/>
                  <w:tcBorders>
                    <w:left w:val="single" w:sz="4" w:space="0" w:color="FFFFFF"/>
                    <w:bottom w:val="single" w:sz="4" w:space="0" w:color="FFFFFF"/>
                  </w:tcBorders>
                  <w:shd w:val="clear" w:color="auto" w:fill="DBE5F1"/>
                </w:tcPr>
                <w:p w14:paraId="20112885"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 xml:space="preserve">Ryzyka związane z zamówieniami </w:t>
                  </w:r>
                </w:p>
                <w:p w14:paraId="3BA06EF8"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 xml:space="preserve">Opóźnienia w realizacji procedur </w:t>
                  </w:r>
                </w:p>
                <w:p w14:paraId="47F2AEAD" w14:textId="77777777" w:rsidR="000A249F" w:rsidRDefault="000A249F">
                  <w:pPr>
                    <w:rPr>
                      <w:rFonts w:ascii="Calibri" w:eastAsia="Calibri" w:hAnsi="Calibri" w:cs="Calibri"/>
                      <w:color w:val="4F81BD"/>
                      <w:sz w:val="17"/>
                      <w:szCs w:val="17"/>
                    </w:rPr>
                  </w:pPr>
                </w:p>
                <w:p w14:paraId="4D4C388D" w14:textId="7593F388" w:rsidR="000A249F" w:rsidRDefault="000A249F">
                  <w:pPr>
                    <w:rPr>
                      <w:rFonts w:ascii="Calibri" w:eastAsia="Calibri" w:hAnsi="Calibri" w:cs="Calibri"/>
                      <w:color w:val="4F81BD"/>
                      <w:sz w:val="17"/>
                      <w:szCs w:val="17"/>
                    </w:rPr>
                  </w:pPr>
                </w:p>
              </w:tc>
              <w:tc>
                <w:tcPr>
                  <w:tcW w:w="1941" w:type="dxa"/>
                  <w:tcBorders>
                    <w:left w:val="single" w:sz="4" w:space="0" w:color="FFFFFF"/>
                    <w:bottom w:val="single" w:sz="4" w:space="0" w:color="FFFFFF"/>
                    <w:right w:val="single" w:sz="4" w:space="0" w:color="FFFFFF"/>
                  </w:tcBorders>
                  <w:shd w:val="clear" w:color="auto" w:fill="DBE5F1"/>
                </w:tcPr>
                <w:p w14:paraId="002268F2"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tcPr>
                <w:p w14:paraId="4320B8B9" w14:textId="77777777" w:rsidR="00600DEE" w:rsidRDefault="00600DEE">
                  <w:pPr>
                    <w:jc w:val="center"/>
                    <w:rPr>
                      <w:rFonts w:ascii="Calibri" w:eastAsia="Calibri" w:hAnsi="Calibri" w:cs="Calibri"/>
                      <w:color w:val="4F81BD"/>
                      <w:sz w:val="17"/>
                      <w:szCs w:val="17"/>
                    </w:rPr>
                  </w:pPr>
                </w:p>
              </w:tc>
            </w:tr>
            <w:tr w:rsidR="00600DEE" w14:paraId="12EF364E" w14:textId="77777777" w:rsidTr="0079382E">
              <w:trPr>
                <w:trHeight w:val="2250"/>
              </w:trPr>
              <w:tc>
                <w:tcPr>
                  <w:tcW w:w="3630" w:type="dxa"/>
                  <w:tcBorders>
                    <w:left w:val="single" w:sz="4" w:space="0" w:color="FFFFFF"/>
                    <w:bottom w:val="single" w:sz="4" w:space="0" w:color="FFFFFF"/>
                  </w:tcBorders>
                  <w:shd w:val="clear" w:color="auto" w:fill="DBE5F1"/>
                </w:tcPr>
                <w:p w14:paraId="20F8E482"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związane z wykonaniem robót</w:t>
                  </w:r>
                </w:p>
                <w:p w14:paraId="07631DAE"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Przekroczenie budżetu nakładów inwestycyjnych</w:t>
                  </w:r>
                </w:p>
                <w:p w14:paraId="00765682"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Ryzyka geologiczne (nieoczekiwane niekorzystne warunki gruntowe, osunięcia terenu, itp.)</w:t>
                  </w:r>
                </w:p>
                <w:p w14:paraId="56E178D7"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Ryzyka klimatyczne (opady, mrozy,  zmiany temperatury, itp.)</w:t>
                  </w:r>
                </w:p>
                <w:p w14:paraId="22E5B21D"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Ryzyka archeologiczne (wykopaliska)</w:t>
                  </w:r>
                </w:p>
                <w:p w14:paraId="60EED7F4"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Ryzyka związane z wykonawcą (bankructwo, brak wystarczających zasobów, itp.)</w:t>
                  </w:r>
                </w:p>
                <w:p w14:paraId="45DF882D" w14:textId="77777777" w:rsidR="00600DEE" w:rsidRDefault="00600DEE">
                  <w:pPr>
                    <w:rPr>
                      <w:rFonts w:ascii="Calibri" w:eastAsia="Calibri" w:hAnsi="Calibri" w:cs="Calibri"/>
                      <w:color w:val="4F81BD"/>
                      <w:sz w:val="17"/>
                      <w:szCs w:val="17"/>
                    </w:rPr>
                  </w:pPr>
                </w:p>
              </w:tc>
              <w:tc>
                <w:tcPr>
                  <w:tcW w:w="1941" w:type="dxa"/>
                  <w:tcBorders>
                    <w:left w:val="single" w:sz="4" w:space="0" w:color="FFFFFF"/>
                    <w:bottom w:val="single" w:sz="4" w:space="0" w:color="FFFFFF"/>
                    <w:right w:val="single" w:sz="4" w:space="0" w:color="FFFFFF"/>
                  </w:tcBorders>
                  <w:shd w:val="clear" w:color="auto" w:fill="DBE5F1"/>
                </w:tcPr>
                <w:p w14:paraId="2B780CB4"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tcPr>
                <w:p w14:paraId="378C0D83" w14:textId="77777777" w:rsidR="00600DEE" w:rsidRDefault="00600DEE">
                  <w:pPr>
                    <w:jc w:val="center"/>
                    <w:rPr>
                      <w:rFonts w:ascii="Calibri" w:eastAsia="Calibri" w:hAnsi="Calibri" w:cs="Calibri"/>
                      <w:color w:val="4F81BD"/>
                      <w:sz w:val="17"/>
                      <w:szCs w:val="17"/>
                    </w:rPr>
                  </w:pPr>
                </w:p>
              </w:tc>
            </w:tr>
            <w:tr w:rsidR="00600DEE" w14:paraId="0E312679" w14:textId="77777777" w:rsidTr="0079382E">
              <w:trPr>
                <w:trHeight w:val="411"/>
              </w:trPr>
              <w:tc>
                <w:tcPr>
                  <w:tcW w:w="3630" w:type="dxa"/>
                  <w:tcBorders>
                    <w:top w:val="single" w:sz="4" w:space="0" w:color="FFFFFF"/>
                    <w:left w:val="single" w:sz="4" w:space="0" w:color="FFFFFF"/>
                    <w:bottom w:val="single" w:sz="4" w:space="0" w:color="FFFFFF"/>
                  </w:tcBorders>
                  <w:shd w:val="clear" w:color="auto" w:fill="A6A6A6"/>
                  <w:vAlign w:val="center"/>
                </w:tcPr>
                <w:p w14:paraId="7E030E65" w14:textId="77777777" w:rsidR="00600DEE" w:rsidRDefault="00641FB5">
                  <w:pPr>
                    <w:spacing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Nazwa ryzyka</w:t>
                  </w:r>
                </w:p>
              </w:tc>
              <w:tc>
                <w:tcPr>
                  <w:tcW w:w="1941"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64C4482" w14:textId="77777777" w:rsidR="00600DEE" w:rsidRDefault="00641FB5">
                  <w:pPr>
                    <w:spacing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Status ryzyka (aktywne/nieaktywne)</w:t>
                  </w:r>
                </w:p>
              </w:tc>
              <w:tc>
                <w:tcPr>
                  <w:tcW w:w="1413"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46ED06F8" w14:textId="77777777" w:rsidR="00600DEE" w:rsidRDefault="00641FB5">
                  <w:pPr>
                    <w:spacing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Jeśli nieaktywne, dlaczego:</w:t>
                  </w:r>
                </w:p>
              </w:tc>
            </w:tr>
            <w:tr w:rsidR="00600DEE" w14:paraId="5CFD00B2" w14:textId="77777777" w:rsidTr="0079382E">
              <w:trPr>
                <w:trHeight w:val="1125"/>
              </w:trPr>
              <w:tc>
                <w:tcPr>
                  <w:tcW w:w="3630" w:type="dxa"/>
                  <w:tcBorders>
                    <w:left w:val="single" w:sz="4" w:space="0" w:color="FFFFFF"/>
                    <w:bottom w:val="single" w:sz="4" w:space="0" w:color="FFFFFF"/>
                  </w:tcBorders>
                  <w:shd w:val="clear" w:color="auto" w:fill="DBE5F1"/>
                  <w:vAlign w:val="center"/>
                </w:tcPr>
                <w:p w14:paraId="0E9DA349"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operacyjne</w:t>
                  </w:r>
                </w:p>
                <w:p w14:paraId="508DEB41"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Przekroczenie budżetu kosztów operacyjnych</w:t>
                  </w:r>
                </w:p>
                <w:p w14:paraId="6F86FE3E"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Ryzyka klimatyczne (gwałtowne powodzie, nadzwyczajne upały, ulewy, opady śniegu, itp.)</w:t>
                  </w:r>
                </w:p>
              </w:tc>
              <w:tc>
                <w:tcPr>
                  <w:tcW w:w="1941" w:type="dxa"/>
                  <w:tcBorders>
                    <w:left w:val="single" w:sz="4" w:space="0" w:color="FFFFFF"/>
                    <w:bottom w:val="single" w:sz="4" w:space="0" w:color="FFFFFF"/>
                    <w:right w:val="single" w:sz="4" w:space="0" w:color="FFFFFF"/>
                  </w:tcBorders>
                  <w:shd w:val="clear" w:color="auto" w:fill="DBE5F1"/>
                  <w:vAlign w:val="center"/>
                </w:tcPr>
                <w:p w14:paraId="28D4845D"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vAlign w:val="center"/>
                </w:tcPr>
                <w:p w14:paraId="7BE6B6BA" w14:textId="77777777" w:rsidR="00600DEE" w:rsidRDefault="00600DEE">
                  <w:pPr>
                    <w:jc w:val="center"/>
                    <w:rPr>
                      <w:rFonts w:ascii="Calibri" w:eastAsia="Calibri" w:hAnsi="Calibri" w:cs="Calibri"/>
                      <w:color w:val="4F81BD"/>
                      <w:sz w:val="17"/>
                      <w:szCs w:val="17"/>
                    </w:rPr>
                  </w:pPr>
                </w:p>
              </w:tc>
            </w:tr>
            <w:tr w:rsidR="00600DEE" w14:paraId="71E7012D" w14:textId="77777777" w:rsidTr="0079382E">
              <w:trPr>
                <w:trHeight w:val="899"/>
              </w:trPr>
              <w:tc>
                <w:tcPr>
                  <w:tcW w:w="3630" w:type="dxa"/>
                  <w:tcBorders>
                    <w:left w:val="single" w:sz="4" w:space="0" w:color="FFFFFF"/>
                    <w:bottom w:val="single" w:sz="4" w:space="0" w:color="FFFFFF"/>
                  </w:tcBorders>
                  <w:shd w:val="clear" w:color="auto" w:fill="DBE5F1"/>
                  <w:vAlign w:val="center"/>
                </w:tcPr>
                <w:p w14:paraId="711081B4"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regulacyjne:</w:t>
                  </w:r>
                </w:p>
                <w:p w14:paraId="214CDCD0"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Zmiany w przepisach prawnych dotyczących ochrony środowiska</w:t>
                  </w:r>
                </w:p>
              </w:tc>
              <w:tc>
                <w:tcPr>
                  <w:tcW w:w="1941" w:type="dxa"/>
                  <w:tcBorders>
                    <w:left w:val="single" w:sz="4" w:space="0" w:color="FFFFFF"/>
                    <w:bottom w:val="single" w:sz="4" w:space="0" w:color="FFFFFF"/>
                    <w:right w:val="single" w:sz="4" w:space="0" w:color="FFFFFF"/>
                  </w:tcBorders>
                  <w:shd w:val="clear" w:color="auto" w:fill="DBE5F1"/>
                  <w:vAlign w:val="center"/>
                </w:tcPr>
                <w:p w14:paraId="1CBFEC4F"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vAlign w:val="center"/>
                </w:tcPr>
                <w:p w14:paraId="09D956E3" w14:textId="77777777" w:rsidR="00600DEE" w:rsidRDefault="00600DEE">
                  <w:pPr>
                    <w:jc w:val="center"/>
                    <w:rPr>
                      <w:rFonts w:ascii="Calibri" w:eastAsia="Calibri" w:hAnsi="Calibri" w:cs="Calibri"/>
                      <w:color w:val="4F81BD"/>
                      <w:sz w:val="17"/>
                      <w:szCs w:val="17"/>
                    </w:rPr>
                  </w:pPr>
                </w:p>
              </w:tc>
            </w:tr>
            <w:tr w:rsidR="00600DEE" w14:paraId="72BD7587" w14:textId="77777777" w:rsidTr="00482C1E">
              <w:trPr>
                <w:trHeight w:val="1664"/>
              </w:trPr>
              <w:tc>
                <w:tcPr>
                  <w:tcW w:w="3630" w:type="dxa"/>
                  <w:tcBorders>
                    <w:left w:val="single" w:sz="4" w:space="0" w:color="FFFFFF"/>
                    <w:bottom w:val="single" w:sz="4" w:space="0" w:color="FFFFFF"/>
                  </w:tcBorders>
                  <w:shd w:val="clear" w:color="auto" w:fill="DBE5F1"/>
                  <w:vAlign w:val="center"/>
                </w:tcPr>
                <w:p w14:paraId="46251CD3"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finansowe:</w:t>
                  </w:r>
                </w:p>
                <w:p w14:paraId="18CF9FB3"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Dostępność środków krajowych na finansowanie nakładów inwestycyjnych</w:t>
                  </w:r>
                </w:p>
                <w:p w14:paraId="702E4FB8"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Dostępność środków krajowych na finansowanie kosztów operacyjnych</w:t>
                  </w:r>
                </w:p>
                <w:p w14:paraId="3BB540CD"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Wzrost kosztów finansowania</w:t>
                  </w:r>
                </w:p>
              </w:tc>
              <w:tc>
                <w:tcPr>
                  <w:tcW w:w="1941" w:type="dxa"/>
                  <w:tcBorders>
                    <w:left w:val="single" w:sz="4" w:space="0" w:color="FFFFFF"/>
                    <w:bottom w:val="single" w:sz="4" w:space="0" w:color="FFFFFF"/>
                    <w:right w:val="single" w:sz="4" w:space="0" w:color="FFFFFF"/>
                  </w:tcBorders>
                  <w:shd w:val="clear" w:color="auto" w:fill="DBE5F1"/>
                  <w:vAlign w:val="center"/>
                </w:tcPr>
                <w:p w14:paraId="3383D529"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vAlign w:val="center"/>
                </w:tcPr>
                <w:p w14:paraId="639553D1" w14:textId="77777777" w:rsidR="00600DEE" w:rsidRDefault="00600DEE">
                  <w:pPr>
                    <w:jc w:val="center"/>
                    <w:rPr>
                      <w:rFonts w:ascii="Calibri" w:eastAsia="Calibri" w:hAnsi="Calibri" w:cs="Calibri"/>
                      <w:color w:val="4F81BD"/>
                      <w:sz w:val="17"/>
                      <w:szCs w:val="17"/>
                    </w:rPr>
                  </w:pPr>
                </w:p>
              </w:tc>
            </w:tr>
            <w:tr w:rsidR="00600DEE" w14:paraId="64936973" w14:textId="77777777" w:rsidTr="00482C1E">
              <w:trPr>
                <w:trHeight w:val="782"/>
              </w:trPr>
              <w:tc>
                <w:tcPr>
                  <w:tcW w:w="3630" w:type="dxa"/>
                  <w:tcBorders>
                    <w:left w:val="single" w:sz="4" w:space="0" w:color="FFFFFF"/>
                    <w:bottom w:val="single" w:sz="4" w:space="0" w:color="FFFFFF"/>
                  </w:tcBorders>
                  <w:shd w:val="clear" w:color="auto" w:fill="DBE5F1"/>
                  <w:vAlign w:val="center"/>
                </w:tcPr>
                <w:p w14:paraId="6952BEDE"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zarządcze:</w:t>
                  </w:r>
                </w:p>
                <w:p w14:paraId="26712A2F"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Małe możliwości zarządzania przez Beneficjenta</w:t>
                  </w:r>
                </w:p>
              </w:tc>
              <w:tc>
                <w:tcPr>
                  <w:tcW w:w="1941" w:type="dxa"/>
                  <w:tcBorders>
                    <w:left w:val="single" w:sz="4" w:space="0" w:color="FFFFFF"/>
                    <w:bottom w:val="single" w:sz="4" w:space="0" w:color="FFFFFF"/>
                    <w:right w:val="single" w:sz="4" w:space="0" w:color="FFFFFF"/>
                  </w:tcBorders>
                  <w:shd w:val="clear" w:color="auto" w:fill="DBE5F1"/>
                  <w:vAlign w:val="center"/>
                </w:tcPr>
                <w:p w14:paraId="5E6C1740"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vAlign w:val="center"/>
                </w:tcPr>
                <w:p w14:paraId="73C4EBB5" w14:textId="77777777" w:rsidR="00600DEE" w:rsidRDefault="00600DEE">
                  <w:pPr>
                    <w:jc w:val="center"/>
                    <w:rPr>
                      <w:rFonts w:ascii="Calibri" w:eastAsia="Calibri" w:hAnsi="Calibri" w:cs="Calibri"/>
                      <w:color w:val="4F81BD"/>
                      <w:sz w:val="17"/>
                      <w:szCs w:val="17"/>
                    </w:rPr>
                  </w:pPr>
                </w:p>
              </w:tc>
            </w:tr>
            <w:tr w:rsidR="00600DEE" w14:paraId="0A6711EC" w14:textId="77777777" w:rsidTr="0079382E">
              <w:trPr>
                <w:trHeight w:val="899"/>
              </w:trPr>
              <w:tc>
                <w:tcPr>
                  <w:tcW w:w="3630" w:type="dxa"/>
                  <w:tcBorders>
                    <w:left w:val="single" w:sz="4" w:space="0" w:color="FFFFFF"/>
                    <w:bottom w:val="single" w:sz="4" w:space="0" w:color="FFFFFF"/>
                  </w:tcBorders>
                  <w:shd w:val="clear" w:color="auto" w:fill="DBE5F1"/>
                  <w:vAlign w:val="center"/>
                </w:tcPr>
                <w:p w14:paraId="064153CC"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Ryzyka polityczne:</w:t>
                  </w:r>
                </w:p>
                <w:p w14:paraId="1338659F"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Protesty społeczne</w:t>
                  </w:r>
                </w:p>
                <w:p w14:paraId="759F3430" w14:textId="207CA376" w:rsidR="00600DEE" w:rsidRDefault="00641FB5" w:rsidP="00482C1E">
                  <w:pPr>
                    <w:rPr>
                      <w:rFonts w:ascii="Calibri" w:eastAsia="Calibri" w:hAnsi="Calibri" w:cs="Calibri"/>
                      <w:color w:val="4F81BD"/>
                      <w:sz w:val="17"/>
                      <w:szCs w:val="17"/>
                    </w:rPr>
                  </w:pPr>
                  <w:r>
                    <w:rPr>
                      <w:rFonts w:ascii="Calibri" w:eastAsia="Calibri" w:hAnsi="Calibri" w:cs="Calibri"/>
                      <w:color w:val="4F81BD"/>
                      <w:sz w:val="17"/>
                      <w:szCs w:val="17"/>
                    </w:rPr>
                    <w:t>Polityczne zmiany priorytetów inwestycyjnych</w:t>
                  </w:r>
                </w:p>
              </w:tc>
              <w:tc>
                <w:tcPr>
                  <w:tcW w:w="1941" w:type="dxa"/>
                  <w:tcBorders>
                    <w:left w:val="single" w:sz="4" w:space="0" w:color="FFFFFF"/>
                    <w:bottom w:val="single" w:sz="4" w:space="0" w:color="FFFFFF"/>
                    <w:right w:val="single" w:sz="4" w:space="0" w:color="FFFFFF"/>
                  </w:tcBorders>
                  <w:shd w:val="clear" w:color="auto" w:fill="DBE5F1"/>
                  <w:vAlign w:val="center"/>
                </w:tcPr>
                <w:p w14:paraId="77A214D0"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vAlign w:val="center"/>
                </w:tcPr>
                <w:p w14:paraId="200567AD" w14:textId="77777777" w:rsidR="00600DEE" w:rsidRDefault="00600DEE">
                  <w:pPr>
                    <w:jc w:val="center"/>
                    <w:rPr>
                      <w:rFonts w:ascii="Calibri" w:eastAsia="Calibri" w:hAnsi="Calibri" w:cs="Calibri"/>
                      <w:color w:val="4F81BD"/>
                      <w:sz w:val="17"/>
                      <w:szCs w:val="17"/>
                    </w:rPr>
                  </w:pPr>
                </w:p>
              </w:tc>
            </w:tr>
            <w:tr w:rsidR="00600DEE" w14:paraId="53A3649C" w14:textId="77777777" w:rsidTr="0079382E">
              <w:trPr>
                <w:trHeight w:val="674"/>
              </w:trPr>
              <w:tc>
                <w:tcPr>
                  <w:tcW w:w="3630" w:type="dxa"/>
                  <w:tcBorders>
                    <w:left w:val="single" w:sz="4" w:space="0" w:color="FFFFFF"/>
                    <w:bottom w:val="single" w:sz="4" w:space="0" w:color="FFFFFF"/>
                  </w:tcBorders>
                  <w:shd w:val="clear" w:color="auto" w:fill="DBE5F1"/>
                  <w:vAlign w:val="center"/>
                </w:tcPr>
                <w:p w14:paraId="2F273572"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Inne ryzyka</w:t>
                  </w:r>
                </w:p>
                <w:p w14:paraId="0E3A1E6C"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(wyszczególnić)</w:t>
                  </w:r>
                </w:p>
              </w:tc>
              <w:tc>
                <w:tcPr>
                  <w:tcW w:w="1941" w:type="dxa"/>
                  <w:tcBorders>
                    <w:left w:val="single" w:sz="4" w:space="0" w:color="FFFFFF"/>
                    <w:bottom w:val="single" w:sz="4" w:space="0" w:color="FFFFFF"/>
                    <w:right w:val="single" w:sz="4" w:space="0" w:color="FFFFFF"/>
                  </w:tcBorders>
                  <w:shd w:val="clear" w:color="auto" w:fill="DBE5F1"/>
                  <w:vAlign w:val="center"/>
                </w:tcPr>
                <w:p w14:paraId="66ADDE10" w14:textId="77777777" w:rsidR="00600DEE" w:rsidRDefault="00600DEE">
                  <w:pPr>
                    <w:jc w:val="center"/>
                    <w:rPr>
                      <w:rFonts w:ascii="Calibri" w:eastAsia="Calibri" w:hAnsi="Calibri" w:cs="Calibri"/>
                      <w:color w:val="4F81BD"/>
                      <w:sz w:val="17"/>
                      <w:szCs w:val="17"/>
                    </w:rPr>
                  </w:pPr>
                </w:p>
              </w:tc>
              <w:tc>
                <w:tcPr>
                  <w:tcW w:w="1413" w:type="dxa"/>
                  <w:tcBorders>
                    <w:left w:val="single" w:sz="4" w:space="0" w:color="FFFFFF"/>
                    <w:bottom w:val="single" w:sz="4" w:space="0" w:color="FFFFFF"/>
                    <w:right w:val="single" w:sz="4" w:space="0" w:color="FFFFFF"/>
                  </w:tcBorders>
                  <w:shd w:val="clear" w:color="auto" w:fill="DBE5F1"/>
                  <w:vAlign w:val="center"/>
                </w:tcPr>
                <w:p w14:paraId="372CFAEF" w14:textId="77777777" w:rsidR="00600DEE" w:rsidRDefault="00600DEE">
                  <w:pPr>
                    <w:jc w:val="center"/>
                    <w:rPr>
                      <w:rFonts w:ascii="Calibri" w:eastAsia="Calibri" w:hAnsi="Calibri" w:cs="Calibri"/>
                      <w:color w:val="4F81BD"/>
                      <w:sz w:val="17"/>
                      <w:szCs w:val="17"/>
                    </w:rPr>
                  </w:pPr>
                </w:p>
              </w:tc>
            </w:tr>
          </w:tbl>
          <w:p w14:paraId="3E57A0F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111" w:name="_heading=h.1opuj5n" w:colFirst="0" w:colLast="0"/>
            <w:bookmarkEnd w:id="111"/>
            <w:r>
              <w:rPr>
                <w:rFonts w:ascii="Calibri" w:eastAsia="Calibri" w:hAnsi="Calibri" w:cs="Calibri"/>
                <w:color w:val="000000"/>
                <w:sz w:val="20"/>
                <w:szCs w:val="20"/>
              </w:rPr>
              <w:t>Powyższa lista ma charakter indykatywny i nie jest wyczerpująca. Jeśli inne szczególne ryzyko występuje w projekcie, należy je także opisać i ocenić.</w:t>
            </w:r>
          </w:p>
          <w:p w14:paraId="42C62973"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Analiza jakościowa ryzyka</w:t>
            </w:r>
          </w:p>
          <w:p w14:paraId="4730E9D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Dla każdego ze zidentyfikowanych czynników ryzyka, należy opisać i przeanalizować następujące aspekty, z wykorzystaniem tabeli w rozdziale 4.3:</w:t>
            </w:r>
          </w:p>
          <w:p w14:paraId="3A876E0A"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Przyczyna: co powoduje, że ryzyko występuje?</w:t>
            </w:r>
          </w:p>
          <w:p w14:paraId="7895516B"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Skutek: jaki wpływ będzie miało ryzyko na koszty/ korzyści / czas realizacji projektu/ finansowanie i trwałość finansową projektu?</w:t>
            </w:r>
          </w:p>
          <w:p w14:paraId="13616345"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Podmiot zarządzający ryzykiem: podmiotem takim jest podmiot, który ma uprawnienia do zarządzania określonym ryzykiem i jest odpowiedzialny za zarządzanie nim. Może to być Beneficjent, instytucja zarządzająca programem operacyjnym (IZ), instytucja pośrednicząca, wykonawca robót lub inny podmiot. W przypadku, gdy podmiotem zarządzającym ryzykiem nie jest Beneficjent, należy wyjaśnić w jaki sposób może on wpływać na podmiot zarządzający konkretnym ryzykiem.</w:t>
            </w:r>
          </w:p>
          <w:p w14:paraId="1A2A090A"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Faza projektu, którego dotyczy ryzyko: należy wskazać, czy ryzyko dotyczy jednej z następujących faz projektu: faza przygotowania (tak/nie), faza wdrażania (tak/nie), faza operacyjna (tak/nie). Jeśli ryzyko występuje tylko w fazie projektu, która została zrealizowana do momentu złożenia dokumentacji/aktualizacji do IZ, to ryzyko należy traktować jako „nieaktywne” (jak opisano w paragrafie powyżej dotyczącym identyfikacji ryzyka) i nie należy go dalej oceniać.</w:t>
            </w:r>
          </w:p>
          <w:p w14:paraId="59A9763C"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Prawdopodobieństwo: wykorzystując poniższą tabelę, należy ocenić prawdopodobieństwo zdarzenia ryzyka w skali od A do E.</w:t>
            </w:r>
          </w:p>
          <w:p w14:paraId="5529BF13"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Siła oddziaływania ryzyka: wykorzystując poniższą tabelę, należy ocenić wpływ ryzyka w skali od I do V.</w:t>
            </w:r>
          </w:p>
          <w:p w14:paraId="560635AE" w14:textId="746289FD" w:rsidR="0018582B" w:rsidRPr="00FD2E0C" w:rsidRDefault="00641FB5" w:rsidP="00FD2E0C">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Poziom ryzyka: kombinacja skali prawdopodobieństwa i skali oddziaływania ryzyka wskazuje na całkowity poziom danego ryzyka w czterostopniowej skali (niskie/ średnie/ wysokie/ bardzo wysokie).</w:t>
            </w:r>
          </w:p>
          <w:p w14:paraId="78F29F13" w14:textId="0FABD07F" w:rsidR="00600DEE" w:rsidRDefault="00B67038" w:rsidP="00FD2E0C">
            <w:pPr>
              <w:pBdr>
                <w:top w:val="nil"/>
                <w:left w:val="nil"/>
                <w:bottom w:val="nil"/>
                <w:right w:val="nil"/>
                <w:between w:val="nil"/>
              </w:pBdr>
              <w:spacing w:before="240" w:after="120"/>
              <w:ind w:left="1276" w:hanging="1276"/>
              <w:jc w:val="both"/>
              <w:rPr>
                <w:rFonts w:ascii="Calibri" w:eastAsia="Calibri" w:hAnsi="Calibri" w:cs="Calibri"/>
                <w:b/>
                <w:color w:val="4F81BD"/>
                <w:sz w:val="20"/>
                <w:szCs w:val="20"/>
              </w:rPr>
            </w:pPr>
            <w:r>
              <w:rPr>
                <w:rFonts w:ascii="Calibri" w:eastAsia="Calibri" w:hAnsi="Calibri" w:cs="Calibri"/>
                <w:b/>
                <w:color w:val="4F81BD"/>
                <w:sz w:val="20"/>
                <w:szCs w:val="20"/>
              </w:rPr>
              <w:t>Tabela 32</w:t>
            </w:r>
            <w:r w:rsidR="00641FB5">
              <w:rPr>
                <w:rFonts w:ascii="Calibri" w:eastAsia="Calibri" w:hAnsi="Calibri" w:cs="Calibri"/>
                <w:b/>
                <w:color w:val="4F81BD"/>
                <w:sz w:val="20"/>
                <w:szCs w:val="20"/>
              </w:rPr>
              <w:t xml:space="preserve">a. Analiza jakościowa ryzyka – skala prawdopodobieństwa i skala siły </w:t>
            </w:r>
            <w:r w:rsidR="00641FB5">
              <w:rPr>
                <w:rFonts w:ascii="Calibri" w:eastAsia="Calibri" w:hAnsi="Calibri" w:cs="Calibri"/>
                <w:b/>
                <w:color w:val="4F81BD"/>
                <w:sz w:val="20"/>
                <w:szCs w:val="20"/>
              </w:rPr>
              <w:br/>
              <w:t xml:space="preserve"> oddziaływania na projekt</w:t>
            </w:r>
          </w:p>
          <w:tbl>
            <w:tblPr>
              <w:tblStyle w:val="afffffff9"/>
              <w:tblW w:w="5836" w:type="dxa"/>
              <w:tblLayout w:type="fixed"/>
              <w:tblLook w:val="0000" w:firstRow="0" w:lastRow="0" w:firstColumn="0" w:lastColumn="0" w:noHBand="0" w:noVBand="0"/>
            </w:tblPr>
            <w:tblGrid>
              <w:gridCol w:w="2038"/>
              <w:gridCol w:w="1899"/>
              <w:gridCol w:w="1899"/>
            </w:tblGrid>
            <w:tr w:rsidR="00600DEE" w14:paraId="00802E6B" w14:textId="77777777">
              <w:tc>
                <w:tcPr>
                  <w:tcW w:w="5836" w:type="dxa"/>
                  <w:gridSpan w:val="3"/>
                  <w:tcBorders>
                    <w:top w:val="single" w:sz="4" w:space="0" w:color="FFFFFF"/>
                    <w:left w:val="single" w:sz="4" w:space="0" w:color="FFFFFF"/>
                    <w:bottom w:val="single" w:sz="4" w:space="0" w:color="FFFFFF"/>
                    <w:right w:val="single" w:sz="4" w:space="0" w:color="FFFFFF"/>
                  </w:tcBorders>
                  <w:shd w:val="clear" w:color="auto" w:fill="A6A6A6"/>
                  <w:vAlign w:val="center"/>
                </w:tcPr>
                <w:p w14:paraId="0ECD9956" w14:textId="77777777" w:rsidR="00600DEE" w:rsidRDefault="00641FB5">
                  <w:pPr>
                    <w:spacing w:line="264" w:lineRule="auto"/>
                    <w:jc w:val="center"/>
                    <w:rPr>
                      <w:rFonts w:ascii="Calibri" w:eastAsia="Calibri" w:hAnsi="Calibri" w:cs="Calibri"/>
                      <w:b/>
                      <w:color w:val="FFFFFF"/>
                      <w:sz w:val="18"/>
                      <w:szCs w:val="18"/>
                    </w:rPr>
                  </w:pPr>
                  <w:r>
                    <w:rPr>
                      <w:rFonts w:ascii="Calibri" w:eastAsia="Calibri" w:hAnsi="Calibri" w:cs="Calibri"/>
                      <w:b/>
                      <w:color w:val="FFFFFF"/>
                      <w:sz w:val="18"/>
                      <w:szCs w:val="18"/>
                    </w:rPr>
                    <w:t>Prawdopodobieństwo</w:t>
                  </w:r>
                </w:p>
              </w:tc>
            </w:tr>
            <w:tr w:rsidR="00600DEE" w14:paraId="1DE51D6A" w14:textId="77777777" w:rsidTr="0018582B">
              <w:trPr>
                <w:trHeight w:hRule="exact" w:val="454"/>
              </w:trPr>
              <w:tc>
                <w:tcPr>
                  <w:tcW w:w="2038" w:type="dxa"/>
                  <w:tcBorders>
                    <w:top w:val="single" w:sz="4" w:space="0" w:color="FFFFFF"/>
                    <w:left w:val="single" w:sz="4" w:space="0" w:color="FFFFFF"/>
                    <w:bottom w:val="single" w:sz="4" w:space="0" w:color="FFFFFF"/>
                  </w:tcBorders>
                  <w:shd w:val="clear" w:color="auto" w:fill="A6A6A6"/>
                  <w:vAlign w:val="center"/>
                </w:tcPr>
                <w:p w14:paraId="50817EDC"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Skala</w:t>
                  </w:r>
                </w:p>
              </w:tc>
              <w:tc>
                <w:tcPr>
                  <w:tcW w:w="1899"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12EC9C69"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Zakres wartości</w:t>
                  </w:r>
                  <w:r>
                    <w:rPr>
                      <w:rFonts w:ascii="Calibri" w:eastAsia="Calibri" w:hAnsi="Calibri" w:cs="Calibri"/>
                      <w:b/>
                      <w:i/>
                      <w:color w:val="FFFFFF"/>
                      <w:sz w:val="18"/>
                      <w:szCs w:val="18"/>
                    </w:rPr>
                    <w:br/>
                    <w:t>prawdopodobieństwa</w:t>
                  </w:r>
                </w:p>
              </w:tc>
              <w:tc>
                <w:tcPr>
                  <w:tcW w:w="1899"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1A3928F6"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Wartość punktowa</w:t>
                  </w:r>
                </w:p>
              </w:tc>
            </w:tr>
            <w:tr w:rsidR="00600DEE" w14:paraId="10B5905F" w14:textId="77777777">
              <w:tc>
                <w:tcPr>
                  <w:tcW w:w="2038" w:type="dxa"/>
                  <w:tcBorders>
                    <w:top w:val="single" w:sz="4" w:space="0" w:color="FFFFFF"/>
                    <w:left w:val="single" w:sz="4" w:space="0" w:color="FFFFFF"/>
                    <w:bottom w:val="single" w:sz="4" w:space="0" w:color="FFFFFF"/>
                    <w:right w:val="single" w:sz="4" w:space="0" w:color="FFFFFF"/>
                  </w:tcBorders>
                  <w:shd w:val="clear" w:color="auto" w:fill="DBE5F1"/>
                </w:tcPr>
                <w:p w14:paraId="79A64040"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 xml:space="preserve">Bardzo niskie </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79FBC1C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4A46945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A</w:t>
                  </w:r>
                </w:p>
              </w:tc>
            </w:tr>
            <w:tr w:rsidR="00600DEE" w14:paraId="38BDC31E" w14:textId="77777777">
              <w:tc>
                <w:tcPr>
                  <w:tcW w:w="2038" w:type="dxa"/>
                  <w:tcBorders>
                    <w:top w:val="single" w:sz="4" w:space="0" w:color="FFFFFF"/>
                    <w:left w:val="single" w:sz="4" w:space="0" w:color="FFFFFF"/>
                    <w:bottom w:val="single" w:sz="4" w:space="0" w:color="FFFFFF"/>
                    <w:right w:val="single" w:sz="4" w:space="0" w:color="FFFFFF"/>
                  </w:tcBorders>
                  <w:shd w:val="clear" w:color="auto" w:fill="DBE5F1"/>
                </w:tcPr>
                <w:p w14:paraId="207039EC"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Niskie</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0C6AC91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&lt;10% - 33%</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77B0125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B</w:t>
                  </w:r>
                </w:p>
              </w:tc>
            </w:tr>
            <w:tr w:rsidR="00600DEE" w14:paraId="6DBB1997" w14:textId="77777777">
              <w:tc>
                <w:tcPr>
                  <w:tcW w:w="2038" w:type="dxa"/>
                  <w:tcBorders>
                    <w:top w:val="single" w:sz="4" w:space="0" w:color="FFFFFF"/>
                    <w:left w:val="single" w:sz="4" w:space="0" w:color="FFFFFF"/>
                    <w:bottom w:val="single" w:sz="4" w:space="0" w:color="FFFFFF"/>
                    <w:right w:val="single" w:sz="4" w:space="0" w:color="FFFFFF"/>
                  </w:tcBorders>
                  <w:shd w:val="clear" w:color="auto" w:fill="DBE5F1"/>
                </w:tcPr>
                <w:p w14:paraId="62F3326F"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Średnie</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26E2B2A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&lt;33% - 66%</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61ED7555" w14:textId="19E266BC" w:rsidR="00600DEE" w:rsidRDefault="00641FB5" w:rsidP="009A7A37">
                  <w:pPr>
                    <w:tabs>
                      <w:tab w:val="left" w:pos="546"/>
                      <w:tab w:val="center" w:pos="881"/>
                    </w:tabs>
                    <w:jc w:val="center"/>
                    <w:rPr>
                      <w:rFonts w:ascii="Calibri" w:eastAsia="Calibri" w:hAnsi="Calibri" w:cs="Calibri"/>
                      <w:color w:val="4F81BD"/>
                      <w:sz w:val="18"/>
                      <w:szCs w:val="18"/>
                    </w:rPr>
                  </w:pPr>
                  <w:r>
                    <w:rPr>
                      <w:rFonts w:ascii="Calibri" w:eastAsia="Calibri" w:hAnsi="Calibri" w:cs="Calibri"/>
                      <w:color w:val="4F81BD"/>
                      <w:sz w:val="18"/>
                      <w:szCs w:val="18"/>
                    </w:rPr>
                    <w:t>C</w:t>
                  </w:r>
                </w:p>
              </w:tc>
            </w:tr>
            <w:tr w:rsidR="00600DEE" w14:paraId="23992609" w14:textId="77777777">
              <w:tc>
                <w:tcPr>
                  <w:tcW w:w="2038" w:type="dxa"/>
                  <w:tcBorders>
                    <w:top w:val="single" w:sz="4" w:space="0" w:color="FFFFFF"/>
                    <w:left w:val="single" w:sz="4" w:space="0" w:color="FFFFFF"/>
                    <w:bottom w:val="single" w:sz="4" w:space="0" w:color="FFFFFF"/>
                    <w:right w:val="single" w:sz="4" w:space="0" w:color="FFFFFF"/>
                  </w:tcBorders>
                  <w:shd w:val="clear" w:color="auto" w:fill="DBE5F1"/>
                </w:tcPr>
                <w:p w14:paraId="3DD19C48"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Wysokie</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2D655BA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&lt;66% - 90%</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247B272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D</w:t>
                  </w:r>
                </w:p>
              </w:tc>
            </w:tr>
            <w:tr w:rsidR="00600DEE" w14:paraId="2FD7203F" w14:textId="77777777">
              <w:tc>
                <w:tcPr>
                  <w:tcW w:w="2038" w:type="dxa"/>
                  <w:tcBorders>
                    <w:top w:val="single" w:sz="4" w:space="0" w:color="FFFFFF"/>
                    <w:left w:val="single" w:sz="4" w:space="0" w:color="FFFFFF"/>
                    <w:bottom w:val="single" w:sz="4" w:space="0" w:color="FFFFFF"/>
                    <w:right w:val="single" w:sz="4" w:space="0" w:color="FFFFFF"/>
                  </w:tcBorders>
                  <w:shd w:val="clear" w:color="auto" w:fill="DBE5F1"/>
                </w:tcPr>
                <w:p w14:paraId="4554E336"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Bardzo wysokie</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649D747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&lt;90% - 100%</w:t>
                  </w:r>
                </w:p>
              </w:tc>
              <w:tc>
                <w:tcPr>
                  <w:tcW w:w="1899" w:type="dxa"/>
                  <w:tcBorders>
                    <w:top w:val="single" w:sz="4" w:space="0" w:color="FFFFFF"/>
                    <w:left w:val="single" w:sz="4" w:space="0" w:color="FFFFFF"/>
                    <w:bottom w:val="single" w:sz="4" w:space="0" w:color="FFFFFF"/>
                    <w:right w:val="single" w:sz="4" w:space="0" w:color="FFFFFF"/>
                  </w:tcBorders>
                  <w:shd w:val="clear" w:color="auto" w:fill="DBE5F1"/>
                </w:tcPr>
                <w:p w14:paraId="07890D7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E</w:t>
                  </w:r>
                </w:p>
              </w:tc>
            </w:tr>
          </w:tbl>
          <w:p w14:paraId="4A792C50" w14:textId="7F1CB3A8" w:rsidR="009A7A37" w:rsidRDefault="00641FB5" w:rsidP="0079382E">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“Guide to Cost-benefit Analysis of Investment Projects - Economic appraisal tool for Cohesion Policy 2014-2020” DG Regio, grudzień 2014.</w:t>
            </w:r>
          </w:p>
          <w:tbl>
            <w:tblPr>
              <w:tblStyle w:val="afffffffa"/>
              <w:tblW w:w="6909" w:type="dxa"/>
              <w:tblLayout w:type="fixed"/>
              <w:tblLook w:val="0000" w:firstRow="0" w:lastRow="0" w:firstColumn="0" w:lastColumn="0" w:noHBand="0" w:noVBand="0"/>
            </w:tblPr>
            <w:tblGrid>
              <w:gridCol w:w="4973"/>
              <w:gridCol w:w="1936"/>
            </w:tblGrid>
            <w:tr w:rsidR="00600DEE" w14:paraId="103B666E" w14:textId="77777777" w:rsidTr="0079382E">
              <w:trPr>
                <w:trHeight w:val="355"/>
              </w:trPr>
              <w:tc>
                <w:tcPr>
                  <w:tcW w:w="6909" w:type="dxa"/>
                  <w:gridSpan w:val="2"/>
                  <w:tcBorders>
                    <w:top w:val="single" w:sz="4" w:space="0" w:color="FFFFFF"/>
                    <w:left w:val="single" w:sz="4" w:space="0" w:color="FFFFFF"/>
                    <w:bottom w:val="single" w:sz="4" w:space="0" w:color="FFFFFF"/>
                    <w:right w:val="single" w:sz="4" w:space="0" w:color="FFFFFF"/>
                  </w:tcBorders>
                  <w:shd w:val="clear" w:color="auto" w:fill="A6A6A6"/>
                  <w:vAlign w:val="center"/>
                </w:tcPr>
                <w:p w14:paraId="7F844441" w14:textId="77777777" w:rsidR="00600DEE" w:rsidRDefault="00641FB5" w:rsidP="00FD2E0C">
                  <w:pPr>
                    <w:spacing w:before="120" w:line="264" w:lineRule="auto"/>
                    <w:jc w:val="center"/>
                    <w:rPr>
                      <w:rFonts w:ascii="Calibri" w:eastAsia="Calibri" w:hAnsi="Calibri" w:cs="Calibri"/>
                      <w:b/>
                      <w:color w:val="FFFFFF"/>
                      <w:sz w:val="18"/>
                      <w:szCs w:val="18"/>
                    </w:rPr>
                  </w:pPr>
                  <w:r>
                    <w:rPr>
                      <w:rFonts w:ascii="Calibri" w:eastAsia="Calibri" w:hAnsi="Calibri" w:cs="Calibri"/>
                      <w:b/>
                      <w:color w:val="FFFFFF"/>
                      <w:sz w:val="18"/>
                      <w:szCs w:val="18"/>
                    </w:rPr>
                    <w:t>Siła oddziaływania na projekt</w:t>
                  </w:r>
                </w:p>
              </w:tc>
            </w:tr>
            <w:tr w:rsidR="00600DEE" w14:paraId="2C7B87C1" w14:textId="77777777" w:rsidTr="0079382E">
              <w:trPr>
                <w:trHeight w:val="437"/>
              </w:trPr>
              <w:tc>
                <w:tcPr>
                  <w:tcW w:w="4973"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1D54454"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Znaczenie</w:t>
                  </w:r>
                </w:p>
              </w:tc>
              <w:tc>
                <w:tcPr>
                  <w:tcW w:w="1936"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7DAB3775"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Wartość punktowa</w:t>
                  </w:r>
                </w:p>
              </w:tc>
            </w:tr>
            <w:tr w:rsidR="00600DEE" w14:paraId="5E0A8AF9" w14:textId="77777777" w:rsidTr="0079382E">
              <w:trPr>
                <w:trHeight w:val="546"/>
              </w:trPr>
              <w:tc>
                <w:tcPr>
                  <w:tcW w:w="4973" w:type="dxa"/>
                  <w:tcBorders>
                    <w:top w:val="single" w:sz="4" w:space="0" w:color="FFFFFF"/>
                    <w:left w:val="single" w:sz="4" w:space="0" w:color="FFFFFF"/>
                    <w:bottom w:val="single" w:sz="4" w:space="0" w:color="FFFFFF"/>
                    <w:right w:val="single" w:sz="4" w:space="0" w:color="FFFFFF"/>
                  </w:tcBorders>
                  <w:shd w:val="clear" w:color="auto" w:fill="DBE5F1"/>
                </w:tcPr>
                <w:p w14:paraId="1A13C185"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Brak wpływu na dobrobyt społeczny, nawet bez podejmowania działań zaradczych</w:t>
                  </w:r>
                </w:p>
              </w:tc>
              <w:tc>
                <w:tcPr>
                  <w:tcW w:w="1936"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2F3CCF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I</w:t>
                  </w:r>
                </w:p>
              </w:tc>
            </w:tr>
            <w:tr w:rsidR="00600DEE" w14:paraId="4A283877" w14:textId="77777777" w:rsidTr="0079382E">
              <w:trPr>
                <w:trHeight w:val="820"/>
              </w:trPr>
              <w:tc>
                <w:tcPr>
                  <w:tcW w:w="4973" w:type="dxa"/>
                  <w:tcBorders>
                    <w:top w:val="single" w:sz="4" w:space="0" w:color="FFFFFF"/>
                    <w:left w:val="single" w:sz="4" w:space="0" w:color="FFFFFF"/>
                    <w:bottom w:val="single" w:sz="4" w:space="0" w:color="FFFFFF"/>
                    <w:right w:val="single" w:sz="4" w:space="0" w:color="FFFFFF"/>
                  </w:tcBorders>
                  <w:shd w:val="clear" w:color="auto" w:fill="DBE5F1"/>
                </w:tcPr>
                <w:p w14:paraId="55826699"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Mały wpływ na dobrobyt społeczny, mały wpływ na efekty finansowe projektu, działania zaradcze i korygujące są jednak potrzebne</w:t>
                  </w:r>
                </w:p>
              </w:tc>
              <w:tc>
                <w:tcPr>
                  <w:tcW w:w="1936"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6A6DAE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II</w:t>
                  </w:r>
                </w:p>
              </w:tc>
            </w:tr>
            <w:tr w:rsidR="00600DEE" w14:paraId="15C469CF" w14:textId="77777777" w:rsidTr="0079382E">
              <w:trPr>
                <w:trHeight w:val="427"/>
              </w:trPr>
              <w:tc>
                <w:tcPr>
                  <w:tcW w:w="4973" w:type="dxa"/>
                  <w:tcBorders>
                    <w:top w:val="single" w:sz="4" w:space="0" w:color="FFFFFF"/>
                    <w:left w:val="single" w:sz="4" w:space="0" w:color="FFFFFF"/>
                    <w:bottom w:val="single" w:sz="4" w:space="0" w:color="FFFFFF"/>
                    <w:right w:val="single" w:sz="4" w:space="0" w:color="FFFFFF"/>
                  </w:tcBorders>
                  <w:shd w:val="clear" w:color="auto" w:fill="DBE5F1"/>
                </w:tcPr>
                <w:p w14:paraId="040B0CB1"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Umiarkowany wpływ na dobrobyt społeczny, głównie negatywne efekty finansowe nawet w średnim lub długim terminie</w:t>
                  </w:r>
                </w:p>
              </w:tc>
              <w:tc>
                <w:tcPr>
                  <w:tcW w:w="1936"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36F2A58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III</w:t>
                  </w:r>
                </w:p>
              </w:tc>
            </w:tr>
            <w:tr w:rsidR="00600DEE" w14:paraId="4AF452A7" w14:textId="77777777" w:rsidTr="00482C1E">
              <w:trPr>
                <w:trHeight w:val="989"/>
              </w:trPr>
              <w:tc>
                <w:tcPr>
                  <w:tcW w:w="4973" w:type="dxa"/>
                  <w:tcBorders>
                    <w:top w:val="single" w:sz="4" w:space="0" w:color="FFFFFF"/>
                    <w:left w:val="single" w:sz="4" w:space="0" w:color="FFFFFF"/>
                    <w:bottom w:val="single" w:sz="4" w:space="0" w:color="FFFFFF"/>
                    <w:right w:val="single" w:sz="4" w:space="0" w:color="FFFFFF"/>
                  </w:tcBorders>
                  <w:shd w:val="clear" w:color="auto" w:fill="DBE5F1"/>
                </w:tcPr>
                <w:p w14:paraId="2B1BEE29"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 Poziom krytyczny: wysoka strata dla dobrobytu społecznego, wystąpienie zdarzenia powoduje niemożliwość realizacji podstawowego celu projektu, działania zaradcze bardzo intensywne mogą nie doprowadzić do uniknięcia wysokich strat</w:t>
                  </w:r>
                </w:p>
              </w:tc>
              <w:tc>
                <w:tcPr>
                  <w:tcW w:w="1936"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698C6B1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IV</w:t>
                  </w:r>
                </w:p>
              </w:tc>
            </w:tr>
            <w:tr w:rsidR="00600DEE" w:rsidRPr="007463B9" w14:paraId="0D6AB996" w14:textId="77777777" w:rsidTr="0079382E">
              <w:trPr>
                <w:trHeight w:val="765"/>
              </w:trPr>
              <w:tc>
                <w:tcPr>
                  <w:tcW w:w="4973" w:type="dxa"/>
                  <w:tcBorders>
                    <w:top w:val="single" w:sz="4" w:space="0" w:color="FFFFFF"/>
                    <w:left w:val="single" w:sz="4" w:space="0" w:color="FFFFFF"/>
                    <w:bottom w:val="single" w:sz="4" w:space="0" w:color="FFFFFF"/>
                    <w:right w:val="single" w:sz="4" w:space="0" w:color="FFFFFF"/>
                  </w:tcBorders>
                  <w:shd w:val="clear" w:color="auto" w:fill="DBE5F1"/>
                </w:tcPr>
                <w:p w14:paraId="1A13A497"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 Poziom katastroficzny: Fiasko projektu, zdarzenie może wywołać całkowity brak realizacji celu projektu, główne efekty projektu nie będą uzyskane w średnim i długim terminie</w:t>
                  </w:r>
                </w:p>
              </w:tc>
              <w:tc>
                <w:tcPr>
                  <w:tcW w:w="1936"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E9DF91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V</w:t>
                  </w:r>
                </w:p>
              </w:tc>
            </w:tr>
          </w:tbl>
          <w:p w14:paraId="525E6045" w14:textId="77777777" w:rsidR="00600DEE" w:rsidRPr="0045151D" w:rsidRDefault="00641FB5" w:rsidP="0079382E">
            <w:pPr>
              <w:spacing w:before="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Źródło: “Guide to Cost-benefit Analysis of Investment Projects - Economic appraisal tool for Cohesion Policy 2014-2020” DG Regio, grudzień 2014.</w:t>
            </w:r>
          </w:p>
          <w:p w14:paraId="09A01A6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Poziom ryzyka jest kombinacją prawdopodobieństwa i siły oddziaływania. Im wyższy poziom ryzyka, tym intensywniejsze działania zaradcze należy podjąć w celu obniżenia poziomu ryzyka. Poniższa tabela definiuje poziom ryzyka w zależności od prawdopodobieństwa i siły oddziaływania w odpowiednich kolorach.</w:t>
            </w:r>
          </w:p>
          <w:p w14:paraId="5E227587" w14:textId="633BEC8A" w:rsidR="00600DEE" w:rsidRDefault="00B67038">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32</w:t>
            </w:r>
            <w:r w:rsidR="00641FB5">
              <w:rPr>
                <w:rFonts w:ascii="Calibri" w:eastAsia="Calibri" w:hAnsi="Calibri" w:cs="Calibri"/>
                <w:b/>
                <w:color w:val="4F81BD"/>
                <w:sz w:val="20"/>
                <w:szCs w:val="20"/>
              </w:rPr>
              <w:t xml:space="preserve">b. Analiza jakościowa ryzyka – </w:t>
            </w:r>
            <w:r>
              <w:rPr>
                <w:rFonts w:ascii="Calibri" w:eastAsia="Calibri" w:hAnsi="Calibri" w:cs="Calibri"/>
                <w:b/>
                <w:color w:val="4F81BD"/>
                <w:sz w:val="20"/>
                <w:szCs w:val="20"/>
              </w:rPr>
              <w:t>Macierz p</w:t>
            </w:r>
            <w:r w:rsidR="00641FB5">
              <w:rPr>
                <w:rFonts w:ascii="Calibri" w:eastAsia="Calibri" w:hAnsi="Calibri" w:cs="Calibri"/>
                <w:b/>
                <w:color w:val="4F81BD"/>
                <w:sz w:val="20"/>
                <w:szCs w:val="20"/>
              </w:rPr>
              <w:t>oziom</w:t>
            </w:r>
            <w:r>
              <w:rPr>
                <w:rFonts w:ascii="Calibri" w:eastAsia="Calibri" w:hAnsi="Calibri" w:cs="Calibri"/>
                <w:b/>
                <w:color w:val="4F81BD"/>
                <w:sz w:val="20"/>
                <w:szCs w:val="20"/>
              </w:rPr>
              <w:t>u</w:t>
            </w:r>
            <w:r w:rsidR="00641FB5">
              <w:rPr>
                <w:rFonts w:ascii="Calibri" w:eastAsia="Calibri" w:hAnsi="Calibri" w:cs="Calibri"/>
                <w:b/>
                <w:color w:val="4F81BD"/>
                <w:sz w:val="20"/>
                <w:szCs w:val="20"/>
              </w:rPr>
              <w:t xml:space="preserve"> ryzyka</w:t>
            </w:r>
          </w:p>
          <w:tbl>
            <w:tblPr>
              <w:tblStyle w:val="afffffffb"/>
              <w:tblW w:w="6801" w:type="dxa"/>
              <w:tblBorders>
                <w:insideH w:val="single" w:sz="6" w:space="0" w:color="FFFFFF"/>
                <w:insideV w:val="single" w:sz="6" w:space="0" w:color="FFFFFF"/>
              </w:tblBorders>
              <w:tblLayout w:type="fixed"/>
              <w:tblLook w:val="0000" w:firstRow="0" w:lastRow="0" w:firstColumn="0" w:lastColumn="0" w:noHBand="0" w:noVBand="0"/>
            </w:tblPr>
            <w:tblGrid>
              <w:gridCol w:w="481"/>
              <w:gridCol w:w="607"/>
              <w:gridCol w:w="816"/>
              <w:gridCol w:w="815"/>
              <w:gridCol w:w="1359"/>
              <w:gridCol w:w="1359"/>
              <w:gridCol w:w="1364"/>
            </w:tblGrid>
            <w:tr w:rsidR="00600DEE" w14:paraId="7D9A4C0A" w14:textId="77777777" w:rsidTr="00193C5C">
              <w:trPr>
                <w:trHeight w:val="391"/>
              </w:trPr>
              <w:tc>
                <w:tcPr>
                  <w:tcW w:w="1088" w:type="dxa"/>
                  <w:gridSpan w:val="2"/>
                  <w:vMerge w:val="restart"/>
                  <w:tcBorders>
                    <w:top w:val="nil"/>
                    <w:bottom w:val="single" w:sz="6" w:space="0" w:color="FFFFFF"/>
                  </w:tcBorders>
                  <w:shd w:val="clear" w:color="auto" w:fill="DBE5F1"/>
                  <w:vAlign w:val="bottom"/>
                </w:tcPr>
                <w:p w14:paraId="6B03A324" w14:textId="77777777" w:rsidR="00600DEE" w:rsidRDefault="00600DEE">
                  <w:pPr>
                    <w:pBdr>
                      <w:top w:val="nil"/>
                      <w:left w:val="nil"/>
                      <w:bottom w:val="nil"/>
                      <w:right w:val="nil"/>
                      <w:between w:val="nil"/>
                    </w:pBdr>
                    <w:spacing w:line="264" w:lineRule="auto"/>
                    <w:jc w:val="center"/>
                    <w:rPr>
                      <w:rFonts w:ascii="Calibri" w:eastAsia="Calibri" w:hAnsi="Calibri" w:cs="Calibri"/>
                      <w:b/>
                      <w:color w:val="4F81BD"/>
                      <w:sz w:val="20"/>
                      <w:szCs w:val="20"/>
                    </w:rPr>
                  </w:pPr>
                  <w:bookmarkStart w:id="112" w:name="_heading=h.48pi1tg" w:colFirst="0" w:colLast="0"/>
                  <w:bookmarkEnd w:id="112"/>
                </w:p>
              </w:tc>
              <w:tc>
                <w:tcPr>
                  <w:tcW w:w="5713" w:type="dxa"/>
                  <w:gridSpan w:val="5"/>
                  <w:tcBorders>
                    <w:top w:val="nil"/>
                    <w:bottom w:val="single" w:sz="6" w:space="0" w:color="FFFFFF"/>
                  </w:tcBorders>
                  <w:shd w:val="clear" w:color="auto" w:fill="DBE5F1"/>
                  <w:vAlign w:val="bottom"/>
                </w:tcPr>
                <w:p w14:paraId="059699E3" w14:textId="7314AA67" w:rsidR="00600DEE" w:rsidRDefault="00B67038">
                  <w:pPr>
                    <w:pBdr>
                      <w:top w:val="nil"/>
                      <w:left w:val="nil"/>
                      <w:bottom w:val="nil"/>
                      <w:right w:val="nil"/>
                      <w:between w:val="nil"/>
                    </w:pBdr>
                    <w:jc w:val="center"/>
                    <w:rPr>
                      <w:rFonts w:ascii="Calibri" w:eastAsia="Calibri" w:hAnsi="Calibri" w:cs="Calibri"/>
                      <w:b/>
                      <w:color w:val="4F81BD"/>
                      <w:sz w:val="20"/>
                      <w:szCs w:val="20"/>
                    </w:rPr>
                  </w:pPr>
                  <w:r>
                    <w:rPr>
                      <w:rFonts w:ascii="Calibri" w:eastAsia="Calibri" w:hAnsi="Calibri" w:cs="Calibri"/>
                      <w:b/>
                      <w:color w:val="4F81BD"/>
                      <w:sz w:val="20"/>
                      <w:szCs w:val="20"/>
                    </w:rPr>
                    <w:t>Siła oddziaływania</w:t>
                  </w:r>
                </w:p>
              </w:tc>
            </w:tr>
            <w:tr w:rsidR="00600DEE" w14:paraId="62E746E9" w14:textId="77777777" w:rsidTr="00193C5C">
              <w:trPr>
                <w:trHeight w:val="198"/>
              </w:trPr>
              <w:tc>
                <w:tcPr>
                  <w:tcW w:w="1088" w:type="dxa"/>
                  <w:gridSpan w:val="2"/>
                  <w:vMerge/>
                  <w:tcBorders>
                    <w:top w:val="nil"/>
                    <w:bottom w:val="single" w:sz="6" w:space="0" w:color="FFFFFF"/>
                  </w:tcBorders>
                  <w:shd w:val="clear" w:color="auto" w:fill="DBE5F1"/>
                  <w:vAlign w:val="bottom"/>
                </w:tcPr>
                <w:p w14:paraId="23640CC7"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4F81BD"/>
                      <w:sz w:val="20"/>
                      <w:szCs w:val="20"/>
                    </w:rPr>
                  </w:pPr>
                </w:p>
              </w:tc>
              <w:tc>
                <w:tcPr>
                  <w:tcW w:w="816" w:type="dxa"/>
                  <w:tcBorders>
                    <w:top w:val="single" w:sz="6" w:space="0" w:color="FFFFFF"/>
                    <w:bottom w:val="single" w:sz="6" w:space="0" w:color="FFFFFF"/>
                  </w:tcBorders>
                  <w:shd w:val="clear" w:color="auto" w:fill="DBE5F1"/>
                  <w:vAlign w:val="center"/>
                </w:tcPr>
                <w:p w14:paraId="504AEC8F"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I</w:t>
                  </w:r>
                </w:p>
              </w:tc>
              <w:tc>
                <w:tcPr>
                  <w:tcW w:w="815" w:type="dxa"/>
                  <w:tcBorders>
                    <w:top w:val="single" w:sz="6" w:space="0" w:color="FFFFFF"/>
                    <w:bottom w:val="single" w:sz="6" w:space="0" w:color="FFFFFF"/>
                  </w:tcBorders>
                  <w:shd w:val="clear" w:color="auto" w:fill="DBE5F1"/>
                  <w:vAlign w:val="center"/>
                </w:tcPr>
                <w:p w14:paraId="6562019D"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II</w:t>
                  </w:r>
                </w:p>
              </w:tc>
              <w:tc>
                <w:tcPr>
                  <w:tcW w:w="1359" w:type="dxa"/>
                  <w:tcBorders>
                    <w:top w:val="single" w:sz="6" w:space="0" w:color="FFFFFF"/>
                    <w:bottom w:val="single" w:sz="6" w:space="0" w:color="FFFFFF"/>
                  </w:tcBorders>
                  <w:shd w:val="clear" w:color="auto" w:fill="DBE5F1"/>
                  <w:vAlign w:val="center"/>
                </w:tcPr>
                <w:p w14:paraId="7BE4D1CD"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III</w:t>
                  </w:r>
                </w:p>
              </w:tc>
              <w:tc>
                <w:tcPr>
                  <w:tcW w:w="1359" w:type="dxa"/>
                  <w:tcBorders>
                    <w:top w:val="single" w:sz="6" w:space="0" w:color="FFFFFF"/>
                    <w:bottom w:val="single" w:sz="6" w:space="0" w:color="FFFFFF"/>
                  </w:tcBorders>
                  <w:shd w:val="clear" w:color="auto" w:fill="DBE5F1"/>
                  <w:vAlign w:val="center"/>
                </w:tcPr>
                <w:p w14:paraId="1451A9A6"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IV</w:t>
                  </w:r>
                </w:p>
              </w:tc>
              <w:tc>
                <w:tcPr>
                  <w:tcW w:w="1362" w:type="dxa"/>
                  <w:tcBorders>
                    <w:top w:val="single" w:sz="6" w:space="0" w:color="FFFFFF"/>
                    <w:bottom w:val="single" w:sz="6" w:space="0" w:color="FFFFFF"/>
                  </w:tcBorders>
                  <w:shd w:val="clear" w:color="auto" w:fill="DBE5F1"/>
                  <w:vAlign w:val="center"/>
                </w:tcPr>
                <w:p w14:paraId="1BE608AB"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V</w:t>
                  </w:r>
                </w:p>
              </w:tc>
            </w:tr>
            <w:tr w:rsidR="00600DEE" w14:paraId="59BCE31E" w14:textId="77777777" w:rsidTr="00193C5C">
              <w:trPr>
                <w:trHeight w:hRule="exact" w:val="260"/>
              </w:trPr>
              <w:tc>
                <w:tcPr>
                  <w:tcW w:w="481" w:type="dxa"/>
                  <w:vMerge w:val="restart"/>
                  <w:tcBorders>
                    <w:top w:val="single" w:sz="6" w:space="0" w:color="FFFFFF"/>
                    <w:bottom w:val="single" w:sz="6" w:space="0" w:color="FFFFFF"/>
                  </w:tcBorders>
                  <w:shd w:val="clear" w:color="auto" w:fill="DBE5F1"/>
                  <w:textDirection w:val="btLr"/>
                  <w:vAlign w:val="center"/>
                </w:tcPr>
                <w:p w14:paraId="5D983AB9" w14:textId="54749342" w:rsidR="00600DEE" w:rsidRDefault="0079382E" w:rsidP="0079382E">
                  <w:pPr>
                    <w:pBdr>
                      <w:top w:val="nil"/>
                      <w:left w:val="nil"/>
                      <w:bottom w:val="nil"/>
                      <w:right w:val="nil"/>
                      <w:between w:val="nil"/>
                    </w:pBdr>
                    <w:ind w:left="113" w:right="113"/>
                    <w:jc w:val="center"/>
                    <w:rPr>
                      <w:rFonts w:ascii="Calibri" w:eastAsia="Calibri" w:hAnsi="Calibri" w:cs="Calibri"/>
                      <w:b/>
                      <w:color w:val="4F81BD"/>
                      <w:sz w:val="20"/>
                      <w:szCs w:val="20"/>
                    </w:rPr>
                  </w:pPr>
                  <w:r>
                    <w:rPr>
                      <w:rFonts w:asciiTheme="minorHAnsi" w:hAnsiTheme="minorHAnsi"/>
                      <w:b/>
                      <w:color w:val="4F81BD" w:themeColor="accent1"/>
                      <w:sz w:val="20"/>
                    </w:rPr>
                    <w:t>Prawdopodobie</w:t>
                  </w:r>
                </w:p>
              </w:tc>
              <w:tc>
                <w:tcPr>
                  <w:tcW w:w="606" w:type="dxa"/>
                  <w:tcBorders>
                    <w:top w:val="single" w:sz="6" w:space="0" w:color="FFFFFF"/>
                    <w:bottom w:val="single" w:sz="6" w:space="0" w:color="FFFFFF"/>
                  </w:tcBorders>
                  <w:shd w:val="clear" w:color="auto" w:fill="DBE5F1"/>
                  <w:vAlign w:val="center"/>
                </w:tcPr>
                <w:p w14:paraId="3411C27E"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A</w:t>
                  </w:r>
                </w:p>
              </w:tc>
              <w:tc>
                <w:tcPr>
                  <w:tcW w:w="816" w:type="dxa"/>
                  <w:tcBorders>
                    <w:top w:val="single" w:sz="6" w:space="0" w:color="FFFFFF"/>
                  </w:tcBorders>
                  <w:shd w:val="clear" w:color="auto" w:fill="92D050"/>
                  <w:vAlign w:val="center"/>
                </w:tcPr>
                <w:p w14:paraId="285F3C35"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Niski</w:t>
                  </w:r>
                </w:p>
              </w:tc>
              <w:tc>
                <w:tcPr>
                  <w:tcW w:w="815" w:type="dxa"/>
                  <w:tcBorders>
                    <w:top w:val="single" w:sz="6" w:space="0" w:color="FFFFFF"/>
                  </w:tcBorders>
                  <w:shd w:val="clear" w:color="auto" w:fill="92D050"/>
                  <w:vAlign w:val="center"/>
                </w:tcPr>
                <w:p w14:paraId="68958E53"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Niski</w:t>
                  </w:r>
                </w:p>
              </w:tc>
              <w:tc>
                <w:tcPr>
                  <w:tcW w:w="1359" w:type="dxa"/>
                  <w:tcBorders>
                    <w:top w:val="single" w:sz="6" w:space="0" w:color="FFFFFF"/>
                  </w:tcBorders>
                  <w:shd w:val="clear" w:color="auto" w:fill="92D050"/>
                  <w:vAlign w:val="center"/>
                </w:tcPr>
                <w:p w14:paraId="4C81F485"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Niski</w:t>
                  </w:r>
                </w:p>
              </w:tc>
              <w:tc>
                <w:tcPr>
                  <w:tcW w:w="1359" w:type="dxa"/>
                  <w:tcBorders>
                    <w:top w:val="single" w:sz="6" w:space="0" w:color="FFFFFF"/>
                  </w:tcBorders>
                  <w:shd w:val="clear" w:color="auto" w:fill="92D050"/>
                  <w:vAlign w:val="center"/>
                </w:tcPr>
                <w:p w14:paraId="308E8183"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Niski</w:t>
                  </w:r>
                </w:p>
              </w:tc>
              <w:tc>
                <w:tcPr>
                  <w:tcW w:w="1362" w:type="dxa"/>
                  <w:tcBorders>
                    <w:top w:val="single" w:sz="6" w:space="0" w:color="FFFFFF"/>
                    <w:bottom w:val="single" w:sz="6" w:space="0" w:color="FFFFFF"/>
                  </w:tcBorders>
                  <w:shd w:val="clear" w:color="auto" w:fill="FFFF00"/>
                  <w:vAlign w:val="center"/>
                </w:tcPr>
                <w:p w14:paraId="660B4758"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Średni</w:t>
                  </w:r>
                </w:p>
              </w:tc>
            </w:tr>
            <w:tr w:rsidR="00600DEE" w14:paraId="6BA1B5FE" w14:textId="77777777" w:rsidTr="00193C5C">
              <w:trPr>
                <w:trHeight w:hRule="exact" w:val="260"/>
              </w:trPr>
              <w:tc>
                <w:tcPr>
                  <w:tcW w:w="481" w:type="dxa"/>
                  <w:vMerge/>
                  <w:tcBorders>
                    <w:top w:val="single" w:sz="6" w:space="0" w:color="FFFFFF"/>
                    <w:bottom w:val="single" w:sz="6" w:space="0" w:color="FFFFFF"/>
                  </w:tcBorders>
                  <w:shd w:val="clear" w:color="auto" w:fill="DBE5F1"/>
                  <w:vAlign w:val="center"/>
                </w:tcPr>
                <w:p w14:paraId="3E61E22C" w14:textId="77777777" w:rsidR="00600DEE" w:rsidRDefault="00600DEE">
                  <w:pPr>
                    <w:widowControl w:val="0"/>
                    <w:pBdr>
                      <w:top w:val="nil"/>
                      <w:left w:val="nil"/>
                      <w:bottom w:val="nil"/>
                      <w:right w:val="nil"/>
                      <w:between w:val="nil"/>
                    </w:pBdr>
                    <w:spacing w:line="276" w:lineRule="auto"/>
                    <w:rPr>
                      <w:rFonts w:ascii="Calibri" w:eastAsia="Calibri" w:hAnsi="Calibri" w:cs="Calibri"/>
                      <w:sz w:val="20"/>
                      <w:szCs w:val="20"/>
                    </w:rPr>
                  </w:pPr>
                </w:p>
              </w:tc>
              <w:tc>
                <w:tcPr>
                  <w:tcW w:w="606" w:type="dxa"/>
                  <w:tcBorders>
                    <w:top w:val="single" w:sz="6" w:space="0" w:color="FFFFFF"/>
                    <w:bottom w:val="single" w:sz="6" w:space="0" w:color="FFFFFF"/>
                  </w:tcBorders>
                  <w:shd w:val="clear" w:color="auto" w:fill="DBE5F1"/>
                  <w:vAlign w:val="center"/>
                </w:tcPr>
                <w:p w14:paraId="4C2E7784"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B</w:t>
                  </w:r>
                </w:p>
              </w:tc>
              <w:tc>
                <w:tcPr>
                  <w:tcW w:w="816" w:type="dxa"/>
                  <w:shd w:val="clear" w:color="auto" w:fill="92D050"/>
                  <w:vAlign w:val="center"/>
                </w:tcPr>
                <w:p w14:paraId="2DABF25F"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Niski</w:t>
                  </w:r>
                </w:p>
              </w:tc>
              <w:tc>
                <w:tcPr>
                  <w:tcW w:w="815" w:type="dxa"/>
                  <w:shd w:val="clear" w:color="auto" w:fill="92D050"/>
                  <w:vAlign w:val="center"/>
                </w:tcPr>
                <w:p w14:paraId="387E042C"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Niski</w:t>
                  </w:r>
                </w:p>
              </w:tc>
              <w:tc>
                <w:tcPr>
                  <w:tcW w:w="1359" w:type="dxa"/>
                  <w:shd w:val="clear" w:color="auto" w:fill="FFFF00"/>
                  <w:vAlign w:val="center"/>
                </w:tcPr>
                <w:p w14:paraId="5572E7C5"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Średni</w:t>
                  </w:r>
                </w:p>
              </w:tc>
              <w:tc>
                <w:tcPr>
                  <w:tcW w:w="1359" w:type="dxa"/>
                  <w:tcBorders>
                    <w:bottom w:val="single" w:sz="6" w:space="0" w:color="FFFFFF"/>
                  </w:tcBorders>
                  <w:shd w:val="clear" w:color="auto" w:fill="FFFF00"/>
                  <w:vAlign w:val="center"/>
                </w:tcPr>
                <w:p w14:paraId="34325DF6"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Średni</w:t>
                  </w:r>
                </w:p>
              </w:tc>
              <w:tc>
                <w:tcPr>
                  <w:tcW w:w="1362" w:type="dxa"/>
                  <w:tcBorders>
                    <w:top w:val="single" w:sz="6" w:space="0" w:color="FFFFFF"/>
                    <w:bottom w:val="single" w:sz="6" w:space="0" w:color="FFFFFF"/>
                  </w:tcBorders>
                  <w:shd w:val="clear" w:color="auto" w:fill="FF0000"/>
                  <w:vAlign w:val="center"/>
                </w:tcPr>
                <w:p w14:paraId="0B4B87B4"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Wysoki</w:t>
                  </w:r>
                </w:p>
              </w:tc>
            </w:tr>
            <w:tr w:rsidR="00600DEE" w14:paraId="7A13063F" w14:textId="77777777" w:rsidTr="00193C5C">
              <w:trPr>
                <w:trHeight w:hRule="exact" w:val="260"/>
              </w:trPr>
              <w:tc>
                <w:tcPr>
                  <w:tcW w:w="481" w:type="dxa"/>
                  <w:vMerge/>
                  <w:tcBorders>
                    <w:top w:val="single" w:sz="6" w:space="0" w:color="FFFFFF"/>
                    <w:bottom w:val="single" w:sz="6" w:space="0" w:color="FFFFFF"/>
                  </w:tcBorders>
                  <w:shd w:val="clear" w:color="auto" w:fill="DBE5F1"/>
                  <w:vAlign w:val="center"/>
                </w:tcPr>
                <w:p w14:paraId="35CFB48E" w14:textId="77777777" w:rsidR="00600DEE" w:rsidRDefault="00600DEE">
                  <w:pPr>
                    <w:widowControl w:val="0"/>
                    <w:pBdr>
                      <w:top w:val="nil"/>
                      <w:left w:val="nil"/>
                      <w:bottom w:val="nil"/>
                      <w:right w:val="nil"/>
                      <w:between w:val="nil"/>
                    </w:pBdr>
                    <w:spacing w:line="276" w:lineRule="auto"/>
                    <w:rPr>
                      <w:rFonts w:ascii="Calibri" w:eastAsia="Calibri" w:hAnsi="Calibri" w:cs="Calibri"/>
                      <w:sz w:val="20"/>
                      <w:szCs w:val="20"/>
                    </w:rPr>
                  </w:pPr>
                </w:p>
              </w:tc>
              <w:tc>
                <w:tcPr>
                  <w:tcW w:w="606" w:type="dxa"/>
                  <w:tcBorders>
                    <w:top w:val="single" w:sz="6" w:space="0" w:color="FFFFFF"/>
                    <w:bottom w:val="single" w:sz="6" w:space="0" w:color="FFFFFF"/>
                  </w:tcBorders>
                  <w:shd w:val="clear" w:color="auto" w:fill="DBE5F1"/>
                  <w:vAlign w:val="center"/>
                </w:tcPr>
                <w:p w14:paraId="7C4E78FC"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C</w:t>
                  </w:r>
                </w:p>
              </w:tc>
              <w:tc>
                <w:tcPr>
                  <w:tcW w:w="816" w:type="dxa"/>
                  <w:shd w:val="clear" w:color="auto" w:fill="92D050"/>
                  <w:vAlign w:val="center"/>
                </w:tcPr>
                <w:p w14:paraId="69844DBC"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Niski</w:t>
                  </w:r>
                </w:p>
              </w:tc>
              <w:tc>
                <w:tcPr>
                  <w:tcW w:w="815" w:type="dxa"/>
                  <w:shd w:val="clear" w:color="auto" w:fill="FFFF00"/>
                  <w:vAlign w:val="center"/>
                </w:tcPr>
                <w:p w14:paraId="13A71E9C"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Średni</w:t>
                  </w:r>
                </w:p>
              </w:tc>
              <w:tc>
                <w:tcPr>
                  <w:tcW w:w="1359" w:type="dxa"/>
                  <w:tcBorders>
                    <w:bottom w:val="single" w:sz="6" w:space="0" w:color="FFFFFF"/>
                  </w:tcBorders>
                  <w:shd w:val="clear" w:color="auto" w:fill="FFFF00"/>
                  <w:vAlign w:val="center"/>
                </w:tcPr>
                <w:p w14:paraId="0D4DFD13"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Średni</w:t>
                  </w:r>
                </w:p>
              </w:tc>
              <w:tc>
                <w:tcPr>
                  <w:tcW w:w="1359" w:type="dxa"/>
                  <w:tcBorders>
                    <w:top w:val="single" w:sz="6" w:space="0" w:color="FFFFFF"/>
                    <w:bottom w:val="single" w:sz="6" w:space="0" w:color="FFFFFF"/>
                  </w:tcBorders>
                  <w:shd w:val="clear" w:color="auto" w:fill="FF0000"/>
                  <w:vAlign w:val="center"/>
                </w:tcPr>
                <w:p w14:paraId="03F27070"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Wysoki</w:t>
                  </w:r>
                </w:p>
              </w:tc>
              <w:tc>
                <w:tcPr>
                  <w:tcW w:w="1362" w:type="dxa"/>
                  <w:tcBorders>
                    <w:top w:val="single" w:sz="6" w:space="0" w:color="FFFFFF"/>
                  </w:tcBorders>
                  <w:shd w:val="clear" w:color="auto" w:fill="FF0000"/>
                  <w:vAlign w:val="center"/>
                </w:tcPr>
                <w:p w14:paraId="06D02473"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Wysoki</w:t>
                  </w:r>
                </w:p>
              </w:tc>
            </w:tr>
            <w:tr w:rsidR="00600DEE" w14:paraId="04051087" w14:textId="77777777" w:rsidTr="00193C5C">
              <w:trPr>
                <w:trHeight w:hRule="exact" w:val="260"/>
              </w:trPr>
              <w:tc>
                <w:tcPr>
                  <w:tcW w:w="481" w:type="dxa"/>
                  <w:vMerge/>
                  <w:tcBorders>
                    <w:top w:val="single" w:sz="6" w:space="0" w:color="FFFFFF"/>
                    <w:bottom w:val="single" w:sz="6" w:space="0" w:color="FFFFFF"/>
                  </w:tcBorders>
                  <w:shd w:val="clear" w:color="auto" w:fill="DBE5F1"/>
                  <w:vAlign w:val="center"/>
                </w:tcPr>
                <w:p w14:paraId="46E3A11D" w14:textId="77777777" w:rsidR="00600DEE" w:rsidRDefault="00600DEE">
                  <w:pPr>
                    <w:widowControl w:val="0"/>
                    <w:pBdr>
                      <w:top w:val="nil"/>
                      <w:left w:val="nil"/>
                      <w:bottom w:val="nil"/>
                      <w:right w:val="nil"/>
                      <w:between w:val="nil"/>
                    </w:pBdr>
                    <w:spacing w:line="276" w:lineRule="auto"/>
                    <w:rPr>
                      <w:rFonts w:ascii="Calibri" w:eastAsia="Calibri" w:hAnsi="Calibri" w:cs="Calibri"/>
                      <w:sz w:val="20"/>
                      <w:szCs w:val="20"/>
                    </w:rPr>
                  </w:pPr>
                </w:p>
              </w:tc>
              <w:tc>
                <w:tcPr>
                  <w:tcW w:w="606" w:type="dxa"/>
                  <w:tcBorders>
                    <w:top w:val="single" w:sz="6" w:space="0" w:color="FFFFFF"/>
                    <w:bottom w:val="single" w:sz="6" w:space="0" w:color="FFFFFF"/>
                  </w:tcBorders>
                  <w:shd w:val="clear" w:color="auto" w:fill="DBE5F1"/>
                  <w:vAlign w:val="center"/>
                </w:tcPr>
                <w:p w14:paraId="25A8A3B0"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D</w:t>
                  </w:r>
                </w:p>
              </w:tc>
              <w:tc>
                <w:tcPr>
                  <w:tcW w:w="816" w:type="dxa"/>
                  <w:shd w:val="clear" w:color="auto" w:fill="92D050"/>
                  <w:vAlign w:val="center"/>
                </w:tcPr>
                <w:p w14:paraId="519C5BB9"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Niski</w:t>
                  </w:r>
                </w:p>
              </w:tc>
              <w:tc>
                <w:tcPr>
                  <w:tcW w:w="815" w:type="dxa"/>
                  <w:shd w:val="clear" w:color="auto" w:fill="FFFF00"/>
                  <w:vAlign w:val="center"/>
                </w:tcPr>
                <w:p w14:paraId="7677984D"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Średni</w:t>
                  </w:r>
                </w:p>
              </w:tc>
              <w:tc>
                <w:tcPr>
                  <w:tcW w:w="1359" w:type="dxa"/>
                  <w:tcBorders>
                    <w:top w:val="single" w:sz="6" w:space="0" w:color="FFFFFF"/>
                    <w:bottom w:val="single" w:sz="6" w:space="0" w:color="FFFFFF"/>
                  </w:tcBorders>
                  <w:shd w:val="clear" w:color="auto" w:fill="FF0000"/>
                  <w:vAlign w:val="center"/>
                </w:tcPr>
                <w:p w14:paraId="651AC8D7"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Wysoki</w:t>
                  </w:r>
                </w:p>
              </w:tc>
              <w:tc>
                <w:tcPr>
                  <w:tcW w:w="1359" w:type="dxa"/>
                  <w:tcBorders>
                    <w:top w:val="single" w:sz="6" w:space="0" w:color="FFFFFF"/>
                  </w:tcBorders>
                  <w:shd w:val="clear" w:color="auto" w:fill="C00000"/>
                  <w:vAlign w:val="center"/>
                </w:tcPr>
                <w:p w14:paraId="4F97DE82"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Bardzo wysoki</w:t>
                  </w:r>
                </w:p>
              </w:tc>
              <w:tc>
                <w:tcPr>
                  <w:tcW w:w="1362" w:type="dxa"/>
                  <w:shd w:val="clear" w:color="auto" w:fill="C00000"/>
                  <w:vAlign w:val="center"/>
                </w:tcPr>
                <w:p w14:paraId="10400B7A"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Bardzo wysoki</w:t>
                  </w:r>
                </w:p>
              </w:tc>
            </w:tr>
            <w:tr w:rsidR="00600DEE" w14:paraId="26F0F018" w14:textId="77777777" w:rsidTr="00193C5C">
              <w:trPr>
                <w:trHeight w:hRule="exact" w:val="260"/>
              </w:trPr>
              <w:tc>
                <w:tcPr>
                  <w:tcW w:w="481" w:type="dxa"/>
                  <w:vMerge/>
                  <w:tcBorders>
                    <w:top w:val="single" w:sz="6" w:space="0" w:color="FFFFFF"/>
                    <w:bottom w:val="single" w:sz="6" w:space="0" w:color="FFFFFF"/>
                  </w:tcBorders>
                  <w:shd w:val="clear" w:color="auto" w:fill="DBE5F1"/>
                  <w:vAlign w:val="center"/>
                </w:tcPr>
                <w:p w14:paraId="5157D047" w14:textId="77777777" w:rsidR="00600DEE" w:rsidRDefault="00600DEE">
                  <w:pPr>
                    <w:widowControl w:val="0"/>
                    <w:pBdr>
                      <w:top w:val="nil"/>
                      <w:left w:val="nil"/>
                      <w:bottom w:val="nil"/>
                      <w:right w:val="nil"/>
                      <w:between w:val="nil"/>
                    </w:pBdr>
                    <w:spacing w:line="276" w:lineRule="auto"/>
                    <w:rPr>
                      <w:rFonts w:ascii="Calibri" w:eastAsia="Calibri" w:hAnsi="Calibri" w:cs="Calibri"/>
                      <w:sz w:val="20"/>
                      <w:szCs w:val="20"/>
                    </w:rPr>
                  </w:pPr>
                </w:p>
              </w:tc>
              <w:tc>
                <w:tcPr>
                  <w:tcW w:w="606" w:type="dxa"/>
                  <w:tcBorders>
                    <w:top w:val="single" w:sz="6" w:space="0" w:color="FFFFFF"/>
                    <w:bottom w:val="nil"/>
                  </w:tcBorders>
                  <w:shd w:val="clear" w:color="auto" w:fill="DBE5F1"/>
                  <w:vAlign w:val="center"/>
                </w:tcPr>
                <w:p w14:paraId="30DE0757" w14:textId="77777777" w:rsidR="00600DEE" w:rsidRDefault="00641FB5">
                  <w:pPr>
                    <w:pBdr>
                      <w:top w:val="nil"/>
                      <w:left w:val="nil"/>
                      <w:bottom w:val="nil"/>
                      <w:right w:val="nil"/>
                      <w:between w:val="nil"/>
                    </w:pBdr>
                    <w:jc w:val="center"/>
                    <w:rPr>
                      <w:rFonts w:ascii="Calibri" w:eastAsia="Calibri" w:hAnsi="Calibri" w:cs="Calibri"/>
                      <w:b/>
                      <w:color w:val="4F81BD"/>
                      <w:sz w:val="19"/>
                      <w:szCs w:val="19"/>
                    </w:rPr>
                  </w:pPr>
                  <w:r>
                    <w:rPr>
                      <w:rFonts w:ascii="Calibri" w:eastAsia="Calibri" w:hAnsi="Calibri" w:cs="Calibri"/>
                      <w:b/>
                      <w:color w:val="4F81BD"/>
                      <w:sz w:val="19"/>
                      <w:szCs w:val="19"/>
                    </w:rPr>
                    <w:t>E</w:t>
                  </w:r>
                </w:p>
              </w:tc>
              <w:tc>
                <w:tcPr>
                  <w:tcW w:w="816" w:type="dxa"/>
                  <w:shd w:val="clear" w:color="auto" w:fill="FFFF00"/>
                  <w:vAlign w:val="center"/>
                </w:tcPr>
                <w:p w14:paraId="50CC5C63"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Średni</w:t>
                  </w:r>
                </w:p>
              </w:tc>
              <w:tc>
                <w:tcPr>
                  <w:tcW w:w="815" w:type="dxa"/>
                  <w:shd w:val="clear" w:color="auto" w:fill="FF0000"/>
                  <w:vAlign w:val="center"/>
                </w:tcPr>
                <w:p w14:paraId="4B011C41"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Wysoki</w:t>
                  </w:r>
                </w:p>
              </w:tc>
              <w:tc>
                <w:tcPr>
                  <w:tcW w:w="1359" w:type="dxa"/>
                  <w:tcBorders>
                    <w:top w:val="single" w:sz="6" w:space="0" w:color="FFFFFF"/>
                  </w:tcBorders>
                  <w:shd w:val="clear" w:color="auto" w:fill="C00000"/>
                  <w:vAlign w:val="center"/>
                </w:tcPr>
                <w:p w14:paraId="04A5BEBC"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Bardzo wysoki</w:t>
                  </w:r>
                </w:p>
              </w:tc>
              <w:tc>
                <w:tcPr>
                  <w:tcW w:w="1359" w:type="dxa"/>
                  <w:shd w:val="clear" w:color="auto" w:fill="C00000"/>
                  <w:vAlign w:val="center"/>
                </w:tcPr>
                <w:p w14:paraId="6592F2F5"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Bardzo wysoki</w:t>
                  </w:r>
                </w:p>
              </w:tc>
              <w:tc>
                <w:tcPr>
                  <w:tcW w:w="1362" w:type="dxa"/>
                  <w:shd w:val="clear" w:color="auto" w:fill="C00000"/>
                  <w:vAlign w:val="center"/>
                </w:tcPr>
                <w:p w14:paraId="517F97D7" w14:textId="77777777" w:rsidR="00600DEE" w:rsidRDefault="00641FB5">
                  <w:pPr>
                    <w:jc w:val="center"/>
                    <w:rPr>
                      <w:rFonts w:ascii="Calibri" w:eastAsia="Calibri" w:hAnsi="Calibri" w:cs="Calibri"/>
                      <w:sz w:val="20"/>
                      <w:szCs w:val="20"/>
                    </w:rPr>
                  </w:pPr>
                  <w:r>
                    <w:rPr>
                      <w:rFonts w:ascii="Calibri" w:eastAsia="Calibri" w:hAnsi="Calibri" w:cs="Calibri"/>
                      <w:sz w:val="20"/>
                      <w:szCs w:val="20"/>
                    </w:rPr>
                    <w:t>Bardzo wysoki</w:t>
                  </w:r>
                </w:p>
              </w:tc>
            </w:tr>
          </w:tbl>
          <w:p w14:paraId="04378C28" w14:textId="77777777" w:rsidR="00600DEE" w:rsidRPr="00374F74" w:rsidRDefault="00641FB5">
            <w:pPr>
              <w:spacing w:before="120" w:after="120" w:line="276" w:lineRule="auto"/>
              <w:ind w:right="170"/>
              <w:jc w:val="both"/>
              <w:rPr>
                <w:rFonts w:ascii="Calibri" w:eastAsia="Calibri" w:hAnsi="Calibri" w:cs="Calibri"/>
                <w:b/>
                <w:i/>
                <w:sz w:val="16"/>
                <w:szCs w:val="16"/>
              </w:rPr>
            </w:pPr>
            <w:r w:rsidRPr="00374F74">
              <w:rPr>
                <w:rFonts w:ascii="Calibri" w:eastAsia="Calibri" w:hAnsi="Calibri" w:cs="Calibri"/>
                <w:b/>
                <w:i/>
                <w:sz w:val="16"/>
                <w:szCs w:val="16"/>
              </w:rPr>
              <w:t>Źródło: “Guide to Cost-benefit Analysis of Investment Projects - Economic appraisal tool for Cohesion Policy 2014-2020” DG Regio, grudzień 2014.</w:t>
            </w:r>
          </w:p>
          <w:p w14:paraId="6208A04A" w14:textId="6764CB8B"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bookmarkStart w:id="113" w:name="_heading=h.2nusc19" w:colFirst="0" w:colLast="0"/>
            <w:bookmarkEnd w:id="113"/>
            <w:r>
              <w:rPr>
                <w:rFonts w:ascii="Calibri" w:eastAsia="Calibri" w:hAnsi="Calibri" w:cs="Calibri"/>
                <w:b/>
                <w:color w:val="000000"/>
                <w:sz w:val="20"/>
                <w:szCs w:val="20"/>
              </w:rPr>
              <w:t>Należy podkreślić, że częścią analizy jakościowej ryzyka całego projektu powinna być</w:t>
            </w:r>
            <w:r>
              <w:rPr>
                <w:rFonts w:ascii="Calibri" w:eastAsia="Calibri" w:hAnsi="Calibri" w:cs="Calibri"/>
                <w:color w:val="000000"/>
                <w:sz w:val="20"/>
                <w:szCs w:val="20"/>
              </w:rPr>
              <w:t xml:space="preserve"> </w:t>
            </w:r>
            <w:r>
              <w:rPr>
                <w:rFonts w:ascii="Calibri" w:eastAsia="Calibri" w:hAnsi="Calibri" w:cs="Calibri"/>
                <w:b/>
                <w:color w:val="000000"/>
                <w:sz w:val="20"/>
                <w:szCs w:val="20"/>
              </w:rPr>
              <w:t xml:space="preserve">ocena ryzyka zmian klimatu (w szczególności będzie to wymagało szerszego ujęcia, jeśli nie zostało ujęte w OOŚ). Działania zaradcze, adaptacyjne i uodparniające na skutki zmian klimatu powinny być należycie przedstawione. Szczegółowe wytyczne na ten temat nie są przedmiotem niniejszego podręcznika, </w:t>
            </w:r>
            <w:r w:rsidR="00B67038">
              <w:rPr>
                <w:rFonts w:ascii="Calibri" w:eastAsia="Calibri" w:hAnsi="Calibri" w:cs="Calibri"/>
                <w:b/>
                <w:color w:val="000000"/>
                <w:sz w:val="20"/>
                <w:szCs w:val="20"/>
              </w:rPr>
              <w:t>ale</w:t>
            </w:r>
            <w:r>
              <w:rPr>
                <w:rFonts w:ascii="Calibri" w:eastAsia="Calibri" w:hAnsi="Calibri" w:cs="Calibri"/>
                <w:b/>
                <w:color w:val="000000"/>
                <w:sz w:val="20"/>
                <w:szCs w:val="20"/>
              </w:rPr>
              <w:t xml:space="preserve"> powinny być częścią ogólnej analizy ryzyka projektu wg. powyżej przedstawionego podejścia</w:t>
            </w:r>
            <w:r w:rsidRPr="00B67038">
              <w:rPr>
                <w:rFonts w:ascii="Calibri" w:eastAsia="Calibri" w:hAnsi="Calibri" w:cs="Calibri"/>
                <w:b/>
                <w:color w:val="000000"/>
                <w:sz w:val="20"/>
                <w:szCs w:val="20"/>
              </w:rPr>
              <w:t xml:space="preserve">, </w:t>
            </w:r>
            <w:r w:rsidR="00B67038" w:rsidRPr="00B67038">
              <w:rPr>
                <w:rFonts w:asciiTheme="minorHAnsi" w:hAnsiTheme="minorHAnsi"/>
                <w:b/>
                <w:sz w:val="20"/>
                <w:szCs w:val="20"/>
                <w:lang w:eastAsia="en-US"/>
              </w:rPr>
              <w:t xml:space="preserve">szczegółowe zalecenia znajdują się w dokumencie </w:t>
            </w:r>
            <w:hyperlink r:id="rId134">
              <w:r>
                <w:rPr>
                  <w:rFonts w:ascii="Calibri" w:eastAsia="Calibri" w:hAnsi="Calibri" w:cs="Calibri"/>
                  <w:b/>
                  <w:color w:val="0000FF"/>
                  <w:sz w:val="20"/>
                  <w:szCs w:val="20"/>
                  <w:u w:val="single"/>
                </w:rPr>
                <w:t>Wytyczne techniczne dotyczące weryfikacji infrastruktury pod względem wpływu na klimat w latach 2021–2027</w:t>
              </w:r>
            </w:hyperlink>
            <w:r>
              <w:rPr>
                <w:rFonts w:ascii="Calibri" w:eastAsia="Calibri" w:hAnsi="Calibri" w:cs="Calibri"/>
                <w:b/>
                <w:color w:val="000000"/>
                <w:sz w:val="20"/>
                <w:szCs w:val="20"/>
              </w:rPr>
              <w:t>.</w:t>
            </w:r>
          </w:p>
          <w:p w14:paraId="7FFA14D7"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 xml:space="preserve">Działania zaradcze i wskazanie podmiotów odpowiedzialnych </w:t>
            </w:r>
          </w:p>
          <w:p w14:paraId="37FE73C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Po zidentyfikowaniu ryzyk i ich ocenie, dla każdego ryzyka należy określić strategię reagowania oraz działania zaradcze. </w:t>
            </w:r>
          </w:p>
          <w:p w14:paraId="37AC0331"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Wyróżniamy cztery główne strategie działań zaradczych:</w:t>
            </w:r>
          </w:p>
          <w:p w14:paraId="5D03323C" w14:textId="77777777" w:rsidR="00600DEE" w:rsidRDefault="00641FB5">
            <w:pPr>
              <w:numPr>
                <w:ilvl w:val="0"/>
                <w:numId w:val="13"/>
              </w:numPr>
              <w:pBdr>
                <w:top w:val="nil"/>
                <w:left w:val="nil"/>
                <w:bottom w:val="nil"/>
                <w:right w:val="nil"/>
                <w:between w:val="nil"/>
              </w:pBdr>
              <w:spacing w:before="120"/>
              <w:ind w:left="0" w:firstLine="0"/>
              <w:jc w:val="both"/>
              <w:rPr>
                <w:rFonts w:ascii="Calibri" w:eastAsia="Calibri" w:hAnsi="Calibri" w:cs="Calibri"/>
                <w:color w:val="000000"/>
                <w:sz w:val="20"/>
                <w:szCs w:val="20"/>
              </w:rPr>
            </w:pPr>
            <w:r>
              <w:rPr>
                <w:rFonts w:ascii="Calibri" w:eastAsia="Calibri" w:hAnsi="Calibri" w:cs="Calibri"/>
                <w:b/>
                <w:color w:val="000000"/>
                <w:sz w:val="20"/>
                <w:szCs w:val="20"/>
              </w:rPr>
              <w:t>Zapobieganie ryzyku:</w:t>
            </w:r>
            <w:r>
              <w:rPr>
                <w:rFonts w:ascii="Calibri" w:eastAsia="Calibri" w:hAnsi="Calibri" w:cs="Calibri"/>
                <w:color w:val="000000"/>
                <w:sz w:val="20"/>
                <w:szCs w:val="20"/>
              </w:rPr>
              <w:t xml:space="preserve"> oznacza zmianę planu przedsięwzięcia w celu wyeliminowania zagrożenia lub wyeliminowania wpływu ryzyka na projekt. Działania zaradcze mogą polegać na zmianie projektu technicznego, modelu instytucjonalnego, sposobu finansowania lub formuły kontraktu wykonawczego.</w:t>
            </w:r>
          </w:p>
          <w:p w14:paraId="5EAB13EB" w14:textId="77777777" w:rsidR="00600DEE" w:rsidRDefault="00641FB5">
            <w:pPr>
              <w:numPr>
                <w:ilvl w:val="0"/>
                <w:numId w:val="13"/>
              </w:numPr>
              <w:pBdr>
                <w:top w:val="nil"/>
                <w:left w:val="nil"/>
                <w:bottom w:val="nil"/>
                <w:right w:val="nil"/>
                <w:between w:val="nil"/>
              </w:pBdr>
              <w:spacing w:before="120"/>
              <w:ind w:left="0" w:firstLine="0"/>
              <w:jc w:val="both"/>
              <w:rPr>
                <w:rFonts w:ascii="Calibri" w:eastAsia="Calibri" w:hAnsi="Calibri" w:cs="Calibri"/>
                <w:color w:val="000000"/>
                <w:sz w:val="20"/>
                <w:szCs w:val="20"/>
              </w:rPr>
            </w:pPr>
            <w:r>
              <w:rPr>
                <w:rFonts w:ascii="Calibri" w:eastAsia="Calibri" w:hAnsi="Calibri" w:cs="Calibri"/>
                <w:b/>
                <w:color w:val="000000"/>
                <w:sz w:val="20"/>
                <w:szCs w:val="20"/>
              </w:rPr>
              <w:t>Ograniczanie ryzyka:</w:t>
            </w:r>
            <w:r>
              <w:rPr>
                <w:rFonts w:ascii="Calibri" w:eastAsia="Calibri" w:hAnsi="Calibri" w:cs="Calibri"/>
                <w:color w:val="000000"/>
                <w:sz w:val="20"/>
                <w:szCs w:val="20"/>
              </w:rPr>
              <w:t xml:space="preserve"> oznacza redukcję prawdopodobieństwa wystąpienia ryzyka lub jego skutków poprzez wprowadzenie zmian do przedsięwzięcia, takich jak zmiany w projektowaniu lub wykorzystaniu materiałów. Różnica w stosunku do strategii ”zapobiegania” ryzyka polega na tym, że ryzyko jest jedynie ograniczone, a nie jest wyeliminowane.</w:t>
            </w:r>
          </w:p>
          <w:p w14:paraId="6427FC54" w14:textId="77777777" w:rsidR="00600DEE" w:rsidRDefault="00641FB5">
            <w:pPr>
              <w:numPr>
                <w:ilvl w:val="0"/>
                <w:numId w:val="13"/>
              </w:numPr>
              <w:pBdr>
                <w:top w:val="nil"/>
                <w:left w:val="nil"/>
                <w:bottom w:val="nil"/>
                <w:right w:val="nil"/>
                <w:between w:val="nil"/>
              </w:pBdr>
              <w:spacing w:before="120"/>
              <w:ind w:left="0" w:firstLine="0"/>
              <w:jc w:val="both"/>
              <w:rPr>
                <w:rFonts w:ascii="Calibri" w:eastAsia="Calibri" w:hAnsi="Calibri" w:cs="Calibri"/>
                <w:color w:val="000000"/>
                <w:sz w:val="20"/>
                <w:szCs w:val="20"/>
              </w:rPr>
            </w:pPr>
            <w:r>
              <w:rPr>
                <w:rFonts w:ascii="Calibri" w:eastAsia="Calibri" w:hAnsi="Calibri" w:cs="Calibri"/>
                <w:b/>
                <w:color w:val="000000"/>
                <w:sz w:val="20"/>
                <w:szCs w:val="20"/>
              </w:rPr>
              <w:t>Przeniesienie ryzyka:</w:t>
            </w:r>
            <w:r>
              <w:rPr>
                <w:rFonts w:ascii="Calibri" w:eastAsia="Calibri" w:hAnsi="Calibri" w:cs="Calibri"/>
                <w:color w:val="000000"/>
                <w:sz w:val="20"/>
                <w:szCs w:val="20"/>
              </w:rPr>
              <w:t xml:space="preserve"> oznacza przeniesienie odpowiedzialności za ryzyko na stronę trzecią (inny podmiot) za określoną cenę. Firmy ubezpieczeniowe są najbardziej oczywistym przykładem takiej strony trzeciej, ale może to być również inny podmiot uczestniczący w projekcie, np. wykonawca. Przeniesienie ryzyka musi wynikać z umowy, gwarancji lub mechanizmów cenowych (między innymi). Przeniesienie ryzyka ma sens tylko wtedy, jeśli strona przejmująca ryzyko jest w stanie (lepiej) kontrolować dane ryzyko, a także posiada środki na pokrycie skutków oddziaływania danego ryzyka, w przypadku, gdy ryzyko się zmaterializuje.</w:t>
            </w:r>
          </w:p>
          <w:p w14:paraId="6D081A2C" w14:textId="77777777" w:rsidR="00600DEE" w:rsidRDefault="00641FB5">
            <w:pPr>
              <w:numPr>
                <w:ilvl w:val="0"/>
                <w:numId w:val="13"/>
              </w:numPr>
              <w:pBdr>
                <w:top w:val="nil"/>
                <w:left w:val="nil"/>
                <w:bottom w:val="nil"/>
                <w:right w:val="nil"/>
                <w:between w:val="nil"/>
              </w:pBdr>
              <w:spacing w:before="120"/>
              <w:ind w:left="0" w:firstLine="0"/>
              <w:jc w:val="both"/>
              <w:rPr>
                <w:rFonts w:ascii="Calibri" w:eastAsia="Calibri" w:hAnsi="Calibri" w:cs="Calibri"/>
                <w:color w:val="000000"/>
                <w:sz w:val="20"/>
                <w:szCs w:val="20"/>
              </w:rPr>
            </w:pPr>
            <w:r>
              <w:rPr>
                <w:rFonts w:ascii="Calibri" w:eastAsia="Calibri" w:hAnsi="Calibri" w:cs="Calibri"/>
                <w:b/>
                <w:color w:val="000000"/>
                <w:sz w:val="20"/>
                <w:szCs w:val="20"/>
              </w:rPr>
              <w:t>Tolerowanie ryzyka:</w:t>
            </w:r>
            <w:r>
              <w:rPr>
                <w:rFonts w:ascii="Calibri" w:eastAsia="Calibri" w:hAnsi="Calibri" w:cs="Calibri"/>
                <w:color w:val="000000"/>
                <w:sz w:val="20"/>
                <w:szCs w:val="20"/>
              </w:rPr>
              <w:t xml:space="preserve"> jest strategią przyjmowaną w sytuacjach, w których nie można zapobiec ryzyku, ograniczyć go lub (ekonomicznie) przenieść. Dlatego takie ryzyko musi być po prostu tolerowane. Jednakże to podejście wymaga opracowania planu awaryjnego na wypadek wystąpienia negatywnego zdarzenia lecz nie wymaga wcześniejszych działań.</w:t>
            </w:r>
          </w:p>
          <w:p w14:paraId="6AE10D42" w14:textId="77777777" w:rsidR="00600DEE" w:rsidRDefault="00641FB5" w:rsidP="003441F7">
            <w:pPr>
              <w:pBdr>
                <w:top w:val="nil"/>
                <w:left w:val="nil"/>
                <w:bottom w:val="nil"/>
                <w:right w:val="nil"/>
                <w:between w:val="nil"/>
              </w:pBdr>
              <w:spacing w:after="120"/>
              <w:jc w:val="both"/>
              <w:rPr>
                <w:rFonts w:ascii="Calibri" w:eastAsia="Calibri" w:hAnsi="Calibri" w:cs="Calibri"/>
                <w:color w:val="000000"/>
                <w:sz w:val="20"/>
                <w:szCs w:val="20"/>
              </w:rPr>
            </w:pPr>
            <w:r>
              <w:rPr>
                <w:rFonts w:ascii="Calibri" w:eastAsia="Calibri" w:hAnsi="Calibri" w:cs="Calibri"/>
                <w:color w:val="000000"/>
                <w:sz w:val="20"/>
                <w:szCs w:val="20"/>
              </w:rPr>
              <w:t>Strategie ”Zapobiegania” i “Ograniczania” są powiązane z matrycą poziomu ryzyka w następujący sposób:</w:t>
            </w:r>
          </w:p>
          <w:tbl>
            <w:tblPr>
              <w:tblStyle w:val="afffffffc"/>
              <w:tblW w:w="5973" w:type="dxa"/>
              <w:tblBorders>
                <w:top w:val="single" w:sz="4" w:space="0" w:color="9BBB59"/>
                <w:bottom w:val="single" w:sz="4" w:space="0" w:color="9BBB59"/>
              </w:tblBorders>
              <w:tblLayout w:type="fixed"/>
              <w:tblLook w:val="0400" w:firstRow="0" w:lastRow="0" w:firstColumn="0" w:lastColumn="0" w:noHBand="0" w:noVBand="1"/>
            </w:tblPr>
            <w:tblGrid>
              <w:gridCol w:w="2086"/>
              <w:gridCol w:w="275"/>
              <w:gridCol w:w="1144"/>
              <w:gridCol w:w="831"/>
              <w:gridCol w:w="876"/>
              <w:gridCol w:w="761"/>
            </w:tblGrid>
            <w:tr w:rsidR="00600DEE" w14:paraId="2673C819" w14:textId="77777777">
              <w:trPr>
                <w:trHeight w:val="520"/>
              </w:trPr>
              <w:tc>
                <w:tcPr>
                  <w:tcW w:w="2086" w:type="dxa"/>
                  <w:tcBorders>
                    <w:top w:val="single" w:sz="4" w:space="0" w:color="92D050"/>
                    <w:bottom w:val="single" w:sz="4" w:space="0" w:color="92D050"/>
                    <w:right w:val="single" w:sz="4" w:space="0" w:color="92D050"/>
                  </w:tcBorders>
                  <w:shd w:val="clear" w:color="auto" w:fill="auto"/>
                  <w:vAlign w:val="center"/>
                </w:tcPr>
                <w:p w14:paraId="56C67FCE"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Siła wpływu/ Prawdopodobieństwo</w:t>
                  </w:r>
                </w:p>
              </w:tc>
              <w:tc>
                <w:tcPr>
                  <w:tcW w:w="275" w:type="dxa"/>
                  <w:tcBorders>
                    <w:top w:val="single" w:sz="4" w:space="0" w:color="92D050"/>
                    <w:left w:val="single" w:sz="4" w:space="0" w:color="92D050"/>
                    <w:bottom w:val="single" w:sz="4" w:space="0" w:color="92D050"/>
                    <w:right w:val="nil"/>
                  </w:tcBorders>
                  <w:shd w:val="clear" w:color="auto" w:fill="auto"/>
                  <w:vAlign w:val="center"/>
                </w:tcPr>
                <w:p w14:paraId="1821F228"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I</w:t>
                  </w:r>
                </w:p>
              </w:tc>
              <w:tc>
                <w:tcPr>
                  <w:tcW w:w="1144" w:type="dxa"/>
                  <w:tcBorders>
                    <w:top w:val="single" w:sz="4" w:space="0" w:color="92D050"/>
                    <w:left w:val="nil"/>
                    <w:bottom w:val="single" w:sz="4" w:space="0" w:color="92D050"/>
                  </w:tcBorders>
                  <w:shd w:val="clear" w:color="auto" w:fill="auto"/>
                  <w:vAlign w:val="center"/>
                </w:tcPr>
                <w:p w14:paraId="6953A6B8"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II</w:t>
                  </w:r>
                </w:p>
              </w:tc>
              <w:tc>
                <w:tcPr>
                  <w:tcW w:w="831" w:type="dxa"/>
                  <w:tcBorders>
                    <w:top w:val="single" w:sz="4" w:space="0" w:color="92D050"/>
                    <w:bottom w:val="single" w:sz="4" w:space="0" w:color="92D050"/>
                  </w:tcBorders>
                  <w:shd w:val="clear" w:color="auto" w:fill="auto"/>
                  <w:vAlign w:val="center"/>
                </w:tcPr>
                <w:p w14:paraId="492FD7E8"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III</w:t>
                  </w:r>
                </w:p>
              </w:tc>
              <w:tc>
                <w:tcPr>
                  <w:tcW w:w="876" w:type="dxa"/>
                  <w:tcBorders>
                    <w:top w:val="single" w:sz="4" w:space="0" w:color="92D050"/>
                    <w:bottom w:val="single" w:sz="4" w:space="0" w:color="92D050"/>
                  </w:tcBorders>
                  <w:shd w:val="clear" w:color="auto" w:fill="auto"/>
                  <w:vAlign w:val="center"/>
                </w:tcPr>
                <w:p w14:paraId="4B7AAACF"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IV</w:t>
                  </w:r>
                </w:p>
              </w:tc>
              <w:tc>
                <w:tcPr>
                  <w:tcW w:w="761" w:type="dxa"/>
                  <w:tcBorders>
                    <w:top w:val="single" w:sz="4" w:space="0" w:color="92D050"/>
                    <w:bottom w:val="single" w:sz="4" w:space="0" w:color="92D050"/>
                  </w:tcBorders>
                  <w:shd w:val="clear" w:color="auto" w:fill="auto"/>
                  <w:vAlign w:val="center"/>
                </w:tcPr>
                <w:p w14:paraId="3BF7A4A3"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V</w:t>
                  </w:r>
                </w:p>
              </w:tc>
            </w:tr>
            <w:tr w:rsidR="00600DEE" w14:paraId="4DD7EEC5" w14:textId="77777777">
              <w:tc>
                <w:tcPr>
                  <w:tcW w:w="2086" w:type="dxa"/>
                  <w:tcBorders>
                    <w:top w:val="single" w:sz="4" w:space="0" w:color="92D050"/>
                    <w:bottom w:val="nil"/>
                    <w:right w:val="single" w:sz="4" w:space="0" w:color="92D050"/>
                  </w:tcBorders>
                  <w:shd w:val="clear" w:color="auto" w:fill="auto"/>
                  <w:vAlign w:val="center"/>
                </w:tcPr>
                <w:p w14:paraId="42D03A7A"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A</w:t>
                  </w:r>
                </w:p>
              </w:tc>
              <w:tc>
                <w:tcPr>
                  <w:tcW w:w="1419" w:type="dxa"/>
                  <w:gridSpan w:val="2"/>
                  <w:vMerge w:val="restart"/>
                  <w:tcBorders>
                    <w:top w:val="single" w:sz="4" w:space="0" w:color="92D050"/>
                    <w:left w:val="single" w:sz="4" w:space="0" w:color="92D050"/>
                    <w:bottom w:val="nil"/>
                  </w:tcBorders>
                  <w:shd w:val="clear" w:color="auto" w:fill="auto"/>
                  <w:vAlign w:val="center"/>
                </w:tcPr>
                <w:p w14:paraId="49603A87" w14:textId="77777777" w:rsidR="00600DEE" w:rsidRDefault="00641FB5">
                  <w:pPr>
                    <w:spacing w:before="40" w:after="40"/>
                    <w:jc w:val="center"/>
                    <w:rPr>
                      <w:rFonts w:ascii="Calibri" w:eastAsia="Calibri" w:hAnsi="Calibri" w:cs="Calibri"/>
                      <w:sz w:val="18"/>
                      <w:szCs w:val="18"/>
                    </w:rPr>
                  </w:pPr>
                  <w:r>
                    <w:rPr>
                      <w:rFonts w:ascii="Calibri" w:eastAsia="Calibri" w:hAnsi="Calibri" w:cs="Calibri"/>
                      <w:sz w:val="18"/>
                      <w:szCs w:val="18"/>
                    </w:rPr>
                    <w:t>Zapobieganie lub ograniczanie</w:t>
                  </w:r>
                </w:p>
              </w:tc>
              <w:tc>
                <w:tcPr>
                  <w:tcW w:w="2468" w:type="dxa"/>
                  <w:gridSpan w:val="3"/>
                  <w:vMerge w:val="restart"/>
                  <w:tcBorders>
                    <w:top w:val="single" w:sz="4" w:space="0" w:color="92D050"/>
                    <w:bottom w:val="nil"/>
                  </w:tcBorders>
                  <w:shd w:val="clear" w:color="auto" w:fill="auto"/>
                  <w:vAlign w:val="center"/>
                </w:tcPr>
                <w:p w14:paraId="0BB22F94" w14:textId="77777777" w:rsidR="00600DEE" w:rsidRDefault="00641FB5">
                  <w:pPr>
                    <w:spacing w:before="40" w:after="40"/>
                    <w:jc w:val="center"/>
                    <w:rPr>
                      <w:rFonts w:ascii="Calibri" w:eastAsia="Calibri" w:hAnsi="Calibri" w:cs="Calibri"/>
                      <w:sz w:val="18"/>
                      <w:szCs w:val="18"/>
                    </w:rPr>
                  </w:pPr>
                  <w:r>
                    <w:rPr>
                      <w:rFonts w:ascii="Calibri" w:eastAsia="Calibri" w:hAnsi="Calibri" w:cs="Calibri"/>
                      <w:sz w:val="18"/>
                      <w:szCs w:val="18"/>
                    </w:rPr>
                    <w:t>Ograniczanie</w:t>
                  </w:r>
                </w:p>
              </w:tc>
            </w:tr>
            <w:tr w:rsidR="00600DEE" w14:paraId="23CA3D61" w14:textId="77777777">
              <w:tc>
                <w:tcPr>
                  <w:tcW w:w="2086" w:type="dxa"/>
                  <w:tcBorders>
                    <w:top w:val="nil"/>
                    <w:right w:val="single" w:sz="4" w:space="0" w:color="92D050"/>
                  </w:tcBorders>
                  <w:shd w:val="clear" w:color="auto" w:fill="auto"/>
                  <w:vAlign w:val="center"/>
                </w:tcPr>
                <w:p w14:paraId="6FEFE9A2"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B</w:t>
                  </w:r>
                </w:p>
              </w:tc>
              <w:tc>
                <w:tcPr>
                  <w:tcW w:w="1419" w:type="dxa"/>
                  <w:gridSpan w:val="2"/>
                  <w:vMerge/>
                  <w:tcBorders>
                    <w:top w:val="single" w:sz="4" w:space="0" w:color="92D050"/>
                    <w:left w:val="single" w:sz="4" w:space="0" w:color="92D050"/>
                    <w:bottom w:val="nil"/>
                  </w:tcBorders>
                  <w:shd w:val="clear" w:color="auto" w:fill="auto"/>
                  <w:vAlign w:val="center"/>
                </w:tcPr>
                <w:p w14:paraId="61E2E589" w14:textId="77777777" w:rsidR="00600DEE" w:rsidRDefault="00600DEE">
                  <w:pPr>
                    <w:widowControl w:val="0"/>
                    <w:pBdr>
                      <w:top w:val="nil"/>
                      <w:left w:val="nil"/>
                      <w:bottom w:val="nil"/>
                      <w:right w:val="nil"/>
                      <w:between w:val="nil"/>
                    </w:pBdr>
                    <w:spacing w:line="276" w:lineRule="auto"/>
                    <w:rPr>
                      <w:rFonts w:ascii="Calibri" w:eastAsia="Calibri" w:hAnsi="Calibri" w:cs="Calibri"/>
                      <w:b/>
                      <w:sz w:val="18"/>
                      <w:szCs w:val="18"/>
                    </w:rPr>
                  </w:pPr>
                </w:p>
              </w:tc>
              <w:tc>
                <w:tcPr>
                  <w:tcW w:w="2468" w:type="dxa"/>
                  <w:gridSpan w:val="3"/>
                  <w:vMerge/>
                  <w:tcBorders>
                    <w:top w:val="single" w:sz="4" w:space="0" w:color="92D050"/>
                    <w:bottom w:val="nil"/>
                  </w:tcBorders>
                  <w:shd w:val="clear" w:color="auto" w:fill="auto"/>
                  <w:vAlign w:val="center"/>
                </w:tcPr>
                <w:p w14:paraId="588C9202" w14:textId="77777777" w:rsidR="00600DEE" w:rsidRDefault="00600DEE">
                  <w:pPr>
                    <w:widowControl w:val="0"/>
                    <w:pBdr>
                      <w:top w:val="nil"/>
                      <w:left w:val="nil"/>
                      <w:bottom w:val="nil"/>
                      <w:right w:val="nil"/>
                      <w:between w:val="nil"/>
                    </w:pBdr>
                    <w:spacing w:line="276" w:lineRule="auto"/>
                    <w:rPr>
                      <w:rFonts w:ascii="Calibri" w:eastAsia="Calibri" w:hAnsi="Calibri" w:cs="Calibri"/>
                      <w:b/>
                      <w:sz w:val="18"/>
                      <w:szCs w:val="18"/>
                    </w:rPr>
                  </w:pPr>
                </w:p>
              </w:tc>
            </w:tr>
            <w:tr w:rsidR="00600DEE" w14:paraId="12002841" w14:textId="77777777">
              <w:tc>
                <w:tcPr>
                  <w:tcW w:w="2086" w:type="dxa"/>
                  <w:tcBorders>
                    <w:bottom w:val="nil"/>
                    <w:right w:val="single" w:sz="4" w:space="0" w:color="92D050"/>
                  </w:tcBorders>
                  <w:shd w:val="clear" w:color="auto" w:fill="auto"/>
                  <w:vAlign w:val="center"/>
                </w:tcPr>
                <w:p w14:paraId="20A1863C"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C</w:t>
                  </w:r>
                </w:p>
              </w:tc>
              <w:tc>
                <w:tcPr>
                  <w:tcW w:w="1419" w:type="dxa"/>
                  <w:gridSpan w:val="2"/>
                  <w:vMerge/>
                  <w:tcBorders>
                    <w:top w:val="single" w:sz="4" w:space="0" w:color="92D050"/>
                    <w:left w:val="single" w:sz="4" w:space="0" w:color="92D050"/>
                    <w:bottom w:val="nil"/>
                  </w:tcBorders>
                  <w:shd w:val="clear" w:color="auto" w:fill="auto"/>
                  <w:vAlign w:val="center"/>
                </w:tcPr>
                <w:p w14:paraId="6FA77706" w14:textId="77777777" w:rsidR="00600DEE" w:rsidRDefault="00600DEE">
                  <w:pPr>
                    <w:widowControl w:val="0"/>
                    <w:pBdr>
                      <w:top w:val="nil"/>
                      <w:left w:val="nil"/>
                      <w:bottom w:val="nil"/>
                      <w:right w:val="nil"/>
                      <w:between w:val="nil"/>
                    </w:pBdr>
                    <w:spacing w:line="276" w:lineRule="auto"/>
                    <w:rPr>
                      <w:rFonts w:ascii="Calibri" w:eastAsia="Calibri" w:hAnsi="Calibri" w:cs="Calibri"/>
                      <w:b/>
                      <w:sz w:val="18"/>
                      <w:szCs w:val="18"/>
                    </w:rPr>
                  </w:pPr>
                </w:p>
              </w:tc>
              <w:tc>
                <w:tcPr>
                  <w:tcW w:w="2468" w:type="dxa"/>
                  <w:gridSpan w:val="3"/>
                  <w:vMerge/>
                  <w:tcBorders>
                    <w:top w:val="single" w:sz="4" w:space="0" w:color="92D050"/>
                    <w:bottom w:val="nil"/>
                  </w:tcBorders>
                  <w:shd w:val="clear" w:color="auto" w:fill="auto"/>
                  <w:vAlign w:val="center"/>
                </w:tcPr>
                <w:p w14:paraId="068E091C" w14:textId="77777777" w:rsidR="00600DEE" w:rsidRDefault="00600DEE">
                  <w:pPr>
                    <w:widowControl w:val="0"/>
                    <w:pBdr>
                      <w:top w:val="nil"/>
                      <w:left w:val="nil"/>
                      <w:bottom w:val="nil"/>
                      <w:right w:val="nil"/>
                      <w:between w:val="nil"/>
                    </w:pBdr>
                    <w:spacing w:line="276" w:lineRule="auto"/>
                    <w:rPr>
                      <w:rFonts w:ascii="Calibri" w:eastAsia="Calibri" w:hAnsi="Calibri" w:cs="Calibri"/>
                      <w:b/>
                      <w:sz w:val="18"/>
                      <w:szCs w:val="18"/>
                    </w:rPr>
                  </w:pPr>
                </w:p>
              </w:tc>
            </w:tr>
            <w:tr w:rsidR="00600DEE" w14:paraId="4744FE6A" w14:textId="77777777">
              <w:tc>
                <w:tcPr>
                  <w:tcW w:w="2086" w:type="dxa"/>
                  <w:tcBorders>
                    <w:top w:val="nil"/>
                    <w:bottom w:val="nil"/>
                    <w:right w:val="single" w:sz="4" w:space="0" w:color="92D050"/>
                  </w:tcBorders>
                  <w:shd w:val="clear" w:color="auto" w:fill="auto"/>
                  <w:vAlign w:val="center"/>
                </w:tcPr>
                <w:p w14:paraId="2B14F81E"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D</w:t>
                  </w:r>
                </w:p>
              </w:tc>
              <w:tc>
                <w:tcPr>
                  <w:tcW w:w="1419" w:type="dxa"/>
                  <w:gridSpan w:val="2"/>
                  <w:vMerge w:val="restart"/>
                  <w:tcBorders>
                    <w:top w:val="nil"/>
                    <w:left w:val="single" w:sz="4" w:space="0" w:color="92D050"/>
                    <w:bottom w:val="nil"/>
                  </w:tcBorders>
                  <w:shd w:val="clear" w:color="auto" w:fill="auto"/>
                  <w:vAlign w:val="center"/>
                </w:tcPr>
                <w:p w14:paraId="5E7F5AB5" w14:textId="77777777" w:rsidR="00600DEE" w:rsidRDefault="00641FB5">
                  <w:pPr>
                    <w:spacing w:before="40" w:after="40"/>
                    <w:jc w:val="center"/>
                    <w:rPr>
                      <w:rFonts w:ascii="Calibri" w:eastAsia="Calibri" w:hAnsi="Calibri" w:cs="Calibri"/>
                      <w:sz w:val="18"/>
                      <w:szCs w:val="18"/>
                    </w:rPr>
                  </w:pPr>
                  <w:r>
                    <w:rPr>
                      <w:rFonts w:ascii="Calibri" w:eastAsia="Calibri" w:hAnsi="Calibri" w:cs="Calibri"/>
                      <w:sz w:val="18"/>
                      <w:szCs w:val="18"/>
                    </w:rPr>
                    <w:t>Zapobieganie</w:t>
                  </w:r>
                </w:p>
              </w:tc>
              <w:tc>
                <w:tcPr>
                  <w:tcW w:w="2468" w:type="dxa"/>
                  <w:gridSpan w:val="3"/>
                  <w:vMerge w:val="restart"/>
                  <w:shd w:val="clear" w:color="auto" w:fill="auto"/>
                  <w:vAlign w:val="center"/>
                </w:tcPr>
                <w:p w14:paraId="56C7BA5A" w14:textId="77777777" w:rsidR="00600DEE" w:rsidRDefault="00641FB5">
                  <w:pPr>
                    <w:spacing w:before="40" w:after="40"/>
                    <w:jc w:val="center"/>
                    <w:rPr>
                      <w:rFonts w:ascii="Calibri" w:eastAsia="Calibri" w:hAnsi="Calibri" w:cs="Calibri"/>
                      <w:sz w:val="18"/>
                      <w:szCs w:val="18"/>
                    </w:rPr>
                  </w:pPr>
                  <w:r>
                    <w:rPr>
                      <w:rFonts w:ascii="Calibri" w:eastAsia="Calibri" w:hAnsi="Calibri" w:cs="Calibri"/>
                      <w:sz w:val="18"/>
                      <w:szCs w:val="18"/>
                    </w:rPr>
                    <w:t>Zapobieganie i ograniczanie</w:t>
                  </w:r>
                </w:p>
              </w:tc>
            </w:tr>
            <w:tr w:rsidR="00600DEE" w14:paraId="463AED4B" w14:textId="77777777">
              <w:tc>
                <w:tcPr>
                  <w:tcW w:w="2086" w:type="dxa"/>
                  <w:tcBorders>
                    <w:top w:val="nil"/>
                    <w:bottom w:val="single" w:sz="4" w:space="0" w:color="92D050"/>
                    <w:right w:val="single" w:sz="4" w:space="0" w:color="92D050"/>
                  </w:tcBorders>
                  <w:shd w:val="clear" w:color="auto" w:fill="auto"/>
                  <w:vAlign w:val="center"/>
                </w:tcPr>
                <w:p w14:paraId="3CE0FBAE" w14:textId="77777777" w:rsidR="00600DEE" w:rsidRDefault="00641FB5">
                  <w:pPr>
                    <w:spacing w:before="40" w:after="40"/>
                    <w:jc w:val="center"/>
                    <w:rPr>
                      <w:rFonts w:ascii="Calibri" w:eastAsia="Calibri" w:hAnsi="Calibri" w:cs="Calibri"/>
                      <w:b/>
                      <w:sz w:val="18"/>
                      <w:szCs w:val="18"/>
                    </w:rPr>
                  </w:pPr>
                  <w:r>
                    <w:rPr>
                      <w:rFonts w:ascii="Calibri" w:eastAsia="Calibri" w:hAnsi="Calibri" w:cs="Calibri"/>
                      <w:b/>
                      <w:sz w:val="18"/>
                      <w:szCs w:val="18"/>
                    </w:rPr>
                    <w:t>E</w:t>
                  </w:r>
                </w:p>
              </w:tc>
              <w:tc>
                <w:tcPr>
                  <w:tcW w:w="1419" w:type="dxa"/>
                  <w:gridSpan w:val="2"/>
                  <w:vMerge/>
                  <w:tcBorders>
                    <w:top w:val="nil"/>
                    <w:left w:val="single" w:sz="4" w:space="0" w:color="92D050"/>
                    <w:bottom w:val="nil"/>
                  </w:tcBorders>
                  <w:shd w:val="clear" w:color="auto" w:fill="auto"/>
                  <w:vAlign w:val="center"/>
                </w:tcPr>
                <w:p w14:paraId="1E240D84" w14:textId="77777777" w:rsidR="00600DEE" w:rsidRDefault="00600DEE">
                  <w:pPr>
                    <w:widowControl w:val="0"/>
                    <w:pBdr>
                      <w:top w:val="nil"/>
                      <w:left w:val="nil"/>
                      <w:bottom w:val="nil"/>
                      <w:right w:val="nil"/>
                      <w:between w:val="nil"/>
                    </w:pBdr>
                    <w:spacing w:line="276" w:lineRule="auto"/>
                    <w:rPr>
                      <w:rFonts w:ascii="Calibri" w:eastAsia="Calibri" w:hAnsi="Calibri" w:cs="Calibri"/>
                      <w:b/>
                      <w:sz w:val="18"/>
                      <w:szCs w:val="18"/>
                    </w:rPr>
                  </w:pPr>
                </w:p>
              </w:tc>
              <w:tc>
                <w:tcPr>
                  <w:tcW w:w="2468" w:type="dxa"/>
                  <w:gridSpan w:val="3"/>
                  <w:vMerge/>
                  <w:shd w:val="clear" w:color="auto" w:fill="auto"/>
                  <w:vAlign w:val="center"/>
                </w:tcPr>
                <w:p w14:paraId="6827497B" w14:textId="77777777" w:rsidR="00600DEE" w:rsidRDefault="00600DEE">
                  <w:pPr>
                    <w:widowControl w:val="0"/>
                    <w:pBdr>
                      <w:top w:val="nil"/>
                      <w:left w:val="nil"/>
                      <w:bottom w:val="nil"/>
                      <w:right w:val="nil"/>
                      <w:between w:val="nil"/>
                    </w:pBdr>
                    <w:spacing w:line="276" w:lineRule="auto"/>
                    <w:rPr>
                      <w:rFonts w:ascii="Calibri" w:eastAsia="Calibri" w:hAnsi="Calibri" w:cs="Calibri"/>
                      <w:b/>
                      <w:sz w:val="18"/>
                      <w:szCs w:val="18"/>
                    </w:rPr>
                  </w:pPr>
                </w:p>
              </w:tc>
            </w:tr>
          </w:tbl>
          <w:p w14:paraId="5DAE2884" w14:textId="77777777" w:rsidR="00600DEE" w:rsidRDefault="00641FB5">
            <w:pPr>
              <w:spacing w:before="120" w:line="276" w:lineRule="auto"/>
              <w:ind w:right="170"/>
              <w:jc w:val="both"/>
              <w:rPr>
                <w:rFonts w:ascii="Calibri" w:eastAsia="Calibri" w:hAnsi="Calibri" w:cs="Calibri"/>
                <w:b/>
                <w:i/>
                <w:sz w:val="16"/>
                <w:szCs w:val="16"/>
              </w:rPr>
            </w:pPr>
            <w:r>
              <w:rPr>
                <w:rFonts w:ascii="Calibri" w:eastAsia="Calibri" w:hAnsi="Calibri" w:cs="Calibri"/>
                <w:b/>
                <w:i/>
                <w:sz w:val="16"/>
                <w:szCs w:val="16"/>
              </w:rPr>
              <w:t>Źródło: “Guide to Cost-benefit Analysis of Investment Projects - Economic appraisal tool for Cohesion Policy 2014-2020” DG Regio, grudzień 2014.</w:t>
            </w:r>
          </w:p>
          <w:p w14:paraId="7D553AB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Strategie “Przeniesienie” i “Tolerowanie” dotyczą tylko wybranych czynników ryzyka.</w:t>
            </w:r>
          </w:p>
          <w:p w14:paraId="49BAC531"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Po wyborze strategii reagowania, dla każdego czynnika ryzyka, należy określić bardziej szczegółowe działania zaradcze dla każdego z nich. Dla wybranych działań zaradczych należy uwzględnić koszty ich wprowadzania. Należy również jednoznacznie wskazać podmiot odpowiedzialny za ich realizację.</w:t>
            </w:r>
          </w:p>
          <w:p w14:paraId="1D2BB78E" w14:textId="6232EB34"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bookmarkStart w:id="114" w:name="_heading=h.1302m92" w:colFirst="0" w:colLast="0"/>
            <w:bookmarkEnd w:id="114"/>
            <w:r>
              <w:rPr>
                <w:rFonts w:ascii="Calibri" w:eastAsia="Calibri" w:hAnsi="Calibri" w:cs="Calibri"/>
                <w:b/>
                <w:color w:val="000000"/>
                <w:sz w:val="20"/>
                <w:szCs w:val="20"/>
              </w:rPr>
              <w:t>Monitorowanie ryzyka</w:t>
            </w:r>
          </w:p>
          <w:p w14:paraId="312D726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115" w:name="_heading=h.3mzq4wv" w:colFirst="0" w:colLast="0"/>
            <w:bookmarkEnd w:id="115"/>
            <w:r>
              <w:rPr>
                <w:rFonts w:ascii="Calibri" w:eastAsia="Calibri" w:hAnsi="Calibri" w:cs="Calibri"/>
                <w:color w:val="000000"/>
                <w:sz w:val="20"/>
                <w:szCs w:val="20"/>
              </w:rPr>
              <w:t>Beneficjent musi opisać zastosowane strategie monitorowania ryzyka, aby później można było oszacować prawidłowość oceny ryzyka i skuteczność działań zaradczych. Można przedstawić krótki opis procedur monitorowania i stosowanych protokołów.</w:t>
            </w:r>
          </w:p>
          <w:p w14:paraId="378A3BD2"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Analiza ilościowa ryzyka</w:t>
            </w:r>
          </w:p>
          <w:p w14:paraId="4D25CACB"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Probabilistyczna analiza ryzyka jest wymagana wtedy, gdy ryzyko rezydualne jest nadal znaczne lub w innych przypadkach, w zależności od wielkości projektu oraz dostępności danych o rozkładach prawdopodobieństwa. Pomimo że nie jest to obowiązkowe, zachęcamy Beneficjentów do wykorzystywania rozkładów prawdopodobieństwa uzyskanych na podstawie historycznych danych o wdrożonych projektach, jeśli są one dostępne, takich jak: wartość nakładów kapitałowych, termin realizacji przedsięwzięcia, wartość korzyści ekonomicznych, czy też dane ruchowe. </w:t>
            </w:r>
          </w:p>
          <w:p w14:paraId="3DE1AFFA"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color w:val="000000"/>
                <w:sz w:val="20"/>
                <w:szCs w:val="20"/>
              </w:rPr>
              <w:t>W sektorze transportu, krytycznymi parametrami dla projektu są najczęściej koszt inwestycji, poziom ruchu i terminy realizacji projektu (opóźnienia powodują zmniejszenie korzyści). Po zgromadzeniu odpowiednich danych i zakończeniu analizy, przy pomocy funkcji rozkładu prawdopodobieństwa zmiennych, można za pomocą symulacji Monte Carlo lub podobnych narzędzi, wyznaczyć rozkład prawdopodobieństwa dla wartości ERR, ENPV, FNPV i FRR (jeśli możliwe).</w:t>
            </w:r>
          </w:p>
          <w:p w14:paraId="1628E8A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Jeśli nie są dostępne rozkłady prawdopodobieństwa, analiza ryzyka projektu będzie ograniczona tylko do analizy jakościowej.</w:t>
            </w:r>
          </w:p>
        </w:tc>
        <w:tc>
          <w:tcPr>
            <w:tcW w:w="7201" w:type="dxa"/>
            <w:tcBorders>
              <w:left w:val="single" w:sz="4" w:space="0" w:color="000000"/>
            </w:tcBorders>
            <w:tcMar>
              <w:left w:w="284" w:type="dxa"/>
              <w:right w:w="284" w:type="dxa"/>
            </w:tcMar>
            <w:vAlign w:val="center"/>
          </w:tcPr>
          <w:p w14:paraId="3A73336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It is recommended to assess the project risks considering the following stages:</w:t>
            </w:r>
          </w:p>
          <w:p w14:paraId="7087C83D" w14:textId="77777777" w:rsidR="00600DEE"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Risk identification</w:t>
            </w:r>
          </w:p>
          <w:p w14:paraId="2419B37D" w14:textId="77777777" w:rsidR="00600DEE"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Qualitative risk analysis</w:t>
            </w:r>
          </w:p>
          <w:p w14:paraId="09078879" w14:textId="77777777" w:rsidR="00600DEE"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 xml:space="preserve">Mitigation measures and allocation </w:t>
            </w:r>
          </w:p>
          <w:p w14:paraId="010B3711" w14:textId="77777777" w:rsidR="00600DEE"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Monitoring</w:t>
            </w:r>
          </w:p>
          <w:p w14:paraId="264C47FE" w14:textId="77777777" w:rsidR="00600DEE" w:rsidRPr="0045151D"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Quantitative risk analysis (in the cases specified below)</w:t>
            </w:r>
          </w:p>
          <w:p w14:paraId="57729352" w14:textId="401B358E"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methodology of carrying out the above mentioned stages is described below; results should be synthetized using the tables presented in the last chapter of the Risk Assessment and be accompanied by an interpretation.</w:t>
            </w:r>
          </w:p>
          <w:p w14:paraId="6EE24F8A" w14:textId="77777777" w:rsidR="00FD2E0C" w:rsidRPr="0045151D" w:rsidRDefault="00FD2E0C" w:rsidP="00FD2E0C">
            <w:pPr>
              <w:pBdr>
                <w:top w:val="nil"/>
                <w:left w:val="nil"/>
                <w:bottom w:val="nil"/>
                <w:right w:val="nil"/>
                <w:between w:val="nil"/>
              </w:pBdr>
              <w:spacing w:before="240"/>
              <w:jc w:val="both"/>
              <w:rPr>
                <w:rFonts w:ascii="Calibri" w:eastAsia="Calibri" w:hAnsi="Calibri" w:cs="Calibri"/>
                <w:color w:val="000000"/>
                <w:sz w:val="20"/>
                <w:szCs w:val="20"/>
                <w:lang w:val="en-GB"/>
              </w:rPr>
            </w:pPr>
          </w:p>
          <w:p w14:paraId="618A9108" w14:textId="2A05681D" w:rsidR="00600DEE" w:rsidRPr="0045151D" w:rsidRDefault="00641FB5" w:rsidP="0018582B">
            <w:pPr>
              <w:pBdr>
                <w:top w:val="nil"/>
                <w:left w:val="nil"/>
                <w:bottom w:val="nil"/>
                <w:right w:val="nil"/>
                <w:between w:val="nil"/>
              </w:pBdr>
              <w:spacing w:before="36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Risk identification</w:t>
            </w:r>
          </w:p>
          <w:p w14:paraId="1BEAD92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Beneficiary should identify all risks that could have impact on the project; several common risks for road projects are presented in the table below. For each risk it should be identified if this risk is considered active (e.g. present and relevant for the project at the stage of the risk analysis elaboration), or not. If not (i.e. the risk is “closed”), then this should be briefly explained. In case the risk is identified as active, a detailed qualitative risk analysis has to be performed, as described below.</w:t>
            </w:r>
          </w:p>
          <w:p w14:paraId="1B990FE0"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A02B706" w14:textId="535EEE18"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7BE0FB83" w14:textId="011DC6E8" w:rsidR="00FD2E0C" w:rsidRPr="0045151D" w:rsidRDefault="00FD2E0C">
            <w:pPr>
              <w:pBdr>
                <w:top w:val="nil"/>
                <w:left w:val="nil"/>
                <w:bottom w:val="nil"/>
                <w:right w:val="nil"/>
                <w:between w:val="nil"/>
              </w:pBdr>
              <w:spacing w:before="120"/>
              <w:jc w:val="both"/>
              <w:rPr>
                <w:rFonts w:ascii="Calibri" w:eastAsia="Calibri" w:hAnsi="Calibri" w:cs="Calibri"/>
                <w:color w:val="000000"/>
                <w:sz w:val="20"/>
                <w:szCs w:val="20"/>
                <w:lang w:val="en-GB"/>
              </w:rPr>
            </w:pPr>
          </w:p>
          <w:p w14:paraId="3534594A"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34524C3E" w14:textId="616CD271" w:rsidR="00600DEE" w:rsidRPr="00416DAD" w:rsidRDefault="00B67038">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31</w:t>
            </w:r>
            <w:r w:rsidR="00641FB5" w:rsidRPr="00416DAD">
              <w:rPr>
                <w:rFonts w:ascii="Calibri" w:eastAsia="Calibri" w:hAnsi="Calibri" w:cs="Calibri"/>
                <w:b/>
                <w:color w:val="4F81BD"/>
                <w:sz w:val="20"/>
                <w:szCs w:val="20"/>
                <w:lang w:val="en-GB"/>
              </w:rPr>
              <w:t>. Risk identification</w:t>
            </w:r>
          </w:p>
          <w:tbl>
            <w:tblPr>
              <w:tblStyle w:val="afffffffd"/>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3096"/>
              <w:gridCol w:w="2084"/>
              <w:gridCol w:w="1759"/>
            </w:tblGrid>
            <w:tr w:rsidR="00600DEE" w:rsidRPr="007463B9" w14:paraId="1DD5DAD7" w14:textId="77777777" w:rsidTr="000117E4">
              <w:trPr>
                <w:trHeight w:hRule="exact" w:val="680"/>
              </w:trPr>
              <w:tc>
                <w:tcPr>
                  <w:tcW w:w="3096" w:type="dxa"/>
                  <w:shd w:val="clear" w:color="auto" w:fill="A6A6A6"/>
                  <w:vAlign w:val="center"/>
                </w:tcPr>
                <w:p w14:paraId="5443B0A0" w14:textId="77777777" w:rsidR="00600DEE" w:rsidRPr="00416DAD" w:rsidRDefault="00641FB5">
                  <w:pPr>
                    <w:spacing w:line="264" w:lineRule="auto"/>
                    <w:jc w:val="center"/>
                    <w:rPr>
                      <w:rFonts w:ascii="Calibri" w:eastAsia="Calibri" w:hAnsi="Calibri" w:cs="Calibri"/>
                      <w:b/>
                      <w:color w:val="FFFFFF"/>
                      <w:sz w:val="17"/>
                      <w:szCs w:val="17"/>
                      <w:lang w:val="en-GB"/>
                    </w:rPr>
                  </w:pPr>
                  <w:r w:rsidRPr="00416DAD">
                    <w:rPr>
                      <w:rFonts w:ascii="Calibri" w:eastAsia="Calibri" w:hAnsi="Calibri" w:cs="Calibri"/>
                      <w:b/>
                      <w:color w:val="FFFFFF"/>
                      <w:sz w:val="17"/>
                      <w:szCs w:val="17"/>
                      <w:lang w:val="en-GB"/>
                    </w:rPr>
                    <w:t>Risk name</w:t>
                  </w:r>
                </w:p>
              </w:tc>
              <w:tc>
                <w:tcPr>
                  <w:tcW w:w="2084" w:type="dxa"/>
                  <w:shd w:val="clear" w:color="auto" w:fill="A6A6A6"/>
                  <w:vAlign w:val="center"/>
                </w:tcPr>
                <w:p w14:paraId="43DBDC9E" w14:textId="77777777" w:rsidR="00600DEE" w:rsidRPr="00416DAD" w:rsidRDefault="00641FB5">
                  <w:pPr>
                    <w:spacing w:line="264" w:lineRule="auto"/>
                    <w:jc w:val="center"/>
                    <w:rPr>
                      <w:rFonts w:ascii="Calibri" w:eastAsia="Calibri" w:hAnsi="Calibri" w:cs="Calibri"/>
                      <w:b/>
                      <w:color w:val="FFFFFF"/>
                      <w:sz w:val="17"/>
                      <w:szCs w:val="17"/>
                      <w:lang w:val="en-GB"/>
                    </w:rPr>
                  </w:pPr>
                  <w:r w:rsidRPr="00416DAD">
                    <w:rPr>
                      <w:rFonts w:ascii="Calibri" w:eastAsia="Calibri" w:hAnsi="Calibri" w:cs="Calibri"/>
                      <w:b/>
                      <w:color w:val="FFFFFF"/>
                      <w:sz w:val="17"/>
                      <w:szCs w:val="17"/>
                      <w:lang w:val="en-GB"/>
                    </w:rPr>
                    <w:t>Risk status (active/closed)</w:t>
                  </w:r>
                </w:p>
              </w:tc>
              <w:tc>
                <w:tcPr>
                  <w:tcW w:w="1759" w:type="dxa"/>
                  <w:shd w:val="clear" w:color="auto" w:fill="A6A6A6"/>
                  <w:vAlign w:val="center"/>
                </w:tcPr>
                <w:p w14:paraId="64AB61DA" w14:textId="77777777" w:rsidR="00600DEE" w:rsidRPr="0045151D" w:rsidRDefault="00641FB5">
                  <w:pPr>
                    <w:spacing w:line="264" w:lineRule="auto"/>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If closed, provide the reasons.</w:t>
                  </w:r>
                </w:p>
              </w:tc>
            </w:tr>
            <w:tr w:rsidR="00600DEE" w:rsidRPr="007463B9" w14:paraId="3E15B55E" w14:textId="77777777" w:rsidTr="000117E4">
              <w:trPr>
                <w:trHeight w:hRule="exact" w:val="794"/>
              </w:trPr>
              <w:tc>
                <w:tcPr>
                  <w:tcW w:w="3096" w:type="dxa"/>
                  <w:shd w:val="clear" w:color="auto" w:fill="DBE5F1"/>
                </w:tcPr>
                <w:p w14:paraId="30391A23" w14:textId="77777777" w:rsidR="00600DEE" w:rsidRPr="0045151D" w:rsidRDefault="00641FB5">
                  <w:pP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Demand risks:</w:t>
                  </w:r>
                </w:p>
                <w:p w14:paraId="19AC74C1"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Traffic different than predicted</w:t>
                  </w:r>
                </w:p>
              </w:tc>
              <w:tc>
                <w:tcPr>
                  <w:tcW w:w="2084" w:type="dxa"/>
                  <w:shd w:val="clear" w:color="auto" w:fill="DBE5F1"/>
                </w:tcPr>
                <w:p w14:paraId="0807C0E5" w14:textId="77777777" w:rsidR="00600DEE" w:rsidRPr="0045151D" w:rsidRDefault="00600DEE">
                  <w:pPr>
                    <w:jc w:val="center"/>
                    <w:rPr>
                      <w:rFonts w:ascii="Calibri" w:eastAsia="Calibri" w:hAnsi="Calibri" w:cs="Calibri"/>
                      <w:color w:val="4F81BD"/>
                      <w:sz w:val="17"/>
                      <w:szCs w:val="17"/>
                      <w:lang w:val="en-GB"/>
                    </w:rPr>
                  </w:pPr>
                </w:p>
              </w:tc>
              <w:tc>
                <w:tcPr>
                  <w:tcW w:w="1759" w:type="dxa"/>
                  <w:shd w:val="clear" w:color="auto" w:fill="DBE5F1"/>
                </w:tcPr>
                <w:p w14:paraId="2C7FCE2F" w14:textId="77777777" w:rsidR="00600DEE" w:rsidRPr="0045151D" w:rsidRDefault="00600DEE">
                  <w:pPr>
                    <w:jc w:val="center"/>
                    <w:rPr>
                      <w:rFonts w:ascii="Calibri" w:eastAsia="Calibri" w:hAnsi="Calibri" w:cs="Calibri"/>
                      <w:color w:val="4F81BD"/>
                      <w:sz w:val="17"/>
                      <w:szCs w:val="17"/>
                      <w:lang w:val="en-GB"/>
                    </w:rPr>
                  </w:pPr>
                </w:p>
              </w:tc>
            </w:tr>
            <w:tr w:rsidR="00600DEE" w:rsidRPr="007463B9" w14:paraId="62DEBC4A" w14:textId="77777777" w:rsidTr="000117E4">
              <w:trPr>
                <w:trHeight w:val="1134"/>
              </w:trPr>
              <w:tc>
                <w:tcPr>
                  <w:tcW w:w="3096" w:type="dxa"/>
                  <w:shd w:val="clear" w:color="auto" w:fill="DBE5F1"/>
                  <w:vAlign w:val="bottom"/>
                </w:tcPr>
                <w:p w14:paraId="61DBBE3F" w14:textId="77777777" w:rsidR="00600DEE" w:rsidRPr="0045151D" w:rsidRDefault="00641FB5">
                  <w:pP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Design risks:</w:t>
                  </w:r>
                </w:p>
                <w:p w14:paraId="461E74B1"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Inadequate site surveys and investigation</w:t>
                  </w:r>
                </w:p>
                <w:p w14:paraId="196F832B"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Inadequate design cost estimates</w:t>
                  </w:r>
                </w:p>
                <w:p w14:paraId="6607CC6E"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Mistakes in design</w:t>
                  </w:r>
                </w:p>
              </w:tc>
              <w:tc>
                <w:tcPr>
                  <w:tcW w:w="2084" w:type="dxa"/>
                  <w:shd w:val="clear" w:color="auto" w:fill="DBE5F1"/>
                </w:tcPr>
                <w:p w14:paraId="543A808F" w14:textId="77777777" w:rsidR="00600DEE" w:rsidRPr="0045151D" w:rsidRDefault="00600DEE">
                  <w:pPr>
                    <w:jc w:val="center"/>
                    <w:rPr>
                      <w:rFonts w:ascii="Calibri" w:eastAsia="Calibri" w:hAnsi="Calibri" w:cs="Calibri"/>
                      <w:color w:val="4F81BD"/>
                      <w:sz w:val="17"/>
                      <w:szCs w:val="17"/>
                      <w:lang w:val="en-GB"/>
                    </w:rPr>
                  </w:pPr>
                </w:p>
              </w:tc>
              <w:tc>
                <w:tcPr>
                  <w:tcW w:w="1759" w:type="dxa"/>
                  <w:shd w:val="clear" w:color="auto" w:fill="DBE5F1"/>
                </w:tcPr>
                <w:p w14:paraId="6362DDAA" w14:textId="77777777" w:rsidR="00600DEE" w:rsidRPr="0045151D" w:rsidRDefault="00600DEE">
                  <w:pPr>
                    <w:jc w:val="center"/>
                    <w:rPr>
                      <w:rFonts w:ascii="Calibri" w:eastAsia="Calibri" w:hAnsi="Calibri" w:cs="Calibri"/>
                      <w:color w:val="4F81BD"/>
                      <w:sz w:val="17"/>
                      <w:szCs w:val="17"/>
                      <w:lang w:val="en-GB"/>
                    </w:rPr>
                  </w:pPr>
                </w:p>
              </w:tc>
            </w:tr>
            <w:tr w:rsidR="00600DEE" w:rsidRPr="007463B9" w14:paraId="29DD0D21" w14:textId="77777777" w:rsidTr="0035488D">
              <w:trPr>
                <w:trHeight w:val="2268"/>
              </w:trPr>
              <w:tc>
                <w:tcPr>
                  <w:tcW w:w="3096" w:type="dxa"/>
                  <w:shd w:val="clear" w:color="auto" w:fill="DBE5F1"/>
                  <w:vAlign w:val="bottom"/>
                </w:tcPr>
                <w:p w14:paraId="15EA548D" w14:textId="77777777" w:rsidR="00600DEE" w:rsidRPr="0045151D" w:rsidRDefault="00641FB5">
                  <w:pP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Administrative risks (permits)</w:t>
                  </w:r>
                </w:p>
                <w:p w14:paraId="59BA6DC1"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Delays in obtaining implementation permits (e.g. building permit)</w:t>
                  </w:r>
                </w:p>
                <w:p w14:paraId="6011585B"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Delays in utility connections approvals</w:t>
                  </w:r>
                </w:p>
                <w:p w14:paraId="147793B2"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Delays in obtaining environmental approvals</w:t>
                  </w:r>
                </w:p>
                <w:p w14:paraId="4A69D813"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Delays in elimination of collisions with media</w:t>
                  </w:r>
                </w:p>
              </w:tc>
              <w:tc>
                <w:tcPr>
                  <w:tcW w:w="2084" w:type="dxa"/>
                  <w:shd w:val="clear" w:color="auto" w:fill="DBE5F1"/>
                </w:tcPr>
                <w:p w14:paraId="59932485" w14:textId="77777777" w:rsidR="00600DEE" w:rsidRPr="0045151D" w:rsidRDefault="00600DEE">
                  <w:pPr>
                    <w:jc w:val="center"/>
                    <w:rPr>
                      <w:rFonts w:ascii="Calibri" w:eastAsia="Calibri" w:hAnsi="Calibri" w:cs="Calibri"/>
                      <w:color w:val="4F81BD"/>
                      <w:sz w:val="17"/>
                      <w:szCs w:val="17"/>
                      <w:lang w:val="en-GB"/>
                    </w:rPr>
                  </w:pPr>
                </w:p>
              </w:tc>
              <w:tc>
                <w:tcPr>
                  <w:tcW w:w="1759" w:type="dxa"/>
                  <w:shd w:val="clear" w:color="auto" w:fill="DBE5F1"/>
                </w:tcPr>
                <w:p w14:paraId="7CECF76D" w14:textId="77777777" w:rsidR="00600DEE" w:rsidRPr="0045151D" w:rsidRDefault="00600DEE">
                  <w:pPr>
                    <w:jc w:val="center"/>
                    <w:rPr>
                      <w:rFonts w:ascii="Calibri" w:eastAsia="Calibri" w:hAnsi="Calibri" w:cs="Calibri"/>
                      <w:color w:val="4F81BD"/>
                      <w:sz w:val="17"/>
                      <w:szCs w:val="17"/>
                      <w:lang w:val="en-GB"/>
                    </w:rPr>
                  </w:pPr>
                </w:p>
              </w:tc>
            </w:tr>
            <w:tr w:rsidR="00600DEE" w14:paraId="7864FA82" w14:textId="77777777" w:rsidTr="00FD2E0C">
              <w:trPr>
                <w:trHeight w:hRule="exact" w:val="680"/>
              </w:trPr>
              <w:tc>
                <w:tcPr>
                  <w:tcW w:w="3096" w:type="dxa"/>
                  <w:shd w:val="clear" w:color="auto" w:fill="DBE5F1"/>
                  <w:vAlign w:val="bottom"/>
                </w:tcPr>
                <w:p w14:paraId="204D80A2" w14:textId="77777777" w:rsidR="00600DEE" w:rsidRPr="0045151D" w:rsidRDefault="00641FB5">
                  <w:pP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Land acquisition risks</w:t>
                  </w:r>
                </w:p>
                <w:p w14:paraId="584C91EE"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Land costs higher than predicted</w:t>
                  </w:r>
                </w:p>
                <w:p w14:paraId="52710B51"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Procedural delays</w:t>
                  </w:r>
                </w:p>
                <w:p w14:paraId="0E3A8723" w14:textId="77777777" w:rsidR="000A249F" w:rsidRDefault="000A249F">
                  <w:pPr>
                    <w:rPr>
                      <w:rFonts w:ascii="Calibri" w:eastAsia="Calibri" w:hAnsi="Calibri" w:cs="Calibri"/>
                      <w:color w:val="4F81BD"/>
                      <w:sz w:val="17"/>
                      <w:szCs w:val="17"/>
                    </w:rPr>
                  </w:pPr>
                </w:p>
                <w:p w14:paraId="0C873174" w14:textId="55CC0076" w:rsidR="000A249F" w:rsidRDefault="000A249F">
                  <w:pPr>
                    <w:rPr>
                      <w:rFonts w:ascii="Calibri" w:eastAsia="Calibri" w:hAnsi="Calibri" w:cs="Calibri"/>
                      <w:color w:val="4F81BD"/>
                      <w:sz w:val="17"/>
                      <w:szCs w:val="17"/>
                    </w:rPr>
                  </w:pPr>
                </w:p>
              </w:tc>
              <w:tc>
                <w:tcPr>
                  <w:tcW w:w="2084" w:type="dxa"/>
                  <w:shd w:val="clear" w:color="auto" w:fill="DBE5F1"/>
                </w:tcPr>
                <w:p w14:paraId="3980E863" w14:textId="77777777" w:rsidR="00600DEE" w:rsidRDefault="00600DEE">
                  <w:pPr>
                    <w:jc w:val="center"/>
                    <w:rPr>
                      <w:rFonts w:ascii="Calibri" w:eastAsia="Calibri" w:hAnsi="Calibri" w:cs="Calibri"/>
                      <w:color w:val="4F81BD"/>
                      <w:sz w:val="17"/>
                      <w:szCs w:val="17"/>
                    </w:rPr>
                  </w:pPr>
                </w:p>
              </w:tc>
              <w:tc>
                <w:tcPr>
                  <w:tcW w:w="1759" w:type="dxa"/>
                  <w:shd w:val="clear" w:color="auto" w:fill="DBE5F1"/>
                </w:tcPr>
                <w:p w14:paraId="215FEF1D" w14:textId="77777777" w:rsidR="00600DEE" w:rsidRDefault="00600DEE">
                  <w:pPr>
                    <w:jc w:val="center"/>
                    <w:rPr>
                      <w:rFonts w:ascii="Calibri" w:eastAsia="Calibri" w:hAnsi="Calibri" w:cs="Calibri"/>
                      <w:color w:val="4F81BD"/>
                      <w:sz w:val="17"/>
                      <w:szCs w:val="17"/>
                    </w:rPr>
                  </w:pPr>
                </w:p>
              </w:tc>
            </w:tr>
            <w:tr w:rsidR="00600DEE" w14:paraId="0B74D9A7" w14:textId="77777777" w:rsidTr="00FD2E0C">
              <w:trPr>
                <w:trHeight w:hRule="exact" w:val="680"/>
              </w:trPr>
              <w:tc>
                <w:tcPr>
                  <w:tcW w:w="3096" w:type="dxa"/>
                  <w:tcBorders>
                    <w:bottom w:val="single" w:sz="4" w:space="0" w:color="FFFFFF"/>
                  </w:tcBorders>
                  <w:shd w:val="clear" w:color="auto" w:fill="DBE5F1"/>
                  <w:vAlign w:val="bottom"/>
                </w:tcPr>
                <w:p w14:paraId="54EB384C" w14:textId="77777777" w:rsidR="00600DEE" w:rsidRDefault="00641FB5">
                  <w:pPr>
                    <w:rPr>
                      <w:rFonts w:ascii="Calibri" w:eastAsia="Calibri" w:hAnsi="Calibri" w:cs="Calibri"/>
                      <w:b/>
                      <w:color w:val="4F81BD"/>
                      <w:sz w:val="17"/>
                      <w:szCs w:val="17"/>
                      <w:u w:val="single"/>
                    </w:rPr>
                  </w:pPr>
                  <w:r>
                    <w:rPr>
                      <w:rFonts w:ascii="Calibri" w:eastAsia="Calibri" w:hAnsi="Calibri" w:cs="Calibri"/>
                      <w:b/>
                      <w:color w:val="4F81BD"/>
                      <w:sz w:val="17"/>
                      <w:szCs w:val="17"/>
                      <w:u w:val="single"/>
                    </w:rPr>
                    <w:t>Procurement risks</w:t>
                  </w:r>
                </w:p>
                <w:p w14:paraId="34FBD449"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Procedural delays</w:t>
                  </w:r>
                </w:p>
                <w:p w14:paraId="290D12B8" w14:textId="77777777" w:rsidR="000A249F" w:rsidRDefault="000A249F">
                  <w:pPr>
                    <w:rPr>
                      <w:rFonts w:ascii="Calibri" w:eastAsia="Calibri" w:hAnsi="Calibri" w:cs="Calibri"/>
                      <w:color w:val="4F81BD"/>
                      <w:sz w:val="17"/>
                      <w:szCs w:val="17"/>
                    </w:rPr>
                  </w:pPr>
                </w:p>
                <w:p w14:paraId="5EDBAB2D" w14:textId="3C0BBAE1" w:rsidR="000A249F" w:rsidRDefault="000A249F">
                  <w:pPr>
                    <w:rPr>
                      <w:rFonts w:ascii="Calibri" w:eastAsia="Calibri" w:hAnsi="Calibri" w:cs="Calibri"/>
                      <w:color w:val="4F81BD"/>
                      <w:sz w:val="17"/>
                      <w:szCs w:val="17"/>
                    </w:rPr>
                  </w:pPr>
                </w:p>
              </w:tc>
              <w:tc>
                <w:tcPr>
                  <w:tcW w:w="2084" w:type="dxa"/>
                  <w:tcBorders>
                    <w:bottom w:val="single" w:sz="4" w:space="0" w:color="FFFFFF"/>
                  </w:tcBorders>
                  <w:shd w:val="clear" w:color="auto" w:fill="DBE5F1"/>
                </w:tcPr>
                <w:p w14:paraId="2C42C8F2" w14:textId="77777777" w:rsidR="00600DEE" w:rsidRDefault="00600DEE">
                  <w:pPr>
                    <w:jc w:val="center"/>
                    <w:rPr>
                      <w:rFonts w:ascii="Calibri" w:eastAsia="Calibri" w:hAnsi="Calibri" w:cs="Calibri"/>
                      <w:color w:val="4F81BD"/>
                      <w:sz w:val="17"/>
                      <w:szCs w:val="17"/>
                    </w:rPr>
                  </w:pPr>
                </w:p>
              </w:tc>
              <w:tc>
                <w:tcPr>
                  <w:tcW w:w="1759" w:type="dxa"/>
                  <w:tcBorders>
                    <w:bottom w:val="single" w:sz="4" w:space="0" w:color="FFFFFF"/>
                  </w:tcBorders>
                  <w:shd w:val="clear" w:color="auto" w:fill="DBE5F1"/>
                </w:tcPr>
                <w:p w14:paraId="1923BF76" w14:textId="77777777" w:rsidR="00600DEE" w:rsidRDefault="00600DEE">
                  <w:pPr>
                    <w:jc w:val="center"/>
                    <w:rPr>
                      <w:rFonts w:ascii="Calibri" w:eastAsia="Calibri" w:hAnsi="Calibri" w:cs="Calibri"/>
                      <w:color w:val="4F81BD"/>
                      <w:sz w:val="17"/>
                      <w:szCs w:val="17"/>
                    </w:rPr>
                  </w:pPr>
                </w:p>
              </w:tc>
            </w:tr>
            <w:tr w:rsidR="00600DEE" w:rsidRPr="007463B9" w14:paraId="7A75FC97" w14:textId="77777777" w:rsidTr="0035488D">
              <w:trPr>
                <w:trHeight w:val="2268"/>
              </w:trPr>
              <w:tc>
                <w:tcPr>
                  <w:tcW w:w="3096" w:type="dxa"/>
                  <w:tcBorders>
                    <w:bottom w:val="single" w:sz="4" w:space="0" w:color="FFFFFF"/>
                  </w:tcBorders>
                  <w:shd w:val="clear" w:color="auto" w:fill="DBE5F1"/>
                  <w:vAlign w:val="bottom"/>
                </w:tcPr>
                <w:p w14:paraId="1CCE8F99" w14:textId="77777777" w:rsidR="00600DEE" w:rsidRPr="0045151D" w:rsidRDefault="00641FB5">
                  <w:pP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Construction risks</w:t>
                  </w:r>
                </w:p>
                <w:p w14:paraId="3B678F57"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Project cost overruns</w:t>
                  </w:r>
                </w:p>
                <w:p w14:paraId="0EF2BD46"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Geological risks (unexpected bad soil conditions, landslides, etc.)</w:t>
                  </w:r>
                </w:p>
                <w:p w14:paraId="1153D08B"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Climate risks (rainfall, frost, temperature variation, etc.)</w:t>
                  </w:r>
                </w:p>
                <w:p w14:paraId="57741B1E"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Archaeological risks (findings)</w:t>
                  </w:r>
                </w:p>
                <w:p w14:paraId="1C4137B3"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Contractor related (bankruptcy, lack of sufficient resources, etc.)</w:t>
                  </w:r>
                </w:p>
                <w:p w14:paraId="0D0293CA" w14:textId="77777777" w:rsidR="00600DEE" w:rsidRPr="0045151D" w:rsidRDefault="00600DEE">
                  <w:pPr>
                    <w:rPr>
                      <w:rFonts w:ascii="Calibri" w:eastAsia="Calibri" w:hAnsi="Calibri" w:cs="Calibri"/>
                      <w:color w:val="4F81BD"/>
                      <w:sz w:val="17"/>
                      <w:szCs w:val="17"/>
                      <w:lang w:val="en-GB"/>
                    </w:rPr>
                  </w:pPr>
                </w:p>
              </w:tc>
              <w:tc>
                <w:tcPr>
                  <w:tcW w:w="2084" w:type="dxa"/>
                  <w:tcBorders>
                    <w:bottom w:val="single" w:sz="4" w:space="0" w:color="FFFFFF"/>
                  </w:tcBorders>
                  <w:shd w:val="clear" w:color="auto" w:fill="DBE5F1"/>
                </w:tcPr>
                <w:p w14:paraId="36EC63FB" w14:textId="77777777" w:rsidR="00600DEE" w:rsidRPr="0045151D" w:rsidRDefault="00600DEE">
                  <w:pPr>
                    <w:jc w:val="center"/>
                    <w:rPr>
                      <w:rFonts w:ascii="Calibri" w:eastAsia="Calibri" w:hAnsi="Calibri" w:cs="Calibri"/>
                      <w:color w:val="4F81BD"/>
                      <w:sz w:val="17"/>
                      <w:szCs w:val="17"/>
                      <w:lang w:val="en-GB"/>
                    </w:rPr>
                  </w:pPr>
                </w:p>
              </w:tc>
              <w:tc>
                <w:tcPr>
                  <w:tcW w:w="1759" w:type="dxa"/>
                  <w:tcBorders>
                    <w:bottom w:val="single" w:sz="4" w:space="0" w:color="FFFFFF"/>
                  </w:tcBorders>
                  <w:shd w:val="clear" w:color="auto" w:fill="DBE5F1"/>
                </w:tcPr>
                <w:p w14:paraId="25C4657C" w14:textId="77777777" w:rsidR="00600DEE" w:rsidRPr="0045151D" w:rsidRDefault="00600DEE">
                  <w:pPr>
                    <w:jc w:val="center"/>
                    <w:rPr>
                      <w:rFonts w:ascii="Calibri" w:eastAsia="Calibri" w:hAnsi="Calibri" w:cs="Calibri"/>
                      <w:color w:val="4F81BD"/>
                      <w:sz w:val="17"/>
                      <w:szCs w:val="17"/>
                      <w:lang w:val="en-GB"/>
                    </w:rPr>
                  </w:pPr>
                </w:p>
              </w:tc>
            </w:tr>
            <w:tr w:rsidR="00600DEE" w:rsidRPr="007463B9" w14:paraId="13D2D71E" w14:textId="77777777">
              <w:trPr>
                <w:trHeight w:val="415"/>
              </w:trPr>
              <w:tc>
                <w:tcPr>
                  <w:tcW w:w="3096" w:type="dxa"/>
                  <w:shd w:val="clear" w:color="auto" w:fill="A6A6A6"/>
                  <w:vAlign w:val="center"/>
                </w:tcPr>
                <w:p w14:paraId="1B68360D" w14:textId="77777777" w:rsidR="00600DEE" w:rsidRDefault="00641FB5">
                  <w:pPr>
                    <w:spacing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Risk name</w:t>
                  </w:r>
                </w:p>
              </w:tc>
              <w:tc>
                <w:tcPr>
                  <w:tcW w:w="2084" w:type="dxa"/>
                  <w:shd w:val="clear" w:color="auto" w:fill="A6A6A6"/>
                  <w:vAlign w:val="center"/>
                </w:tcPr>
                <w:p w14:paraId="07EE5AAE" w14:textId="77777777" w:rsidR="00600DEE" w:rsidRDefault="00641FB5">
                  <w:pPr>
                    <w:spacing w:line="264" w:lineRule="auto"/>
                    <w:jc w:val="center"/>
                    <w:rPr>
                      <w:rFonts w:ascii="Calibri" w:eastAsia="Calibri" w:hAnsi="Calibri" w:cs="Calibri"/>
                      <w:b/>
                      <w:color w:val="FFFFFF"/>
                      <w:sz w:val="17"/>
                      <w:szCs w:val="17"/>
                    </w:rPr>
                  </w:pPr>
                  <w:r>
                    <w:rPr>
                      <w:rFonts w:ascii="Calibri" w:eastAsia="Calibri" w:hAnsi="Calibri" w:cs="Calibri"/>
                      <w:b/>
                      <w:color w:val="FFFFFF"/>
                      <w:sz w:val="17"/>
                      <w:szCs w:val="17"/>
                    </w:rPr>
                    <w:t>Risk status (active/closed)</w:t>
                  </w:r>
                </w:p>
              </w:tc>
              <w:tc>
                <w:tcPr>
                  <w:tcW w:w="1759" w:type="dxa"/>
                  <w:shd w:val="clear" w:color="auto" w:fill="A6A6A6"/>
                  <w:vAlign w:val="center"/>
                </w:tcPr>
                <w:p w14:paraId="5E198366" w14:textId="77777777" w:rsidR="00600DEE" w:rsidRPr="0045151D" w:rsidRDefault="00641FB5">
                  <w:pPr>
                    <w:spacing w:line="264" w:lineRule="auto"/>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If closed, provide the reasons.</w:t>
                  </w:r>
                </w:p>
              </w:tc>
            </w:tr>
            <w:tr w:rsidR="00600DEE" w:rsidRPr="007463B9" w14:paraId="6406FBD8" w14:textId="77777777" w:rsidTr="000A249F">
              <w:trPr>
                <w:trHeight w:val="1134"/>
              </w:trPr>
              <w:tc>
                <w:tcPr>
                  <w:tcW w:w="3096" w:type="dxa"/>
                  <w:shd w:val="clear" w:color="auto" w:fill="DBE5F1"/>
                  <w:vAlign w:val="center"/>
                </w:tcPr>
                <w:p w14:paraId="1A93656E" w14:textId="77777777" w:rsidR="00600DEE" w:rsidRPr="0045151D" w:rsidRDefault="00641FB5">
                  <w:pP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Operation risks</w:t>
                  </w:r>
                </w:p>
                <w:p w14:paraId="23A6E409"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O&amp;M cost overruns</w:t>
                  </w:r>
                </w:p>
                <w:p w14:paraId="5486F427" w14:textId="77777777" w:rsidR="00600DEE" w:rsidRPr="0045151D" w:rsidRDefault="00641FB5">
                  <w:pPr>
                    <w:rPr>
                      <w:rFonts w:ascii="Calibri" w:eastAsia="Calibri" w:hAnsi="Calibri" w:cs="Calibri"/>
                      <w:b/>
                      <w:color w:val="4F81BD"/>
                      <w:sz w:val="17"/>
                      <w:szCs w:val="17"/>
                      <w:lang w:val="en-GB"/>
                    </w:rPr>
                  </w:pPr>
                  <w:r w:rsidRPr="0045151D">
                    <w:rPr>
                      <w:rFonts w:ascii="Calibri" w:eastAsia="Calibri" w:hAnsi="Calibri" w:cs="Calibri"/>
                      <w:color w:val="4F81BD"/>
                      <w:sz w:val="17"/>
                      <w:szCs w:val="17"/>
                      <w:lang w:val="en-GB"/>
                    </w:rPr>
                    <w:t>Climate change risks (flash flooding, extreme heat, extreme rain or snowfall, etc.)</w:t>
                  </w:r>
                </w:p>
              </w:tc>
              <w:tc>
                <w:tcPr>
                  <w:tcW w:w="2084" w:type="dxa"/>
                  <w:shd w:val="clear" w:color="auto" w:fill="DBE5F1"/>
                  <w:vAlign w:val="center"/>
                </w:tcPr>
                <w:p w14:paraId="58514F90" w14:textId="77777777" w:rsidR="00600DEE" w:rsidRPr="0045151D" w:rsidRDefault="00600DEE">
                  <w:pPr>
                    <w:jc w:val="center"/>
                    <w:rPr>
                      <w:rFonts w:ascii="Calibri" w:eastAsia="Calibri" w:hAnsi="Calibri" w:cs="Calibri"/>
                      <w:color w:val="4F81BD"/>
                      <w:sz w:val="17"/>
                      <w:szCs w:val="17"/>
                      <w:lang w:val="en-GB"/>
                    </w:rPr>
                  </w:pPr>
                </w:p>
              </w:tc>
              <w:tc>
                <w:tcPr>
                  <w:tcW w:w="1759" w:type="dxa"/>
                  <w:shd w:val="clear" w:color="auto" w:fill="DBE5F1"/>
                  <w:vAlign w:val="center"/>
                </w:tcPr>
                <w:p w14:paraId="42662785" w14:textId="77777777" w:rsidR="00600DEE" w:rsidRPr="0045151D" w:rsidRDefault="00600DEE">
                  <w:pPr>
                    <w:jc w:val="center"/>
                    <w:rPr>
                      <w:rFonts w:ascii="Calibri" w:eastAsia="Calibri" w:hAnsi="Calibri" w:cs="Calibri"/>
                      <w:color w:val="4F81BD"/>
                      <w:sz w:val="17"/>
                      <w:szCs w:val="17"/>
                      <w:lang w:val="en-GB"/>
                    </w:rPr>
                  </w:pPr>
                </w:p>
              </w:tc>
            </w:tr>
            <w:tr w:rsidR="00600DEE" w:rsidRPr="007463B9" w14:paraId="3C292C13" w14:textId="77777777" w:rsidTr="000A249F">
              <w:trPr>
                <w:trHeight w:val="907"/>
              </w:trPr>
              <w:tc>
                <w:tcPr>
                  <w:tcW w:w="3096" w:type="dxa"/>
                  <w:shd w:val="clear" w:color="auto" w:fill="DBE5F1"/>
                  <w:vAlign w:val="center"/>
                </w:tcPr>
                <w:p w14:paraId="7AF88833" w14:textId="77777777" w:rsidR="00600DEE" w:rsidRPr="0045151D" w:rsidRDefault="00641FB5">
                  <w:pP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Regulatory risks:</w:t>
                  </w:r>
                </w:p>
                <w:p w14:paraId="2B8DFA99"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Changes in environmental requirements</w:t>
                  </w:r>
                </w:p>
              </w:tc>
              <w:tc>
                <w:tcPr>
                  <w:tcW w:w="2084" w:type="dxa"/>
                  <w:shd w:val="clear" w:color="auto" w:fill="DBE5F1"/>
                  <w:vAlign w:val="center"/>
                </w:tcPr>
                <w:p w14:paraId="00D392FB" w14:textId="77777777" w:rsidR="00600DEE" w:rsidRPr="0045151D" w:rsidRDefault="00600DEE">
                  <w:pPr>
                    <w:jc w:val="center"/>
                    <w:rPr>
                      <w:rFonts w:ascii="Calibri" w:eastAsia="Calibri" w:hAnsi="Calibri" w:cs="Calibri"/>
                      <w:color w:val="4F81BD"/>
                      <w:sz w:val="17"/>
                      <w:szCs w:val="17"/>
                      <w:lang w:val="en-GB"/>
                    </w:rPr>
                  </w:pPr>
                </w:p>
              </w:tc>
              <w:tc>
                <w:tcPr>
                  <w:tcW w:w="1759" w:type="dxa"/>
                  <w:shd w:val="clear" w:color="auto" w:fill="DBE5F1"/>
                  <w:vAlign w:val="center"/>
                </w:tcPr>
                <w:p w14:paraId="4FBA6107" w14:textId="77777777" w:rsidR="00600DEE" w:rsidRPr="0045151D" w:rsidRDefault="00600DEE">
                  <w:pPr>
                    <w:jc w:val="center"/>
                    <w:rPr>
                      <w:rFonts w:ascii="Calibri" w:eastAsia="Calibri" w:hAnsi="Calibri" w:cs="Calibri"/>
                      <w:color w:val="4F81BD"/>
                      <w:sz w:val="17"/>
                      <w:szCs w:val="17"/>
                      <w:lang w:val="en-GB"/>
                    </w:rPr>
                  </w:pPr>
                </w:p>
              </w:tc>
            </w:tr>
            <w:tr w:rsidR="00600DEE" w14:paraId="70BC854E" w14:textId="77777777" w:rsidTr="000A249F">
              <w:trPr>
                <w:trHeight w:val="1701"/>
              </w:trPr>
              <w:tc>
                <w:tcPr>
                  <w:tcW w:w="3096" w:type="dxa"/>
                  <w:shd w:val="clear" w:color="auto" w:fill="DBE5F1"/>
                  <w:vAlign w:val="center"/>
                </w:tcPr>
                <w:p w14:paraId="128CB4BD" w14:textId="77777777" w:rsidR="00600DEE" w:rsidRPr="0045151D" w:rsidRDefault="00641FB5">
                  <w:pP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Financial risks</w:t>
                  </w:r>
                </w:p>
                <w:p w14:paraId="3AFE765A"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Availability of national financing for CAPEX</w:t>
                  </w:r>
                </w:p>
                <w:p w14:paraId="4F0F1D4E"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Availability of national financing for OPEX</w:t>
                  </w:r>
                </w:p>
                <w:p w14:paraId="11E42589" w14:textId="77777777" w:rsidR="00600DEE" w:rsidRDefault="00641FB5">
                  <w:pPr>
                    <w:rPr>
                      <w:rFonts w:ascii="Calibri" w:eastAsia="Calibri" w:hAnsi="Calibri" w:cs="Calibri"/>
                      <w:color w:val="4F81BD"/>
                      <w:sz w:val="17"/>
                      <w:szCs w:val="17"/>
                    </w:rPr>
                  </w:pPr>
                  <w:r>
                    <w:rPr>
                      <w:rFonts w:ascii="Calibri" w:eastAsia="Calibri" w:hAnsi="Calibri" w:cs="Calibri"/>
                      <w:color w:val="4F81BD"/>
                      <w:sz w:val="17"/>
                      <w:szCs w:val="17"/>
                    </w:rPr>
                    <w:t>Increase of financing costs</w:t>
                  </w:r>
                </w:p>
              </w:tc>
              <w:tc>
                <w:tcPr>
                  <w:tcW w:w="2084" w:type="dxa"/>
                  <w:shd w:val="clear" w:color="auto" w:fill="DBE5F1"/>
                  <w:vAlign w:val="center"/>
                </w:tcPr>
                <w:p w14:paraId="7880B755" w14:textId="77777777" w:rsidR="00600DEE" w:rsidRDefault="00600DEE">
                  <w:pPr>
                    <w:jc w:val="center"/>
                    <w:rPr>
                      <w:rFonts w:ascii="Calibri" w:eastAsia="Calibri" w:hAnsi="Calibri" w:cs="Calibri"/>
                      <w:color w:val="4F81BD"/>
                      <w:sz w:val="17"/>
                      <w:szCs w:val="17"/>
                    </w:rPr>
                  </w:pPr>
                </w:p>
              </w:tc>
              <w:tc>
                <w:tcPr>
                  <w:tcW w:w="1759" w:type="dxa"/>
                  <w:shd w:val="clear" w:color="auto" w:fill="DBE5F1"/>
                  <w:vAlign w:val="center"/>
                </w:tcPr>
                <w:p w14:paraId="7D062B6A" w14:textId="77777777" w:rsidR="00600DEE" w:rsidRDefault="00600DEE">
                  <w:pPr>
                    <w:jc w:val="center"/>
                    <w:rPr>
                      <w:rFonts w:ascii="Calibri" w:eastAsia="Calibri" w:hAnsi="Calibri" w:cs="Calibri"/>
                      <w:color w:val="4F81BD"/>
                      <w:sz w:val="17"/>
                      <w:szCs w:val="17"/>
                    </w:rPr>
                  </w:pPr>
                </w:p>
              </w:tc>
            </w:tr>
            <w:tr w:rsidR="00600DEE" w:rsidRPr="007463B9" w14:paraId="27EF6594" w14:textId="77777777" w:rsidTr="000A249F">
              <w:trPr>
                <w:trHeight w:val="907"/>
              </w:trPr>
              <w:tc>
                <w:tcPr>
                  <w:tcW w:w="3096" w:type="dxa"/>
                  <w:shd w:val="clear" w:color="auto" w:fill="DBE5F1"/>
                  <w:vAlign w:val="center"/>
                </w:tcPr>
                <w:p w14:paraId="0B52EEA9" w14:textId="77777777" w:rsidR="00600DEE" w:rsidRPr="0045151D" w:rsidRDefault="00641FB5">
                  <w:pP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Management risks:</w:t>
                  </w:r>
                </w:p>
                <w:p w14:paraId="079A7D79"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Weak capacity of management from the Beneficiary</w:t>
                  </w:r>
                </w:p>
              </w:tc>
              <w:tc>
                <w:tcPr>
                  <w:tcW w:w="2084" w:type="dxa"/>
                  <w:shd w:val="clear" w:color="auto" w:fill="DBE5F1"/>
                  <w:vAlign w:val="center"/>
                </w:tcPr>
                <w:p w14:paraId="4CCC47A6" w14:textId="77777777" w:rsidR="00600DEE" w:rsidRPr="0045151D" w:rsidRDefault="00600DEE">
                  <w:pPr>
                    <w:jc w:val="center"/>
                    <w:rPr>
                      <w:rFonts w:ascii="Calibri" w:eastAsia="Calibri" w:hAnsi="Calibri" w:cs="Calibri"/>
                      <w:color w:val="4F81BD"/>
                      <w:sz w:val="17"/>
                      <w:szCs w:val="17"/>
                      <w:lang w:val="en-GB"/>
                    </w:rPr>
                  </w:pPr>
                </w:p>
              </w:tc>
              <w:tc>
                <w:tcPr>
                  <w:tcW w:w="1759" w:type="dxa"/>
                  <w:shd w:val="clear" w:color="auto" w:fill="DBE5F1"/>
                  <w:vAlign w:val="center"/>
                </w:tcPr>
                <w:p w14:paraId="53E58A17" w14:textId="77777777" w:rsidR="00600DEE" w:rsidRPr="0045151D" w:rsidRDefault="00600DEE">
                  <w:pPr>
                    <w:jc w:val="center"/>
                    <w:rPr>
                      <w:rFonts w:ascii="Calibri" w:eastAsia="Calibri" w:hAnsi="Calibri" w:cs="Calibri"/>
                      <w:color w:val="4F81BD"/>
                      <w:sz w:val="17"/>
                      <w:szCs w:val="17"/>
                      <w:lang w:val="en-GB"/>
                    </w:rPr>
                  </w:pPr>
                </w:p>
              </w:tc>
            </w:tr>
            <w:tr w:rsidR="00600DEE" w:rsidRPr="007463B9" w14:paraId="6965195D" w14:textId="77777777" w:rsidTr="000A249F">
              <w:trPr>
                <w:trHeight w:val="907"/>
              </w:trPr>
              <w:tc>
                <w:tcPr>
                  <w:tcW w:w="3096" w:type="dxa"/>
                  <w:shd w:val="clear" w:color="auto" w:fill="DBE5F1"/>
                  <w:vAlign w:val="center"/>
                </w:tcPr>
                <w:p w14:paraId="2618B4B6" w14:textId="77777777" w:rsidR="00600DEE" w:rsidRPr="0045151D" w:rsidRDefault="00641FB5">
                  <w:pPr>
                    <w:pBdr>
                      <w:top w:val="nil"/>
                      <w:left w:val="nil"/>
                      <w:bottom w:val="nil"/>
                      <w:right w:val="nil"/>
                      <w:between w:val="nil"/>
                    </w:pBd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Political risks:</w:t>
                  </w:r>
                </w:p>
                <w:p w14:paraId="1CD96AB5"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Public opposition</w:t>
                  </w:r>
                </w:p>
                <w:p w14:paraId="5BDF6B42" w14:textId="77777777" w:rsidR="00600DEE" w:rsidRPr="0045151D" w:rsidRDefault="00641FB5">
                  <w:pPr>
                    <w:rPr>
                      <w:rFonts w:ascii="Calibri" w:eastAsia="Calibri" w:hAnsi="Calibri" w:cs="Calibri"/>
                      <w:color w:val="4F81BD"/>
                      <w:sz w:val="17"/>
                      <w:szCs w:val="17"/>
                      <w:lang w:val="en-GB"/>
                    </w:rPr>
                  </w:pPr>
                  <w:r w:rsidRPr="0045151D">
                    <w:rPr>
                      <w:rFonts w:ascii="Calibri" w:eastAsia="Calibri" w:hAnsi="Calibri" w:cs="Calibri"/>
                      <w:color w:val="4F81BD"/>
                      <w:sz w:val="17"/>
                      <w:szCs w:val="17"/>
                      <w:lang w:val="en-GB"/>
                    </w:rPr>
                    <w:t>Political changes in investment priorities</w:t>
                  </w:r>
                </w:p>
              </w:tc>
              <w:tc>
                <w:tcPr>
                  <w:tcW w:w="2084" w:type="dxa"/>
                  <w:shd w:val="clear" w:color="auto" w:fill="DBE5F1"/>
                  <w:vAlign w:val="center"/>
                </w:tcPr>
                <w:p w14:paraId="2522A416" w14:textId="77777777" w:rsidR="00600DEE" w:rsidRPr="0045151D" w:rsidRDefault="00600DEE">
                  <w:pPr>
                    <w:jc w:val="center"/>
                    <w:rPr>
                      <w:rFonts w:ascii="Calibri" w:eastAsia="Calibri" w:hAnsi="Calibri" w:cs="Calibri"/>
                      <w:color w:val="4F81BD"/>
                      <w:sz w:val="17"/>
                      <w:szCs w:val="17"/>
                      <w:lang w:val="en-GB"/>
                    </w:rPr>
                  </w:pPr>
                </w:p>
              </w:tc>
              <w:tc>
                <w:tcPr>
                  <w:tcW w:w="1759" w:type="dxa"/>
                  <w:shd w:val="clear" w:color="auto" w:fill="DBE5F1"/>
                  <w:vAlign w:val="center"/>
                </w:tcPr>
                <w:p w14:paraId="3CFDA30E" w14:textId="77777777" w:rsidR="00600DEE" w:rsidRPr="0045151D" w:rsidRDefault="00600DEE">
                  <w:pPr>
                    <w:jc w:val="center"/>
                    <w:rPr>
                      <w:rFonts w:ascii="Calibri" w:eastAsia="Calibri" w:hAnsi="Calibri" w:cs="Calibri"/>
                      <w:color w:val="4F81BD"/>
                      <w:sz w:val="17"/>
                      <w:szCs w:val="17"/>
                      <w:lang w:val="en-GB"/>
                    </w:rPr>
                  </w:pPr>
                </w:p>
              </w:tc>
            </w:tr>
            <w:tr w:rsidR="00600DEE" w:rsidRPr="007463B9" w14:paraId="669EEEF6" w14:textId="77777777" w:rsidTr="000A249F">
              <w:trPr>
                <w:trHeight w:val="680"/>
              </w:trPr>
              <w:tc>
                <w:tcPr>
                  <w:tcW w:w="3096" w:type="dxa"/>
                  <w:shd w:val="clear" w:color="auto" w:fill="DBE5F1"/>
                  <w:vAlign w:val="center"/>
                </w:tcPr>
                <w:p w14:paraId="668AF759" w14:textId="77777777" w:rsidR="00600DEE" w:rsidRPr="0045151D" w:rsidRDefault="00641FB5">
                  <w:pPr>
                    <w:pBdr>
                      <w:top w:val="nil"/>
                      <w:left w:val="nil"/>
                      <w:bottom w:val="nil"/>
                      <w:right w:val="nil"/>
                      <w:between w:val="nil"/>
                    </w:pBdr>
                    <w:rPr>
                      <w:rFonts w:ascii="Calibri" w:eastAsia="Calibri" w:hAnsi="Calibri" w:cs="Calibri"/>
                      <w:b/>
                      <w:color w:val="4F81BD"/>
                      <w:sz w:val="17"/>
                      <w:szCs w:val="17"/>
                      <w:u w:val="single"/>
                      <w:lang w:val="en-GB"/>
                    </w:rPr>
                  </w:pPr>
                  <w:r w:rsidRPr="0045151D">
                    <w:rPr>
                      <w:rFonts w:ascii="Calibri" w:eastAsia="Calibri" w:hAnsi="Calibri" w:cs="Calibri"/>
                      <w:b/>
                      <w:color w:val="4F81BD"/>
                      <w:sz w:val="17"/>
                      <w:szCs w:val="17"/>
                      <w:u w:val="single"/>
                      <w:lang w:val="en-GB"/>
                    </w:rPr>
                    <w:t>Other risks</w:t>
                  </w:r>
                </w:p>
                <w:p w14:paraId="7C40071E" w14:textId="77777777" w:rsidR="00600DEE" w:rsidRPr="0045151D" w:rsidRDefault="00641FB5">
                  <w:pPr>
                    <w:pBdr>
                      <w:top w:val="nil"/>
                      <w:left w:val="nil"/>
                      <w:bottom w:val="nil"/>
                      <w:right w:val="nil"/>
                      <w:between w:val="nil"/>
                    </w:pBdr>
                    <w:rPr>
                      <w:rFonts w:ascii="Calibri" w:eastAsia="Calibri" w:hAnsi="Calibri" w:cs="Calibri"/>
                      <w:color w:val="4F81BD"/>
                      <w:sz w:val="17"/>
                      <w:szCs w:val="17"/>
                      <w:u w:val="single"/>
                      <w:lang w:val="en-GB"/>
                    </w:rPr>
                  </w:pPr>
                  <w:r w:rsidRPr="0045151D">
                    <w:rPr>
                      <w:rFonts w:ascii="Calibri" w:eastAsia="Calibri" w:hAnsi="Calibri" w:cs="Calibri"/>
                      <w:color w:val="4F81BD"/>
                      <w:sz w:val="17"/>
                      <w:szCs w:val="17"/>
                      <w:lang w:val="en-GB"/>
                    </w:rPr>
                    <w:t>(specify)</w:t>
                  </w:r>
                </w:p>
              </w:tc>
              <w:tc>
                <w:tcPr>
                  <w:tcW w:w="2084" w:type="dxa"/>
                  <w:shd w:val="clear" w:color="auto" w:fill="DBE5F1"/>
                  <w:vAlign w:val="center"/>
                </w:tcPr>
                <w:p w14:paraId="3F5DF86B" w14:textId="77777777" w:rsidR="00600DEE" w:rsidRPr="0045151D" w:rsidRDefault="00600DEE">
                  <w:pPr>
                    <w:jc w:val="center"/>
                    <w:rPr>
                      <w:rFonts w:ascii="Calibri" w:eastAsia="Calibri" w:hAnsi="Calibri" w:cs="Calibri"/>
                      <w:color w:val="4F81BD"/>
                      <w:sz w:val="17"/>
                      <w:szCs w:val="17"/>
                      <w:lang w:val="en-GB"/>
                    </w:rPr>
                  </w:pPr>
                </w:p>
              </w:tc>
              <w:tc>
                <w:tcPr>
                  <w:tcW w:w="1759" w:type="dxa"/>
                  <w:shd w:val="clear" w:color="auto" w:fill="DBE5F1"/>
                  <w:vAlign w:val="center"/>
                </w:tcPr>
                <w:p w14:paraId="130FF7B7" w14:textId="77777777" w:rsidR="00600DEE" w:rsidRPr="0045151D" w:rsidRDefault="00600DEE">
                  <w:pPr>
                    <w:jc w:val="center"/>
                    <w:rPr>
                      <w:rFonts w:ascii="Calibri" w:eastAsia="Calibri" w:hAnsi="Calibri" w:cs="Calibri"/>
                      <w:color w:val="4F81BD"/>
                      <w:sz w:val="17"/>
                      <w:szCs w:val="17"/>
                      <w:lang w:val="en-GB"/>
                    </w:rPr>
                  </w:pPr>
                </w:p>
              </w:tc>
            </w:tr>
          </w:tbl>
          <w:p w14:paraId="7A42382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list above is an indicative and not exhaustive list of main risks. If other specific risks apply to the project, they should be described and assessed as well.</w:t>
            </w:r>
          </w:p>
          <w:p w14:paraId="5970C90B"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Qualitative risk analysis</w:t>
            </w:r>
          </w:p>
          <w:p w14:paraId="56DD908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each relevant risk identified, the following aspects must be described and analysed, using the table specified in chapter 4.3:</w:t>
            </w:r>
          </w:p>
          <w:p w14:paraId="0CFE433E" w14:textId="77777777" w:rsidR="00600DEE" w:rsidRPr="0045151D"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Cause: what causes the risk?</w:t>
            </w:r>
          </w:p>
          <w:p w14:paraId="11665DD8" w14:textId="77777777" w:rsidR="00600DEE" w:rsidRPr="0045151D"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Consequence: what effect will the risk have on costs/ benefits / implementation time / funding and financial sustainability?</w:t>
            </w:r>
          </w:p>
          <w:p w14:paraId="1F2AE36A" w14:textId="77777777" w:rsidR="00600DEE" w:rsidRPr="0045151D"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Risk owner: the risk owner is the entity that has been given the authority to manage a particular risk and is accountable for doing so. It could be the Beneficiary, managing authority, implementing body, contractor, or other. Where it is not the beneficiary who is the risk owner, describe the ways in which the Beneficiary can influence the risk owner with regard to this particular risk.</w:t>
            </w:r>
          </w:p>
          <w:p w14:paraId="4B6318F9" w14:textId="77777777" w:rsidR="00600DEE" w:rsidRPr="0045151D"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Project stage in which risk occurs: please indicate whether the risk exists in any of the following: Preparation stage (yes/no), Implementation stage (yes/no), Operational stage (yes/no). If a risk occurs only at a stage that has been completed at the moment of submission/update of the documentation to the MA, then this risk is “closed” (as described in the risk identification above) and does not need to be assessed anymore. </w:t>
            </w:r>
          </w:p>
          <w:p w14:paraId="33C1DC87" w14:textId="77777777" w:rsidR="00600DEE" w:rsidRPr="0045151D"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Probability: using the table below, score the probability of the risk event occurring on a scale A-E.</w:t>
            </w:r>
          </w:p>
          <w:p w14:paraId="2F35F93E" w14:textId="77777777" w:rsidR="00600DEE" w:rsidRPr="0045151D"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Severity: using the table below, score the impact of the risk event on a scale I-V.</w:t>
            </w:r>
          </w:p>
          <w:p w14:paraId="44A77CF7" w14:textId="77777777" w:rsidR="00600DEE" w:rsidRPr="0045151D" w:rsidRDefault="00641FB5" w:rsidP="00D5736B">
            <w:pPr>
              <w:numPr>
                <w:ilvl w:val="0"/>
                <w:numId w:val="29"/>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Risk level: the combination of probability and impact gives the risk on a four-level scale (low/ moderate/ high/ very high).</w:t>
            </w:r>
          </w:p>
          <w:p w14:paraId="6871E778"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4A1D5C7D" w14:textId="77777777" w:rsidR="0018582B" w:rsidRPr="0045151D" w:rsidRDefault="0018582B">
            <w:pPr>
              <w:pBdr>
                <w:top w:val="nil"/>
                <w:left w:val="nil"/>
                <w:bottom w:val="nil"/>
                <w:right w:val="nil"/>
                <w:between w:val="nil"/>
              </w:pBdr>
              <w:spacing w:before="120" w:after="120"/>
              <w:jc w:val="both"/>
              <w:rPr>
                <w:rFonts w:ascii="Calibri" w:eastAsia="Calibri" w:hAnsi="Calibri" w:cs="Calibri"/>
                <w:b/>
                <w:color w:val="4F81BD"/>
                <w:sz w:val="20"/>
                <w:szCs w:val="20"/>
                <w:lang w:val="en-GB"/>
              </w:rPr>
            </w:pPr>
          </w:p>
          <w:p w14:paraId="0CAE618E" w14:textId="793FDA41" w:rsidR="00600DEE" w:rsidRPr="0045151D" w:rsidRDefault="00B67038" w:rsidP="00FD2E0C">
            <w:pPr>
              <w:pBdr>
                <w:top w:val="nil"/>
                <w:left w:val="nil"/>
                <w:bottom w:val="nil"/>
                <w:right w:val="nil"/>
                <w:between w:val="nil"/>
              </w:pBdr>
              <w:spacing w:before="24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32</w:t>
            </w:r>
            <w:r w:rsidR="00641FB5" w:rsidRPr="0045151D">
              <w:rPr>
                <w:rFonts w:ascii="Calibri" w:eastAsia="Calibri" w:hAnsi="Calibri" w:cs="Calibri"/>
                <w:b/>
                <w:color w:val="4F81BD"/>
                <w:sz w:val="20"/>
                <w:szCs w:val="20"/>
                <w:lang w:val="en-GB"/>
              </w:rPr>
              <w:t>a. Qualitative risk – Probability and Severity</w:t>
            </w:r>
          </w:p>
          <w:p w14:paraId="1CC8CF9F" w14:textId="77777777" w:rsidR="009A7A37" w:rsidRPr="0045151D" w:rsidRDefault="009A7A37" w:rsidP="009A7A37">
            <w:pPr>
              <w:pBdr>
                <w:top w:val="nil"/>
                <w:left w:val="nil"/>
                <w:bottom w:val="nil"/>
                <w:right w:val="nil"/>
                <w:between w:val="nil"/>
              </w:pBdr>
              <w:jc w:val="both"/>
              <w:rPr>
                <w:rFonts w:ascii="Calibri" w:eastAsia="Calibri" w:hAnsi="Calibri" w:cs="Calibri"/>
                <w:b/>
                <w:color w:val="4F81BD"/>
                <w:sz w:val="20"/>
                <w:szCs w:val="20"/>
                <w:lang w:val="en-GB"/>
              </w:rPr>
            </w:pPr>
          </w:p>
          <w:tbl>
            <w:tblPr>
              <w:tblStyle w:val="afffffffe"/>
              <w:tblW w:w="5639" w:type="dxa"/>
              <w:tblLayout w:type="fixed"/>
              <w:tblLook w:val="0000" w:firstRow="0" w:lastRow="0" w:firstColumn="0" w:lastColumn="0" w:noHBand="0" w:noVBand="0"/>
            </w:tblPr>
            <w:tblGrid>
              <w:gridCol w:w="1879"/>
              <w:gridCol w:w="1880"/>
              <w:gridCol w:w="1880"/>
            </w:tblGrid>
            <w:tr w:rsidR="00600DEE" w14:paraId="1192A21C" w14:textId="77777777">
              <w:tc>
                <w:tcPr>
                  <w:tcW w:w="5639" w:type="dxa"/>
                  <w:gridSpan w:val="3"/>
                  <w:tcBorders>
                    <w:top w:val="single" w:sz="4" w:space="0" w:color="FFFFFF"/>
                    <w:left w:val="single" w:sz="4" w:space="0" w:color="FFFFFF"/>
                    <w:bottom w:val="single" w:sz="4" w:space="0" w:color="FFFFFF"/>
                    <w:right w:val="single" w:sz="4" w:space="0" w:color="FFFFFF"/>
                  </w:tcBorders>
                  <w:shd w:val="clear" w:color="auto" w:fill="A6A6A6"/>
                  <w:vAlign w:val="center"/>
                </w:tcPr>
                <w:p w14:paraId="18E12D46" w14:textId="77777777" w:rsidR="00600DEE" w:rsidRDefault="00641FB5">
                  <w:pPr>
                    <w:spacing w:line="264" w:lineRule="auto"/>
                    <w:jc w:val="center"/>
                    <w:rPr>
                      <w:rFonts w:ascii="Calibri" w:eastAsia="Calibri" w:hAnsi="Calibri" w:cs="Calibri"/>
                      <w:b/>
                      <w:color w:val="FFFFFF"/>
                      <w:sz w:val="18"/>
                      <w:szCs w:val="18"/>
                    </w:rPr>
                  </w:pPr>
                  <w:r>
                    <w:rPr>
                      <w:rFonts w:ascii="Calibri" w:eastAsia="Calibri" w:hAnsi="Calibri" w:cs="Calibri"/>
                      <w:b/>
                      <w:color w:val="FFFFFF"/>
                      <w:sz w:val="18"/>
                      <w:szCs w:val="18"/>
                    </w:rPr>
                    <w:t>Probability</w:t>
                  </w:r>
                </w:p>
              </w:tc>
            </w:tr>
            <w:tr w:rsidR="00600DEE" w14:paraId="3C62F94A" w14:textId="77777777" w:rsidTr="0018582B">
              <w:trPr>
                <w:trHeight w:hRule="exact" w:val="454"/>
              </w:trPr>
              <w:tc>
                <w:tcPr>
                  <w:tcW w:w="1879" w:type="dxa"/>
                  <w:tcBorders>
                    <w:top w:val="single" w:sz="4" w:space="0" w:color="FFFFFF"/>
                    <w:left w:val="single" w:sz="4" w:space="0" w:color="FFFFFF"/>
                    <w:bottom w:val="single" w:sz="4" w:space="0" w:color="FFFFFF"/>
                  </w:tcBorders>
                  <w:shd w:val="clear" w:color="auto" w:fill="A6A6A6"/>
                  <w:vAlign w:val="center"/>
                </w:tcPr>
                <w:p w14:paraId="4161D12E"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Scale</w:t>
                  </w:r>
                </w:p>
              </w:tc>
              <w:tc>
                <w:tcPr>
                  <w:tcW w:w="188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60A2B6B6"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Range</w:t>
                  </w:r>
                </w:p>
              </w:tc>
              <w:tc>
                <w:tcPr>
                  <w:tcW w:w="188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5D485EA0"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Value</w:t>
                  </w:r>
                </w:p>
              </w:tc>
            </w:tr>
            <w:tr w:rsidR="00600DEE" w14:paraId="666D3007" w14:textId="77777777">
              <w:tc>
                <w:tcPr>
                  <w:tcW w:w="1879" w:type="dxa"/>
                  <w:tcBorders>
                    <w:top w:val="single" w:sz="4" w:space="0" w:color="FFFFFF"/>
                    <w:left w:val="single" w:sz="4" w:space="0" w:color="FFFFFF"/>
                    <w:bottom w:val="single" w:sz="4" w:space="0" w:color="FFFFFF"/>
                    <w:right w:val="single" w:sz="4" w:space="0" w:color="FFFFFF"/>
                  </w:tcBorders>
                  <w:shd w:val="clear" w:color="auto" w:fill="DBE5F1"/>
                </w:tcPr>
                <w:p w14:paraId="3C026B91"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Very Unlikely</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43E571C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0 - 10%</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544B439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A</w:t>
                  </w:r>
                </w:p>
              </w:tc>
            </w:tr>
            <w:tr w:rsidR="00600DEE" w14:paraId="5FCD4C95" w14:textId="77777777">
              <w:tc>
                <w:tcPr>
                  <w:tcW w:w="1879" w:type="dxa"/>
                  <w:tcBorders>
                    <w:top w:val="single" w:sz="4" w:space="0" w:color="FFFFFF"/>
                    <w:left w:val="single" w:sz="4" w:space="0" w:color="FFFFFF"/>
                    <w:bottom w:val="single" w:sz="4" w:space="0" w:color="FFFFFF"/>
                    <w:right w:val="single" w:sz="4" w:space="0" w:color="FFFFFF"/>
                  </w:tcBorders>
                  <w:shd w:val="clear" w:color="auto" w:fill="DBE5F1"/>
                </w:tcPr>
                <w:p w14:paraId="05D86885"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Unlikely</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5A2E5FF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&lt;10% - 33%</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4024D35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B</w:t>
                  </w:r>
                </w:p>
              </w:tc>
            </w:tr>
            <w:tr w:rsidR="00600DEE" w:rsidRPr="007463B9" w14:paraId="6F28F8D5" w14:textId="77777777">
              <w:tc>
                <w:tcPr>
                  <w:tcW w:w="1879" w:type="dxa"/>
                  <w:tcBorders>
                    <w:top w:val="single" w:sz="4" w:space="0" w:color="FFFFFF"/>
                    <w:left w:val="single" w:sz="4" w:space="0" w:color="FFFFFF"/>
                    <w:bottom w:val="single" w:sz="4" w:space="0" w:color="FFFFFF"/>
                    <w:right w:val="single" w:sz="4" w:space="0" w:color="FFFFFF"/>
                  </w:tcBorders>
                  <w:shd w:val="clear" w:color="auto" w:fill="DBE5F1"/>
                </w:tcPr>
                <w:p w14:paraId="61FFDA00" w14:textId="77777777" w:rsidR="00600DEE" w:rsidRPr="0045151D" w:rsidRDefault="00641FB5">
                  <w:pP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About as likely as not</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2F5B251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&lt;33% - 66%</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56AABD3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w:t>
                  </w:r>
                </w:p>
              </w:tc>
            </w:tr>
            <w:tr w:rsidR="00600DEE" w:rsidRPr="007463B9" w14:paraId="34A03E2F" w14:textId="77777777">
              <w:tc>
                <w:tcPr>
                  <w:tcW w:w="1879" w:type="dxa"/>
                  <w:tcBorders>
                    <w:top w:val="single" w:sz="4" w:space="0" w:color="FFFFFF"/>
                    <w:left w:val="single" w:sz="4" w:space="0" w:color="FFFFFF"/>
                    <w:bottom w:val="single" w:sz="4" w:space="0" w:color="FFFFFF"/>
                    <w:right w:val="single" w:sz="4" w:space="0" w:color="FFFFFF"/>
                  </w:tcBorders>
                  <w:shd w:val="clear" w:color="auto" w:fill="DBE5F1"/>
                </w:tcPr>
                <w:p w14:paraId="11DF0323" w14:textId="77777777" w:rsidR="00600DEE" w:rsidRPr="0045151D" w:rsidRDefault="00641FB5">
                  <w:pP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Likely</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3387FDA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&lt;66% - 90%</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031AC26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D</w:t>
                  </w:r>
                </w:p>
              </w:tc>
            </w:tr>
            <w:tr w:rsidR="00600DEE" w:rsidRPr="007463B9" w14:paraId="41FE39AE" w14:textId="77777777">
              <w:tc>
                <w:tcPr>
                  <w:tcW w:w="1879" w:type="dxa"/>
                  <w:tcBorders>
                    <w:top w:val="single" w:sz="4" w:space="0" w:color="FFFFFF"/>
                    <w:left w:val="single" w:sz="4" w:space="0" w:color="FFFFFF"/>
                    <w:bottom w:val="single" w:sz="4" w:space="0" w:color="FFFFFF"/>
                    <w:right w:val="single" w:sz="4" w:space="0" w:color="FFFFFF"/>
                  </w:tcBorders>
                  <w:shd w:val="clear" w:color="auto" w:fill="DBE5F1"/>
                </w:tcPr>
                <w:p w14:paraId="027E7256" w14:textId="77777777" w:rsidR="00600DEE" w:rsidRPr="0045151D" w:rsidRDefault="00641FB5">
                  <w:pP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Very Likely</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47F50EE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&lt;90% - 100%</w:t>
                  </w:r>
                </w:p>
              </w:tc>
              <w:tc>
                <w:tcPr>
                  <w:tcW w:w="1880" w:type="dxa"/>
                  <w:tcBorders>
                    <w:top w:val="single" w:sz="4" w:space="0" w:color="FFFFFF"/>
                    <w:left w:val="single" w:sz="4" w:space="0" w:color="FFFFFF"/>
                    <w:bottom w:val="single" w:sz="4" w:space="0" w:color="FFFFFF"/>
                    <w:right w:val="single" w:sz="4" w:space="0" w:color="FFFFFF"/>
                  </w:tcBorders>
                  <w:shd w:val="clear" w:color="auto" w:fill="DBE5F1"/>
                </w:tcPr>
                <w:p w14:paraId="1F48AC1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E</w:t>
                  </w:r>
                </w:p>
              </w:tc>
            </w:tr>
          </w:tbl>
          <w:p w14:paraId="62FE2007" w14:textId="6230A451" w:rsidR="009A7A37" w:rsidRPr="0045151D" w:rsidRDefault="00641FB5" w:rsidP="00FD2E0C">
            <w:pPr>
              <w:spacing w:before="100" w:beforeAutospacing="1" w:after="240" w:line="276" w:lineRule="auto"/>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“Guide to Cost-benefit Analysis of Investment Projects- Economic appraisal tool for Cohesion Policy 2014-2020” DG Regio, December 2014</w:t>
            </w:r>
          </w:p>
          <w:tbl>
            <w:tblPr>
              <w:tblStyle w:val="affffffff"/>
              <w:tblW w:w="6939" w:type="dxa"/>
              <w:tblLayout w:type="fixed"/>
              <w:tblLook w:val="0000" w:firstRow="0" w:lastRow="0" w:firstColumn="0" w:lastColumn="0" w:noHBand="0" w:noVBand="0"/>
            </w:tblPr>
            <w:tblGrid>
              <w:gridCol w:w="5239"/>
              <w:gridCol w:w="1700"/>
            </w:tblGrid>
            <w:tr w:rsidR="00600DEE" w14:paraId="04C852EB" w14:textId="77777777" w:rsidTr="00620161">
              <w:trPr>
                <w:trHeight w:hRule="exact" w:val="397"/>
              </w:trPr>
              <w:tc>
                <w:tcPr>
                  <w:tcW w:w="6939" w:type="dxa"/>
                  <w:gridSpan w:val="2"/>
                  <w:tcBorders>
                    <w:top w:val="single" w:sz="4" w:space="0" w:color="FFFFFF"/>
                    <w:left w:val="single" w:sz="4" w:space="0" w:color="FFFFFF"/>
                    <w:bottom w:val="single" w:sz="4" w:space="0" w:color="FFFFFF"/>
                    <w:right w:val="single" w:sz="4" w:space="0" w:color="FFFFFF"/>
                  </w:tcBorders>
                  <w:shd w:val="clear" w:color="auto" w:fill="A6A6A6"/>
                  <w:vAlign w:val="center"/>
                </w:tcPr>
                <w:p w14:paraId="48D3EA17" w14:textId="77777777" w:rsidR="00600DEE" w:rsidRDefault="00641FB5">
                  <w:pPr>
                    <w:spacing w:line="264" w:lineRule="auto"/>
                    <w:jc w:val="center"/>
                    <w:rPr>
                      <w:rFonts w:ascii="Calibri" w:eastAsia="Calibri" w:hAnsi="Calibri" w:cs="Calibri"/>
                      <w:b/>
                      <w:color w:val="FFFFFF"/>
                      <w:sz w:val="18"/>
                      <w:szCs w:val="18"/>
                    </w:rPr>
                  </w:pPr>
                  <w:r>
                    <w:rPr>
                      <w:rFonts w:ascii="Calibri" w:eastAsia="Calibri" w:hAnsi="Calibri" w:cs="Calibri"/>
                      <w:b/>
                      <w:color w:val="FFFFFF"/>
                      <w:sz w:val="18"/>
                      <w:szCs w:val="18"/>
                    </w:rPr>
                    <w:t>Severity</w:t>
                  </w:r>
                </w:p>
              </w:tc>
            </w:tr>
            <w:tr w:rsidR="00600DEE" w14:paraId="062B8F5B" w14:textId="77777777" w:rsidTr="009A7A37">
              <w:trPr>
                <w:trHeight w:val="454"/>
              </w:trPr>
              <w:tc>
                <w:tcPr>
                  <w:tcW w:w="5239"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1421BDB1"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Meaning</w:t>
                  </w:r>
                </w:p>
              </w:tc>
              <w:tc>
                <w:tcPr>
                  <w:tcW w:w="1700"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6D76EB3E" w14:textId="77777777" w:rsidR="00600DEE" w:rsidRDefault="00641FB5">
                  <w:pPr>
                    <w:spacing w:line="264" w:lineRule="auto"/>
                    <w:jc w:val="center"/>
                    <w:rPr>
                      <w:rFonts w:ascii="Calibri" w:eastAsia="Calibri" w:hAnsi="Calibri" w:cs="Calibri"/>
                      <w:b/>
                      <w:i/>
                      <w:color w:val="FFFFFF"/>
                      <w:sz w:val="18"/>
                      <w:szCs w:val="18"/>
                    </w:rPr>
                  </w:pPr>
                  <w:r>
                    <w:rPr>
                      <w:rFonts w:ascii="Calibri" w:eastAsia="Calibri" w:hAnsi="Calibri" w:cs="Calibri"/>
                      <w:b/>
                      <w:i/>
                      <w:color w:val="FFFFFF"/>
                      <w:sz w:val="18"/>
                      <w:szCs w:val="18"/>
                    </w:rPr>
                    <w:t>Value</w:t>
                  </w:r>
                </w:p>
              </w:tc>
            </w:tr>
            <w:tr w:rsidR="00600DEE" w14:paraId="1346FEC1" w14:textId="77777777" w:rsidTr="009A7A37">
              <w:trPr>
                <w:trHeight w:val="567"/>
              </w:trPr>
              <w:tc>
                <w:tcPr>
                  <w:tcW w:w="523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502743D7"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No effect on social welfare, even without remedial actions</w:t>
                  </w:r>
                </w:p>
              </w:tc>
              <w:tc>
                <w:tcPr>
                  <w:tcW w:w="17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0D62684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I</w:t>
                  </w:r>
                </w:p>
              </w:tc>
            </w:tr>
            <w:tr w:rsidR="00600DEE" w14:paraId="317DC7F3" w14:textId="77777777" w:rsidTr="009A7A37">
              <w:trPr>
                <w:trHeight w:val="851"/>
              </w:trPr>
              <w:tc>
                <w:tcPr>
                  <w:tcW w:w="523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25A7E3DE"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Minor loss of social welfare generated by the project, affecting the project financial effects very little; Remedial or corrective actions are, however, needed</w:t>
                  </w:r>
                </w:p>
              </w:tc>
              <w:tc>
                <w:tcPr>
                  <w:tcW w:w="17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34DD868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II</w:t>
                  </w:r>
                </w:p>
              </w:tc>
            </w:tr>
            <w:tr w:rsidR="00600DEE" w14:paraId="68D862F3" w14:textId="77777777">
              <w:trPr>
                <w:trHeight w:val="410"/>
              </w:trPr>
              <w:tc>
                <w:tcPr>
                  <w:tcW w:w="523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416C7AE3"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Moderate loss of social welfare generated by the project, mostly financial damage, even in the medium-long run</w:t>
                  </w:r>
                </w:p>
              </w:tc>
              <w:tc>
                <w:tcPr>
                  <w:tcW w:w="17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9B3267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III</w:t>
                  </w:r>
                </w:p>
              </w:tc>
            </w:tr>
            <w:tr w:rsidR="00600DEE" w14:paraId="1EC654EF" w14:textId="77777777" w:rsidTr="009A7A37">
              <w:trPr>
                <w:trHeight w:val="1134"/>
              </w:trPr>
              <w:tc>
                <w:tcPr>
                  <w:tcW w:w="523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5058E083"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Critical; High loss of social welfare generated by the project; the failure causes a loss of primary function of the project; Remedial actions, even large, are not enough to avoid serious damage</w:t>
                  </w:r>
                </w:p>
              </w:tc>
              <w:tc>
                <w:tcPr>
                  <w:tcW w:w="17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CA9F26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IV</w:t>
                  </w:r>
                </w:p>
              </w:tc>
            </w:tr>
            <w:tr w:rsidR="00600DEE" w:rsidRPr="007463B9" w14:paraId="143265AE" w14:textId="77777777" w:rsidTr="009A7A37">
              <w:trPr>
                <w:trHeight w:val="794"/>
              </w:trPr>
              <w:tc>
                <w:tcPr>
                  <w:tcW w:w="5239"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39B508C0"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Catastrophic; Project default; The failure may result in serious or even total loss of the project functions. Main project effects in the medium-long term do not materialize</w:t>
                  </w:r>
                </w:p>
              </w:tc>
              <w:tc>
                <w:tcPr>
                  <w:tcW w:w="1700" w:type="dxa"/>
                  <w:tcBorders>
                    <w:top w:val="single" w:sz="4" w:space="0" w:color="FFFFFF"/>
                    <w:left w:val="single" w:sz="4" w:space="0" w:color="FFFFFF"/>
                    <w:bottom w:val="single" w:sz="4" w:space="0" w:color="FFFFFF"/>
                    <w:right w:val="single" w:sz="4" w:space="0" w:color="FFFFFF"/>
                  </w:tcBorders>
                  <w:shd w:val="clear" w:color="auto" w:fill="DBE5F1"/>
                  <w:vAlign w:val="center"/>
                </w:tcPr>
                <w:p w14:paraId="711D82D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V</w:t>
                  </w:r>
                </w:p>
              </w:tc>
            </w:tr>
          </w:tbl>
          <w:p w14:paraId="6C736E65" w14:textId="77777777" w:rsidR="00600DEE" w:rsidRPr="0045151D" w:rsidRDefault="00641FB5" w:rsidP="0079382E">
            <w:pPr>
              <w:spacing w:before="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“Guide to Cost-benefit Analysis of Investment Projects- Economic appraisal tool for Cohesion Policy 2014-2020” DG Regio, December 2014</w:t>
            </w:r>
          </w:p>
          <w:p w14:paraId="0E0F2BC6" w14:textId="4A1F8961" w:rsidR="00600DEE" w:rsidRPr="0045151D" w:rsidRDefault="00641FB5" w:rsidP="009A7A37">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risk level is the combination of probability and severity. The higher the risk level, the more justification and mitigation is needed to lower the risk to acceptable levels. Four risk levels are defined as follows with the associated colours.</w:t>
            </w:r>
          </w:p>
          <w:p w14:paraId="770EF8A2" w14:textId="59F3E7EB" w:rsidR="00600DEE" w:rsidRPr="0045151D" w:rsidRDefault="00B67038">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Pr>
                <w:rFonts w:ascii="Calibri" w:eastAsia="Calibri" w:hAnsi="Calibri" w:cs="Calibri"/>
                <w:b/>
                <w:color w:val="4F81BD"/>
                <w:sz w:val="20"/>
                <w:szCs w:val="20"/>
                <w:lang w:val="en-GB"/>
              </w:rPr>
              <w:t>Table 32</w:t>
            </w:r>
            <w:r w:rsidR="00641FB5" w:rsidRPr="0045151D">
              <w:rPr>
                <w:rFonts w:ascii="Calibri" w:eastAsia="Calibri" w:hAnsi="Calibri" w:cs="Calibri"/>
                <w:b/>
                <w:color w:val="4F81BD"/>
                <w:sz w:val="20"/>
                <w:szCs w:val="20"/>
                <w:lang w:val="en-GB"/>
              </w:rPr>
              <w:t>b. Qualitative risk - Risk level</w:t>
            </w:r>
          </w:p>
          <w:tbl>
            <w:tblPr>
              <w:tblStyle w:val="affffffff0"/>
              <w:tblW w:w="6988" w:type="dxa"/>
              <w:tblBorders>
                <w:insideH w:val="single" w:sz="6" w:space="0" w:color="FFFFFF"/>
                <w:insideV w:val="single" w:sz="6" w:space="0" w:color="FFFFFF"/>
              </w:tblBorders>
              <w:tblLayout w:type="fixed"/>
              <w:tblLook w:val="0000" w:firstRow="0" w:lastRow="0" w:firstColumn="0" w:lastColumn="0" w:noHBand="0" w:noVBand="0"/>
            </w:tblPr>
            <w:tblGrid>
              <w:gridCol w:w="505"/>
              <w:gridCol w:w="934"/>
              <w:gridCol w:w="1096"/>
              <w:gridCol w:w="1171"/>
              <w:gridCol w:w="1141"/>
              <w:gridCol w:w="1141"/>
              <w:gridCol w:w="1000"/>
            </w:tblGrid>
            <w:tr w:rsidR="00600DEE" w:rsidRPr="007463B9" w14:paraId="720033E3" w14:textId="77777777" w:rsidTr="00193C5C">
              <w:trPr>
                <w:trHeight w:val="383"/>
              </w:trPr>
              <w:tc>
                <w:tcPr>
                  <w:tcW w:w="1439" w:type="dxa"/>
                  <w:gridSpan w:val="2"/>
                  <w:vMerge w:val="restart"/>
                  <w:tcBorders>
                    <w:top w:val="nil"/>
                    <w:bottom w:val="single" w:sz="6" w:space="0" w:color="FFFFFF"/>
                  </w:tcBorders>
                  <w:shd w:val="clear" w:color="auto" w:fill="DBE5F1"/>
                  <w:vAlign w:val="bottom"/>
                </w:tcPr>
                <w:p w14:paraId="1465576A" w14:textId="77777777" w:rsidR="00600DEE" w:rsidRPr="0045151D" w:rsidRDefault="00641FB5">
                  <w:pPr>
                    <w:pBdr>
                      <w:top w:val="nil"/>
                      <w:left w:val="nil"/>
                      <w:bottom w:val="nil"/>
                      <w:right w:val="nil"/>
                      <w:between w:val="nil"/>
                    </w:pBdr>
                    <w:spacing w:line="264" w:lineRule="auto"/>
                    <w:jc w:val="center"/>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 </w:t>
                  </w:r>
                </w:p>
              </w:tc>
              <w:tc>
                <w:tcPr>
                  <w:tcW w:w="5549" w:type="dxa"/>
                  <w:gridSpan w:val="5"/>
                  <w:tcBorders>
                    <w:top w:val="nil"/>
                    <w:bottom w:val="single" w:sz="6" w:space="0" w:color="FFFFFF"/>
                  </w:tcBorders>
                  <w:shd w:val="clear" w:color="auto" w:fill="DBE5F1"/>
                  <w:vAlign w:val="bottom"/>
                </w:tcPr>
                <w:p w14:paraId="0ED73B07" w14:textId="64FE872F" w:rsidR="00600DEE" w:rsidRPr="0045151D" w:rsidRDefault="00B67038">
                  <w:pPr>
                    <w:pBdr>
                      <w:top w:val="nil"/>
                      <w:left w:val="nil"/>
                      <w:bottom w:val="nil"/>
                      <w:right w:val="nil"/>
                      <w:between w:val="nil"/>
                    </w:pBdr>
                    <w:jc w:val="center"/>
                    <w:rPr>
                      <w:rFonts w:ascii="Calibri" w:eastAsia="Calibri" w:hAnsi="Calibri" w:cs="Calibri"/>
                      <w:b/>
                      <w:color w:val="4F81BD"/>
                      <w:sz w:val="20"/>
                      <w:szCs w:val="20"/>
                      <w:lang w:val="en-GB"/>
                    </w:rPr>
                  </w:pPr>
                  <w:r>
                    <w:rPr>
                      <w:rFonts w:ascii="Calibri" w:eastAsia="Calibri" w:hAnsi="Calibri" w:cs="Calibri"/>
                      <w:b/>
                      <w:color w:val="4F81BD"/>
                      <w:sz w:val="20"/>
                      <w:szCs w:val="20"/>
                      <w:lang w:val="en-GB"/>
                    </w:rPr>
                    <w:t>Severity</w:t>
                  </w:r>
                </w:p>
              </w:tc>
            </w:tr>
            <w:tr w:rsidR="00600DEE" w:rsidRPr="007463B9" w14:paraId="6957BEB9" w14:textId="77777777" w:rsidTr="00193C5C">
              <w:trPr>
                <w:trHeight w:val="203"/>
              </w:trPr>
              <w:tc>
                <w:tcPr>
                  <w:tcW w:w="1439" w:type="dxa"/>
                  <w:gridSpan w:val="2"/>
                  <w:vMerge/>
                  <w:tcBorders>
                    <w:top w:val="nil"/>
                    <w:bottom w:val="single" w:sz="6" w:space="0" w:color="FFFFFF"/>
                  </w:tcBorders>
                  <w:shd w:val="clear" w:color="auto" w:fill="DBE5F1"/>
                  <w:vAlign w:val="bottom"/>
                </w:tcPr>
                <w:p w14:paraId="0CD37C16"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4F81BD"/>
                      <w:sz w:val="20"/>
                      <w:szCs w:val="20"/>
                      <w:lang w:val="en-GB"/>
                    </w:rPr>
                  </w:pPr>
                </w:p>
              </w:tc>
              <w:tc>
                <w:tcPr>
                  <w:tcW w:w="1096" w:type="dxa"/>
                  <w:tcBorders>
                    <w:top w:val="single" w:sz="6" w:space="0" w:color="FFFFFF"/>
                    <w:bottom w:val="single" w:sz="6" w:space="0" w:color="FFFFFF"/>
                  </w:tcBorders>
                  <w:shd w:val="clear" w:color="auto" w:fill="DBE5F1"/>
                  <w:vAlign w:val="center"/>
                </w:tcPr>
                <w:p w14:paraId="284C0BC5" w14:textId="77777777" w:rsidR="00600DEE" w:rsidRPr="0045151D" w:rsidRDefault="00641FB5">
                  <w:pPr>
                    <w:pBdr>
                      <w:top w:val="nil"/>
                      <w:left w:val="nil"/>
                      <w:bottom w:val="nil"/>
                      <w:right w:val="nil"/>
                      <w:between w:val="nil"/>
                    </w:pBdr>
                    <w:jc w:val="center"/>
                    <w:rPr>
                      <w:rFonts w:ascii="Calibri" w:eastAsia="Calibri" w:hAnsi="Calibri" w:cs="Calibri"/>
                      <w:b/>
                      <w:color w:val="4F81BD"/>
                      <w:sz w:val="19"/>
                      <w:szCs w:val="19"/>
                      <w:lang w:val="en-GB"/>
                    </w:rPr>
                  </w:pPr>
                  <w:r w:rsidRPr="0045151D">
                    <w:rPr>
                      <w:rFonts w:ascii="Calibri" w:eastAsia="Calibri" w:hAnsi="Calibri" w:cs="Calibri"/>
                      <w:b/>
                      <w:color w:val="4F81BD"/>
                      <w:sz w:val="19"/>
                      <w:szCs w:val="19"/>
                      <w:lang w:val="en-GB"/>
                    </w:rPr>
                    <w:t xml:space="preserve"> I</w:t>
                  </w:r>
                </w:p>
              </w:tc>
              <w:tc>
                <w:tcPr>
                  <w:tcW w:w="1171" w:type="dxa"/>
                  <w:tcBorders>
                    <w:top w:val="single" w:sz="6" w:space="0" w:color="FFFFFF"/>
                    <w:bottom w:val="single" w:sz="6" w:space="0" w:color="FFFFFF"/>
                  </w:tcBorders>
                  <w:shd w:val="clear" w:color="auto" w:fill="DBE5F1"/>
                  <w:vAlign w:val="center"/>
                </w:tcPr>
                <w:p w14:paraId="086C4BC1" w14:textId="77777777" w:rsidR="00600DEE" w:rsidRPr="0045151D" w:rsidRDefault="00641FB5">
                  <w:pPr>
                    <w:pBdr>
                      <w:top w:val="nil"/>
                      <w:left w:val="nil"/>
                      <w:bottom w:val="nil"/>
                      <w:right w:val="nil"/>
                      <w:between w:val="nil"/>
                    </w:pBdr>
                    <w:jc w:val="center"/>
                    <w:rPr>
                      <w:rFonts w:ascii="Calibri" w:eastAsia="Calibri" w:hAnsi="Calibri" w:cs="Calibri"/>
                      <w:b/>
                      <w:color w:val="4F81BD"/>
                      <w:sz w:val="19"/>
                      <w:szCs w:val="19"/>
                      <w:lang w:val="en-GB"/>
                    </w:rPr>
                  </w:pPr>
                  <w:r w:rsidRPr="0045151D">
                    <w:rPr>
                      <w:rFonts w:ascii="Calibri" w:eastAsia="Calibri" w:hAnsi="Calibri" w:cs="Calibri"/>
                      <w:b/>
                      <w:color w:val="4F81BD"/>
                      <w:sz w:val="19"/>
                      <w:szCs w:val="19"/>
                      <w:lang w:val="en-GB"/>
                    </w:rPr>
                    <w:t>II</w:t>
                  </w:r>
                </w:p>
              </w:tc>
              <w:tc>
                <w:tcPr>
                  <w:tcW w:w="1141" w:type="dxa"/>
                  <w:tcBorders>
                    <w:top w:val="single" w:sz="6" w:space="0" w:color="FFFFFF"/>
                    <w:bottom w:val="single" w:sz="6" w:space="0" w:color="FFFFFF"/>
                  </w:tcBorders>
                  <w:shd w:val="clear" w:color="auto" w:fill="DBE5F1"/>
                  <w:vAlign w:val="center"/>
                </w:tcPr>
                <w:p w14:paraId="3DA2CDA8" w14:textId="77777777" w:rsidR="00600DEE" w:rsidRPr="0045151D" w:rsidRDefault="00641FB5">
                  <w:pPr>
                    <w:pBdr>
                      <w:top w:val="nil"/>
                      <w:left w:val="nil"/>
                      <w:bottom w:val="nil"/>
                      <w:right w:val="nil"/>
                      <w:between w:val="nil"/>
                    </w:pBdr>
                    <w:jc w:val="center"/>
                    <w:rPr>
                      <w:rFonts w:ascii="Calibri" w:eastAsia="Calibri" w:hAnsi="Calibri" w:cs="Calibri"/>
                      <w:b/>
                      <w:color w:val="4F81BD"/>
                      <w:sz w:val="19"/>
                      <w:szCs w:val="19"/>
                      <w:lang w:val="en-GB"/>
                    </w:rPr>
                  </w:pPr>
                  <w:r w:rsidRPr="0045151D">
                    <w:rPr>
                      <w:rFonts w:ascii="Calibri" w:eastAsia="Calibri" w:hAnsi="Calibri" w:cs="Calibri"/>
                      <w:b/>
                      <w:color w:val="4F81BD"/>
                      <w:sz w:val="19"/>
                      <w:szCs w:val="19"/>
                      <w:lang w:val="en-GB"/>
                    </w:rPr>
                    <w:t>III</w:t>
                  </w:r>
                </w:p>
              </w:tc>
              <w:tc>
                <w:tcPr>
                  <w:tcW w:w="1141" w:type="dxa"/>
                  <w:tcBorders>
                    <w:top w:val="single" w:sz="6" w:space="0" w:color="FFFFFF"/>
                    <w:bottom w:val="single" w:sz="6" w:space="0" w:color="FFFFFF"/>
                  </w:tcBorders>
                  <w:shd w:val="clear" w:color="auto" w:fill="DBE5F1"/>
                  <w:vAlign w:val="center"/>
                </w:tcPr>
                <w:p w14:paraId="29B875C2" w14:textId="77777777" w:rsidR="00600DEE" w:rsidRPr="0045151D" w:rsidRDefault="00641FB5">
                  <w:pPr>
                    <w:pBdr>
                      <w:top w:val="nil"/>
                      <w:left w:val="nil"/>
                      <w:bottom w:val="nil"/>
                      <w:right w:val="nil"/>
                      <w:between w:val="nil"/>
                    </w:pBdr>
                    <w:jc w:val="center"/>
                    <w:rPr>
                      <w:rFonts w:ascii="Calibri" w:eastAsia="Calibri" w:hAnsi="Calibri" w:cs="Calibri"/>
                      <w:b/>
                      <w:color w:val="4F81BD"/>
                      <w:sz w:val="19"/>
                      <w:szCs w:val="19"/>
                      <w:lang w:val="en-GB"/>
                    </w:rPr>
                  </w:pPr>
                  <w:r w:rsidRPr="0045151D">
                    <w:rPr>
                      <w:rFonts w:ascii="Calibri" w:eastAsia="Calibri" w:hAnsi="Calibri" w:cs="Calibri"/>
                      <w:b/>
                      <w:color w:val="4F81BD"/>
                      <w:sz w:val="19"/>
                      <w:szCs w:val="19"/>
                      <w:lang w:val="en-GB"/>
                    </w:rPr>
                    <w:t>IV</w:t>
                  </w:r>
                </w:p>
              </w:tc>
              <w:tc>
                <w:tcPr>
                  <w:tcW w:w="999" w:type="dxa"/>
                  <w:tcBorders>
                    <w:top w:val="single" w:sz="6" w:space="0" w:color="FFFFFF"/>
                    <w:bottom w:val="single" w:sz="6" w:space="0" w:color="FFFFFF"/>
                  </w:tcBorders>
                  <w:shd w:val="clear" w:color="auto" w:fill="DBE5F1"/>
                  <w:vAlign w:val="center"/>
                </w:tcPr>
                <w:p w14:paraId="248A5125" w14:textId="77777777" w:rsidR="00600DEE" w:rsidRPr="0045151D" w:rsidRDefault="00641FB5">
                  <w:pPr>
                    <w:pBdr>
                      <w:top w:val="nil"/>
                      <w:left w:val="nil"/>
                      <w:bottom w:val="nil"/>
                      <w:right w:val="nil"/>
                      <w:between w:val="nil"/>
                    </w:pBdr>
                    <w:jc w:val="center"/>
                    <w:rPr>
                      <w:rFonts w:ascii="Calibri" w:eastAsia="Calibri" w:hAnsi="Calibri" w:cs="Calibri"/>
                      <w:b/>
                      <w:color w:val="4F81BD"/>
                      <w:sz w:val="19"/>
                      <w:szCs w:val="19"/>
                      <w:lang w:val="en-GB"/>
                    </w:rPr>
                  </w:pPr>
                  <w:r w:rsidRPr="0045151D">
                    <w:rPr>
                      <w:rFonts w:ascii="Calibri" w:eastAsia="Calibri" w:hAnsi="Calibri" w:cs="Calibri"/>
                      <w:b/>
                      <w:color w:val="4F81BD"/>
                      <w:sz w:val="19"/>
                      <w:szCs w:val="19"/>
                      <w:lang w:val="en-GB"/>
                    </w:rPr>
                    <w:t>V</w:t>
                  </w:r>
                </w:p>
              </w:tc>
            </w:tr>
            <w:tr w:rsidR="00600DEE" w:rsidRPr="007463B9" w14:paraId="44047A8C" w14:textId="77777777" w:rsidTr="00193C5C">
              <w:trPr>
                <w:trHeight w:hRule="exact" w:val="255"/>
              </w:trPr>
              <w:tc>
                <w:tcPr>
                  <w:tcW w:w="505" w:type="dxa"/>
                  <w:vMerge w:val="restart"/>
                  <w:tcBorders>
                    <w:top w:val="single" w:sz="6" w:space="0" w:color="FFFFFF"/>
                    <w:bottom w:val="single" w:sz="6" w:space="0" w:color="FFFFFF"/>
                  </w:tcBorders>
                  <w:shd w:val="clear" w:color="auto" w:fill="DBE5F1"/>
                  <w:textDirection w:val="btLr"/>
                  <w:vAlign w:val="center"/>
                </w:tcPr>
                <w:p w14:paraId="663CA795" w14:textId="1D6C1298" w:rsidR="00600DEE" w:rsidRPr="0045151D" w:rsidRDefault="00193C5C" w:rsidP="00193C5C">
                  <w:pPr>
                    <w:pBdr>
                      <w:top w:val="nil"/>
                      <w:left w:val="nil"/>
                      <w:bottom w:val="nil"/>
                      <w:right w:val="nil"/>
                      <w:between w:val="nil"/>
                    </w:pBdr>
                    <w:ind w:left="113" w:right="113"/>
                    <w:jc w:val="center"/>
                    <w:rPr>
                      <w:rFonts w:ascii="Calibri" w:eastAsia="Calibri" w:hAnsi="Calibri" w:cs="Calibri"/>
                      <w:b/>
                      <w:color w:val="333399"/>
                      <w:sz w:val="20"/>
                      <w:szCs w:val="20"/>
                      <w:lang w:val="en-GB"/>
                    </w:rPr>
                  </w:pPr>
                  <w:r>
                    <w:rPr>
                      <w:rFonts w:ascii="Calibri" w:eastAsia="Calibri" w:hAnsi="Calibri" w:cs="Calibri"/>
                      <w:b/>
                      <w:color w:val="4F81BD"/>
                      <w:sz w:val="20"/>
                      <w:szCs w:val="20"/>
                      <w:lang w:val="en-GB"/>
                    </w:rPr>
                    <w:t>Probability</w:t>
                  </w:r>
                </w:p>
              </w:tc>
              <w:tc>
                <w:tcPr>
                  <w:tcW w:w="934" w:type="dxa"/>
                  <w:tcBorders>
                    <w:top w:val="single" w:sz="6" w:space="0" w:color="FFFFFF"/>
                    <w:bottom w:val="single" w:sz="6" w:space="0" w:color="FFFFFF"/>
                  </w:tcBorders>
                  <w:shd w:val="clear" w:color="auto" w:fill="DBE5F1"/>
                  <w:vAlign w:val="center"/>
                </w:tcPr>
                <w:p w14:paraId="3FF5D9F1" w14:textId="77777777" w:rsidR="00600DEE" w:rsidRPr="0045151D" w:rsidRDefault="00641FB5">
                  <w:pPr>
                    <w:pBdr>
                      <w:top w:val="nil"/>
                      <w:left w:val="nil"/>
                      <w:bottom w:val="nil"/>
                      <w:right w:val="nil"/>
                      <w:between w:val="nil"/>
                    </w:pBdr>
                    <w:jc w:val="center"/>
                    <w:rPr>
                      <w:rFonts w:ascii="Calibri" w:eastAsia="Calibri" w:hAnsi="Calibri" w:cs="Calibri"/>
                      <w:b/>
                      <w:color w:val="4F81BD"/>
                      <w:sz w:val="17"/>
                      <w:szCs w:val="17"/>
                      <w:lang w:val="en-GB"/>
                    </w:rPr>
                  </w:pPr>
                  <w:r w:rsidRPr="0045151D">
                    <w:rPr>
                      <w:rFonts w:ascii="Calibri" w:eastAsia="Calibri" w:hAnsi="Calibri" w:cs="Calibri"/>
                      <w:b/>
                      <w:color w:val="4F81BD"/>
                      <w:sz w:val="17"/>
                      <w:szCs w:val="17"/>
                      <w:lang w:val="en-GB"/>
                    </w:rPr>
                    <w:t>A</w:t>
                  </w:r>
                </w:p>
              </w:tc>
              <w:tc>
                <w:tcPr>
                  <w:tcW w:w="1096" w:type="dxa"/>
                  <w:tcBorders>
                    <w:top w:val="single" w:sz="6" w:space="0" w:color="FFFFFF"/>
                  </w:tcBorders>
                  <w:shd w:val="clear" w:color="auto" w:fill="92D050"/>
                  <w:vAlign w:val="center"/>
                </w:tcPr>
                <w:p w14:paraId="55B6D215"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 xml:space="preserve">Low </w:t>
                  </w:r>
                </w:p>
              </w:tc>
              <w:tc>
                <w:tcPr>
                  <w:tcW w:w="1171" w:type="dxa"/>
                  <w:tcBorders>
                    <w:top w:val="single" w:sz="6" w:space="0" w:color="FFFFFF"/>
                  </w:tcBorders>
                  <w:shd w:val="clear" w:color="auto" w:fill="92D050"/>
                  <w:vAlign w:val="center"/>
                </w:tcPr>
                <w:p w14:paraId="61A6602B"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Low</w:t>
                  </w:r>
                </w:p>
              </w:tc>
              <w:tc>
                <w:tcPr>
                  <w:tcW w:w="1141" w:type="dxa"/>
                  <w:tcBorders>
                    <w:top w:val="single" w:sz="6" w:space="0" w:color="FFFFFF"/>
                  </w:tcBorders>
                  <w:shd w:val="clear" w:color="auto" w:fill="92D050"/>
                  <w:vAlign w:val="center"/>
                </w:tcPr>
                <w:p w14:paraId="46C44B14"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Low</w:t>
                  </w:r>
                </w:p>
              </w:tc>
              <w:tc>
                <w:tcPr>
                  <w:tcW w:w="1141" w:type="dxa"/>
                  <w:tcBorders>
                    <w:top w:val="single" w:sz="6" w:space="0" w:color="FFFFFF"/>
                  </w:tcBorders>
                  <w:shd w:val="clear" w:color="auto" w:fill="92D050"/>
                  <w:vAlign w:val="center"/>
                </w:tcPr>
                <w:p w14:paraId="738128F6"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Low</w:t>
                  </w:r>
                </w:p>
              </w:tc>
              <w:tc>
                <w:tcPr>
                  <w:tcW w:w="999" w:type="dxa"/>
                  <w:tcBorders>
                    <w:top w:val="single" w:sz="6" w:space="0" w:color="FFFFFF"/>
                    <w:bottom w:val="single" w:sz="6" w:space="0" w:color="FFFFFF"/>
                  </w:tcBorders>
                  <w:shd w:val="clear" w:color="auto" w:fill="FFFF00"/>
                  <w:vAlign w:val="center"/>
                </w:tcPr>
                <w:p w14:paraId="3D0D5862"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Moderate</w:t>
                  </w:r>
                </w:p>
              </w:tc>
            </w:tr>
            <w:tr w:rsidR="00600DEE" w:rsidRPr="007463B9" w14:paraId="386431FF" w14:textId="77777777" w:rsidTr="00193C5C">
              <w:trPr>
                <w:trHeight w:hRule="exact" w:val="255"/>
              </w:trPr>
              <w:tc>
                <w:tcPr>
                  <w:tcW w:w="505" w:type="dxa"/>
                  <w:vMerge/>
                  <w:tcBorders>
                    <w:top w:val="single" w:sz="6" w:space="0" w:color="FFFFFF"/>
                    <w:bottom w:val="single" w:sz="6" w:space="0" w:color="FFFFFF"/>
                  </w:tcBorders>
                  <w:shd w:val="clear" w:color="auto" w:fill="DBE5F1"/>
                  <w:vAlign w:val="center"/>
                </w:tcPr>
                <w:p w14:paraId="7ADE299E"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sz w:val="20"/>
                      <w:szCs w:val="20"/>
                      <w:lang w:val="en-GB"/>
                    </w:rPr>
                  </w:pPr>
                </w:p>
              </w:tc>
              <w:tc>
                <w:tcPr>
                  <w:tcW w:w="934" w:type="dxa"/>
                  <w:tcBorders>
                    <w:top w:val="single" w:sz="6" w:space="0" w:color="FFFFFF"/>
                    <w:bottom w:val="single" w:sz="6" w:space="0" w:color="FFFFFF"/>
                  </w:tcBorders>
                  <w:shd w:val="clear" w:color="auto" w:fill="DBE5F1"/>
                  <w:vAlign w:val="center"/>
                </w:tcPr>
                <w:p w14:paraId="37EF8DA8" w14:textId="77777777" w:rsidR="00600DEE" w:rsidRPr="0045151D" w:rsidRDefault="00641FB5">
                  <w:pPr>
                    <w:pBdr>
                      <w:top w:val="nil"/>
                      <w:left w:val="nil"/>
                      <w:bottom w:val="nil"/>
                      <w:right w:val="nil"/>
                      <w:between w:val="nil"/>
                    </w:pBdr>
                    <w:jc w:val="center"/>
                    <w:rPr>
                      <w:rFonts w:ascii="Calibri" w:eastAsia="Calibri" w:hAnsi="Calibri" w:cs="Calibri"/>
                      <w:b/>
                      <w:color w:val="4F81BD"/>
                      <w:sz w:val="19"/>
                      <w:szCs w:val="19"/>
                      <w:lang w:val="en-GB"/>
                    </w:rPr>
                  </w:pPr>
                  <w:r w:rsidRPr="0045151D">
                    <w:rPr>
                      <w:rFonts w:ascii="Calibri" w:eastAsia="Calibri" w:hAnsi="Calibri" w:cs="Calibri"/>
                      <w:b/>
                      <w:color w:val="4F81BD"/>
                      <w:sz w:val="19"/>
                      <w:szCs w:val="19"/>
                      <w:lang w:val="en-GB"/>
                    </w:rPr>
                    <w:t>B</w:t>
                  </w:r>
                </w:p>
              </w:tc>
              <w:tc>
                <w:tcPr>
                  <w:tcW w:w="1096" w:type="dxa"/>
                  <w:shd w:val="clear" w:color="auto" w:fill="92D050"/>
                  <w:vAlign w:val="center"/>
                </w:tcPr>
                <w:p w14:paraId="7C1A3839"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Low</w:t>
                  </w:r>
                </w:p>
              </w:tc>
              <w:tc>
                <w:tcPr>
                  <w:tcW w:w="1171" w:type="dxa"/>
                  <w:shd w:val="clear" w:color="auto" w:fill="92D050"/>
                  <w:vAlign w:val="center"/>
                </w:tcPr>
                <w:p w14:paraId="14EBECE1"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Low</w:t>
                  </w:r>
                </w:p>
              </w:tc>
              <w:tc>
                <w:tcPr>
                  <w:tcW w:w="1141" w:type="dxa"/>
                  <w:shd w:val="clear" w:color="auto" w:fill="FFFF00"/>
                  <w:vAlign w:val="center"/>
                </w:tcPr>
                <w:p w14:paraId="39EB251E"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Moderate</w:t>
                  </w:r>
                </w:p>
              </w:tc>
              <w:tc>
                <w:tcPr>
                  <w:tcW w:w="1141" w:type="dxa"/>
                  <w:tcBorders>
                    <w:bottom w:val="single" w:sz="6" w:space="0" w:color="FFFFFF"/>
                  </w:tcBorders>
                  <w:shd w:val="clear" w:color="auto" w:fill="FFFF00"/>
                  <w:vAlign w:val="center"/>
                </w:tcPr>
                <w:p w14:paraId="0CFBBE47"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Moderate</w:t>
                  </w:r>
                </w:p>
              </w:tc>
              <w:tc>
                <w:tcPr>
                  <w:tcW w:w="999" w:type="dxa"/>
                  <w:tcBorders>
                    <w:top w:val="single" w:sz="6" w:space="0" w:color="FFFFFF"/>
                    <w:bottom w:val="single" w:sz="6" w:space="0" w:color="FFFFFF"/>
                  </w:tcBorders>
                  <w:shd w:val="clear" w:color="auto" w:fill="FF0000"/>
                  <w:vAlign w:val="center"/>
                </w:tcPr>
                <w:p w14:paraId="30BF5D1F"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High</w:t>
                  </w:r>
                </w:p>
              </w:tc>
            </w:tr>
            <w:tr w:rsidR="00600DEE" w:rsidRPr="007463B9" w14:paraId="36BBC43B" w14:textId="77777777" w:rsidTr="00193C5C">
              <w:trPr>
                <w:trHeight w:hRule="exact" w:val="255"/>
              </w:trPr>
              <w:tc>
                <w:tcPr>
                  <w:tcW w:w="505" w:type="dxa"/>
                  <w:vMerge/>
                  <w:tcBorders>
                    <w:top w:val="single" w:sz="6" w:space="0" w:color="FFFFFF"/>
                    <w:bottom w:val="single" w:sz="6" w:space="0" w:color="FFFFFF"/>
                  </w:tcBorders>
                  <w:shd w:val="clear" w:color="auto" w:fill="DBE5F1"/>
                  <w:vAlign w:val="center"/>
                </w:tcPr>
                <w:p w14:paraId="76DEE544"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sz w:val="20"/>
                      <w:szCs w:val="20"/>
                      <w:lang w:val="en-GB"/>
                    </w:rPr>
                  </w:pPr>
                </w:p>
              </w:tc>
              <w:tc>
                <w:tcPr>
                  <w:tcW w:w="934" w:type="dxa"/>
                  <w:tcBorders>
                    <w:top w:val="single" w:sz="6" w:space="0" w:color="FFFFFF"/>
                    <w:bottom w:val="single" w:sz="6" w:space="0" w:color="FFFFFF"/>
                  </w:tcBorders>
                  <w:shd w:val="clear" w:color="auto" w:fill="DBE5F1"/>
                  <w:vAlign w:val="center"/>
                </w:tcPr>
                <w:p w14:paraId="600E558A" w14:textId="77777777" w:rsidR="00600DEE" w:rsidRPr="0045151D" w:rsidRDefault="00641FB5">
                  <w:pPr>
                    <w:pBdr>
                      <w:top w:val="nil"/>
                      <w:left w:val="nil"/>
                      <w:bottom w:val="nil"/>
                      <w:right w:val="nil"/>
                      <w:between w:val="nil"/>
                    </w:pBdr>
                    <w:jc w:val="center"/>
                    <w:rPr>
                      <w:rFonts w:ascii="Calibri" w:eastAsia="Calibri" w:hAnsi="Calibri" w:cs="Calibri"/>
                      <w:b/>
                      <w:color w:val="4F81BD"/>
                      <w:sz w:val="19"/>
                      <w:szCs w:val="19"/>
                      <w:lang w:val="en-GB"/>
                    </w:rPr>
                  </w:pPr>
                  <w:r w:rsidRPr="0045151D">
                    <w:rPr>
                      <w:rFonts w:ascii="Calibri" w:eastAsia="Calibri" w:hAnsi="Calibri" w:cs="Calibri"/>
                      <w:b/>
                      <w:color w:val="4F81BD"/>
                      <w:sz w:val="19"/>
                      <w:szCs w:val="19"/>
                      <w:lang w:val="en-GB"/>
                    </w:rPr>
                    <w:t>C</w:t>
                  </w:r>
                </w:p>
              </w:tc>
              <w:tc>
                <w:tcPr>
                  <w:tcW w:w="1096" w:type="dxa"/>
                  <w:tcBorders>
                    <w:bottom w:val="single" w:sz="6" w:space="0" w:color="FFFFFF"/>
                  </w:tcBorders>
                  <w:shd w:val="clear" w:color="auto" w:fill="92D050"/>
                  <w:vAlign w:val="center"/>
                </w:tcPr>
                <w:p w14:paraId="20F48872"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Low</w:t>
                  </w:r>
                </w:p>
              </w:tc>
              <w:tc>
                <w:tcPr>
                  <w:tcW w:w="1171" w:type="dxa"/>
                  <w:tcBorders>
                    <w:bottom w:val="single" w:sz="6" w:space="0" w:color="FFFFFF"/>
                  </w:tcBorders>
                  <w:shd w:val="clear" w:color="auto" w:fill="FFFF00"/>
                  <w:vAlign w:val="center"/>
                </w:tcPr>
                <w:p w14:paraId="602333CF"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Moderate</w:t>
                  </w:r>
                </w:p>
              </w:tc>
              <w:tc>
                <w:tcPr>
                  <w:tcW w:w="1141" w:type="dxa"/>
                  <w:tcBorders>
                    <w:bottom w:val="single" w:sz="6" w:space="0" w:color="FFFFFF"/>
                  </w:tcBorders>
                  <w:shd w:val="clear" w:color="auto" w:fill="FFFF00"/>
                  <w:vAlign w:val="center"/>
                </w:tcPr>
                <w:p w14:paraId="41878775"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Moderate</w:t>
                  </w:r>
                </w:p>
              </w:tc>
              <w:tc>
                <w:tcPr>
                  <w:tcW w:w="1141" w:type="dxa"/>
                  <w:tcBorders>
                    <w:top w:val="single" w:sz="6" w:space="0" w:color="FFFFFF"/>
                    <w:bottom w:val="single" w:sz="6" w:space="0" w:color="FFFFFF"/>
                  </w:tcBorders>
                  <w:shd w:val="clear" w:color="auto" w:fill="FF0000"/>
                  <w:vAlign w:val="center"/>
                </w:tcPr>
                <w:p w14:paraId="076465A1"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High</w:t>
                  </w:r>
                </w:p>
              </w:tc>
              <w:tc>
                <w:tcPr>
                  <w:tcW w:w="999" w:type="dxa"/>
                  <w:tcBorders>
                    <w:top w:val="single" w:sz="6" w:space="0" w:color="FFFFFF"/>
                  </w:tcBorders>
                  <w:shd w:val="clear" w:color="auto" w:fill="FF0000"/>
                  <w:vAlign w:val="center"/>
                </w:tcPr>
                <w:p w14:paraId="319B87F6"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High</w:t>
                  </w:r>
                </w:p>
              </w:tc>
            </w:tr>
            <w:tr w:rsidR="00600DEE" w:rsidRPr="007463B9" w14:paraId="512303DE" w14:textId="77777777" w:rsidTr="00193C5C">
              <w:trPr>
                <w:trHeight w:hRule="exact" w:val="255"/>
              </w:trPr>
              <w:tc>
                <w:tcPr>
                  <w:tcW w:w="505" w:type="dxa"/>
                  <w:vMerge/>
                  <w:tcBorders>
                    <w:top w:val="single" w:sz="6" w:space="0" w:color="FFFFFF"/>
                    <w:bottom w:val="single" w:sz="6" w:space="0" w:color="FFFFFF"/>
                  </w:tcBorders>
                  <w:shd w:val="clear" w:color="auto" w:fill="DBE5F1"/>
                  <w:vAlign w:val="center"/>
                </w:tcPr>
                <w:p w14:paraId="5C63D96F"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sz w:val="20"/>
                      <w:szCs w:val="20"/>
                      <w:lang w:val="en-GB"/>
                    </w:rPr>
                  </w:pPr>
                </w:p>
              </w:tc>
              <w:tc>
                <w:tcPr>
                  <w:tcW w:w="934" w:type="dxa"/>
                  <w:tcBorders>
                    <w:top w:val="single" w:sz="6" w:space="0" w:color="FFFFFF"/>
                    <w:bottom w:val="single" w:sz="6" w:space="0" w:color="FFFFFF"/>
                  </w:tcBorders>
                  <w:shd w:val="clear" w:color="auto" w:fill="DBE5F1"/>
                  <w:vAlign w:val="center"/>
                </w:tcPr>
                <w:p w14:paraId="7D995488" w14:textId="77777777" w:rsidR="00600DEE" w:rsidRPr="0045151D" w:rsidRDefault="00641FB5">
                  <w:pPr>
                    <w:pBdr>
                      <w:top w:val="nil"/>
                      <w:left w:val="nil"/>
                      <w:bottom w:val="nil"/>
                      <w:right w:val="nil"/>
                      <w:between w:val="nil"/>
                    </w:pBdr>
                    <w:jc w:val="center"/>
                    <w:rPr>
                      <w:rFonts w:ascii="Calibri" w:eastAsia="Calibri" w:hAnsi="Calibri" w:cs="Calibri"/>
                      <w:b/>
                      <w:color w:val="4F81BD"/>
                      <w:sz w:val="19"/>
                      <w:szCs w:val="19"/>
                      <w:lang w:val="en-GB"/>
                    </w:rPr>
                  </w:pPr>
                  <w:r w:rsidRPr="0045151D">
                    <w:rPr>
                      <w:rFonts w:ascii="Calibri" w:eastAsia="Calibri" w:hAnsi="Calibri" w:cs="Calibri"/>
                      <w:b/>
                      <w:color w:val="4F81BD"/>
                      <w:sz w:val="19"/>
                      <w:szCs w:val="19"/>
                      <w:lang w:val="en-GB"/>
                    </w:rPr>
                    <w:t>D</w:t>
                  </w:r>
                </w:p>
              </w:tc>
              <w:tc>
                <w:tcPr>
                  <w:tcW w:w="1096" w:type="dxa"/>
                  <w:tcBorders>
                    <w:top w:val="single" w:sz="6" w:space="0" w:color="FFFFFF"/>
                    <w:bottom w:val="single" w:sz="6" w:space="0" w:color="FFFFFF"/>
                  </w:tcBorders>
                  <w:shd w:val="clear" w:color="auto" w:fill="92D050"/>
                  <w:vAlign w:val="center"/>
                </w:tcPr>
                <w:p w14:paraId="7E4CE41B"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Low</w:t>
                  </w:r>
                </w:p>
              </w:tc>
              <w:tc>
                <w:tcPr>
                  <w:tcW w:w="1171" w:type="dxa"/>
                  <w:tcBorders>
                    <w:top w:val="single" w:sz="6" w:space="0" w:color="FFFFFF"/>
                    <w:bottom w:val="single" w:sz="6" w:space="0" w:color="FFFFFF"/>
                  </w:tcBorders>
                  <w:shd w:val="clear" w:color="auto" w:fill="FFFF00"/>
                  <w:vAlign w:val="center"/>
                </w:tcPr>
                <w:p w14:paraId="66D7E601"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Moderate</w:t>
                  </w:r>
                </w:p>
              </w:tc>
              <w:tc>
                <w:tcPr>
                  <w:tcW w:w="1141" w:type="dxa"/>
                  <w:tcBorders>
                    <w:top w:val="single" w:sz="6" w:space="0" w:color="FFFFFF"/>
                    <w:bottom w:val="single" w:sz="6" w:space="0" w:color="FFFFFF"/>
                  </w:tcBorders>
                  <w:shd w:val="clear" w:color="auto" w:fill="FF0000"/>
                  <w:vAlign w:val="center"/>
                </w:tcPr>
                <w:p w14:paraId="039F9A7F"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High</w:t>
                  </w:r>
                </w:p>
              </w:tc>
              <w:tc>
                <w:tcPr>
                  <w:tcW w:w="1141" w:type="dxa"/>
                  <w:tcBorders>
                    <w:top w:val="single" w:sz="6" w:space="0" w:color="FFFFFF"/>
                  </w:tcBorders>
                  <w:shd w:val="clear" w:color="auto" w:fill="C00000"/>
                  <w:vAlign w:val="center"/>
                </w:tcPr>
                <w:p w14:paraId="1CF69D5B"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Very High</w:t>
                  </w:r>
                </w:p>
              </w:tc>
              <w:tc>
                <w:tcPr>
                  <w:tcW w:w="999" w:type="dxa"/>
                  <w:shd w:val="clear" w:color="auto" w:fill="C00000"/>
                  <w:vAlign w:val="center"/>
                </w:tcPr>
                <w:p w14:paraId="3BFF6DC5"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Very High</w:t>
                  </w:r>
                </w:p>
              </w:tc>
            </w:tr>
            <w:tr w:rsidR="00600DEE" w:rsidRPr="007463B9" w14:paraId="7A4E14F8" w14:textId="77777777" w:rsidTr="00193C5C">
              <w:trPr>
                <w:trHeight w:hRule="exact" w:val="255"/>
              </w:trPr>
              <w:tc>
                <w:tcPr>
                  <w:tcW w:w="505" w:type="dxa"/>
                  <w:vMerge/>
                  <w:tcBorders>
                    <w:top w:val="single" w:sz="6" w:space="0" w:color="FFFFFF"/>
                    <w:bottom w:val="single" w:sz="6" w:space="0" w:color="FFFFFF"/>
                  </w:tcBorders>
                  <w:shd w:val="clear" w:color="auto" w:fill="DBE5F1"/>
                  <w:vAlign w:val="center"/>
                </w:tcPr>
                <w:p w14:paraId="47584BAB"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sz w:val="20"/>
                      <w:szCs w:val="20"/>
                      <w:lang w:val="en-GB"/>
                    </w:rPr>
                  </w:pPr>
                </w:p>
              </w:tc>
              <w:tc>
                <w:tcPr>
                  <w:tcW w:w="934" w:type="dxa"/>
                  <w:tcBorders>
                    <w:top w:val="single" w:sz="6" w:space="0" w:color="FFFFFF"/>
                    <w:bottom w:val="nil"/>
                  </w:tcBorders>
                  <w:shd w:val="clear" w:color="auto" w:fill="DBE5F1"/>
                  <w:vAlign w:val="center"/>
                </w:tcPr>
                <w:p w14:paraId="215BA7CE" w14:textId="77777777" w:rsidR="00600DEE" w:rsidRPr="0045151D" w:rsidRDefault="00641FB5">
                  <w:pPr>
                    <w:pBdr>
                      <w:top w:val="nil"/>
                      <w:left w:val="nil"/>
                      <w:bottom w:val="nil"/>
                      <w:right w:val="nil"/>
                      <w:between w:val="nil"/>
                    </w:pBdr>
                    <w:jc w:val="center"/>
                    <w:rPr>
                      <w:rFonts w:ascii="Calibri" w:eastAsia="Calibri" w:hAnsi="Calibri" w:cs="Calibri"/>
                      <w:b/>
                      <w:color w:val="4F81BD"/>
                      <w:sz w:val="19"/>
                      <w:szCs w:val="19"/>
                      <w:lang w:val="en-GB"/>
                    </w:rPr>
                  </w:pPr>
                  <w:r w:rsidRPr="0045151D">
                    <w:rPr>
                      <w:rFonts w:ascii="Calibri" w:eastAsia="Calibri" w:hAnsi="Calibri" w:cs="Calibri"/>
                      <w:b/>
                      <w:color w:val="4F81BD"/>
                      <w:sz w:val="19"/>
                      <w:szCs w:val="19"/>
                      <w:lang w:val="en-GB"/>
                    </w:rPr>
                    <w:t>E</w:t>
                  </w:r>
                </w:p>
              </w:tc>
              <w:tc>
                <w:tcPr>
                  <w:tcW w:w="1096" w:type="dxa"/>
                  <w:tcBorders>
                    <w:top w:val="single" w:sz="6" w:space="0" w:color="FFFFFF"/>
                    <w:bottom w:val="nil"/>
                  </w:tcBorders>
                  <w:shd w:val="clear" w:color="auto" w:fill="FFFF00"/>
                  <w:vAlign w:val="center"/>
                </w:tcPr>
                <w:p w14:paraId="544144A7"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Moderate</w:t>
                  </w:r>
                </w:p>
              </w:tc>
              <w:tc>
                <w:tcPr>
                  <w:tcW w:w="1171" w:type="dxa"/>
                  <w:tcBorders>
                    <w:top w:val="single" w:sz="6" w:space="0" w:color="FFFFFF"/>
                    <w:bottom w:val="nil"/>
                  </w:tcBorders>
                  <w:shd w:val="clear" w:color="auto" w:fill="FF0000"/>
                  <w:vAlign w:val="center"/>
                </w:tcPr>
                <w:p w14:paraId="66F3AB0F"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High</w:t>
                  </w:r>
                </w:p>
              </w:tc>
              <w:tc>
                <w:tcPr>
                  <w:tcW w:w="1141" w:type="dxa"/>
                  <w:tcBorders>
                    <w:top w:val="single" w:sz="6" w:space="0" w:color="FFFFFF"/>
                  </w:tcBorders>
                  <w:shd w:val="clear" w:color="auto" w:fill="C00000"/>
                  <w:vAlign w:val="center"/>
                </w:tcPr>
                <w:p w14:paraId="2CF649F9"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Very High</w:t>
                  </w:r>
                </w:p>
              </w:tc>
              <w:tc>
                <w:tcPr>
                  <w:tcW w:w="1141" w:type="dxa"/>
                  <w:shd w:val="clear" w:color="auto" w:fill="C00000"/>
                  <w:vAlign w:val="center"/>
                </w:tcPr>
                <w:p w14:paraId="7F80A208"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Very High</w:t>
                  </w:r>
                </w:p>
              </w:tc>
              <w:tc>
                <w:tcPr>
                  <w:tcW w:w="999" w:type="dxa"/>
                  <w:shd w:val="clear" w:color="auto" w:fill="C00000"/>
                  <w:vAlign w:val="center"/>
                </w:tcPr>
                <w:p w14:paraId="04D4FF2D" w14:textId="77777777" w:rsidR="00600DEE" w:rsidRPr="0045151D" w:rsidRDefault="00641FB5">
                  <w:pPr>
                    <w:jc w:val="center"/>
                    <w:rPr>
                      <w:rFonts w:ascii="Calibri" w:eastAsia="Calibri" w:hAnsi="Calibri" w:cs="Calibri"/>
                      <w:sz w:val="20"/>
                      <w:szCs w:val="20"/>
                      <w:lang w:val="en-GB"/>
                    </w:rPr>
                  </w:pPr>
                  <w:r w:rsidRPr="0045151D">
                    <w:rPr>
                      <w:rFonts w:ascii="Calibri" w:eastAsia="Calibri" w:hAnsi="Calibri" w:cs="Calibri"/>
                      <w:sz w:val="20"/>
                      <w:szCs w:val="20"/>
                      <w:lang w:val="en-GB"/>
                    </w:rPr>
                    <w:t>Very High</w:t>
                  </w:r>
                </w:p>
              </w:tc>
            </w:tr>
          </w:tbl>
          <w:p w14:paraId="20877411" w14:textId="77777777" w:rsidR="00600DEE" w:rsidRPr="0045151D" w:rsidRDefault="00641FB5">
            <w:pPr>
              <w:spacing w:before="120" w:line="276" w:lineRule="auto"/>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“Guide to Cost-benefit Analysis of Investment Projects- Economic appraisal tool for Cohesion Policy 2014-2020” DG Regio, December 2014.</w:t>
            </w:r>
          </w:p>
          <w:p w14:paraId="077C8154" w14:textId="412EA315"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 xml:space="preserve">It is important to highlight that climate change risk assessment should also be part of the overall project qualitative risk analysis (in particular, it will require further development if not performed within EIA). Mitigation, adaptation and resilience measures for climate change risks should be duly presented. Specific guidance on the topic </w:t>
            </w:r>
            <w:r w:rsidR="00B67038">
              <w:rPr>
                <w:rFonts w:ascii="Calibri" w:eastAsia="Calibri" w:hAnsi="Calibri" w:cs="Calibri"/>
                <w:b/>
                <w:color w:val="000000"/>
                <w:sz w:val="20"/>
                <w:szCs w:val="20"/>
                <w:lang w:val="en-GB"/>
              </w:rPr>
              <w:t>is</w:t>
            </w:r>
            <w:r w:rsidRPr="0045151D">
              <w:rPr>
                <w:rFonts w:ascii="Calibri" w:eastAsia="Calibri" w:hAnsi="Calibri" w:cs="Calibri"/>
                <w:b/>
                <w:color w:val="000000"/>
                <w:sz w:val="20"/>
                <w:szCs w:val="20"/>
                <w:lang w:val="en-GB"/>
              </w:rPr>
              <w:t xml:space="preserve"> not </w:t>
            </w:r>
            <w:r w:rsidR="00B67038">
              <w:rPr>
                <w:rFonts w:ascii="Calibri" w:eastAsia="Calibri" w:hAnsi="Calibri" w:cs="Calibri"/>
                <w:b/>
                <w:color w:val="000000"/>
                <w:sz w:val="20"/>
                <w:szCs w:val="20"/>
                <w:lang w:val="en-GB"/>
              </w:rPr>
              <w:t xml:space="preserve">the subject </w:t>
            </w:r>
            <w:r w:rsidRPr="0045151D">
              <w:rPr>
                <w:rFonts w:ascii="Calibri" w:eastAsia="Calibri" w:hAnsi="Calibri" w:cs="Calibri"/>
                <w:b/>
                <w:color w:val="000000"/>
                <w:sz w:val="20"/>
                <w:szCs w:val="20"/>
                <w:lang w:val="en-GB"/>
              </w:rPr>
              <w:t xml:space="preserve">of the present manual, although </w:t>
            </w:r>
            <w:r w:rsidR="00B67038">
              <w:rPr>
                <w:rFonts w:ascii="Calibri" w:eastAsia="Calibri" w:hAnsi="Calibri" w:cs="Calibri"/>
                <w:b/>
                <w:color w:val="000000"/>
                <w:sz w:val="20"/>
                <w:szCs w:val="20"/>
                <w:lang w:val="en-GB"/>
              </w:rPr>
              <w:t xml:space="preserve">it </w:t>
            </w:r>
            <w:r w:rsidRPr="0045151D">
              <w:rPr>
                <w:rFonts w:ascii="Calibri" w:eastAsia="Calibri" w:hAnsi="Calibri" w:cs="Calibri"/>
                <w:b/>
                <w:color w:val="000000"/>
                <w:sz w:val="20"/>
                <w:szCs w:val="20"/>
                <w:lang w:val="en-GB"/>
              </w:rPr>
              <w:t>need</w:t>
            </w:r>
            <w:r w:rsidR="00B67038">
              <w:rPr>
                <w:rFonts w:ascii="Calibri" w:eastAsia="Calibri" w:hAnsi="Calibri" w:cs="Calibri"/>
                <w:b/>
                <w:color w:val="000000"/>
                <w:sz w:val="20"/>
                <w:szCs w:val="20"/>
                <w:lang w:val="en-GB"/>
              </w:rPr>
              <w:t>s</w:t>
            </w:r>
            <w:r w:rsidRPr="0045151D">
              <w:rPr>
                <w:rFonts w:ascii="Calibri" w:eastAsia="Calibri" w:hAnsi="Calibri" w:cs="Calibri"/>
                <w:b/>
                <w:color w:val="000000"/>
                <w:sz w:val="20"/>
                <w:szCs w:val="20"/>
                <w:lang w:val="en-GB"/>
              </w:rPr>
              <w:t xml:space="preserve"> to be part of the overall project risk analysis following the above presented framework, for specific recommendations refer to the </w:t>
            </w:r>
            <w:hyperlink r:id="rId135">
              <w:r w:rsidRPr="0045151D">
                <w:rPr>
                  <w:rFonts w:ascii="Calibri" w:eastAsia="Calibri" w:hAnsi="Calibri" w:cs="Calibri"/>
                  <w:b/>
                  <w:color w:val="0000FF"/>
                  <w:sz w:val="20"/>
                  <w:szCs w:val="20"/>
                  <w:u w:val="single"/>
                  <w:lang w:val="en-GB"/>
                </w:rPr>
                <w:t>Technical guidance on the climate proofing of infrastructure in t</w:t>
              </w:r>
            </w:hyperlink>
            <w:hyperlink r:id="rId136">
              <w:r w:rsidRPr="00193C5C">
                <w:rPr>
                  <w:rFonts w:ascii="Calibri" w:eastAsia="Calibri" w:hAnsi="Calibri" w:cs="Calibri"/>
                  <w:b/>
                  <w:color w:val="0000FF"/>
                  <w:sz w:val="20"/>
                  <w:szCs w:val="20"/>
                  <w:u w:val="single"/>
                  <w:lang w:val="en-GB"/>
                </w:rPr>
                <w:t>he period 2021-2027</w:t>
              </w:r>
            </w:hyperlink>
            <w:hyperlink r:id="rId137">
              <w:r w:rsidRPr="0045151D">
                <w:rPr>
                  <w:rFonts w:ascii="Calibri" w:eastAsia="Calibri" w:hAnsi="Calibri" w:cs="Calibri"/>
                  <w:b/>
                  <w:color w:val="0000FF"/>
                  <w:sz w:val="20"/>
                  <w:szCs w:val="20"/>
                  <w:u w:val="single"/>
                  <w:lang w:val="en-GB"/>
                </w:rPr>
                <w:t>, EC 2021</w:t>
              </w:r>
            </w:hyperlink>
            <w:r w:rsidRPr="00193C5C">
              <w:rPr>
                <w:rFonts w:ascii="Calibri" w:eastAsia="Calibri" w:hAnsi="Calibri" w:cs="Calibri"/>
                <w:b/>
                <w:color w:val="0000FF"/>
                <w:sz w:val="20"/>
                <w:szCs w:val="20"/>
                <w:u w:val="single"/>
                <w:lang w:val="en-GB"/>
              </w:rPr>
              <w:t>.</w:t>
            </w:r>
          </w:p>
          <w:p w14:paraId="4E7A1C20"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Mitigation measures and allocation of responsible parties</w:t>
            </w:r>
          </w:p>
          <w:p w14:paraId="3D95E2B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sidRPr="0045151D">
              <w:rPr>
                <w:rFonts w:ascii="Calibri" w:eastAsia="Calibri" w:hAnsi="Calibri" w:cs="Calibri"/>
                <w:color w:val="000000"/>
                <w:sz w:val="20"/>
                <w:szCs w:val="20"/>
                <w:lang w:val="en-GB"/>
              </w:rPr>
              <w:t xml:space="preserve">Once risks have been identified and assessed, response strategies and mitigation measures should be defined for each risk. </w:t>
            </w:r>
            <w:r>
              <w:rPr>
                <w:rFonts w:ascii="Calibri" w:eastAsia="Calibri" w:hAnsi="Calibri" w:cs="Calibri"/>
                <w:color w:val="000000"/>
                <w:sz w:val="20"/>
                <w:szCs w:val="20"/>
              </w:rPr>
              <w:t>Four general strategies exist:</w:t>
            </w:r>
          </w:p>
          <w:p w14:paraId="3A26B628" w14:textId="77777777" w:rsidR="00600DEE" w:rsidRPr="0045151D" w:rsidRDefault="00641FB5" w:rsidP="00D5736B">
            <w:pPr>
              <w:numPr>
                <w:ilvl w:val="0"/>
                <w:numId w:val="29"/>
              </w:numPr>
              <w:pBdr>
                <w:top w:val="nil"/>
                <w:left w:val="nil"/>
                <w:bottom w:val="nil"/>
                <w:right w:val="nil"/>
                <w:between w:val="nil"/>
              </w:pBdr>
              <w:spacing w:before="120"/>
              <w:ind w:left="0" w:firstLine="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Prevent:</w:t>
            </w:r>
            <w:r w:rsidRPr="0045151D">
              <w:rPr>
                <w:rFonts w:ascii="Calibri" w:eastAsia="Calibri" w:hAnsi="Calibri" w:cs="Calibri"/>
                <w:color w:val="000000"/>
                <w:sz w:val="20"/>
                <w:szCs w:val="20"/>
                <w:lang w:val="en-GB"/>
              </w:rPr>
              <w:t xml:space="preserve"> this means changing the project plan in order to eliminate a risk, or to eliminate its impact on the project. These changes could imply a different design, business model, financing scheme or contract form.</w:t>
            </w:r>
          </w:p>
          <w:p w14:paraId="7A270128" w14:textId="77777777" w:rsidR="00600DEE" w:rsidRPr="0045151D" w:rsidRDefault="00641FB5" w:rsidP="00D5736B">
            <w:pPr>
              <w:numPr>
                <w:ilvl w:val="0"/>
                <w:numId w:val="29"/>
              </w:numPr>
              <w:pBdr>
                <w:top w:val="nil"/>
                <w:left w:val="nil"/>
                <w:bottom w:val="nil"/>
                <w:right w:val="nil"/>
                <w:between w:val="nil"/>
              </w:pBdr>
              <w:spacing w:before="120"/>
              <w:ind w:left="0" w:firstLine="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Mitigate:</w:t>
            </w:r>
            <w:r w:rsidRPr="0045151D">
              <w:rPr>
                <w:rFonts w:ascii="Calibri" w:eastAsia="Calibri" w:hAnsi="Calibri" w:cs="Calibri"/>
                <w:color w:val="000000"/>
                <w:sz w:val="20"/>
                <w:szCs w:val="20"/>
                <w:lang w:val="en-GB"/>
              </w:rPr>
              <w:t xml:space="preserve"> this implies the reduction of either the probability or the impact of the risk by making changes to the project such as a different design, planning or material use. The difference with “prevent” is that in this case the risk is merely reduced, not eliminated.</w:t>
            </w:r>
          </w:p>
          <w:p w14:paraId="45645990" w14:textId="77777777" w:rsidR="00600DEE" w:rsidRPr="0045151D" w:rsidRDefault="00641FB5" w:rsidP="00D5736B">
            <w:pPr>
              <w:numPr>
                <w:ilvl w:val="0"/>
                <w:numId w:val="29"/>
              </w:numPr>
              <w:pBdr>
                <w:top w:val="nil"/>
                <w:left w:val="nil"/>
                <w:bottom w:val="nil"/>
                <w:right w:val="nil"/>
                <w:between w:val="nil"/>
              </w:pBdr>
              <w:spacing w:before="120"/>
              <w:ind w:left="0" w:firstLine="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Transfer:</w:t>
            </w:r>
            <w:r w:rsidRPr="0045151D">
              <w:rPr>
                <w:rFonts w:ascii="Calibri" w:eastAsia="Calibri" w:hAnsi="Calibri" w:cs="Calibri"/>
                <w:color w:val="000000"/>
                <w:sz w:val="20"/>
                <w:szCs w:val="20"/>
                <w:lang w:val="en-GB"/>
              </w:rPr>
              <w:t xml:space="preserve"> this implies the transfer of the ownership of a risk to a third party for a certain price. Insurance companies are the most obvious examples of such a third party, but it can also be another party in the project, such as the contractor. Transfers need to be specified in contracts, guarantees or pricing mechanisms (amongst others); transferring a risk only makes sense if the receiving party is (better) able to control the risk, and also has the resources to cover the impact, should the event materialise.</w:t>
            </w:r>
          </w:p>
          <w:p w14:paraId="35CCB0DF" w14:textId="77777777" w:rsidR="00600DEE" w:rsidRPr="0045151D" w:rsidRDefault="00641FB5" w:rsidP="00D5736B">
            <w:pPr>
              <w:numPr>
                <w:ilvl w:val="0"/>
                <w:numId w:val="29"/>
              </w:numPr>
              <w:pBdr>
                <w:top w:val="nil"/>
                <w:left w:val="nil"/>
                <w:bottom w:val="nil"/>
                <w:right w:val="nil"/>
                <w:between w:val="nil"/>
              </w:pBdr>
              <w:spacing w:before="120"/>
              <w:ind w:left="0" w:firstLine="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Tolerate:</w:t>
            </w:r>
            <w:r w:rsidRPr="0045151D">
              <w:rPr>
                <w:rFonts w:ascii="Calibri" w:eastAsia="Calibri" w:hAnsi="Calibri" w:cs="Calibri"/>
                <w:color w:val="000000"/>
                <w:sz w:val="20"/>
                <w:szCs w:val="20"/>
                <w:lang w:val="en-GB"/>
              </w:rPr>
              <w:t xml:space="preserve"> this is the strategy for those situations where the risk cannot be avoided, treated or (economically) transferred, and is therefore simply tolerated. It must involve a contingency plan in case the event materialises, but does not require any a priori action.</w:t>
            </w:r>
          </w:p>
          <w:p w14:paraId="716D559B" w14:textId="77777777" w:rsidR="003441F7" w:rsidRPr="0045151D" w:rsidRDefault="003441F7">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098F8190" w14:textId="77777777" w:rsidR="003441F7" w:rsidRPr="0045151D" w:rsidRDefault="003441F7">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43176844" w14:textId="2A2D88D3" w:rsidR="003441F7" w:rsidRPr="0045151D" w:rsidRDefault="003441F7">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08AA2066" w14:textId="3B0A96FA"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”Prevent” and “Mitigate” strategies are generally linked to the risk level matrix in the following way:</w:t>
            </w:r>
          </w:p>
          <w:tbl>
            <w:tblPr>
              <w:tblStyle w:val="affffffff1"/>
              <w:tblW w:w="5502" w:type="dxa"/>
              <w:tblBorders>
                <w:top w:val="single" w:sz="4" w:space="0" w:color="9BBB59"/>
                <w:bottom w:val="single" w:sz="4" w:space="0" w:color="9BBB59"/>
              </w:tblBorders>
              <w:tblLayout w:type="fixed"/>
              <w:tblLook w:val="0400" w:firstRow="0" w:lastRow="0" w:firstColumn="0" w:lastColumn="0" w:noHBand="0" w:noVBand="1"/>
            </w:tblPr>
            <w:tblGrid>
              <w:gridCol w:w="1835"/>
              <w:gridCol w:w="275"/>
              <w:gridCol w:w="1144"/>
              <w:gridCol w:w="756"/>
              <w:gridCol w:w="798"/>
              <w:gridCol w:w="694"/>
            </w:tblGrid>
            <w:tr w:rsidR="00600DEE" w:rsidRPr="007463B9" w14:paraId="5A1A5061" w14:textId="77777777">
              <w:trPr>
                <w:trHeight w:val="520"/>
              </w:trPr>
              <w:tc>
                <w:tcPr>
                  <w:tcW w:w="1835" w:type="dxa"/>
                  <w:tcBorders>
                    <w:top w:val="single" w:sz="4" w:space="0" w:color="92D050"/>
                    <w:bottom w:val="single" w:sz="4" w:space="0" w:color="92D050"/>
                    <w:right w:val="single" w:sz="4" w:space="0" w:color="92D050"/>
                  </w:tcBorders>
                  <w:shd w:val="clear" w:color="auto" w:fill="auto"/>
                  <w:vAlign w:val="center"/>
                </w:tcPr>
                <w:p w14:paraId="01A9A42D" w14:textId="77777777" w:rsidR="00600DEE" w:rsidRPr="0045151D" w:rsidRDefault="00641FB5">
                  <w:pPr>
                    <w:jc w:val="center"/>
                    <w:rPr>
                      <w:rFonts w:ascii="Calibri" w:eastAsia="Calibri" w:hAnsi="Calibri" w:cs="Calibri"/>
                      <w:b/>
                      <w:sz w:val="18"/>
                      <w:szCs w:val="18"/>
                      <w:lang w:val="en-GB"/>
                    </w:rPr>
                  </w:pPr>
                  <w:r w:rsidRPr="0045151D">
                    <w:rPr>
                      <w:rFonts w:ascii="Calibri" w:eastAsia="Calibri" w:hAnsi="Calibri" w:cs="Calibri"/>
                      <w:b/>
                      <w:sz w:val="18"/>
                      <w:szCs w:val="18"/>
                      <w:lang w:val="en-GB"/>
                    </w:rPr>
                    <w:t>Severity / Probability</w:t>
                  </w:r>
                </w:p>
              </w:tc>
              <w:tc>
                <w:tcPr>
                  <w:tcW w:w="275" w:type="dxa"/>
                  <w:tcBorders>
                    <w:top w:val="single" w:sz="4" w:space="0" w:color="92D050"/>
                    <w:left w:val="single" w:sz="4" w:space="0" w:color="92D050"/>
                    <w:bottom w:val="single" w:sz="4" w:space="0" w:color="92D050"/>
                    <w:right w:val="nil"/>
                  </w:tcBorders>
                  <w:shd w:val="clear" w:color="auto" w:fill="auto"/>
                  <w:vAlign w:val="center"/>
                </w:tcPr>
                <w:p w14:paraId="640C11E3" w14:textId="77777777" w:rsidR="00600DEE" w:rsidRPr="0045151D" w:rsidRDefault="00641FB5">
                  <w:pPr>
                    <w:rPr>
                      <w:rFonts w:ascii="Calibri" w:eastAsia="Calibri" w:hAnsi="Calibri" w:cs="Calibri"/>
                      <w:b/>
                      <w:sz w:val="18"/>
                      <w:szCs w:val="18"/>
                      <w:lang w:val="en-GB"/>
                    </w:rPr>
                  </w:pPr>
                  <w:r w:rsidRPr="0045151D">
                    <w:rPr>
                      <w:rFonts w:ascii="Calibri" w:eastAsia="Calibri" w:hAnsi="Calibri" w:cs="Calibri"/>
                      <w:b/>
                      <w:sz w:val="18"/>
                      <w:szCs w:val="18"/>
                      <w:lang w:val="en-GB"/>
                    </w:rPr>
                    <w:t>I</w:t>
                  </w:r>
                </w:p>
              </w:tc>
              <w:tc>
                <w:tcPr>
                  <w:tcW w:w="1144" w:type="dxa"/>
                  <w:tcBorders>
                    <w:top w:val="single" w:sz="4" w:space="0" w:color="92D050"/>
                    <w:left w:val="nil"/>
                    <w:bottom w:val="single" w:sz="4" w:space="0" w:color="92D050"/>
                  </w:tcBorders>
                  <w:shd w:val="clear" w:color="auto" w:fill="auto"/>
                  <w:vAlign w:val="center"/>
                </w:tcPr>
                <w:p w14:paraId="3E170C81" w14:textId="77777777" w:rsidR="00600DEE" w:rsidRPr="0045151D" w:rsidRDefault="00641FB5">
                  <w:pPr>
                    <w:rPr>
                      <w:rFonts w:ascii="Calibri" w:eastAsia="Calibri" w:hAnsi="Calibri" w:cs="Calibri"/>
                      <w:b/>
                      <w:sz w:val="18"/>
                      <w:szCs w:val="18"/>
                      <w:lang w:val="en-GB"/>
                    </w:rPr>
                  </w:pPr>
                  <w:r w:rsidRPr="0045151D">
                    <w:rPr>
                      <w:rFonts w:ascii="Calibri" w:eastAsia="Calibri" w:hAnsi="Calibri" w:cs="Calibri"/>
                      <w:b/>
                      <w:sz w:val="18"/>
                      <w:szCs w:val="18"/>
                      <w:lang w:val="en-GB"/>
                    </w:rPr>
                    <w:t xml:space="preserve">          II</w:t>
                  </w:r>
                </w:p>
              </w:tc>
              <w:tc>
                <w:tcPr>
                  <w:tcW w:w="756" w:type="dxa"/>
                  <w:tcBorders>
                    <w:top w:val="single" w:sz="4" w:space="0" w:color="92D050"/>
                    <w:bottom w:val="single" w:sz="4" w:space="0" w:color="92D050"/>
                  </w:tcBorders>
                  <w:shd w:val="clear" w:color="auto" w:fill="auto"/>
                  <w:vAlign w:val="center"/>
                </w:tcPr>
                <w:p w14:paraId="15478A68" w14:textId="77777777" w:rsidR="00600DEE" w:rsidRPr="0045151D" w:rsidRDefault="00641FB5">
                  <w:pPr>
                    <w:rPr>
                      <w:rFonts w:ascii="Calibri" w:eastAsia="Calibri" w:hAnsi="Calibri" w:cs="Calibri"/>
                      <w:b/>
                      <w:sz w:val="18"/>
                      <w:szCs w:val="18"/>
                      <w:lang w:val="en-GB"/>
                    </w:rPr>
                  </w:pPr>
                  <w:r w:rsidRPr="0045151D">
                    <w:rPr>
                      <w:rFonts w:ascii="Calibri" w:eastAsia="Calibri" w:hAnsi="Calibri" w:cs="Calibri"/>
                      <w:b/>
                      <w:sz w:val="18"/>
                      <w:szCs w:val="18"/>
                      <w:lang w:val="en-GB"/>
                    </w:rPr>
                    <w:t>III</w:t>
                  </w:r>
                </w:p>
              </w:tc>
              <w:tc>
                <w:tcPr>
                  <w:tcW w:w="798" w:type="dxa"/>
                  <w:tcBorders>
                    <w:top w:val="single" w:sz="4" w:space="0" w:color="92D050"/>
                    <w:bottom w:val="single" w:sz="4" w:space="0" w:color="92D050"/>
                  </w:tcBorders>
                  <w:shd w:val="clear" w:color="auto" w:fill="auto"/>
                  <w:vAlign w:val="center"/>
                </w:tcPr>
                <w:p w14:paraId="74956D94" w14:textId="77777777" w:rsidR="00600DEE" w:rsidRPr="0045151D" w:rsidRDefault="00641FB5">
                  <w:pPr>
                    <w:rPr>
                      <w:rFonts w:ascii="Calibri" w:eastAsia="Calibri" w:hAnsi="Calibri" w:cs="Calibri"/>
                      <w:b/>
                      <w:sz w:val="18"/>
                      <w:szCs w:val="18"/>
                      <w:lang w:val="en-GB"/>
                    </w:rPr>
                  </w:pPr>
                  <w:r w:rsidRPr="0045151D">
                    <w:rPr>
                      <w:rFonts w:ascii="Calibri" w:eastAsia="Calibri" w:hAnsi="Calibri" w:cs="Calibri"/>
                      <w:b/>
                      <w:sz w:val="18"/>
                      <w:szCs w:val="18"/>
                      <w:lang w:val="en-GB"/>
                    </w:rPr>
                    <w:t>IV</w:t>
                  </w:r>
                </w:p>
              </w:tc>
              <w:tc>
                <w:tcPr>
                  <w:tcW w:w="694" w:type="dxa"/>
                  <w:tcBorders>
                    <w:top w:val="single" w:sz="4" w:space="0" w:color="92D050"/>
                    <w:bottom w:val="single" w:sz="4" w:space="0" w:color="92D050"/>
                  </w:tcBorders>
                  <w:shd w:val="clear" w:color="auto" w:fill="auto"/>
                  <w:vAlign w:val="center"/>
                </w:tcPr>
                <w:p w14:paraId="2399B0A4" w14:textId="77777777" w:rsidR="00600DEE" w:rsidRPr="0045151D" w:rsidRDefault="00641FB5">
                  <w:pPr>
                    <w:rPr>
                      <w:rFonts w:ascii="Calibri" w:eastAsia="Calibri" w:hAnsi="Calibri" w:cs="Calibri"/>
                      <w:b/>
                      <w:sz w:val="18"/>
                      <w:szCs w:val="18"/>
                      <w:lang w:val="en-GB"/>
                    </w:rPr>
                  </w:pPr>
                  <w:r w:rsidRPr="0045151D">
                    <w:rPr>
                      <w:rFonts w:ascii="Calibri" w:eastAsia="Calibri" w:hAnsi="Calibri" w:cs="Calibri"/>
                      <w:b/>
                      <w:sz w:val="18"/>
                      <w:szCs w:val="18"/>
                      <w:lang w:val="en-GB"/>
                    </w:rPr>
                    <w:t>V</w:t>
                  </w:r>
                </w:p>
              </w:tc>
            </w:tr>
            <w:tr w:rsidR="00600DEE" w:rsidRPr="007463B9" w14:paraId="34FE3DD9" w14:textId="77777777">
              <w:tc>
                <w:tcPr>
                  <w:tcW w:w="1835" w:type="dxa"/>
                  <w:tcBorders>
                    <w:top w:val="single" w:sz="4" w:space="0" w:color="92D050"/>
                    <w:bottom w:val="nil"/>
                    <w:right w:val="single" w:sz="4" w:space="0" w:color="92D050"/>
                  </w:tcBorders>
                  <w:shd w:val="clear" w:color="auto" w:fill="auto"/>
                  <w:vAlign w:val="center"/>
                </w:tcPr>
                <w:p w14:paraId="3E8A7A0C" w14:textId="77777777" w:rsidR="00600DEE" w:rsidRPr="0045151D" w:rsidRDefault="00641FB5">
                  <w:pPr>
                    <w:spacing w:before="40" w:after="40"/>
                    <w:jc w:val="center"/>
                    <w:rPr>
                      <w:rFonts w:ascii="Calibri" w:eastAsia="Calibri" w:hAnsi="Calibri" w:cs="Calibri"/>
                      <w:b/>
                      <w:sz w:val="18"/>
                      <w:szCs w:val="18"/>
                      <w:lang w:val="en-GB"/>
                    </w:rPr>
                  </w:pPr>
                  <w:r w:rsidRPr="0045151D">
                    <w:rPr>
                      <w:rFonts w:ascii="Calibri" w:eastAsia="Calibri" w:hAnsi="Calibri" w:cs="Calibri"/>
                      <w:b/>
                      <w:sz w:val="18"/>
                      <w:szCs w:val="18"/>
                      <w:lang w:val="en-GB"/>
                    </w:rPr>
                    <w:t>A</w:t>
                  </w:r>
                </w:p>
              </w:tc>
              <w:tc>
                <w:tcPr>
                  <w:tcW w:w="1419" w:type="dxa"/>
                  <w:gridSpan w:val="2"/>
                  <w:vMerge w:val="restart"/>
                  <w:tcBorders>
                    <w:top w:val="single" w:sz="4" w:space="0" w:color="92D050"/>
                    <w:left w:val="single" w:sz="4" w:space="0" w:color="92D050"/>
                    <w:bottom w:val="nil"/>
                  </w:tcBorders>
                  <w:shd w:val="clear" w:color="auto" w:fill="auto"/>
                  <w:vAlign w:val="center"/>
                </w:tcPr>
                <w:p w14:paraId="6178EBE9" w14:textId="77777777" w:rsidR="00600DEE" w:rsidRPr="0045151D" w:rsidRDefault="00641FB5">
                  <w:pPr>
                    <w:spacing w:before="40" w:after="40"/>
                    <w:rPr>
                      <w:rFonts w:ascii="Calibri" w:eastAsia="Calibri" w:hAnsi="Calibri" w:cs="Calibri"/>
                      <w:sz w:val="18"/>
                      <w:szCs w:val="18"/>
                      <w:lang w:val="en-GB"/>
                    </w:rPr>
                  </w:pPr>
                  <w:r w:rsidRPr="0045151D">
                    <w:rPr>
                      <w:rFonts w:ascii="Calibri" w:eastAsia="Calibri" w:hAnsi="Calibri" w:cs="Calibri"/>
                      <w:sz w:val="18"/>
                      <w:szCs w:val="18"/>
                      <w:lang w:val="en-GB"/>
                    </w:rPr>
                    <w:t>Prevention or mitigation</w:t>
                  </w:r>
                </w:p>
              </w:tc>
              <w:tc>
                <w:tcPr>
                  <w:tcW w:w="2248" w:type="dxa"/>
                  <w:gridSpan w:val="3"/>
                  <w:vMerge w:val="restart"/>
                  <w:tcBorders>
                    <w:top w:val="single" w:sz="4" w:space="0" w:color="92D050"/>
                    <w:bottom w:val="nil"/>
                  </w:tcBorders>
                  <w:shd w:val="clear" w:color="auto" w:fill="auto"/>
                  <w:vAlign w:val="center"/>
                </w:tcPr>
                <w:p w14:paraId="76FF2368" w14:textId="77777777" w:rsidR="00600DEE" w:rsidRPr="0045151D" w:rsidRDefault="00641FB5">
                  <w:pPr>
                    <w:spacing w:before="40" w:after="40"/>
                    <w:rPr>
                      <w:rFonts w:ascii="Calibri" w:eastAsia="Calibri" w:hAnsi="Calibri" w:cs="Calibri"/>
                      <w:sz w:val="18"/>
                      <w:szCs w:val="18"/>
                      <w:lang w:val="en-GB"/>
                    </w:rPr>
                  </w:pPr>
                  <w:r w:rsidRPr="0045151D">
                    <w:rPr>
                      <w:rFonts w:ascii="Calibri" w:eastAsia="Calibri" w:hAnsi="Calibri" w:cs="Calibri"/>
                      <w:sz w:val="18"/>
                      <w:szCs w:val="18"/>
                      <w:lang w:val="en-GB"/>
                    </w:rPr>
                    <w:t xml:space="preserve">     Mitigation</w:t>
                  </w:r>
                </w:p>
              </w:tc>
            </w:tr>
            <w:tr w:rsidR="00600DEE" w:rsidRPr="007463B9" w14:paraId="3ACCEC19" w14:textId="77777777">
              <w:tc>
                <w:tcPr>
                  <w:tcW w:w="1835" w:type="dxa"/>
                  <w:tcBorders>
                    <w:top w:val="nil"/>
                    <w:right w:val="single" w:sz="4" w:space="0" w:color="92D050"/>
                  </w:tcBorders>
                  <w:shd w:val="clear" w:color="auto" w:fill="auto"/>
                  <w:vAlign w:val="center"/>
                </w:tcPr>
                <w:p w14:paraId="18978B6C" w14:textId="77777777" w:rsidR="00600DEE" w:rsidRPr="0045151D" w:rsidRDefault="00641FB5">
                  <w:pPr>
                    <w:spacing w:before="40" w:after="40"/>
                    <w:jc w:val="center"/>
                    <w:rPr>
                      <w:rFonts w:ascii="Calibri" w:eastAsia="Calibri" w:hAnsi="Calibri" w:cs="Calibri"/>
                      <w:b/>
                      <w:sz w:val="18"/>
                      <w:szCs w:val="18"/>
                      <w:lang w:val="en-GB"/>
                    </w:rPr>
                  </w:pPr>
                  <w:r w:rsidRPr="0045151D">
                    <w:rPr>
                      <w:rFonts w:ascii="Calibri" w:eastAsia="Calibri" w:hAnsi="Calibri" w:cs="Calibri"/>
                      <w:b/>
                      <w:sz w:val="18"/>
                      <w:szCs w:val="18"/>
                      <w:lang w:val="en-GB"/>
                    </w:rPr>
                    <w:t>B</w:t>
                  </w:r>
                </w:p>
              </w:tc>
              <w:tc>
                <w:tcPr>
                  <w:tcW w:w="1419" w:type="dxa"/>
                  <w:gridSpan w:val="2"/>
                  <w:vMerge/>
                  <w:tcBorders>
                    <w:top w:val="single" w:sz="4" w:space="0" w:color="92D050"/>
                    <w:left w:val="single" w:sz="4" w:space="0" w:color="92D050"/>
                    <w:bottom w:val="nil"/>
                  </w:tcBorders>
                  <w:shd w:val="clear" w:color="auto" w:fill="auto"/>
                  <w:vAlign w:val="center"/>
                </w:tcPr>
                <w:p w14:paraId="08CC5CB2"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sz w:val="18"/>
                      <w:szCs w:val="18"/>
                      <w:lang w:val="en-GB"/>
                    </w:rPr>
                  </w:pPr>
                </w:p>
              </w:tc>
              <w:tc>
                <w:tcPr>
                  <w:tcW w:w="2248" w:type="dxa"/>
                  <w:gridSpan w:val="3"/>
                  <w:vMerge/>
                  <w:tcBorders>
                    <w:top w:val="single" w:sz="4" w:space="0" w:color="92D050"/>
                    <w:bottom w:val="nil"/>
                  </w:tcBorders>
                  <w:shd w:val="clear" w:color="auto" w:fill="auto"/>
                  <w:vAlign w:val="center"/>
                </w:tcPr>
                <w:p w14:paraId="230CBD75"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sz w:val="18"/>
                      <w:szCs w:val="18"/>
                      <w:lang w:val="en-GB"/>
                    </w:rPr>
                  </w:pPr>
                </w:p>
              </w:tc>
            </w:tr>
            <w:tr w:rsidR="00600DEE" w:rsidRPr="007463B9" w14:paraId="2C4C28BF" w14:textId="77777777">
              <w:tc>
                <w:tcPr>
                  <w:tcW w:w="1835" w:type="dxa"/>
                  <w:tcBorders>
                    <w:bottom w:val="nil"/>
                    <w:right w:val="single" w:sz="4" w:space="0" w:color="92D050"/>
                  </w:tcBorders>
                  <w:shd w:val="clear" w:color="auto" w:fill="auto"/>
                  <w:vAlign w:val="center"/>
                </w:tcPr>
                <w:p w14:paraId="628A5691" w14:textId="77777777" w:rsidR="00600DEE" w:rsidRPr="0045151D" w:rsidRDefault="00641FB5">
                  <w:pPr>
                    <w:spacing w:before="40" w:after="40"/>
                    <w:jc w:val="center"/>
                    <w:rPr>
                      <w:rFonts w:ascii="Calibri" w:eastAsia="Calibri" w:hAnsi="Calibri" w:cs="Calibri"/>
                      <w:b/>
                      <w:sz w:val="18"/>
                      <w:szCs w:val="18"/>
                      <w:lang w:val="en-GB"/>
                    </w:rPr>
                  </w:pPr>
                  <w:r w:rsidRPr="0045151D">
                    <w:rPr>
                      <w:rFonts w:ascii="Calibri" w:eastAsia="Calibri" w:hAnsi="Calibri" w:cs="Calibri"/>
                      <w:b/>
                      <w:sz w:val="18"/>
                      <w:szCs w:val="18"/>
                      <w:lang w:val="en-GB"/>
                    </w:rPr>
                    <w:t>C</w:t>
                  </w:r>
                </w:p>
              </w:tc>
              <w:tc>
                <w:tcPr>
                  <w:tcW w:w="1419" w:type="dxa"/>
                  <w:gridSpan w:val="2"/>
                  <w:vMerge/>
                  <w:tcBorders>
                    <w:top w:val="single" w:sz="4" w:space="0" w:color="92D050"/>
                    <w:left w:val="single" w:sz="4" w:space="0" w:color="92D050"/>
                    <w:bottom w:val="nil"/>
                  </w:tcBorders>
                  <w:shd w:val="clear" w:color="auto" w:fill="auto"/>
                  <w:vAlign w:val="center"/>
                </w:tcPr>
                <w:p w14:paraId="7027F08F"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sz w:val="18"/>
                      <w:szCs w:val="18"/>
                      <w:lang w:val="en-GB"/>
                    </w:rPr>
                  </w:pPr>
                </w:p>
              </w:tc>
              <w:tc>
                <w:tcPr>
                  <w:tcW w:w="2248" w:type="dxa"/>
                  <w:gridSpan w:val="3"/>
                  <w:vMerge/>
                  <w:tcBorders>
                    <w:top w:val="single" w:sz="4" w:space="0" w:color="92D050"/>
                    <w:bottom w:val="nil"/>
                  </w:tcBorders>
                  <w:shd w:val="clear" w:color="auto" w:fill="auto"/>
                  <w:vAlign w:val="center"/>
                </w:tcPr>
                <w:p w14:paraId="47448FC4"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sz w:val="18"/>
                      <w:szCs w:val="18"/>
                      <w:lang w:val="en-GB"/>
                    </w:rPr>
                  </w:pPr>
                </w:p>
              </w:tc>
            </w:tr>
            <w:tr w:rsidR="00600DEE" w:rsidRPr="007463B9" w14:paraId="5B77B7FB" w14:textId="77777777">
              <w:tc>
                <w:tcPr>
                  <w:tcW w:w="1835" w:type="dxa"/>
                  <w:tcBorders>
                    <w:top w:val="nil"/>
                    <w:bottom w:val="nil"/>
                    <w:right w:val="single" w:sz="4" w:space="0" w:color="92D050"/>
                  </w:tcBorders>
                  <w:shd w:val="clear" w:color="auto" w:fill="auto"/>
                  <w:vAlign w:val="center"/>
                </w:tcPr>
                <w:p w14:paraId="00C3F95D" w14:textId="77777777" w:rsidR="00600DEE" w:rsidRPr="0045151D" w:rsidRDefault="00641FB5">
                  <w:pPr>
                    <w:spacing w:before="40" w:after="40"/>
                    <w:jc w:val="center"/>
                    <w:rPr>
                      <w:rFonts w:ascii="Calibri" w:eastAsia="Calibri" w:hAnsi="Calibri" w:cs="Calibri"/>
                      <w:b/>
                      <w:sz w:val="18"/>
                      <w:szCs w:val="18"/>
                      <w:lang w:val="en-GB"/>
                    </w:rPr>
                  </w:pPr>
                  <w:r w:rsidRPr="0045151D">
                    <w:rPr>
                      <w:rFonts w:ascii="Calibri" w:eastAsia="Calibri" w:hAnsi="Calibri" w:cs="Calibri"/>
                      <w:b/>
                      <w:sz w:val="18"/>
                      <w:szCs w:val="18"/>
                      <w:lang w:val="en-GB"/>
                    </w:rPr>
                    <w:t>D</w:t>
                  </w:r>
                </w:p>
              </w:tc>
              <w:tc>
                <w:tcPr>
                  <w:tcW w:w="1419" w:type="dxa"/>
                  <w:gridSpan w:val="2"/>
                  <w:vMerge w:val="restart"/>
                  <w:tcBorders>
                    <w:top w:val="nil"/>
                    <w:left w:val="single" w:sz="4" w:space="0" w:color="92D050"/>
                    <w:bottom w:val="nil"/>
                  </w:tcBorders>
                  <w:shd w:val="clear" w:color="auto" w:fill="auto"/>
                  <w:vAlign w:val="center"/>
                </w:tcPr>
                <w:p w14:paraId="79420D51" w14:textId="77777777" w:rsidR="00600DEE" w:rsidRPr="0045151D" w:rsidRDefault="00641FB5">
                  <w:pPr>
                    <w:spacing w:before="40" w:after="40"/>
                    <w:rPr>
                      <w:rFonts w:ascii="Calibri" w:eastAsia="Calibri" w:hAnsi="Calibri" w:cs="Calibri"/>
                      <w:sz w:val="18"/>
                      <w:szCs w:val="18"/>
                      <w:lang w:val="en-GB"/>
                    </w:rPr>
                  </w:pPr>
                  <w:r w:rsidRPr="0045151D">
                    <w:rPr>
                      <w:rFonts w:ascii="Calibri" w:eastAsia="Calibri" w:hAnsi="Calibri" w:cs="Calibri"/>
                      <w:sz w:val="18"/>
                      <w:szCs w:val="18"/>
                      <w:lang w:val="en-GB"/>
                    </w:rPr>
                    <w:t>Prevention</w:t>
                  </w:r>
                </w:p>
              </w:tc>
              <w:tc>
                <w:tcPr>
                  <w:tcW w:w="2248" w:type="dxa"/>
                  <w:gridSpan w:val="3"/>
                  <w:vMerge w:val="restart"/>
                  <w:shd w:val="clear" w:color="auto" w:fill="auto"/>
                  <w:vAlign w:val="center"/>
                </w:tcPr>
                <w:p w14:paraId="7605E6E4" w14:textId="77777777" w:rsidR="00600DEE" w:rsidRPr="0045151D" w:rsidRDefault="00641FB5">
                  <w:pPr>
                    <w:spacing w:before="40" w:after="40"/>
                    <w:rPr>
                      <w:rFonts w:ascii="Calibri" w:eastAsia="Calibri" w:hAnsi="Calibri" w:cs="Calibri"/>
                      <w:sz w:val="18"/>
                      <w:szCs w:val="18"/>
                      <w:lang w:val="en-GB"/>
                    </w:rPr>
                  </w:pPr>
                  <w:r w:rsidRPr="0045151D">
                    <w:rPr>
                      <w:rFonts w:ascii="Calibri" w:eastAsia="Calibri" w:hAnsi="Calibri" w:cs="Calibri"/>
                      <w:sz w:val="18"/>
                      <w:szCs w:val="18"/>
                      <w:lang w:val="en-GB"/>
                    </w:rPr>
                    <w:t>Prevention and mitigation</w:t>
                  </w:r>
                </w:p>
              </w:tc>
            </w:tr>
            <w:tr w:rsidR="00600DEE" w:rsidRPr="007463B9" w14:paraId="04051F45" w14:textId="77777777">
              <w:tc>
                <w:tcPr>
                  <w:tcW w:w="1835" w:type="dxa"/>
                  <w:tcBorders>
                    <w:top w:val="nil"/>
                    <w:bottom w:val="single" w:sz="4" w:space="0" w:color="92D050"/>
                    <w:right w:val="single" w:sz="4" w:space="0" w:color="92D050"/>
                  </w:tcBorders>
                  <w:shd w:val="clear" w:color="auto" w:fill="auto"/>
                  <w:vAlign w:val="center"/>
                </w:tcPr>
                <w:p w14:paraId="1AD9FB77" w14:textId="77777777" w:rsidR="00600DEE" w:rsidRPr="0045151D" w:rsidRDefault="00641FB5">
                  <w:pPr>
                    <w:spacing w:before="40" w:after="40"/>
                    <w:jc w:val="center"/>
                    <w:rPr>
                      <w:rFonts w:ascii="Calibri" w:eastAsia="Calibri" w:hAnsi="Calibri" w:cs="Calibri"/>
                      <w:b/>
                      <w:sz w:val="18"/>
                      <w:szCs w:val="18"/>
                      <w:lang w:val="en-GB"/>
                    </w:rPr>
                  </w:pPr>
                  <w:r w:rsidRPr="0045151D">
                    <w:rPr>
                      <w:rFonts w:ascii="Calibri" w:eastAsia="Calibri" w:hAnsi="Calibri" w:cs="Calibri"/>
                      <w:b/>
                      <w:sz w:val="18"/>
                      <w:szCs w:val="18"/>
                      <w:lang w:val="en-GB"/>
                    </w:rPr>
                    <w:t>E</w:t>
                  </w:r>
                </w:p>
              </w:tc>
              <w:tc>
                <w:tcPr>
                  <w:tcW w:w="1419" w:type="dxa"/>
                  <w:gridSpan w:val="2"/>
                  <w:vMerge/>
                  <w:tcBorders>
                    <w:top w:val="nil"/>
                    <w:left w:val="single" w:sz="4" w:space="0" w:color="92D050"/>
                    <w:bottom w:val="nil"/>
                  </w:tcBorders>
                  <w:shd w:val="clear" w:color="auto" w:fill="auto"/>
                  <w:vAlign w:val="center"/>
                </w:tcPr>
                <w:p w14:paraId="3790D18F"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sz w:val="18"/>
                      <w:szCs w:val="18"/>
                      <w:lang w:val="en-GB"/>
                    </w:rPr>
                  </w:pPr>
                </w:p>
              </w:tc>
              <w:tc>
                <w:tcPr>
                  <w:tcW w:w="2248" w:type="dxa"/>
                  <w:gridSpan w:val="3"/>
                  <w:vMerge/>
                  <w:shd w:val="clear" w:color="auto" w:fill="auto"/>
                  <w:vAlign w:val="center"/>
                </w:tcPr>
                <w:p w14:paraId="49C41FCF"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sz w:val="18"/>
                      <w:szCs w:val="18"/>
                      <w:lang w:val="en-GB"/>
                    </w:rPr>
                  </w:pPr>
                </w:p>
              </w:tc>
            </w:tr>
          </w:tbl>
          <w:p w14:paraId="538D5017" w14:textId="77777777" w:rsidR="00600DEE" w:rsidRPr="0045151D" w:rsidRDefault="00641FB5">
            <w:pPr>
              <w:spacing w:before="120" w:line="276" w:lineRule="auto"/>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“Guide to Cost-benefit Analysis of Investment Projects- Economic appraisal tool for Cohesion Policy 2014-2020” DG Regio, December 2014.</w:t>
            </w:r>
          </w:p>
          <w:p w14:paraId="6F465AC5" w14:textId="26207A8A"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“Transfer” and “Tolerate” strategies apply to </w:t>
            </w:r>
            <w:r w:rsidR="00B67038">
              <w:rPr>
                <w:rFonts w:ascii="Calibri" w:eastAsia="Calibri" w:hAnsi="Calibri" w:cs="Calibri"/>
                <w:color w:val="000000"/>
                <w:sz w:val="20"/>
                <w:szCs w:val="20"/>
                <w:lang w:val="en-GB"/>
              </w:rPr>
              <w:t xml:space="preserve">only </w:t>
            </w:r>
            <w:r w:rsidRPr="0045151D">
              <w:rPr>
                <w:rFonts w:ascii="Calibri" w:eastAsia="Calibri" w:hAnsi="Calibri" w:cs="Calibri"/>
                <w:color w:val="000000"/>
                <w:sz w:val="20"/>
                <w:szCs w:val="20"/>
                <w:lang w:val="en-GB"/>
              </w:rPr>
              <w:t xml:space="preserve">some specific risks. </w:t>
            </w:r>
          </w:p>
          <w:p w14:paraId="79151E4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Once the main strategy has been selected for each risk, a more detailed mitigation measure should be defined for each identified risk. The selected measure should also bear in mind the cost of implementing the measure. Its allocation to the responsible party must also be specified.</w:t>
            </w:r>
          </w:p>
          <w:p w14:paraId="53928ACF" w14:textId="77777777" w:rsidR="00193C5C" w:rsidRDefault="00193C5C">
            <w:pPr>
              <w:pBdr>
                <w:top w:val="nil"/>
                <w:left w:val="nil"/>
                <w:bottom w:val="nil"/>
                <w:right w:val="nil"/>
                <w:between w:val="nil"/>
              </w:pBdr>
              <w:spacing w:before="120"/>
              <w:jc w:val="both"/>
              <w:rPr>
                <w:rFonts w:ascii="Calibri" w:eastAsia="Calibri" w:hAnsi="Calibri" w:cs="Calibri"/>
                <w:b/>
                <w:color w:val="000000"/>
                <w:sz w:val="20"/>
                <w:szCs w:val="20"/>
                <w:lang w:val="en-GB"/>
              </w:rPr>
            </w:pPr>
          </w:p>
          <w:p w14:paraId="3A37FE49" w14:textId="129AB15A"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Risk monitoring</w:t>
            </w:r>
          </w:p>
          <w:p w14:paraId="112304AC"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color w:val="000000"/>
                <w:sz w:val="20"/>
                <w:szCs w:val="20"/>
                <w:lang w:val="en-GB"/>
              </w:rPr>
              <w:t>The Beneficiary must summarise what risk monitoring strategies it has in place, in order to subsequently evaluate the correctness of its risk assessment and the effectiveness of the mitigation measures. a brief description of the monitoring procedures and protocols employed can be presented.</w:t>
            </w:r>
          </w:p>
          <w:p w14:paraId="0776FF46"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Quantitative risk analysis</w:t>
            </w:r>
          </w:p>
          <w:p w14:paraId="7B2BCA29"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A probabilistic risk analysis is required where residual risk exposure is still significant or in any other relevant cases depending on project size and availability of probability distributions data. Although not being mandatory, Beneficiaries are encouraged to use probability distributions based on historical project data when available, to perform quantitative risk analysis for such variables as capital expenditure, duration of the project implementation, value of economic benefits and traffic. </w:t>
            </w:r>
          </w:p>
          <w:p w14:paraId="59F78DC4" w14:textId="77777777" w:rsidR="00600DEE" w:rsidRPr="0045151D" w:rsidRDefault="00641FB5">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transport sector, the critical parameters are usually investment cost, traffic and project implementation delays (causing lower benefits). Once data gathering and analysis is finalised, using the variable probability distribution functions, probability distribution for ERR, ENPV, FNPV and (where possible) FRR may be calculated, using Monte Carlo simulation or similar tools.</w:t>
            </w:r>
          </w:p>
          <w:p w14:paraId="0906703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If no probability distributions are available, the analysis is limited to the qualitative part.</w:t>
            </w:r>
          </w:p>
        </w:tc>
      </w:tr>
    </w:tbl>
    <w:p w14:paraId="24B14923" w14:textId="5E795C6F" w:rsidR="00600DEE" w:rsidRPr="0045151D" w:rsidRDefault="00641FB5" w:rsidP="00D5736B">
      <w:pPr>
        <w:pStyle w:val="Nagwek2"/>
        <w:numPr>
          <w:ilvl w:val="1"/>
          <w:numId w:val="17"/>
        </w:numPr>
        <w:ind w:left="0" w:firstLine="0"/>
        <w:rPr>
          <w:rFonts w:ascii="Calibri" w:eastAsia="Calibri" w:hAnsi="Calibri" w:cs="Calibri"/>
          <w:color w:val="4F81BD"/>
          <w:lang w:val="pl-PL"/>
        </w:rPr>
      </w:pPr>
      <w:bookmarkStart w:id="116" w:name="_Toc95378010"/>
      <w:r w:rsidRPr="0045151D">
        <w:rPr>
          <w:rFonts w:ascii="Calibri" w:eastAsia="Calibri" w:hAnsi="Calibri" w:cs="Calibri"/>
          <w:color w:val="4F81BD"/>
          <w:lang w:val="pl-PL"/>
        </w:rPr>
        <w:t>Przedstawienie wyników oceny ryzyka</w:t>
      </w:r>
      <w:r w:rsidRPr="0045151D">
        <w:rPr>
          <w:rFonts w:ascii="Calibri" w:eastAsia="Calibri" w:hAnsi="Calibri" w:cs="Calibri"/>
          <w:color w:val="4F81BD"/>
          <w:lang w:val="pl-PL"/>
        </w:rPr>
        <w:tab/>
      </w:r>
      <w:r w:rsidRPr="0045151D">
        <w:rPr>
          <w:rFonts w:ascii="Calibri" w:eastAsia="Calibri" w:hAnsi="Calibri" w:cs="Calibri"/>
          <w:color w:val="4F81BD"/>
          <w:lang w:val="pl-PL"/>
        </w:rPr>
        <w:tab/>
        <w:t xml:space="preserve">        </w:t>
      </w:r>
      <w:r w:rsidRPr="0045151D">
        <w:rPr>
          <w:rFonts w:ascii="Calibri" w:eastAsia="Calibri" w:hAnsi="Calibri" w:cs="Calibri"/>
          <w:i/>
          <w:color w:val="4F81BD"/>
          <w:lang w:val="pl-PL"/>
        </w:rPr>
        <w:t>4.3</w:t>
      </w:r>
      <w:r w:rsidRPr="0045151D">
        <w:rPr>
          <w:rFonts w:ascii="Calibri" w:eastAsia="Calibri" w:hAnsi="Calibri" w:cs="Calibri"/>
          <w:color w:val="4F81BD"/>
          <w:lang w:val="pl-PL"/>
        </w:rPr>
        <w:t xml:space="preserve">   </w:t>
      </w:r>
      <w:r w:rsidRPr="0045151D">
        <w:rPr>
          <w:rFonts w:ascii="Calibri" w:eastAsia="Calibri" w:hAnsi="Calibri" w:cs="Calibri"/>
          <w:i/>
          <w:color w:val="4F81BD"/>
          <w:lang w:val="pl-PL"/>
        </w:rPr>
        <w:t>Risk assessment output presentation</w:t>
      </w:r>
      <w:bookmarkEnd w:id="116"/>
    </w:p>
    <w:tbl>
      <w:tblPr>
        <w:tblStyle w:val="affffffff2"/>
        <w:tblW w:w="14571" w:type="dxa"/>
        <w:tblLayout w:type="fixed"/>
        <w:tblLook w:val="0400" w:firstRow="0" w:lastRow="0" w:firstColumn="0" w:lastColumn="0" w:noHBand="0" w:noVBand="1"/>
      </w:tblPr>
      <w:tblGrid>
        <w:gridCol w:w="7370"/>
        <w:gridCol w:w="7201"/>
      </w:tblGrid>
      <w:tr w:rsidR="00600DEE" w:rsidRPr="007463B9" w14:paraId="7B6DF61A" w14:textId="77777777">
        <w:tc>
          <w:tcPr>
            <w:tcW w:w="7370" w:type="dxa"/>
            <w:tcBorders>
              <w:right w:val="single" w:sz="4" w:space="0" w:color="000000"/>
            </w:tcBorders>
            <w:tcMar>
              <w:left w:w="284" w:type="dxa"/>
              <w:right w:w="284" w:type="dxa"/>
            </w:tcMar>
          </w:tcPr>
          <w:p w14:paraId="404F88F3"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Analiza wrażliwości</w:t>
            </w:r>
          </w:p>
          <w:p w14:paraId="4645A5D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Jak to opisano powyżej, analiza wrażliwości powinna obejmować identyfikację „krytycznych” zmiennych projektu, a także wyliczenie „wartości progowych” zmiennych, co pozwala ocenić ryzyko projektu i możliwość podjęcia działań zapobiegawczych. W ostatecznej formie analiza będzie obejmować analizę scenariuszy, w której wpływ zmian różnych zmiennych kluczowych jest uwzględniony, w tym także kombinacje odchyleń różnych zmiennych. Jak tylko ilościowa analiza ryzyka będzie możliwa do przeprowadzenia (w chwili obecnej nie jest to możliwe), niniejszy rozdział będzie również przedstawiać prawdopodobieństwa zdefiniowanych scenariuszy zmian oraz prawdopodobieństwa osiągnięcia wartości progowych przez zmienne krytyczne.</w:t>
            </w:r>
          </w:p>
          <w:p w14:paraId="78F7576E"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bookmarkStart w:id="117" w:name="_heading=h.haapch" w:colFirst="0" w:colLast="0"/>
            <w:bookmarkEnd w:id="117"/>
            <w:r>
              <w:rPr>
                <w:rFonts w:ascii="Calibri" w:eastAsia="Calibri" w:hAnsi="Calibri" w:cs="Calibri"/>
                <w:b/>
                <w:color w:val="000000"/>
                <w:sz w:val="20"/>
                <w:szCs w:val="20"/>
              </w:rPr>
              <w:t>Prezentacja wyników analizy ryzyka</w:t>
            </w:r>
          </w:p>
          <w:p w14:paraId="43E2179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Wyniki analizy ryzyka powinny zawierać tabelę identyfikującą poszczególne ryzyka oraz poniższą tabelę przedstawiającą matrycę ryzyka (autor może według własnego uznania zmienić formę prezentacji tych danych).</w:t>
            </w:r>
          </w:p>
          <w:p w14:paraId="53B0B73A" w14:textId="48B2C4F4"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Ja</w:t>
            </w:r>
            <w:r w:rsidR="00193C5C">
              <w:rPr>
                <w:rFonts w:ascii="Calibri" w:eastAsia="Calibri" w:hAnsi="Calibri" w:cs="Calibri"/>
                <w:color w:val="000000"/>
                <w:sz w:val="20"/>
                <w:szCs w:val="20"/>
              </w:rPr>
              <w:t>k to opisano powyżej, jak tylko</w:t>
            </w:r>
            <w:r>
              <w:rPr>
                <w:rFonts w:ascii="Calibri" w:eastAsia="Calibri" w:hAnsi="Calibri" w:cs="Calibri"/>
                <w:color w:val="000000"/>
                <w:sz w:val="20"/>
                <w:szCs w:val="20"/>
              </w:rPr>
              <w:t xml:space="preserve"> ilościowa analiza ryzyka będzie możliwa, matryca ta powinna zostać uzupełniona z wykorzystaniem rozkładów prawdopodobieństwa zmiennych krytycznych. Pozwoli to na uzyskanie rozkładów prawdopodobieństwa i parametrów opisowych dla wskaźników efektywności finansowej i ekonomicznej.</w:t>
            </w:r>
          </w:p>
          <w:p w14:paraId="3DAAA1F8" w14:textId="561480DB" w:rsidR="003441F7" w:rsidRDefault="003441F7">
            <w:pPr>
              <w:pBdr>
                <w:top w:val="nil"/>
                <w:left w:val="nil"/>
                <w:bottom w:val="nil"/>
                <w:right w:val="nil"/>
                <w:between w:val="nil"/>
              </w:pBdr>
              <w:spacing w:before="120"/>
              <w:jc w:val="both"/>
              <w:rPr>
                <w:rFonts w:ascii="Calibri" w:eastAsia="Calibri" w:hAnsi="Calibri" w:cs="Calibri"/>
                <w:color w:val="000000"/>
                <w:sz w:val="20"/>
                <w:szCs w:val="20"/>
              </w:rPr>
            </w:pPr>
          </w:p>
          <w:p w14:paraId="6BA0429F" w14:textId="34EF2E1D" w:rsidR="003441F7" w:rsidRDefault="003441F7">
            <w:pPr>
              <w:pBdr>
                <w:top w:val="nil"/>
                <w:left w:val="nil"/>
                <w:bottom w:val="nil"/>
                <w:right w:val="nil"/>
                <w:between w:val="nil"/>
              </w:pBdr>
              <w:spacing w:before="120"/>
              <w:jc w:val="both"/>
              <w:rPr>
                <w:rFonts w:ascii="Calibri" w:eastAsia="Calibri" w:hAnsi="Calibri" w:cs="Calibri"/>
                <w:color w:val="000000"/>
                <w:sz w:val="20"/>
                <w:szCs w:val="20"/>
              </w:rPr>
            </w:pPr>
          </w:p>
          <w:p w14:paraId="56C8E72D" w14:textId="77CCD0AA" w:rsidR="00482C1E" w:rsidRDefault="00482C1E">
            <w:pPr>
              <w:pBdr>
                <w:top w:val="nil"/>
                <w:left w:val="nil"/>
                <w:bottom w:val="nil"/>
                <w:right w:val="nil"/>
                <w:between w:val="nil"/>
              </w:pBdr>
              <w:spacing w:before="120"/>
              <w:jc w:val="both"/>
              <w:rPr>
                <w:rFonts w:ascii="Calibri" w:eastAsia="Calibri" w:hAnsi="Calibri" w:cs="Calibri"/>
                <w:color w:val="000000"/>
                <w:sz w:val="20"/>
                <w:szCs w:val="20"/>
              </w:rPr>
            </w:pPr>
          </w:p>
          <w:p w14:paraId="076E0086" w14:textId="38912AA1" w:rsidR="00482C1E" w:rsidRDefault="00482C1E">
            <w:pPr>
              <w:pBdr>
                <w:top w:val="nil"/>
                <w:left w:val="nil"/>
                <w:bottom w:val="nil"/>
                <w:right w:val="nil"/>
                <w:between w:val="nil"/>
              </w:pBdr>
              <w:spacing w:before="120"/>
              <w:jc w:val="both"/>
              <w:rPr>
                <w:rFonts w:ascii="Calibri" w:eastAsia="Calibri" w:hAnsi="Calibri" w:cs="Calibri"/>
                <w:color w:val="000000"/>
                <w:sz w:val="20"/>
                <w:szCs w:val="20"/>
              </w:rPr>
            </w:pPr>
          </w:p>
          <w:p w14:paraId="341D3BF4" w14:textId="77777777" w:rsidR="00482C1E" w:rsidRDefault="00482C1E">
            <w:pPr>
              <w:pBdr>
                <w:top w:val="nil"/>
                <w:left w:val="nil"/>
                <w:bottom w:val="nil"/>
                <w:right w:val="nil"/>
                <w:between w:val="nil"/>
              </w:pBdr>
              <w:spacing w:before="120"/>
              <w:jc w:val="both"/>
              <w:rPr>
                <w:rFonts w:ascii="Calibri" w:eastAsia="Calibri" w:hAnsi="Calibri" w:cs="Calibri"/>
                <w:color w:val="000000"/>
                <w:sz w:val="20"/>
                <w:szCs w:val="20"/>
              </w:rPr>
            </w:pPr>
          </w:p>
          <w:p w14:paraId="3D721A11" w14:textId="78483572" w:rsidR="00600DEE" w:rsidRDefault="00EB716F" w:rsidP="003441F7">
            <w:pPr>
              <w:pBdr>
                <w:top w:val="nil"/>
                <w:left w:val="nil"/>
                <w:bottom w:val="nil"/>
                <w:right w:val="nil"/>
                <w:between w:val="nil"/>
              </w:pBdr>
              <w:spacing w:after="120"/>
              <w:jc w:val="both"/>
              <w:rPr>
                <w:rFonts w:ascii="Calibri" w:eastAsia="Calibri" w:hAnsi="Calibri" w:cs="Calibri"/>
                <w:b/>
                <w:color w:val="4F81BD"/>
                <w:sz w:val="20"/>
                <w:szCs w:val="20"/>
              </w:rPr>
            </w:pPr>
            <w:r>
              <w:rPr>
                <w:rFonts w:ascii="Calibri" w:eastAsia="Calibri" w:hAnsi="Calibri" w:cs="Calibri"/>
                <w:b/>
                <w:color w:val="4F81BD"/>
                <w:sz w:val="20"/>
                <w:szCs w:val="20"/>
              </w:rPr>
              <w:t>Tabela 33</w:t>
            </w:r>
            <w:r w:rsidR="00641FB5">
              <w:rPr>
                <w:rFonts w:ascii="Calibri" w:eastAsia="Calibri" w:hAnsi="Calibri" w:cs="Calibri"/>
                <w:b/>
                <w:color w:val="4F81BD"/>
                <w:sz w:val="20"/>
                <w:szCs w:val="20"/>
              </w:rPr>
              <w:t>. Matryca ryzyka – analiza rozszerzona</w:t>
            </w:r>
          </w:p>
          <w:tbl>
            <w:tblPr>
              <w:tblStyle w:val="affffffff3"/>
              <w:tblW w:w="7022" w:type="dxa"/>
              <w:tblLayout w:type="fixed"/>
              <w:tblLook w:val="0000" w:firstRow="0" w:lastRow="0" w:firstColumn="0" w:lastColumn="0" w:noHBand="0" w:noVBand="0"/>
            </w:tblPr>
            <w:tblGrid>
              <w:gridCol w:w="1752"/>
              <w:gridCol w:w="1477"/>
              <w:gridCol w:w="3793"/>
            </w:tblGrid>
            <w:tr w:rsidR="00600DEE" w14:paraId="2B6E2F2F" w14:textId="77777777" w:rsidTr="005C3677">
              <w:trPr>
                <w:trHeight w:val="185"/>
              </w:trPr>
              <w:tc>
                <w:tcPr>
                  <w:tcW w:w="1752" w:type="dxa"/>
                  <w:tcBorders>
                    <w:top w:val="single" w:sz="4" w:space="0" w:color="FFFFFF"/>
                    <w:left w:val="single" w:sz="4" w:space="0" w:color="FFFFFF"/>
                    <w:bottom w:val="single" w:sz="4" w:space="0" w:color="FFFFFF"/>
                  </w:tcBorders>
                  <w:shd w:val="clear" w:color="auto" w:fill="A6A6A6"/>
                  <w:vAlign w:val="center"/>
                </w:tcPr>
                <w:p w14:paraId="5D5ECA87" w14:textId="77777777" w:rsidR="00600DEE" w:rsidRDefault="00641FB5">
                  <w:pPr>
                    <w:spacing w:line="264" w:lineRule="auto"/>
                    <w:jc w:val="center"/>
                    <w:rPr>
                      <w:rFonts w:ascii="Calibri" w:eastAsia="Calibri" w:hAnsi="Calibri" w:cs="Calibri"/>
                      <w:b/>
                      <w:color w:val="FFFFFF"/>
                      <w:sz w:val="20"/>
                      <w:szCs w:val="20"/>
                    </w:rPr>
                  </w:pPr>
                  <w:r>
                    <w:rPr>
                      <w:rFonts w:ascii="Calibri" w:eastAsia="Calibri" w:hAnsi="Calibri" w:cs="Calibri"/>
                      <w:b/>
                      <w:color w:val="FFFFFF"/>
                      <w:sz w:val="20"/>
                      <w:szCs w:val="20"/>
                    </w:rPr>
                    <w:t>Pole</w:t>
                  </w:r>
                </w:p>
              </w:tc>
              <w:tc>
                <w:tcPr>
                  <w:tcW w:w="1477"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188C7A68" w14:textId="77777777" w:rsidR="00600DEE" w:rsidRDefault="00641FB5">
                  <w:pPr>
                    <w:spacing w:line="264" w:lineRule="auto"/>
                    <w:jc w:val="center"/>
                    <w:rPr>
                      <w:rFonts w:ascii="Calibri" w:eastAsia="Calibri" w:hAnsi="Calibri" w:cs="Calibri"/>
                      <w:b/>
                      <w:color w:val="FFFFFF"/>
                      <w:sz w:val="20"/>
                      <w:szCs w:val="20"/>
                    </w:rPr>
                  </w:pPr>
                  <w:r>
                    <w:rPr>
                      <w:rFonts w:ascii="Calibri" w:eastAsia="Calibri" w:hAnsi="Calibri" w:cs="Calibri"/>
                      <w:b/>
                      <w:color w:val="FFFFFF"/>
                      <w:sz w:val="20"/>
                      <w:szCs w:val="20"/>
                    </w:rPr>
                    <w:t>Format danych</w:t>
                  </w:r>
                </w:p>
              </w:tc>
              <w:tc>
                <w:tcPr>
                  <w:tcW w:w="3793" w:type="dxa"/>
                  <w:tcBorders>
                    <w:top w:val="single" w:sz="4" w:space="0" w:color="FFFFFF"/>
                    <w:left w:val="single" w:sz="4" w:space="0" w:color="FFFFFF"/>
                    <w:bottom w:val="single" w:sz="4" w:space="0" w:color="FFFFFF"/>
                    <w:right w:val="single" w:sz="4" w:space="0" w:color="FFFFFF"/>
                  </w:tcBorders>
                  <w:shd w:val="clear" w:color="auto" w:fill="A6A6A6"/>
                  <w:vAlign w:val="center"/>
                </w:tcPr>
                <w:p w14:paraId="6040A7B2" w14:textId="77777777" w:rsidR="00600DEE" w:rsidRDefault="00641FB5">
                  <w:pPr>
                    <w:spacing w:line="264" w:lineRule="auto"/>
                    <w:jc w:val="center"/>
                    <w:rPr>
                      <w:rFonts w:ascii="Calibri" w:eastAsia="Calibri" w:hAnsi="Calibri" w:cs="Calibri"/>
                      <w:b/>
                      <w:color w:val="FFFFFF"/>
                      <w:sz w:val="20"/>
                      <w:szCs w:val="20"/>
                    </w:rPr>
                  </w:pPr>
                  <w:r>
                    <w:rPr>
                      <w:rFonts w:ascii="Calibri" w:eastAsia="Calibri" w:hAnsi="Calibri" w:cs="Calibri"/>
                      <w:b/>
                      <w:color w:val="FFFFFF"/>
                      <w:sz w:val="20"/>
                      <w:szCs w:val="20"/>
                    </w:rPr>
                    <w:t>Zakres wartości danych</w:t>
                  </w:r>
                </w:p>
              </w:tc>
            </w:tr>
            <w:tr w:rsidR="00600DEE" w14:paraId="265B8B94" w14:textId="77777777" w:rsidTr="005C3677">
              <w:trPr>
                <w:trHeight w:val="547"/>
              </w:trPr>
              <w:tc>
                <w:tcPr>
                  <w:tcW w:w="1752" w:type="dxa"/>
                  <w:tcBorders>
                    <w:left w:val="single" w:sz="4" w:space="0" w:color="FFFFFF"/>
                    <w:bottom w:val="single" w:sz="4" w:space="0" w:color="FFFFFF"/>
                  </w:tcBorders>
                  <w:shd w:val="clear" w:color="auto" w:fill="DBE5F1"/>
                </w:tcPr>
                <w:p w14:paraId="3D14D78B"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Nazwa ryzyka</w:t>
                  </w:r>
                </w:p>
              </w:tc>
              <w:tc>
                <w:tcPr>
                  <w:tcW w:w="1477" w:type="dxa"/>
                  <w:tcBorders>
                    <w:left w:val="single" w:sz="4" w:space="0" w:color="FFFFFF"/>
                    <w:bottom w:val="single" w:sz="4" w:space="0" w:color="FFFFFF"/>
                    <w:right w:val="single" w:sz="4" w:space="0" w:color="FFFFFF"/>
                  </w:tcBorders>
                  <w:shd w:val="clear" w:color="auto" w:fill="DBE5F1"/>
                </w:tcPr>
                <w:p w14:paraId="639DD58C"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&lt;tekst&gt;</w:t>
                  </w:r>
                </w:p>
              </w:tc>
              <w:tc>
                <w:tcPr>
                  <w:tcW w:w="3793" w:type="dxa"/>
                  <w:tcBorders>
                    <w:left w:val="single" w:sz="4" w:space="0" w:color="FFFFFF"/>
                    <w:bottom w:val="single" w:sz="4" w:space="0" w:color="FFFFFF"/>
                    <w:right w:val="single" w:sz="4" w:space="0" w:color="FFFFFF"/>
                  </w:tcBorders>
                  <w:shd w:val="clear" w:color="auto" w:fill="DBE5F1"/>
                </w:tcPr>
                <w:p w14:paraId="391644D6"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Opis ryzyka, np.: ”poziom ruchu poniżej prognozy”</w:t>
                  </w:r>
                </w:p>
              </w:tc>
            </w:tr>
            <w:tr w:rsidR="00600DEE" w14:paraId="19B5EAD3" w14:textId="77777777" w:rsidTr="005C3677">
              <w:trPr>
                <w:trHeight w:val="986"/>
              </w:trPr>
              <w:tc>
                <w:tcPr>
                  <w:tcW w:w="1752" w:type="dxa"/>
                  <w:tcBorders>
                    <w:top w:val="single" w:sz="4" w:space="0" w:color="FFFFFF"/>
                    <w:left w:val="single" w:sz="4" w:space="0" w:color="FFFFFF"/>
                    <w:bottom w:val="single" w:sz="4" w:space="0" w:color="FFFFFF"/>
                  </w:tcBorders>
                  <w:shd w:val="clear" w:color="auto" w:fill="DBE5F1"/>
                </w:tcPr>
                <w:p w14:paraId="21066B55"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Kategoria ryzyka</w:t>
                  </w:r>
                </w:p>
              </w:tc>
              <w:tc>
                <w:tcPr>
                  <w:tcW w:w="1477" w:type="dxa"/>
                  <w:tcBorders>
                    <w:top w:val="single" w:sz="4" w:space="0" w:color="FFFFFF"/>
                    <w:left w:val="single" w:sz="4" w:space="0" w:color="FFFFFF"/>
                    <w:bottom w:val="single" w:sz="4" w:space="0" w:color="FFFFFF"/>
                    <w:right w:val="single" w:sz="4" w:space="0" w:color="FFFFFF"/>
                  </w:tcBorders>
                  <w:shd w:val="clear" w:color="auto" w:fill="DBE5F1"/>
                </w:tcPr>
                <w:p w14:paraId="0E50690F"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&lt;pole wyboru opcji&gt;</w:t>
                  </w:r>
                </w:p>
              </w:tc>
              <w:tc>
                <w:tcPr>
                  <w:tcW w:w="3793" w:type="dxa"/>
                  <w:tcBorders>
                    <w:top w:val="single" w:sz="4" w:space="0" w:color="FFFFFF"/>
                    <w:left w:val="single" w:sz="4" w:space="0" w:color="FFFFFF"/>
                    <w:bottom w:val="single" w:sz="4" w:space="0" w:color="FFFFFF"/>
                    <w:right w:val="single" w:sz="4" w:space="0" w:color="FFFFFF"/>
                  </w:tcBorders>
                  <w:shd w:val="clear" w:color="auto" w:fill="DBE5F1"/>
                </w:tcPr>
                <w:p w14:paraId="3DDB1B5F"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Popyt, Projektowanie, Administracyjne, Nabycie gruntów, Zamówienia, Budowa, Operacyjne, Regulacyjne, Finansowe, Zarządcze, Polityczne, Inne</w:t>
                  </w:r>
                </w:p>
              </w:tc>
            </w:tr>
            <w:tr w:rsidR="00600DEE" w14:paraId="793EECD9" w14:textId="77777777" w:rsidTr="005C3677">
              <w:trPr>
                <w:trHeight w:val="547"/>
              </w:trPr>
              <w:tc>
                <w:tcPr>
                  <w:tcW w:w="1752" w:type="dxa"/>
                  <w:tcBorders>
                    <w:top w:val="single" w:sz="4" w:space="0" w:color="FFFFFF"/>
                    <w:left w:val="single" w:sz="4" w:space="0" w:color="FFFFFF"/>
                  </w:tcBorders>
                  <w:shd w:val="clear" w:color="auto" w:fill="DBE5F1"/>
                </w:tcPr>
                <w:p w14:paraId="72FE55EC"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Przyczyna</w:t>
                  </w:r>
                </w:p>
              </w:tc>
              <w:tc>
                <w:tcPr>
                  <w:tcW w:w="1477" w:type="dxa"/>
                  <w:tcBorders>
                    <w:top w:val="single" w:sz="4" w:space="0" w:color="FFFFFF"/>
                    <w:left w:val="single" w:sz="4" w:space="0" w:color="FFFFFF"/>
                    <w:right w:val="single" w:sz="4" w:space="0" w:color="FFFFFF"/>
                  </w:tcBorders>
                  <w:shd w:val="clear" w:color="auto" w:fill="DBE5F1"/>
                </w:tcPr>
                <w:p w14:paraId="2233448F"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&lt;tekst&gt;</w:t>
                  </w:r>
                </w:p>
              </w:tc>
              <w:tc>
                <w:tcPr>
                  <w:tcW w:w="3793" w:type="dxa"/>
                  <w:tcBorders>
                    <w:top w:val="single" w:sz="4" w:space="0" w:color="FFFFFF"/>
                    <w:left w:val="single" w:sz="4" w:space="0" w:color="FFFFFF"/>
                    <w:right w:val="single" w:sz="4" w:space="0" w:color="FFFFFF"/>
                  </w:tcBorders>
                  <w:shd w:val="clear" w:color="auto" w:fill="DBE5F1"/>
                </w:tcPr>
                <w:p w14:paraId="23D9E550"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Opis pierwotnych czynników mających wpływ dla wystąpienie i zmaterializowanie się ryzyka</w:t>
                  </w:r>
                </w:p>
              </w:tc>
            </w:tr>
            <w:tr w:rsidR="00600DEE" w14:paraId="26D148EB" w14:textId="77777777" w:rsidTr="005C3677">
              <w:trPr>
                <w:trHeight w:val="266"/>
              </w:trPr>
              <w:tc>
                <w:tcPr>
                  <w:tcW w:w="1752" w:type="dxa"/>
                  <w:tcBorders>
                    <w:left w:val="single" w:sz="4" w:space="0" w:color="FFFFFF"/>
                  </w:tcBorders>
                  <w:shd w:val="clear" w:color="auto" w:fill="A6A6A6"/>
                  <w:vAlign w:val="center"/>
                </w:tcPr>
                <w:p w14:paraId="7E114946" w14:textId="77777777" w:rsidR="00600DEE" w:rsidRDefault="00641FB5">
                  <w:pPr>
                    <w:spacing w:line="264" w:lineRule="auto"/>
                    <w:jc w:val="center"/>
                    <w:rPr>
                      <w:rFonts w:ascii="Calibri" w:eastAsia="Calibri" w:hAnsi="Calibri" w:cs="Calibri"/>
                      <w:b/>
                      <w:color w:val="FFFFFF"/>
                      <w:sz w:val="20"/>
                      <w:szCs w:val="20"/>
                    </w:rPr>
                  </w:pPr>
                  <w:r>
                    <w:rPr>
                      <w:rFonts w:ascii="Calibri" w:eastAsia="Calibri" w:hAnsi="Calibri" w:cs="Calibri"/>
                      <w:b/>
                      <w:color w:val="FFFFFF"/>
                      <w:sz w:val="20"/>
                      <w:szCs w:val="20"/>
                    </w:rPr>
                    <w:t>Pole</w:t>
                  </w:r>
                </w:p>
              </w:tc>
              <w:tc>
                <w:tcPr>
                  <w:tcW w:w="1477" w:type="dxa"/>
                  <w:tcBorders>
                    <w:left w:val="single" w:sz="4" w:space="0" w:color="FFFFFF"/>
                    <w:right w:val="single" w:sz="4" w:space="0" w:color="FFFFFF"/>
                  </w:tcBorders>
                  <w:shd w:val="clear" w:color="auto" w:fill="A6A6A6"/>
                  <w:vAlign w:val="center"/>
                </w:tcPr>
                <w:p w14:paraId="7834F9CA" w14:textId="77777777" w:rsidR="00600DEE" w:rsidRDefault="00641FB5">
                  <w:pPr>
                    <w:spacing w:line="264" w:lineRule="auto"/>
                    <w:jc w:val="center"/>
                    <w:rPr>
                      <w:rFonts w:ascii="Calibri" w:eastAsia="Calibri" w:hAnsi="Calibri" w:cs="Calibri"/>
                      <w:b/>
                      <w:color w:val="FFFFFF"/>
                      <w:sz w:val="20"/>
                      <w:szCs w:val="20"/>
                    </w:rPr>
                  </w:pPr>
                  <w:r>
                    <w:rPr>
                      <w:rFonts w:ascii="Calibri" w:eastAsia="Calibri" w:hAnsi="Calibri" w:cs="Calibri"/>
                      <w:b/>
                      <w:color w:val="FFFFFF"/>
                      <w:sz w:val="20"/>
                      <w:szCs w:val="20"/>
                    </w:rPr>
                    <w:t>Format danych</w:t>
                  </w:r>
                </w:p>
              </w:tc>
              <w:tc>
                <w:tcPr>
                  <w:tcW w:w="3793" w:type="dxa"/>
                  <w:tcBorders>
                    <w:left w:val="single" w:sz="4" w:space="0" w:color="FFFFFF"/>
                    <w:right w:val="single" w:sz="4" w:space="0" w:color="FFFFFF"/>
                  </w:tcBorders>
                  <w:shd w:val="clear" w:color="auto" w:fill="A6A6A6"/>
                  <w:vAlign w:val="center"/>
                </w:tcPr>
                <w:p w14:paraId="235FA1DC" w14:textId="77777777" w:rsidR="00600DEE" w:rsidRDefault="00641FB5">
                  <w:pPr>
                    <w:spacing w:line="264" w:lineRule="auto"/>
                    <w:jc w:val="center"/>
                    <w:rPr>
                      <w:rFonts w:ascii="Calibri" w:eastAsia="Calibri" w:hAnsi="Calibri" w:cs="Calibri"/>
                      <w:b/>
                      <w:color w:val="FFFFFF"/>
                      <w:sz w:val="20"/>
                      <w:szCs w:val="20"/>
                    </w:rPr>
                  </w:pPr>
                  <w:r>
                    <w:rPr>
                      <w:rFonts w:ascii="Calibri" w:eastAsia="Calibri" w:hAnsi="Calibri" w:cs="Calibri"/>
                      <w:b/>
                      <w:color w:val="FFFFFF"/>
                      <w:sz w:val="20"/>
                      <w:szCs w:val="20"/>
                    </w:rPr>
                    <w:t>Zakres wartości danych</w:t>
                  </w:r>
                </w:p>
              </w:tc>
            </w:tr>
            <w:tr w:rsidR="00600DEE" w14:paraId="04C4721F" w14:textId="77777777" w:rsidTr="005C3677">
              <w:trPr>
                <w:trHeight w:val="656"/>
              </w:trPr>
              <w:tc>
                <w:tcPr>
                  <w:tcW w:w="1752" w:type="dxa"/>
                  <w:tcBorders>
                    <w:left w:val="single" w:sz="4" w:space="0" w:color="FFFFFF"/>
                    <w:bottom w:val="single" w:sz="4" w:space="0" w:color="FFFFFF"/>
                  </w:tcBorders>
                  <w:shd w:val="clear" w:color="auto" w:fill="DBE5F1"/>
                </w:tcPr>
                <w:p w14:paraId="45E72A99"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Skutek</w:t>
                  </w:r>
                </w:p>
              </w:tc>
              <w:tc>
                <w:tcPr>
                  <w:tcW w:w="1477" w:type="dxa"/>
                  <w:tcBorders>
                    <w:left w:val="single" w:sz="4" w:space="0" w:color="FFFFFF"/>
                    <w:bottom w:val="single" w:sz="4" w:space="0" w:color="FFFFFF"/>
                    <w:right w:val="single" w:sz="4" w:space="0" w:color="FFFFFF"/>
                  </w:tcBorders>
                  <w:shd w:val="clear" w:color="auto" w:fill="DBE5F1"/>
                </w:tcPr>
                <w:p w14:paraId="505A178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&lt;pole wyboru więcej, niż jednej opcji&gt;</w:t>
                  </w:r>
                </w:p>
              </w:tc>
              <w:tc>
                <w:tcPr>
                  <w:tcW w:w="3793" w:type="dxa"/>
                  <w:tcBorders>
                    <w:left w:val="single" w:sz="4" w:space="0" w:color="FFFFFF"/>
                    <w:bottom w:val="single" w:sz="4" w:space="0" w:color="FFFFFF"/>
                    <w:right w:val="single" w:sz="4" w:space="0" w:color="FFFFFF"/>
                  </w:tcBorders>
                  <w:shd w:val="clear" w:color="auto" w:fill="DBE5F1"/>
                </w:tcPr>
                <w:p w14:paraId="2B44AD98"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Wzrost kosztów/ Redukcja korzyści/ Opóźnienie w realizacji projektu/</w:t>
                  </w:r>
                  <w:r>
                    <w:rPr>
                      <w:rFonts w:ascii="Calibri" w:eastAsia="Calibri" w:hAnsi="Calibri" w:cs="Calibri"/>
                      <w:color w:val="4F81BD"/>
                    </w:rPr>
                    <w:t xml:space="preserve"> </w:t>
                  </w:r>
                  <w:r>
                    <w:rPr>
                      <w:rFonts w:ascii="Calibri" w:eastAsia="Calibri" w:hAnsi="Calibri" w:cs="Calibri"/>
                      <w:color w:val="4F81BD"/>
                      <w:sz w:val="18"/>
                      <w:szCs w:val="18"/>
                    </w:rPr>
                    <w:t>Finansowanie i trwałość finansową projektu</w:t>
                  </w:r>
                </w:p>
              </w:tc>
            </w:tr>
            <w:tr w:rsidR="00600DEE" w14:paraId="04A1B0B4" w14:textId="77777777" w:rsidTr="005C3677">
              <w:trPr>
                <w:trHeight w:val="766"/>
              </w:trPr>
              <w:tc>
                <w:tcPr>
                  <w:tcW w:w="1752" w:type="dxa"/>
                  <w:tcBorders>
                    <w:top w:val="single" w:sz="4" w:space="0" w:color="FFFFFF"/>
                    <w:left w:val="single" w:sz="4" w:space="0" w:color="FFFFFF"/>
                    <w:bottom w:val="single" w:sz="4" w:space="0" w:color="FFFFFF"/>
                  </w:tcBorders>
                  <w:shd w:val="clear" w:color="auto" w:fill="DBE5F1"/>
                </w:tcPr>
                <w:p w14:paraId="7F5AB0D3"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Podmiot zarządzający ryzykiem</w:t>
                  </w:r>
                </w:p>
              </w:tc>
              <w:tc>
                <w:tcPr>
                  <w:tcW w:w="1477" w:type="dxa"/>
                  <w:tcBorders>
                    <w:top w:val="single" w:sz="4" w:space="0" w:color="FFFFFF"/>
                    <w:left w:val="single" w:sz="4" w:space="0" w:color="FFFFFF"/>
                    <w:bottom w:val="single" w:sz="4" w:space="0" w:color="FFFFFF"/>
                    <w:right w:val="single" w:sz="4" w:space="0" w:color="FFFFFF"/>
                  </w:tcBorders>
                  <w:shd w:val="clear" w:color="auto" w:fill="DBE5F1"/>
                </w:tcPr>
                <w:p w14:paraId="553E9D3D"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&lt;pole wyboru opcji&gt;</w:t>
                  </w:r>
                </w:p>
              </w:tc>
              <w:tc>
                <w:tcPr>
                  <w:tcW w:w="3793" w:type="dxa"/>
                  <w:tcBorders>
                    <w:top w:val="single" w:sz="4" w:space="0" w:color="FFFFFF"/>
                    <w:left w:val="single" w:sz="4" w:space="0" w:color="FFFFFF"/>
                    <w:bottom w:val="single" w:sz="4" w:space="0" w:color="FFFFFF"/>
                    <w:right w:val="single" w:sz="4" w:space="0" w:color="FFFFFF"/>
                  </w:tcBorders>
                  <w:shd w:val="clear" w:color="auto" w:fill="DBE5F1"/>
                </w:tcPr>
                <w:p w14:paraId="5E232079"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Beneficjent/ IZ/ Ministerstwo właściwe ds. transportu drogowego/ Wykonawca robót/ inny podmiot</w:t>
                  </w:r>
                </w:p>
              </w:tc>
            </w:tr>
            <w:tr w:rsidR="00600DEE" w14:paraId="12CA6A44" w14:textId="77777777" w:rsidTr="005C3677">
              <w:trPr>
                <w:trHeight w:val="766"/>
              </w:trPr>
              <w:tc>
                <w:tcPr>
                  <w:tcW w:w="1752" w:type="dxa"/>
                  <w:tcBorders>
                    <w:top w:val="single" w:sz="4" w:space="0" w:color="FFFFFF"/>
                    <w:left w:val="single" w:sz="4" w:space="0" w:color="FFFFFF"/>
                    <w:bottom w:val="single" w:sz="4" w:space="0" w:color="FFFFFF"/>
                  </w:tcBorders>
                  <w:shd w:val="clear" w:color="auto" w:fill="DBE5F1"/>
                </w:tcPr>
                <w:p w14:paraId="4A04AEB3"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Faza projektu, którego dotyczy ryzyko</w:t>
                  </w:r>
                </w:p>
              </w:tc>
              <w:tc>
                <w:tcPr>
                  <w:tcW w:w="1477" w:type="dxa"/>
                  <w:tcBorders>
                    <w:top w:val="single" w:sz="4" w:space="0" w:color="FFFFFF"/>
                    <w:left w:val="single" w:sz="4" w:space="0" w:color="FFFFFF"/>
                    <w:bottom w:val="single" w:sz="4" w:space="0" w:color="FFFFFF"/>
                    <w:right w:val="single" w:sz="4" w:space="0" w:color="FFFFFF"/>
                  </w:tcBorders>
                  <w:shd w:val="clear" w:color="auto" w:fill="DBE5F1"/>
                </w:tcPr>
                <w:p w14:paraId="30AEE38B"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&lt;3 * tak/nie&gt;</w:t>
                  </w:r>
                </w:p>
              </w:tc>
              <w:tc>
                <w:tcPr>
                  <w:tcW w:w="3793" w:type="dxa"/>
                  <w:tcBorders>
                    <w:top w:val="single" w:sz="4" w:space="0" w:color="FFFFFF"/>
                    <w:left w:val="single" w:sz="4" w:space="0" w:color="FFFFFF"/>
                    <w:bottom w:val="single" w:sz="4" w:space="0" w:color="FFFFFF"/>
                    <w:right w:val="single" w:sz="4" w:space="0" w:color="FFFFFF"/>
                  </w:tcBorders>
                  <w:shd w:val="clear" w:color="auto" w:fill="DBE5F1"/>
                </w:tcPr>
                <w:p w14:paraId="405C0F28"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Faza przygotowawcza (tak/nie) </w:t>
                  </w:r>
                </w:p>
                <w:p w14:paraId="26BE4C3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Faza wdrożenia (tak/nie) </w:t>
                  </w:r>
                </w:p>
                <w:p w14:paraId="6D7DEBC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Faza operacyjna (tak/nie)</w:t>
                  </w:r>
                </w:p>
              </w:tc>
            </w:tr>
            <w:tr w:rsidR="00600DEE" w14:paraId="37EA95F7" w14:textId="77777777" w:rsidTr="005C3677">
              <w:trPr>
                <w:trHeight w:val="547"/>
              </w:trPr>
              <w:tc>
                <w:tcPr>
                  <w:tcW w:w="1752" w:type="dxa"/>
                  <w:tcBorders>
                    <w:top w:val="single" w:sz="4" w:space="0" w:color="FFFFFF"/>
                    <w:left w:val="single" w:sz="4" w:space="0" w:color="FFFFFF"/>
                    <w:bottom w:val="single" w:sz="4" w:space="0" w:color="FFFFFF"/>
                  </w:tcBorders>
                  <w:shd w:val="clear" w:color="auto" w:fill="DBE5F1"/>
                </w:tcPr>
                <w:p w14:paraId="7A5B5EAF"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Prawdopodobieństwo</w:t>
                  </w:r>
                </w:p>
              </w:tc>
              <w:tc>
                <w:tcPr>
                  <w:tcW w:w="1477" w:type="dxa"/>
                  <w:tcBorders>
                    <w:top w:val="single" w:sz="4" w:space="0" w:color="FFFFFF"/>
                    <w:left w:val="single" w:sz="4" w:space="0" w:color="FFFFFF"/>
                    <w:bottom w:val="single" w:sz="4" w:space="0" w:color="FFFFFF"/>
                    <w:right w:val="single" w:sz="4" w:space="0" w:color="FFFFFF"/>
                  </w:tcBorders>
                  <w:shd w:val="clear" w:color="auto" w:fill="DBE5F1"/>
                </w:tcPr>
                <w:p w14:paraId="1E4C5151"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&lt;liczba od A do E&gt;</w:t>
                  </w:r>
                </w:p>
              </w:tc>
              <w:tc>
                <w:tcPr>
                  <w:tcW w:w="3793" w:type="dxa"/>
                  <w:tcBorders>
                    <w:top w:val="single" w:sz="4" w:space="0" w:color="FFFFFF"/>
                    <w:left w:val="single" w:sz="4" w:space="0" w:color="FFFFFF"/>
                    <w:bottom w:val="single" w:sz="4" w:space="0" w:color="FFFFFF"/>
                    <w:right w:val="single" w:sz="4" w:space="0" w:color="FFFFFF"/>
                  </w:tcBorders>
                  <w:shd w:val="clear" w:color="auto" w:fill="DBE5F1"/>
                </w:tcPr>
                <w:p w14:paraId="70D8601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Odpowiednio od A do E</w:t>
                  </w:r>
                  <w:r>
                    <w:rPr>
                      <w:rFonts w:ascii="Calibri" w:eastAsia="Calibri" w:hAnsi="Calibri" w:cs="Calibri"/>
                      <w:color w:val="4F81BD"/>
                      <w:sz w:val="18"/>
                      <w:szCs w:val="18"/>
                    </w:rPr>
                    <w:br/>
                    <w:t>(Por. wcześniejsza tabela z definicją skali)</w:t>
                  </w:r>
                </w:p>
              </w:tc>
            </w:tr>
            <w:tr w:rsidR="00600DEE" w14:paraId="523D5B16" w14:textId="77777777" w:rsidTr="005C3677">
              <w:trPr>
                <w:trHeight w:val="492"/>
              </w:trPr>
              <w:tc>
                <w:tcPr>
                  <w:tcW w:w="1752" w:type="dxa"/>
                  <w:tcBorders>
                    <w:top w:val="single" w:sz="4" w:space="0" w:color="FFFFFF"/>
                    <w:left w:val="single" w:sz="4" w:space="0" w:color="FFFFFF"/>
                    <w:bottom w:val="single" w:sz="4" w:space="0" w:color="FFFFFF"/>
                  </w:tcBorders>
                  <w:shd w:val="clear" w:color="auto" w:fill="DBE5F1"/>
                </w:tcPr>
                <w:p w14:paraId="3D87EF49"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Siła oddziaływania</w:t>
                  </w:r>
                </w:p>
              </w:tc>
              <w:tc>
                <w:tcPr>
                  <w:tcW w:w="1477" w:type="dxa"/>
                  <w:tcBorders>
                    <w:top w:val="single" w:sz="4" w:space="0" w:color="FFFFFF"/>
                    <w:left w:val="single" w:sz="4" w:space="0" w:color="FFFFFF"/>
                    <w:bottom w:val="single" w:sz="4" w:space="0" w:color="FFFFFF"/>
                    <w:right w:val="single" w:sz="4" w:space="0" w:color="FFFFFF"/>
                  </w:tcBorders>
                  <w:shd w:val="clear" w:color="auto" w:fill="DBE5F1"/>
                </w:tcPr>
                <w:p w14:paraId="22F39318"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&lt;liczba od I do V&gt;</w:t>
                  </w:r>
                </w:p>
              </w:tc>
              <w:tc>
                <w:tcPr>
                  <w:tcW w:w="3793" w:type="dxa"/>
                  <w:tcBorders>
                    <w:top w:val="single" w:sz="4" w:space="0" w:color="FFFFFF"/>
                    <w:left w:val="single" w:sz="4" w:space="0" w:color="FFFFFF"/>
                    <w:bottom w:val="single" w:sz="4" w:space="0" w:color="FFFFFF"/>
                    <w:right w:val="single" w:sz="4" w:space="0" w:color="FFFFFF"/>
                  </w:tcBorders>
                  <w:shd w:val="clear" w:color="auto" w:fill="DBE5F1"/>
                </w:tcPr>
                <w:p w14:paraId="755ED5CF"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(Por. wcześniejsza tabela z definicją skali)</w:t>
                  </w:r>
                </w:p>
              </w:tc>
            </w:tr>
            <w:tr w:rsidR="00600DEE" w14:paraId="2417EF7D" w14:textId="77777777" w:rsidTr="005C3677">
              <w:trPr>
                <w:trHeight w:val="656"/>
              </w:trPr>
              <w:tc>
                <w:tcPr>
                  <w:tcW w:w="1752" w:type="dxa"/>
                  <w:tcBorders>
                    <w:top w:val="single" w:sz="4" w:space="0" w:color="FFFFFF"/>
                    <w:left w:val="single" w:sz="4" w:space="0" w:color="FFFFFF"/>
                    <w:bottom w:val="single" w:sz="4" w:space="0" w:color="FFFFFF"/>
                  </w:tcBorders>
                  <w:shd w:val="clear" w:color="auto" w:fill="DBE5F1"/>
                </w:tcPr>
                <w:p w14:paraId="16DC429F"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Poziom ryzyka</w:t>
                  </w:r>
                </w:p>
              </w:tc>
              <w:tc>
                <w:tcPr>
                  <w:tcW w:w="1477" w:type="dxa"/>
                  <w:tcBorders>
                    <w:top w:val="single" w:sz="4" w:space="0" w:color="FFFFFF"/>
                    <w:left w:val="single" w:sz="4" w:space="0" w:color="FFFFFF"/>
                    <w:bottom w:val="single" w:sz="4" w:space="0" w:color="FFFFFF"/>
                    <w:right w:val="single" w:sz="4" w:space="0" w:color="FFFFFF"/>
                  </w:tcBorders>
                  <w:shd w:val="clear" w:color="auto" w:fill="DBE5F1"/>
                </w:tcPr>
                <w:p w14:paraId="1AF4894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&lt;pole wyboru opcji&gt;</w:t>
                  </w:r>
                </w:p>
              </w:tc>
              <w:tc>
                <w:tcPr>
                  <w:tcW w:w="3793" w:type="dxa"/>
                  <w:tcBorders>
                    <w:top w:val="single" w:sz="4" w:space="0" w:color="FFFFFF"/>
                    <w:left w:val="single" w:sz="4" w:space="0" w:color="FFFFFF"/>
                    <w:bottom w:val="single" w:sz="4" w:space="0" w:color="FFFFFF"/>
                    <w:right w:val="single" w:sz="4" w:space="0" w:color="FFFFFF"/>
                  </w:tcBorders>
                  <w:shd w:val="clear" w:color="auto" w:fill="DBE5F1"/>
                </w:tcPr>
                <w:p w14:paraId="324264FF"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Kombinacja prawdopodobieństwa i siły oddziaływania </w:t>
                  </w:r>
                </w:p>
                <w:p w14:paraId="3829511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Niski/Średni/Wysoki/Bardzo wysoki</w:t>
                  </w:r>
                </w:p>
              </w:tc>
            </w:tr>
            <w:tr w:rsidR="00600DEE" w14:paraId="46EDE12F" w14:textId="77777777" w:rsidTr="005C3677">
              <w:trPr>
                <w:trHeight w:val="656"/>
              </w:trPr>
              <w:tc>
                <w:tcPr>
                  <w:tcW w:w="1752" w:type="dxa"/>
                  <w:tcBorders>
                    <w:top w:val="single" w:sz="4" w:space="0" w:color="FFFFFF"/>
                    <w:left w:val="single" w:sz="4" w:space="0" w:color="FFFFFF"/>
                    <w:bottom w:val="single" w:sz="4" w:space="0" w:color="FFFFFF"/>
                  </w:tcBorders>
                  <w:shd w:val="clear" w:color="auto" w:fill="DBE5F1"/>
                </w:tcPr>
                <w:p w14:paraId="454B60FB"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Strategia zarządzania ryzykiem</w:t>
                  </w:r>
                </w:p>
              </w:tc>
              <w:tc>
                <w:tcPr>
                  <w:tcW w:w="1477" w:type="dxa"/>
                  <w:tcBorders>
                    <w:top w:val="single" w:sz="4" w:space="0" w:color="FFFFFF"/>
                    <w:left w:val="single" w:sz="4" w:space="0" w:color="FFFFFF"/>
                    <w:bottom w:val="single" w:sz="4" w:space="0" w:color="FFFFFF"/>
                    <w:right w:val="single" w:sz="4" w:space="0" w:color="FFFFFF"/>
                  </w:tcBorders>
                  <w:shd w:val="clear" w:color="auto" w:fill="DBE5F1"/>
                </w:tcPr>
                <w:p w14:paraId="77D45D77"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&lt;pole wyboru opcji&gt;</w:t>
                  </w:r>
                </w:p>
              </w:tc>
              <w:tc>
                <w:tcPr>
                  <w:tcW w:w="3793" w:type="dxa"/>
                  <w:tcBorders>
                    <w:top w:val="single" w:sz="4" w:space="0" w:color="FFFFFF"/>
                    <w:left w:val="single" w:sz="4" w:space="0" w:color="FFFFFF"/>
                    <w:bottom w:val="single" w:sz="4" w:space="0" w:color="FFFFFF"/>
                    <w:right w:val="single" w:sz="4" w:space="0" w:color="FFFFFF"/>
                  </w:tcBorders>
                  <w:shd w:val="clear" w:color="auto" w:fill="DBE5F1"/>
                </w:tcPr>
                <w:p w14:paraId="291287BB"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Unikanie/przeniesienie/przeciwdziałanie/tolerowanie</w:t>
                  </w:r>
                </w:p>
              </w:tc>
            </w:tr>
            <w:tr w:rsidR="00600DEE" w14:paraId="3D5AF51E" w14:textId="77777777" w:rsidTr="005C3677">
              <w:trPr>
                <w:trHeight w:val="547"/>
              </w:trPr>
              <w:tc>
                <w:tcPr>
                  <w:tcW w:w="1752" w:type="dxa"/>
                  <w:tcBorders>
                    <w:top w:val="single" w:sz="4" w:space="0" w:color="FFFFFF"/>
                    <w:left w:val="single" w:sz="4" w:space="0" w:color="FFFFFF"/>
                    <w:bottom w:val="single" w:sz="4" w:space="0" w:color="FFFFFF"/>
                  </w:tcBorders>
                  <w:shd w:val="clear" w:color="auto" w:fill="DBE5F1"/>
                </w:tcPr>
                <w:p w14:paraId="2EE49028"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Środki ograniczające wpływ ryzyka</w:t>
                  </w:r>
                </w:p>
              </w:tc>
              <w:tc>
                <w:tcPr>
                  <w:tcW w:w="1477" w:type="dxa"/>
                  <w:tcBorders>
                    <w:top w:val="single" w:sz="4" w:space="0" w:color="FFFFFF"/>
                    <w:left w:val="single" w:sz="4" w:space="0" w:color="FFFFFF"/>
                    <w:bottom w:val="single" w:sz="4" w:space="0" w:color="FFFFFF"/>
                    <w:right w:val="single" w:sz="4" w:space="0" w:color="FFFFFF"/>
                  </w:tcBorders>
                  <w:shd w:val="clear" w:color="auto" w:fill="DBE5F1"/>
                </w:tcPr>
                <w:p w14:paraId="117B1E55"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&lt;tekst&gt;</w:t>
                  </w:r>
                </w:p>
              </w:tc>
              <w:tc>
                <w:tcPr>
                  <w:tcW w:w="3793" w:type="dxa"/>
                  <w:tcBorders>
                    <w:top w:val="single" w:sz="4" w:space="0" w:color="FFFFFF"/>
                    <w:left w:val="single" w:sz="4" w:space="0" w:color="FFFFFF"/>
                    <w:bottom w:val="single" w:sz="4" w:space="0" w:color="FFFFFF"/>
                    <w:right w:val="single" w:sz="4" w:space="0" w:color="FFFFFF"/>
                  </w:tcBorders>
                  <w:shd w:val="clear" w:color="auto" w:fill="DBE5F1"/>
                </w:tcPr>
                <w:p w14:paraId="3B476784"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Opis słowny</w:t>
                  </w:r>
                </w:p>
              </w:tc>
            </w:tr>
            <w:tr w:rsidR="00600DEE" w14:paraId="322594D4" w14:textId="77777777" w:rsidTr="005C3677">
              <w:trPr>
                <w:trHeight w:val="875"/>
              </w:trPr>
              <w:tc>
                <w:tcPr>
                  <w:tcW w:w="1752" w:type="dxa"/>
                  <w:tcBorders>
                    <w:top w:val="single" w:sz="4" w:space="0" w:color="FFFFFF"/>
                    <w:left w:val="single" w:sz="4" w:space="0" w:color="FFFFFF"/>
                  </w:tcBorders>
                  <w:shd w:val="clear" w:color="auto" w:fill="DBE5F1"/>
                </w:tcPr>
                <w:p w14:paraId="657A4248" w14:textId="77777777" w:rsidR="00600DEE" w:rsidRDefault="00641FB5">
                  <w:pPr>
                    <w:rPr>
                      <w:rFonts w:ascii="Calibri" w:eastAsia="Calibri" w:hAnsi="Calibri" w:cs="Calibri"/>
                      <w:b/>
                      <w:color w:val="4F81BD"/>
                      <w:sz w:val="18"/>
                      <w:szCs w:val="18"/>
                    </w:rPr>
                  </w:pPr>
                  <w:r>
                    <w:rPr>
                      <w:rFonts w:ascii="Calibri" w:eastAsia="Calibri" w:hAnsi="Calibri" w:cs="Calibri"/>
                      <w:b/>
                      <w:color w:val="4F81BD"/>
                      <w:sz w:val="18"/>
                      <w:szCs w:val="18"/>
                    </w:rPr>
                    <w:t>Podmiot zarządzający ograniczaniem wpływu ryzyka</w:t>
                  </w:r>
                </w:p>
              </w:tc>
              <w:tc>
                <w:tcPr>
                  <w:tcW w:w="1477" w:type="dxa"/>
                  <w:tcBorders>
                    <w:top w:val="single" w:sz="4" w:space="0" w:color="FFFFFF"/>
                    <w:left w:val="single" w:sz="4" w:space="0" w:color="FFFFFF"/>
                    <w:right w:val="single" w:sz="4" w:space="0" w:color="FFFFFF"/>
                  </w:tcBorders>
                  <w:shd w:val="clear" w:color="auto" w:fill="DBE5F1"/>
                </w:tcPr>
                <w:p w14:paraId="1E4DC1D0"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&lt;pole wyboru opcji&gt;</w:t>
                  </w:r>
                </w:p>
              </w:tc>
              <w:tc>
                <w:tcPr>
                  <w:tcW w:w="3793" w:type="dxa"/>
                  <w:tcBorders>
                    <w:top w:val="single" w:sz="4" w:space="0" w:color="FFFFFF"/>
                    <w:left w:val="single" w:sz="4" w:space="0" w:color="FFFFFF"/>
                    <w:right w:val="single" w:sz="4" w:space="0" w:color="FFFFFF"/>
                  </w:tcBorders>
                  <w:shd w:val="clear" w:color="auto" w:fill="DBE5F1"/>
                </w:tcPr>
                <w:p w14:paraId="2811137E" w14:textId="65F4D74C"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Beneficjent/ IZ/ Ministerstwo właściwe ds. transport</w:t>
                  </w:r>
                  <w:r w:rsidR="00B67038">
                    <w:rPr>
                      <w:rFonts w:ascii="Calibri" w:eastAsia="Calibri" w:hAnsi="Calibri" w:cs="Calibri"/>
                      <w:color w:val="4F81BD"/>
                      <w:sz w:val="18"/>
                      <w:szCs w:val="18"/>
                    </w:rPr>
                    <w:t>u</w:t>
                  </w:r>
                  <w:r>
                    <w:rPr>
                      <w:rFonts w:ascii="Calibri" w:eastAsia="Calibri" w:hAnsi="Calibri" w:cs="Calibri"/>
                      <w:color w:val="4F81BD"/>
                      <w:sz w:val="18"/>
                      <w:szCs w:val="18"/>
                    </w:rPr>
                    <w:t xml:space="preserve"> drogowego/ Wykonawca robót /inny podmiot</w:t>
                  </w:r>
                </w:p>
              </w:tc>
            </w:tr>
          </w:tbl>
          <w:p w14:paraId="66CB4A8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Wyniki analizy ryzyka powinny zawierać komentarz do matrycy ryzyka dotyczący oceny ryzyk, które pozostaną po zastosowaniu działań zapobiegawczych i ograniczających ryzyko.</w:t>
            </w:r>
          </w:p>
          <w:p w14:paraId="1FF6074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powyższej tabeli wyszczególniono fazy projektu i kategorie ryzyka, ponieważ możliwa jest różna konfiguracja występowania tych czynników w różnych fazach projektu.</w:t>
            </w:r>
          </w:p>
          <w:p w14:paraId="3C816B5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Podmiot zarządzający danym ryzykiem może być inny niż podmiot odpowiedzialny za wdrażanie działań zaradczych dla tego ryzyka.</w:t>
            </w:r>
          </w:p>
        </w:tc>
        <w:tc>
          <w:tcPr>
            <w:tcW w:w="7201" w:type="dxa"/>
            <w:tcBorders>
              <w:left w:val="single" w:sz="4" w:space="0" w:color="000000"/>
            </w:tcBorders>
            <w:tcMar>
              <w:left w:w="284" w:type="dxa"/>
              <w:right w:w="284" w:type="dxa"/>
            </w:tcMar>
          </w:tcPr>
          <w:p w14:paraId="4C006FFA"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Sensitivity analysis</w:t>
            </w:r>
          </w:p>
          <w:p w14:paraId="47D4B59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As described above, the sensitivity analysis should present the “critical” project variables as well as the calculation of the “switching values” in order to judge on the risk of the project and the opportunity of undertaking risk-preventing actions. Finally, the sensitivity analysis will include a scenario analysis where impacts of different variations on key variables as well as combinations of these values are considered, as described above. Once the quantitative risk analysis becomes possible, not for the time being, this chapter will also contain the probabilities of the scenarios listed, as well as the probabilities of the switching values being reached.</w:t>
            </w:r>
          </w:p>
          <w:p w14:paraId="46465D28"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 xml:space="preserve">Risk analysis output presentation </w:t>
            </w:r>
          </w:p>
          <w:p w14:paraId="1470AD7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output of the risk analysis will include the risk identification table complemented by the risk matrix table below (the presentation format of this data can be adapted by the author as deemed appropriate).</w:t>
            </w:r>
          </w:p>
          <w:p w14:paraId="41BA565D" w14:textId="7407D610"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As mentioned above, only when the quantitative analysis will be possible, the matrix will be complemented by the probability distributions of critical variables  allowing obtaining probability functions and statistical indicators of project financial and economic performance indicators.</w:t>
            </w:r>
          </w:p>
          <w:p w14:paraId="6BAC0A16" w14:textId="420BEBF2" w:rsidR="003441F7" w:rsidRPr="0045151D" w:rsidRDefault="003441F7">
            <w:pPr>
              <w:pBdr>
                <w:top w:val="nil"/>
                <w:left w:val="nil"/>
                <w:bottom w:val="nil"/>
                <w:right w:val="nil"/>
                <w:between w:val="nil"/>
              </w:pBdr>
              <w:spacing w:before="120"/>
              <w:jc w:val="both"/>
              <w:rPr>
                <w:rFonts w:ascii="Calibri" w:eastAsia="Calibri" w:hAnsi="Calibri" w:cs="Calibri"/>
                <w:color w:val="000000"/>
                <w:sz w:val="20"/>
                <w:szCs w:val="20"/>
                <w:lang w:val="en-GB"/>
              </w:rPr>
            </w:pPr>
          </w:p>
          <w:p w14:paraId="5E6789CA" w14:textId="5371FC91" w:rsidR="003441F7" w:rsidRDefault="003441F7">
            <w:pPr>
              <w:pBdr>
                <w:top w:val="nil"/>
                <w:left w:val="nil"/>
                <w:bottom w:val="nil"/>
                <w:right w:val="nil"/>
                <w:between w:val="nil"/>
              </w:pBdr>
              <w:spacing w:before="120"/>
              <w:jc w:val="both"/>
              <w:rPr>
                <w:rFonts w:ascii="Calibri" w:eastAsia="Calibri" w:hAnsi="Calibri" w:cs="Calibri"/>
                <w:color w:val="000000"/>
                <w:sz w:val="20"/>
                <w:szCs w:val="20"/>
                <w:lang w:val="en-GB"/>
              </w:rPr>
            </w:pPr>
          </w:p>
          <w:p w14:paraId="56F32EFA" w14:textId="0F6FFC58" w:rsidR="005C3677" w:rsidRDefault="005C3677">
            <w:pPr>
              <w:pBdr>
                <w:top w:val="nil"/>
                <w:left w:val="nil"/>
                <w:bottom w:val="nil"/>
                <w:right w:val="nil"/>
                <w:between w:val="nil"/>
              </w:pBdr>
              <w:spacing w:before="120"/>
              <w:jc w:val="both"/>
              <w:rPr>
                <w:rFonts w:ascii="Calibri" w:eastAsia="Calibri" w:hAnsi="Calibri" w:cs="Calibri"/>
                <w:color w:val="000000"/>
                <w:sz w:val="20"/>
                <w:szCs w:val="20"/>
                <w:lang w:val="en-GB"/>
              </w:rPr>
            </w:pPr>
          </w:p>
          <w:p w14:paraId="56307EBB" w14:textId="0A97E464" w:rsidR="00482C1E" w:rsidRDefault="00482C1E">
            <w:pPr>
              <w:pBdr>
                <w:top w:val="nil"/>
                <w:left w:val="nil"/>
                <w:bottom w:val="nil"/>
                <w:right w:val="nil"/>
                <w:between w:val="nil"/>
              </w:pBdr>
              <w:spacing w:before="120"/>
              <w:jc w:val="both"/>
              <w:rPr>
                <w:rFonts w:ascii="Calibri" w:eastAsia="Calibri" w:hAnsi="Calibri" w:cs="Calibri"/>
                <w:color w:val="000000"/>
                <w:sz w:val="20"/>
                <w:szCs w:val="20"/>
                <w:lang w:val="en-GB"/>
              </w:rPr>
            </w:pPr>
          </w:p>
          <w:p w14:paraId="002192A5" w14:textId="77777777" w:rsidR="00482C1E" w:rsidRPr="0045151D" w:rsidRDefault="00482C1E">
            <w:pPr>
              <w:pBdr>
                <w:top w:val="nil"/>
                <w:left w:val="nil"/>
                <w:bottom w:val="nil"/>
                <w:right w:val="nil"/>
                <w:between w:val="nil"/>
              </w:pBdr>
              <w:spacing w:before="120"/>
              <w:jc w:val="both"/>
              <w:rPr>
                <w:rFonts w:ascii="Calibri" w:eastAsia="Calibri" w:hAnsi="Calibri" w:cs="Calibri"/>
                <w:color w:val="000000"/>
                <w:sz w:val="20"/>
                <w:szCs w:val="20"/>
                <w:lang w:val="en-GB"/>
              </w:rPr>
            </w:pPr>
          </w:p>
          <w:p w14:paraId="42BE0B1A" w14:textId="183BC539" w:rsidR="00600DEE" w:rsidRPr="00EB716F" w:rsidRDefault="00EB716F">
            <w:pPr>
              <w:pBdr>
                <w:top w:val="nil"/>
                <w:left w:val="nil"/>
                <w:bottom w:val="nil"/>
                <w:right w:val="nil"/>
                <w:between w:val="nil"/>
              </w:pBdr>
              <w:spacing w:after="120"/>
              <w:jc w:val="both"/>
              <w:rPr>
                <w:rFonts w:ascii="Calibri" w:eastAsia="Calibri" w:hAnsi="Calibri" w:cs="Calibri"/>
                <w:b/>
                <w:color w:val="4F81BD"/>
                <w:sz w:val="20"/>
                <w:szCs w:val="20"/>
                <w:lang w:val="en-GB"/>
              </w:rPr>
            </w:pPr>
            <w:r w:rsidRPr="00EB716F">
              <w:rPr>
                <w:rFonts w:ascii="Calibri" w:eastAsia="Calibri" w:hAnsi="Calibri" w:cs="Calibri"/>
                <w:b/>
                <w:color w:val="4F81BD"/>
                <w:sz w:val="20"/>
                <w:szCs w:val="20"/>
                <w:lang w:val="en-GB"/>
              </w:rPr>
              <w:t>Table 33</w:t>
            </w:r>
            <w:r w:rsidR="00641FB5" w:rsidRPr="00EB716F">
              <w:rPr>
                <w:rFonts w:ascii="Calibri" w:eastAsia="Calibri" w:hAnsi="Calibri" w:cs="Calibri"/>
                <w:b/>
                <w:color w:val="4F81BD"/>
                <w:sz w:val="20"/>
                <w:szCs w:val="20"/>
                <w:lang w:val="en-GB"/>
              </w:rPr>
              <w:t>. Risk matrix – extended analysis</w:t>
            </w:r>
          </w:p>
          <w:tbl>
            <w:tblPr>
              <w:tblStyle w:val="affffffff4"/>
              <w:tblW w:w="6939" w:type="dxa"/>
              <w:tblBorders>
                <w:top w:val="single" w:sz="4" w:space="0" w:color="FFFFFF"/>
                <w:left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403"/>
              <w:gridCol w:w="1688"/>
              <w:gridCol w:w="3848"/>
            </w:tblGrid>
            <w:tr w:rsidR="00600DEE" w:rsidRPr="00482C1E" w14:paraId="64557BD1" w14:textId="77777777">
              <w:trPr>
                <w:trHeight w:val="241"/>
              </w:trPr>
              <w:tc>
                <w:tcPr>
                  <w:tcW w:w="1403" w:type="dxa"/>
                  <w:shd w:val="clear" w:color="auto" w:fill="A6A6A6"/>
                  <w:vAlign w:val="center"/>
                </w:tcPr>
                <w:p w14:paraId="0FBCB8AB" w14:textId="77777777" w:rsidR="00600DEE" w:rsidRPr="00EB716F" w:rsidRDefault="00641FB5">
                  <w:pPr>
                    <w:pBdr>
                      <w:top w:val="nil"/>
                      <w:left w:val="nil"/>
                      <w:bottom w:val="nil"/>
                      <w:right w:val="nil"/>
                      <w:between w:val="nil"/>
                    </w:pBdr>
                    <w:spacing w:line="264" w:lineRule="auto"/>
                    <w:jc w:val="center"/>
                    <w:rPr>
                      <w:rFonts w:ascii="Calibri" w:eastAsia="Calibri" w:hAnsi="Calibri" w:cs="Calibri"/>
                      <w:b/>
                      <w:color w:val="FFFFFF"/>
                      <w:sz w:val="20"/>
                      <w:szCs w:val="20"/>
                      <w:lang w:val="en-GB"/>
                    </w:rPr>
                  </w:pPr>
                  <w:r w:rsidRPr="00EB716F">
                    <w:rPr>
                      <w:rFonts w:ascii="Calibri" w:eastAsia="Calibri" w:hAnsi="Calibri" w:cs="Calibri"/>
                      <w:b/>
                      <w:color w:val="FFFFFF"/>
                      <w:sz w:val="20"/>
                      <w:szCs w:val="20"/>
                      <w:lang w:val="en-GB"/>
                    </w:rPr>
                    <w:t>Field</w:t>
                  </w:r>
                </w:p>
              </w:tc>
              <w:tc>
                <w:tcPr>
                  <w:tcW w:w="1688" w:type="dxa"/>
                  <w:shd w:val="clear" w:color="auto" w:fill="A6A6A6"/>
                  <w:vAlign w:val="center"/>
                </w:tcPr>
                <w:p w14:paraId="560531E4" w14:textId="77777777" w:rsidR="00600DEE" w:rsidRPr="00EB716F" w:rsidRDefault="00641FB5">
                  <w:pPr>
                    <w:pBdr>
                      <w:top w:val="nil"/>
                      <w:left w:val="nil"/>
                      <w:bottom w:val="nil"/>
                      <w:right w:val="nil"/>
                      <w:between w:val="nil"/>
                    </w:pBdr>
                    <w:spacing w:line="264" w:lineRule="auto"/>
                    <w:jc w:val="center"/>
                    <w:rPr>
                      <w:rFonts w:ascii="Calibri" w:eastAsia="Calibri" w:hAnsi="Calibri" w:cs="Calibri"/>
                      <w:b/>
                      <w:color w:val="FFFFFF"/>
                      <w:sz w:val="20"/>
                      <w:szCs w:val="20"/>
                      <w:lang w:val="en-GB"/>
                    </w:rPr>
                  </w:pPr>
                  <w:r w:rsidRPr="00EB716F">
                    <w:rPr>
                      <w:rFonts w:ascii="Calibri" w:eastAsia="Calibri" w:hAnsi="Calibri" w:cs="Calibri"/>
                      <w:b/>
                      <w:color w:val="FFFFFF"/>
                      <w:sz w:val="20"/>
                      <w:szCs w:val="20"/>
                      <w:lang w:val="en-GB"/>
                    </w:rPr>
                    <w:t>Data format</w:t>
                  </w:r>
                </w:p>
              </w:tc>
              <w:tc>
                <w:tcPr>
                  <w:tcW w:w="3848" w:type="dxa"/>
                  <w:shd w:val="clear" w:color="auto" w:fill="A6A6A6"/>
                  <w:vAlign w:val="center"/>
                </w:tcPr>
                <w:p w14:paraId="2057D365" w14:textId="77777777" w:rsidR="00600DEE" w:rsidRPr="00EB716F" w:rsidRDefault="00641FB5">
                  <w:pPr>
                    <w:pBdr>
                      <w:top w:val="nil"/>
                      <w:left w:val="nil"/>
                      <w:bottom w:val="nil"/>
                      <w:right w:val="nil"/>
                      <w:between w:val="nil"/>
                    </w:pBdr>
                    <w:spacing w:line="264" w:lineRule="auto"/>
                    <w:jc w:val="center"/>
                    <w:rPr>
                      <w:rFonts w:ascii="Calibri" w:eastAsia="Calibri" w:hAnsi="Calibri" w:cs="Calibri"/>
                      <w:b/>
                      <w:color w:val="FFFFFF"/>
                      <w:sz w:val="20"/>
                      <w:szCs w:val="20"/>
                      <w:lang w:val="en-GB"/>
                    </w:rPr>
                  </w:pPr>
                  <w:r w:rsidRPr="00EB716F">
                    <w:rPr>
                      <w:rFonts w:ascii="Calibri" w:eastAsia="Calibri" w:hAnsi="Calibri" w:cs="Calibri"/>
                      <w:b/>
                      <w:color w:val="FFFFFF"/>
                      <w:sz w:val="20"/>
                      <w:szCs w:val="20"/>
                      <w:lang w:val="en-GB"/>
                    </w:rPr>
                    <w:t>Data values range</w:t>
                  </w:r>
                </w:p>
              </w:tc>
            </w:tr>
            <w:tr w:rsidR="00600DEE" w:rsidRPr="007463B9" w14:paraId="3B0CA729" w14:textId="77777777" w:rsidTr="0065009A">
              <w:trPr>
                <w:trHeight w:val="567"/>
              </w:trPr>
              <w:tc>
                <w:tcPr>
                  <w:tcW w:w="1403" w:type="dxa"/>
                  <w:shd w:val="clear" w:color="auto" w:fill="DBE5F1"/>
                </w:tcPr>
                <w:p w14:paraId="3E7BEE9F" w14:textId="77777777" w:rsidR="00600DEE" w:rsidRPr="00EB716F" w:rsidRDefault="00641FB5">
                  <w:pPr>
                    <w:pBdr>
                      <w:top w:val="nil"/>
                      <w:left w:val="nil"/>
                      <w:bottom w:val="nil"/>
                      <w:right w:val="nil"/>
                      <w:between w:val="nil"/>
                    </w:pBdr>
                    <w:rPr>
                      <w:rFonts w:ascii="Calibri" w:eastAsia="Calibri" w:hAnsi="Calibri" w:cs="Calibri"/>
                      <w:b/>
                      <w:color w:val="4F81BD"/>
                      <w:sz w:val="18"/>
                      <w:szCs w:val="18"/>
                      <w:lang w:val="en-GB"/>
                    </w:rPr>
                  </w:pPr>
                  <w:r w:rsidRPr="00EB716F">
                    <w:rPr>
                      <w:rFonts w:ascii="Calibri" w:eastAsia="Calibri" w:hAnsi="Calibri" w:cs="Calibri"/>
                      <w:b/>
                      <w:color w:val="4F81BD"/>
                      <w:sz w:val="18"/>
                      <w:szCs w:val="18"/>
                      <w:lang w:val="en-GB"/>
                    </w:rPr>
                    <w:t>Risk name</w:t>
                  </w:r>
                </w:p>
              </w:tc>
              <w:tc>
                <w:tcPr>
                  <w:tcW w:w="1688" w:type="dxa"/>
                  <w:shd w:val="clear" w:color="auto" w:fill="DBE5F1"/>
                </w:tcPr>
                <w:p w14:paraId="337E209B" w14:textId="77777777" w:rsidR="00600DEE" w:rsidRPr="00EB716F" w:rsidRDefault="00641FB5">
                  <w:pPr>
                    <w:pBdr>
                      <w:top w:val="nil"/>
                      <w:left w:val="nil"/>
                      <w:bottom w:val="nil"/>
                      <w:right w:val="nil"/>
                      <w:between w:val="nil"/>
                    </w:pBdr>
                    <w:rPr>
                      <w:rFonts w:ascii="Calibri" w:eastAsia="Calibri" w:hAnsi="Calibri" w:cs="Calibri"/>
                      <w:color w:val="4F81BD"/>
                      <w:sz w:val="18"/>
                      <w:szCs w:val="18"/>
                      <w:lang w:val="en-GB"/>
                    </w:rPr>
                  </w:pPr>
                  <w:r w:rsidRPr="00EB716F">
                    <w:rPr>
                      <w:rFonts w:ascii="Calibri" w:eastAsia="Calibri" w:hAnsi="Calibri" w:cs="Calibri"/>
                      <w:color w:val="4F81BD"/>
                      <w:sz w:val="18"/>
                      <w:szCs w:val="18"/>
                      <w:lang w:val="en-GB"/>
                    </w:rPr>
                    <w:t>&lt;text&gt;</w:t>
                  </w:r>
                </w:p>
              </w:tc>
              <w:tc>
                <w:tcPr>
                  <w:tcW w:w="3848" w:type="dxa"/>
                  <w:shd w:val="clear" w:color="auto" w:fill="DBE5F1"/>
                </w:tcPr>
                <w:p w14:paraId="08B5A1CB"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Risk description, e.g. “traffic lower than forecast”</w:t>
                  </w:r>
                </w:p>
              </w:tc>
            </w:tr>
            <w:tr w:rsidR="00600DEE" w14:paraId="2BD87BFB" w14:textId="77777777" w:rsidTr="0065009A">
              <w:trPr>
                <w:trHeight w:val="1021"/>
              </w:trPr>
              <w:tc>
                <w:tcPr>
                  <w:tcW w:w="1403" w:type="dxa"/>
                  <w:shd w:val="clear" w:color="auto" w:fill="DBE5F1"/>
                </w:tcPr>
                <w:p w14:paraId="6F75B57F"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Risk category</w:t>
                  </w:r>
                </w:p>
              </w:tc>
              <w:tc>
                <w:tcPr>
                  <w:tcW w:w="1688" w:type="dxa"/>
                  <w:shd w:val="clear" w:color="auto" w:fill="DBE5F1"/>
                </w:tcPr>
                <w:p w14:paraId="11C0AEAB"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&lt;choose between options&gt;</w:t>
                  </w:r>
                </w:p>
              </w:tc>
              <w:tc>
                <w:tcPr>
                  <w:tcW w:w="3848" w:type="dxa"/>
                  <w:shd w:val="clear" w:color="auto" w:fill="DBE5F1"/>
                </w:tcPr>
                <w:p w14:paraId="27F98E65"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Demand/ Design/ Administrative/ Land acquisition/ Procurement/ Construction/ Operational/ Regulatory/ Financial/ Management/ Political/ Other</w:t>
                  </w:r>
                </w:p>
              </w:tc>
            </w:tr>
            <w:tr w:rsidR="00600DEE" w:rsidRPr="007463B9" w14:paraId="18FB6DBD" w14:textId="77777777" w:rsidTr="0065009A">
              <w:trPr>
                <w:trHeight w:val="567"/>
              </w:trPr>
              <w:tc>
                <w:tcPr>
                  <w:tcW w:w="1403" w:type="dxa"/>
                  <w:tcBorders>
                    <w:bottom w:val="single" w:sz="4" w:space="0" w:color="FFFFFF"/>
                  </w:tcBorders>
                  <w:shd w:val="clear" w:color="auto" w:fill="DBE5F1"/>
                </w:tcPr>
                <w:p w14:paraId="2B190402"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Cause</w:t>
                  </w:r>
                </w:p>
              </w:tc>
              <w:tc>
                <w:tcPr>
                  <w:tcW w:w="1688" w:type="dxa"/>
                  <w:tcBorders>
                    <w:bottom w:val="single" w:sz="4" w:space="0" w:color="FFFFFF"/>
                  </w:tcBorders>
                  <w:shd w:val="clear" w:color="auto" w:fill="DBE5F1"/>
                </w:tcPr>
                <w:p w14:paraId="79BB8090"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&lt;text&gt;</w:t>
                  </w:r>
                </w:p>
              </w:tc>
              <w:tc>
                <w:tcPr>
                  <w:tcW w:w="3848" w:type="dxa"/>
                  <w:tcBorders>
                    <w:bottom w:val="single" w:sz="4" w:space="0" w:color="FFFFFF"/>
                  </w:tcBorders>
                  <w:shd w:val="clear" w:color="auto" w:fill="DBE5F1"/>
                </w:tcPr>
                <w:p w14:paraId="29400B3A"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Verbal description of underlying factors that may cause the risk to materialise</w:t>
                  </w:r>
                </w:p>
              </w:tc>
            </w:tr>
            <w:tr w:rsidR="00600DEE" w14:paraId="07905DAF" w14:textId="77777777">
              <w:trPr>
                <w:trHeight w:val="197"/>
              </w:trPr>
              <w:tc>
                <w:tcPr>
                  <w:tcW w:w="1403" w:type="dxa"/>
                  <w:tcBorders>
                    <w:bottom w:val="single" w:sz="4" w:space="0" w:color="FFFFFF"/>
                  </w:tcBorders>
                  <w:shd w:val="clear" w:color="auto" w:fill="A6A6A6"/>
                  <w:vAlign w:val="center"/>
                </w:tcPr>
                <w:p w14:paraId="00ADB1F2" w14:textId="77777777" w:rsidR="00600DEE" w:rsidRDefault="00641FB5">
                  <w:pPr>
                    <w:pBdr>
                      <w:top w:val="nil"/>
                      <w:left w:val="nil"/>
                      <w:bottom w:val="nil"/>
                      <w:right w:val="nil"/>
                      <w:between w:val="nil"/>
                    </w:pBdr>
                    <w:spacing w:line="264" w:lineRule="auto"/>
                    <w:jc w:val="center"/>
                    <w:rPr>
                      <w:rFonts w:ascii="Calibri" w:eastAsia="Calibri" w:hAnsi="Calibri" w:cs="Calibri"/>
                      <w:b/>
                      <w:color w:val="FFFFFF"/>
                      <w:sz w:val="20"/>
                      <w:szCs w:val="20"/>
                    </w:rPr>
                  </w:pPr>
                  <w:r>
                    <w:rPr>
                      <w:rFonts w:ascii="Calibri" w:eastAsia="Calibri" w:hAnsi="Calibri" w:cs="Calibri"/>
                      <w:b/>
                      <w:color w:val="FFFFFF"/>
                      <w:sz w:val="20"/>
                      <w:szCs w:val="20"/>
                    </w:rPr>
                    <w:t>Field</w:t>
                  </w:r>
                </w:p>
              </w:tc>
              <w:tc>
                <w:tcPr>
                  <w:tcW w:w="1688" w:type="dxa"/>
                  <w:tcBorders>
                    <w:bottom w:val="single" w:sz="4" w:space="0" w:color="FFFFFF"/>
                  </w:tcBorders>
                  <w:shd w:val="clear" w:color="auto" w:fill="A6A6A6"/>
                  <w:vAlign w:val="center"/>
                </w:tcPr>
                <w:p w14:paraId="229052EE" w14:textId="77777777" w:rsidR="00600DEE" w:rsidRDefault="00641FB5">
                  <w:pPr>
                    <w:pBdr>
                      <w:top w:val="nil"/>
                      <w:left w:val="nil"/>
                      <w:bottom w:val="nil"/>
                      <w:right w:val="nil"/>
                      <w:between w:val="nil"/>
                    </w:pBdr>
                    <w:spacing w:line="264" w:lineRule="auto"/>
                    <w:jc w:val="center"/>
                    <w:rPr>
                      <w:rFonts w:ascii="Calibri" w:eastAsia="Calibri" w:hAnsi="Calibri" w:cs="Calibri"/>
                      <w:b/>
                      <w:color w:val="FFFFFF"/>
                      <w:sz w:val="20"/>
                      <w:szCs w:val="20"/>
                    </w:rPr>
                  </w:pPr>
                  <w:r>
                    <w:rPr>
                      <w:rFonts w:ascii="Calibri" w:eastAsia="Calibri" w:hAnsi="Calibri" w:cs="Calibri"/>
                      <w:b/>
                      <w:color w:val="FFFFFF"/>
                      <w:sz w:val="20"/>
                      <w:szCs w:val="20"/>
                    </w:rPr>
                    <w:t>Data format</w:t>
                  </w:r>
                </w:p>
              </w:tc>
              <w:tc>
                <w:tcPr>
                  <w:tcW w:w="3848" w:type="dxa"/>
                  <w:tcBorders>
                    <w:bottom w:val="single" w:sz="4" w:space="0" w:color="FFFFFF"/>
                  </w:tcBorders>
                  <w:shd w:val="clear" w:color="auto" w:fill="A6A6A6"/>
                  <w:vAlign w:val="center"/>
                </w:tcPr>
                <w:p w14:paraId="15CA28EA" w14:textId="77777777" w:rsidR="00600DEE" w:rsidRDefault="00641FB5">
                  <w:pPr>
                    <w:pBdr>
                      <w:top w:val="nil"/>
                      <w:left w:val="nil"/>
                      <w:bottom w:val="nil"/>
                      <w:right w:val="nil"/>
                      <w:between w:val="nil"/>
                    </w:pBdr>
                    <w:spacing w:line="264" w:lineRule="auto"/>
                    <w:jc w:val="center"/>
                    <w:rPr>
                      <w:rFonts w:ascii="Calibri" w:eastAsia="Calibri" w:hAnsi="Calibri" w:cs="Calibri"/>
                      <w:b/>
                      <w:color w:val="FFFFFF"/>
                      <w:sz w:val="20"/>
                      <w:szCs w:val="20"/>
                    </w:rPr>
                  </w:pPr>
                  <w:r>
                    <w:rPr>
                      <w:rFonts w:ascii="Calibri" w:eastAsia="Calibri" w:hAnsi="Calibri" w:cs="Calibri"/>
                      <w:b/>
                      <w:color w:val="FFFFFF"/>
                      <w:sz w:val="20"/>
                      <w:szCs w:val="20"/>
                    </w:rPr>
                    <w:t>Data values range</w:t>
                  </w:r>
                </w:p>
              </w:tc>
            </w:tr>
            <w:tr w:rsidR="00600DEE" w:rsidRPr="007463B9" w14:paraId="3A9B270D" w14:textId="77777777" w:rsidTr="0065009A">
              <w:trPr>
                <w:trHeight w:val="680"/>
              </w:trPr>
              <w:tc>
                <w:tcPr>
                  <w:tcW w:w="1403" w:type="dxa"/>
                  <w:tcBorders>
                    <w:top w:val="single" w:sz="4" w:space="0" w:color="FFFFFF"/>
                  </w:tcBorders>
                  <w:shd w:val="clear" w:color="auto" w:fill="DBE5F1"/>
                </w:tcPr>
                <w:p w14:paraId="4866B50A"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Consequence</w:t>
                  </w:r>
                </w:p>
              </w:tc>
              <w:tc>
                <w:tcPr>
                  <w:tcW w:w="1688" w:type="dxa"/>
                  <w:tcBorders>
                    <w:top w:val="single" w:sz="4" w:space="0" w:color="FFFFFF"/>
                  </w:tcBorders>
                  <w:shd w:val="clear" w:color="auto" w:fill="DBE5F1"/>
                </w:tcPr>
                <w:p w14:paraId="273C1424"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&lt;choose between options&gt;</w:t>
                  </w:r>
                </w:p>
              </w:tc>
              <w:tc>
                <w:tcPr>
                  <w:tcW w:w="3848" w:type="dxa"/>
                  <w:tcBorders>
                    <w:top w:val="single" w:sz="4" w:space="0" w:color="FFFFFF"/>
                  </w:tcBorders>
                  <w:shd w:val="clear" w:color="auto" w:fill="DBE5F1"/>
                </w:tcPr>
                <w:p w14:paraId="46DD8098"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Cost increase/Benefit reduction/ Delay in project implementation/ Funding and financial sustainability</w:t>
                  </w:r>
                </w:p>
              </w:tc>
            </w:tr>
            <w:tr w:rsidR="00600DEE" w:rsidRPr="007463B9" w14:paraId="06ED8257" w14:textId="77777777" w:rsidTr="0065009A">
              <w:trPr>
                <w:trHeight w:val="794"/>
              </w:trPr>
              <w:tc>
                <w:tcPr>
                  <w:tcW w:w="1403" w:type="dxa"/>
                  <w:shd w:val="clear" w:color="auto" w:fill="DBE5F1"/>
                </w:tcPr>
                <w:p w14:paraId="6D3603C6"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Risk owner</w:t>
                  </w:r>
                </w:p>
              </w:tc>
              <w:tc>
                <w:tcPr>
                  <w:tcW w:w="1688" w:type="dxa"/>
                  <w:shd w:val="clear" w:color="auto" w:fill="DBE5F1"/>
                </w:tcPr>
                <w:p w14:paraId="4C3BABE7"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&lt;choose between options&gt;</w:t>
                  </w:r>
                </w:p>
              </w:tc>
              <w:tc>
                <w:tcPr>
                  <w:tcW w:w="3848" w:type="dxa"/>
                  <w:shd w:val="clear" w:color="auto" w:fill="DBE5F1"/>
                </w:tcPr>
                <w:p w14:paraId="283EA931"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Beneficiary / Managing Authority / Line Ministry / Contractor / other</w:t>
                  </w:r>
                </w:p>
              </w:tc>
            </w:tr>
            <w:tr w:rsidR="00600DEE" w14:paraId="0BA89468" w14:textId="77777777" w:rsidTr="0065009A">
              <w:trPr>
                <w:trHeight w:val="794"/>
              </w:trPr>
              <w:tc>
                <w:tcPr>
                  <w:tcW w:w="1403" w:type="dxa"/>
                  <w:shd w:val="clear" w:color="auto" w:fill="DBE5F1"/>
                </w:tcPr>
                <w:p w14:paraId="60ADE64C" w14:textId="77777777" w:rsidR="00600DEE" w:rsidRPr="0045151D" w:rsidRDefault="00641FB5">
                  <w:pPr>
                    <w:pBdr>
                      <w:top w:val="nil"/>
                      <w:left w:val="nil"/>
                      <w:bottom w:val="nil"/>
                      <w:right w:val="nil"/>
                      <w:between w:val="nil"/>
                    </w:pBd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Project stage in which risk occurs</w:t>
                  </w:r>
                </w:p>
              </w:tc>
              <w:tc>
                <w:tcPr>
                  <w:tcW w:w="1688" w:type="dxa"/>
                  <w:shd w:val="clear" w:color="auto" w:fill="DBE5F1"/>
                </w:tcPr>
                <w:p w14:paraId="0A68CF46"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&lt;3 * yes/no&gt;</w:t>
                  </w:r>
                </w:p>
              </w:tc>
              <w:tc>
                <w:tcPr>
                  <w:tcW w:w="3848" w:type="dxa"/>
                  <w:shd w:val="clear" w:color="auto" w:fill="DBE5F1"/>
                </w:tcPr>
                <w:p w14:paraId="71E465DA"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Preparation stage (yes/no) </w:t>
                  </w:r>
                </w:p>
                <w:p w14:paraId="62244997"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Implementation stage (yes/no) </w:t>
                  </w:r>
                </w:p>
                <w:p w14:paraId="25280730"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Operational stage (yes/no)</w:t>
                  </w:r>
                </w:p>
              </w:tc>
            </w:tr>
            <w:tr w:rsidR="00600DEE" w:rsidRPr="007463B9" w14:paraId="68188770" w14:textId="77777777" w:rsidTr="0065009A">
              <w:trPr>
                <w:trHeight w:val="567"/>
              </w:trPr>
              <w:tc>
                <w:tcPr>
                  <w:tcW w:w="1403" w:type="dxa"/>
                  <w:shd w:val="clear" w:color="auto" w:fill="DBE5F1"/>
                </w:tcPr>
                <w:p w14:paraId="5D5216B2"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Probability</w:t>
                  </w:r>
                </w:p>
              </w:tc>
              <w:tc>
                <w:tcPr>
                  <w:tcW w:w="1688" w:type="dxa"/>
                  <w:shd w:val="clear" w:color="auto" w:fill="DBE5F1"/>
                </w:tcPr>
                <w:p w14:paraId="313D9E5B"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&lt;letter A-E&gt;</w:t>
                  </w:r>
                </w:p>
              </w:tc>
              <w:tc>
                <w:tcPr>
                  <w:tcW w:w="3848" w:type="dxa"/>
                  <w:shd w:val="clear" w:color="auto" w:fill="DBE5F1"/>
                </w:tcPr>
                <w:p w14:paraId="23F0CDEB"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 to E.  See table defining the scale.</w:t>
                  </w:r>
                </w:p>
              </w:tc>
            </w:tr>
            <w:tr w:rsidR="00600DEE" w:rsidRPr="007463B9" w14:paraId="7879BE34" w14:textId="77777777" w:rsidTr="00BB4617">
              <w:trPr>
                <w:trHeight w:val="510"/>
              </w:trPr>
              <w:tc>
                <w:tcPr>
                  <w:tcW w:w="1403" w:type="dxa"/>
                  <w:shd w:val="clear" w:color="auto" w:fill="DBE5F1"/>
                </w:tcPr>
                <w:p w14:paraId="1010B014"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Severity</w:t>
                  </w:r>
                </w:p>
              </w:tc>
              <w:tc>
                <w:tcPr>
                  <w:tcW w:w="1688" w:type="dxa"/>
                  <w:shd w:val="clear" w:color="auto" w:fill="DBE5F1"/>
                </w:tcPr>
                <w:p w14:paraId="6B3FA151"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&lt;number I-V&gt;</w:t>
                  </w:r>
                </w:p>
              </w:tc>
              <w:tc>
                <w:tcPr>
                  <w:tcW w:w="3848" w:type="dxa"/>
                  <w:shd w:val="clear" w:color="auto" w:fill="DBE5F1"/>
                </w:tcPr>
                <w:p w14:paraId="031C8728"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See table defining the scale.</w:t>
                  </w:r>
                </w:p>
              </w:tc>
            </w:tr>
            <w:tr w:rsidR="00600DEE" w:rsidRPr="007463B9" w14:paraId="32B47EB4" w14:textId="77777777" w:rsidTr="00BB4617">
              <w:trPr>
                <w:trHeight w:val="680"/>
              </w:trPr>
              <w:tc>
                <w:tcPr>
                  <w:tcW w:w="1403" w:type="dxa"/>
                  <w:shd w:val="clear" w:color="auto" w:fill="DBE5F1"/>
                </w:tcPr>
                <w:p w14:paraId="7182C554"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Risk level</w:t>
                  </w:r>
                </w:p>
              </w:tc>
              <w:tc>
                <w:tcPr>
                  <w:tcW w:w="1688" w:type="dxa"/>
                  <w:shd w:val="clear" w:color="auto" w:fill="DBE5F1"/>
                </w:tcPr>
                <w:p w14:paraId="40D922C6"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&lt;choose between options&gt;</w:t>
                  </w:r>
                </w:p>
              </w:tc>
              <w:tc>
                <w:tcPr>
                  <w:tcW w:w="3848" w:type="dxa"/>
                  <w:shd w:val="clear" w:color="auto" w:fill="DBE5F1"/>
                </w:tcPr>
                <w:p w14:paraId="6517D820"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Product of probability and severity</w:t>
                  </w:r>
                </w:p>
                <w:p w14:paraId="5ECB276E"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Low/ Moderate/ High/ Very High</w:t>
                  </w:r>
                </w:p>
              </w:tc>
            </w:tr>
            <w:tr w:rsidR="00600DEE" w14:paraId="240C62BB" w14:textId="77777777" w:rsidTr="00BB4617">
              <w:trPr>
                <w:trHeight w:val="680"/>
              </w:trPr>
              <w:tc>
                <w:tcPr>
                  <w:tcW w:w="1403" w:type="dxa"/>
                  <w:shd w:val="clear" w:color="auto" w:fill="DBE5F1"/>
                </w:tcPr>
                <w:p w14:paraId="516D8DC4"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Response strategy</w:t>
                  </w:r>
                </w:p>
              </w:tc>
              <w:tc>
                <w:tcPr>
                  <w:tcW w:w="1688" w:type="dxa"/>
                  <w:shd w:val="clear" w:color="auto" w:fill="DBE5F1"/>
                </w:tcPr>
                <w:p w14:paraId="72E471E4"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&lt;choose between options&gt;</w:t>
                  </w:r>
                </w:p>
              </w:tc>
              <w:tc>
                <w:tcPr>
                  <w:tcW w:w="3848" w:type="dxa"/>
                  <w:shd w:val="clear" w:color="auto" w:fill="DBE5F1"/>
                </w:tcPr>
                <w:p w14:paraId="40F221ED"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Prevent/ Mitigate/ Transfer/ Tolerate</w:t>
                  </w:r>
                </w:p>
              </w:tc>
            </w:tr>
            <w:tr w:rsidR="00600DEE" w14:paraId="0E589B04" w14:textId="77777777" w:rsidTr="00BB4617">
              <w:trPr>
                <w:trHeight w:val="567"/>
              </w:trPr>
              <w:tc>
                <w:tcPr>
                  <w:tcW w:w="1403" w:type="dxa"/>
                  <w:shd w:val="clear" w:color="auto" w:fill="DBE5F1"/>
                </w:tcPr>
                <w:p w14:paraId="0A346D6A"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Mitigation measure</w:t>
                  </w:r>
                </w:p>
              </w:tc>
              <w:tc>
                <w:tcPr>
                  <w:tcW w:w="1688" w:type="dxa"/>
                  <w:shd w:val="clear" w:color="auto" w:fill="DBE5F1"/>
                </w:tcPr>
                <w:p w14:paraId="185627F1"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&lt;text&gt;</w:t>
                  </w:r>
                </w:p>
              </w:tc>
              <w:tc>
                <w:tcPr>
                  <w:tcW w:w="3848" w:type="dxa"/>
                  <w:shd w:val="clear" w:color="auto" w:fill="DBE5F1"/>
                </w:tcPr>
                <w:p w14:paraId="3C471760"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Verbal description</w:t>
                  </w:r>
                </w:p>
              </w:tc>
            </w:tr>
            <w:tr w:rsidR="00600DEE" w:rsidRPr="007463B9" w14:paraId="19BAB036" w14:textId="77777777" w:rsidTr="00BB4617">
              <w:trPr>
                <w:trHeight w:val="907"/>
              </w:trPr>
              <w:tc>
                <w:tcPr>
                  <w:tcW w:w="1403" w:type="dxa"/>
                  <w:shd w:val="clear" w:color="auto" w:fill="DBE5F1"/>
                </w:tcPr>
                <w:p w14:paraId="783F9375" w14:textId="77777777" w:rsidR="00600DEE" w:rsidRDefault="00641FB5">
                  <w:pPr>
                    <w:pBdr>
                      <w:top w:val="nil"/>
                      <w:left w:val="nil"/>
                      <w:bottom w:val="nil"/>
                      <w:right w:val="nil"/>
                      <w:between w:val="nil"/>
                    </w:pBdr>
                    <w:rPr>
                      <w:rFonts w:ascii="Calibri" w:eastAsia="Calibri" w:hAnsi="Calibri" w:cs="Calibri"/>
                      <w:b/>
                      <w:color w:val="4F81BD"/>
                      <w:sz w:val="18"/>
                      <w:szCs w:val="18"/>
                    </w:rPr>
                  </w:pPr>
                  <w:r>
                    <w:rPr>
                      <w:rFonts w:ascii="Calibri" w:eastAsia="Calibri" w:hAnsi="Calibri" w:cs="Calibri"/>
                      <w:b/>
                      <w:color w:val="4F81BD"/>
                      <w:sz w:val="18"/>
                      <w:szCs w:val="18"/>
                    </w:rPr>
                    <w:t>Mitigation measure owner</w:t>
                  </w:r>
                </w:p>
              </w:tc>
              <w:tc>
                <w:tcPr>
                  <w:tcW w:w="1688" w:type="dxa"/>
                  <w:shd w:val="clear" w:color="auto" w:fill="DBE5F1"/>
                </w:tcPr>
                <w:p w14:paraId="3A08F9BF" w14:textId="77777777" w:rsidR="00600DEE" w:rsidRDefault="00641FB5">
                  <w:pPr>
                    <w:pBdr>
                      <w:top w:val="nil"/>
                      <w:left w:val="nil"/>
                      <w:bottom w:val="nil"/>
                      <w:right w:val="nil"/>
                      <w:between w:val="nil"/>
                    </w:pBdr>
                    <w:rPr>
                      <w:rFonts w:ascii="Calibri" w:eastAsia="Calibri" w:hAnsi="Calibri" w:cs="Calibri"/>
                      <w:color w:val="4F81BD"/>
                      <w:sz w:val="18"/>
                      <w:szCs w:val="18"/>
                    </w:rPr>
                  </w:pPr>
                  <w:r>
                    <w:rPr>
                      <w:rFonts w:ascii="Calibri" w:eastAsia="Calibri" w:hAnsi="Calibri" w:cs="Calibri"/>
                      <w:color w:val="4F81BD"/>
                      <w:sz w:val="18"/>
                      <w:szCs w:val="18"/>
                    </w:rPr>
                    <w:t>&lt;choose between option&gt;</w:t>
                  </w:r>
                </w:p>
              </w:tc>
              <w:tc>
                <w:tcPr>
                  <w:tcW w:w="3848" w:type="dxa"/>
                  <w:shd w:val="clear" w:color="auto" w:fill="DBE5F1"/>
                </w:tcPr>
                <w:p w14:paraId="0561F32D" w14:textId="77777777" w:rsidR="00600DEE" w:rsidRPr="0045151D" w:rsidRDefault="00641FB5">
                  <w:pPr>
                    <w:pBdr>
                      <w:top w:val="nil"/>
                      <w:left w:val="nil"/>
                      <w:bottom w:val="nil"/>
                      <w:right w:val="nil"/>
                      <w:between w:val="nil"/>
                    </w:pBd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Beneficiary/ MA/ Line Ministry/ Contractor/other</w:t>
                  </w:r>
                </w:p>
              </w:tc>
            </w:tr>
          </w:tbl>
          <w:p w14:paraId="2A06B73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analysis above should be accompanied by a description on the risk matrix concerning, in particular, outstanding risks after preventive and mitigating measures.</w:t>
            </w:r>
          </w:p>
          <w:p w14:paraId="5EAEE01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In the above table the project phase and category of risk are separated, because risks may occur in different phases in a different configuration. </w:t>
            </w:r>
          </w:p>
          <w:p w14:paraId="75D8A866"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Risk owner may not be the same entity as the Mitigation measure owner.</w:t>
            </w:r>
          </w:p>
          <w:p w14:paraId="13C15887"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44873317" w14:textId="1883E3BE" w:rsidR="00600DEE" w:rsidRPr="0045151D" w:rsidRDefault="00641FB5" w:rsidP="00D5736B">
      <w:pPr>
        <w:pStyle w:val="Nagwek1"/>
        <w:numPr>
          <w:ilvl w:val="0"/>
          <w:numId w:val="17"/>
        </w:numPr>
        <w:ind w:left="709" w:hanging="709"/>
        <w:rPr>
          <w:rFonts w:ascii="Calibri" w:eastAsia="Calibri" w:hAnsi="Calibri" w:cs="Calibri"/>
          <w:color w:val="0070C0"/>
          <w:lang w:val="pl-PL"/>
        </w:rPr>
      </w:pPr>
      <w:bookmarkStart w:id="118" w:name="_Toc95378011"/>
      <w:r w:rsidRPr="0045151D">
        <w:rPr>
          <w:rFonts w:ascii="Calibri" w:eastAsia="Calibri" w:hAnsi="Calibri" w:cs="Calibri"/>
          <w:color w:val="0070C0"/>
          <w:lang w:val="pl-PL"/>
        </w:rPr>
        <w:t>Wpływ na zatrudnienie</w:t>
      </w:r>
      <w:r w:rsidRPr="0045151D">
        <w:rPr>
          <w:rFonts w:ascii="Calibri" w:eastAsia="Calibri" w:hAnsi="Calibri" w:cs="Calibri"/>
          <w:color w:val="0070C0"/>
          <w:lang w:val="pl-PL"/>
        </w:rPr>
        <w:br/>
      </w:r>
      <w:r w:rsidRPr="0045151D">
        <w:rPr>
          <w:rFonts w:ascii="Calibri" w:eastAsia="Calibri" w:hAnsi="Calibri" w:cs="Calibri"/>
          <w:i/>
          <w:color w:val="0070C0"/>
          <w:lang w:val="pl-PL"/>
        </w:rPr>
        <w:t>Impact on employment</w:t>
      </w:r>
      <w:bookmarkEnd w:id="118"/>
    </w:p>
    <w:tbl>
      <w:tblPr>
        <w:tblStyle w:val="affffffff5"/>
        <w:tblW w:w="14571" w:type="dxa"/>
        <w:tblLayout w:type="fixed"/>
        <w:tblLook w:val="0400" w:firstRow="0" w:lastRow="0" w:firstColumn="0" w:lastColumn="0" w:noHBand="0" w:noVBand="1"/>
      </w:tblPr>
      <w:tblGrid>
        <w:gridCol w:w="7370"/>
        <w:gridCol w:w="7201"/>
      </w:tblGrid>
      <w:tr w:rsidR="00600DEE" w:rsidRPr="007463B9" w14:paraId="498A2C53" w14:textId="77777777">
        <w:tc>
          <w:tcPr>
            <w:tcW w:w="7370" w:type="dxa"/>
            <w:tcBorders>
              <w:right w:val="single" w:sz="4" w:space="0" w:color="000000"/>
            </w:tcBorders>
            <w:tcMar>
              <w:left w:w="284" w:type="dxa"/>
              <w:right w:w="284" w:type="dxa"/>
            </w:tcMar>
          </w:tcPr>
          <w:p w14:paraId="11BFC5B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tym punkcie jest mowa o tym, jak należy podać informacje o liczbie nowych miejsc pracy, które powstaną dzięki projektowi w trakcie jego realizacji, a także o liczbie miejsc pracy, które mogą powstać (lub zostać zlikwidowane) na etapie eksploatacji. W projektach infrastrukturalnych szczególny nacisk kładzie się na czasowe zatrudnienie związane z realizacją projektu, ponieważ budowa infrastruktury wymaga zaangażowania znacznie większej siły roboczej, aniżeli ma to miejsce podczas eksploatacji i utrzymania.</w:t>
            </w:r>
          </w:p>
          <w:p w14:paraId="05108E1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celu uproszczenia analizy dopuszcza się ocenę jedynie bezpośredniego wpływu danego projektu na zatrudnienie, nie analizując kosztów pracy związanych ze sprzętem.</w:t>
            </w:r>
          </w:p>
          <w:p w14:paraId="6728D4C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Warto zwrócić uwagę na fakt, że przedstawiony poniżej sposób obliczenia stworzonych miejsc pracy jest związany wyłącznie z danym projektem. Z uwagi na jego indykatywny charakter nie powinien służyć do kalkulacji zagregowanych ilości miejsc pracy tworzonych w ramach danego programu inwestycyjnego (np. jako skumulowaną liczbę nowych miejsc pracy z poszczególnych projektów drogowych). </w:t>
            </w:r>
          </w:p>
        </w:tc>
        <w:tc>
          <w:tcPr>
            <w:tcW w:w="7201" w:type="dxa"/>
            <w:tcBorders>
              <w:left w:val="single" w:sz="4" w:space="0" w:color="000000"/>
            </w:tcBorders>
            <w:tcMar>
              <w:left w:w="284" w:type="dxa"/>
              <w:right w:w="284" w:type="dxa"/>
            </w:tcMar>
          </w:tcPr>
          <w:p w14:paraId="2479071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This chapter aims at proper presentation of the number of new jobs created by the project during the implementation stage and the number of jobs which may be created (or eliminated) during its operation. In infrastructure projects, special emphasis is put on temporary employment connected with implementation, because the infrastructure construction requires hiring significantly greater workforce than the operation and maintenance.</w:t>
            </w:r>
          </w:p>
          <w:p w14:paraId="52116A1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order to simplify the analysis, it is possible to evaluate only the direct impact of the project on employment without labour costs connected with equipment.</w:t>
            </w:r>
          </w:p>
          <w:p w14:paraId="0120272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It should be emphasised that the approach to calculating the number of new jobs described below concerns only the jobs created by the specific project; therefore, it should not be used to calculate an aggregate number of new jobs in a given investment program (i.e. as the addition of the different number of jobs created by the road projects investments themselves).</w:t>
            </w:r>
          </w:p>
        </w:tc>
      </w:tr>
    </w:tbl>
    <w:p w14:paraId="54D35859" w14:textId="5495835E" w:rsidR="00600DEE" w:rsidRPr="0045151D" w:rsidRDefault="00641FB5" w:rsidP="00D5736B">
      <w:pPr>
        <w:pStyle w:val="Nagwek2"/>
        <w:numPr>
          <w:ilvl w:val="1"/>
          <w:numId w:val="17"/>
        </w:numPr>
        <w:ind w:left="0" w:firstLine="0"/>
        <w:rPr>
          <w:rFonts w:ascii="Calibri" w:eastAsia="Calibri" w:hAnsi="Calibri" w:cs="Calibri"/>
          <w:i/>
          <w:color w:val="4F81BD"/>
          <w:lang w:val="pl-PL"/>
        </w:rPr>
      </w:pPr>
      <w:bookmarkStart w:id="119" w:name="_Toc95378012"/>
      <w:r w:rsidRPr="0045151D">
        <w:rPr>
          <w:rFonts w:ascii="Calibri" w:eastAsia="Calibri" w:hAnsi="Calibri" w:cs="Calibri"/>
          <w:color w:val="4F81BD"/>
          <w:lang w:val="pl-PL"/>
        </w:rPr>
        <w:t>Miejsca pracy utworzone na etapie realizacji</w:t>
      </w:r>
      <w:r w:rsidRPr="0045151D">
        <w:rPr>
          <w:rFonts w:ascii="Calibri" w:eastAsia="Calibri" w:hAnsi="Calibri" w:cs="Calibri"/>
          <w:color w:val="4F81BD"/>
          <w:lang w:val="pl-PL"/>
        </w:rPr>
        <w:tab/>
        <w:t xml:space="preserve">        </w:t>
      </w:r>
      <w:r w:rsidRPr="0045151D">
        <w:rPr>
          <w:rFonts w:ascii="Calibri" w:eastAsia="Calibri" w:hAnsi="Calibri" w:cs="Calibri"/>
          <w:i/>
          <w:color w:val="4F81BD"/>
          <w:lang w:val="pl-PL"/>
        </w:rPr>
        <w:t>5.1   Jobs created during implementation stage</w:t>
      </w:r>
      <w:bookmarkEnd w:id="119"/>
    </w:p>
    <w:tbl>
      <w:tblPr>
        <w:tblStyle w:val="affffffff6"/>
        <w:tblW w:w="14571" w:type="dxa"/>
        <w:tblLayout w:type="fixed"/>
        <w:tblLook w:val="0400" w:firstRow="0" w:lastRow="0" w:firstColumn="0" w:lastColumn="0" w:noHBand="0" w:noVBand="1"/>
      </w:tblPr>
      <w:tblGrid>
        <w:gridCol w:w="7370"/>
        <w:gridCol w:w="7201"/>
      </w:tblGrid>
      <w:tr w:rsidR="00600DEE" w:rsidRPr="007463B9" w14:paraId="5F7ACF6E" w14:textId="77777777">
        <w:tc>
          <w:tcPr>
            <w:tcW w:w="7370" w:type="dxa"/>
            <w:tcBorders>
              <w:right w:val="single" w:sz="4" w:space="0" w:color="000000"/>
            </w:tcBorders>
            <w:tcMar>
              <w:left w:w="284" w:type="dxa"/>
              <w:right w:w="284" w:type="dxa"/>
            </w:tcMar>
          </w:tcPr>
          <w:p w14:paraId="4AF13EB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Informacje o okresowym zatrudnieniu na etapie realizacji zazwyczaj nie są od razu dostępne. Dlatego też opracowano metodykę, która pozwala na sporządzenie szacunku zatrudnienia związanego z realizacją projektu przy zastosowaniu współczynnika średniego udziału kosztów pracy w robotach budowlanych. Dwa kluczowe elementy wspomnianej metodyki to:</w:t>
            </w:r>
          </w:p>
          <w:p w14:paraId="24002ABB"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udział składnika pracy w kosztach projektu,</w:t>
            </w:r>
          </w:p>
          <w:p w14:paraId="35741483"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średni roczny koszt pracy pracownika.</w:t>
            </w:r>
          </w:p>
          <w:p w14:paraId="4143B17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Koszty projektu obejmują prace budowlane, koszty sprzętu, projektowania, nadzoru, szkoleń i pomocy technicznej.  Te koszty należy wyrazić w stałych cenach; mogą one obejmować rezerwy na nieprzewidziane okoliczności natury technicznej, jednak z wykluczeniem nieprzewidzianych okoliczności związanych z cenami i podatkami.</w:t>
            </w:r>
          </w:p>
          <w:p w14:paraId="5CFD08B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Średni udział kosztów pracy w łącznych kosztach projektu netto dla danego projektu drogowego wynosi 25%. </w:t>
            </w:r>
          </w:p>
          <w:p w14:paraId="7243209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Średni roczny koszt pracy jednego pracownika obejmuje roczne wynagrodzenie brutto pracowników w sektorze budowlanym i produkcyjnym, ale również inne, pośrednie koszty ponoszone przez pracodawcę, takie jak składki na ubezpieczenie społeczne, koszty szkoleń, koszty przejazdów itp., pomniejszone o ewentualne otrzymane dotacje. Informacje o wysokości wynagrodzenia brutto w sektorze przedsiębiorstw (w ujęciu miesięcznym lub kwartalnym) można uzyskać z Głównego Urzędu Statystycznego. Kwotę tę należy następnie powiększyć o obowiązkowe narzuty płacone przez pracodawcę (średnio 21%). W dalszej kolejności powinno się uwzględnić koszty związane z pracą, których nie ujęto w wynagrodzeniu. Wartość tę szacuje się na 25% kosztów projektu – obliczonych wcześniej.</w:t>
            </w:r>
          </w:p>
          <w:p w14:paraId="1445A30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Czasowe zatrudnienie w osobolatach oblicza się dwuetapowo:</w:t>
            </w:r>
          </w:p>
          <w:p w14:paraId="4E8C5F05" w14:textId="77777777" w:rsidR="00600DEE" w:rsidRDefault="00641FB5" w:rsidP="00D5736B">
            <w:pPr>
              <w:numPr>
                <w:ilvl w:val="0"/>
                <w:numId w:val="60"/>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obliczenie wartości składnika pracy w łącznych kosztach projektu – koszty projektu przemnożone przez średni udział kosztów pracy (równy 25%);</w:t>
            </w:r>
          </w:p>
          <w:p w14:paraId="7A2618FB" w14:textId="77777777" w:rsidR="00600DEE" w:rsidRDefault="00641FB5" w:rsidP="00D5736B">
            <w:pPr>
              <w:numPr>
                <w:ilvl w:val="0"/>
                <w:numId w:val="60"/>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podzielenie wartości składnika pracy przez średni roczny koszt pracy przypadający na jednego pracownika.</w:t>
            </w:r>
          </w:p>
          <w:p w14:paraId="2299510B"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Obliczenia należy przeprowadzić w następujący sposób:</w:t>
            </w:r>
          </w:p>
          <w:p w14:paraId="6EC6D036" w14:textId="77777777" w:rsidR="00600DEE" w:rsidRDefault="00641FB5">
            <w:pPr>
              <w:pBdr>
                <w:top w:val="nil"/>
                <w:left w:val="nil"/>
                <w:bottom w:val="nil"/>
                <w:right w:val="nil"/>
                <w:between w:val="nil"/>
              </w:pBdr>
              <w:spacing w:before="120"/>
              <w:jc w:val="center"/>
              <w:rPr>
                <w:rFonts w:ascii="Calibri" w:eastAsia="Calibri" w:hAnsi="Calibri" w:cs="Calibri"/>
                <w:color w:val="000000"/>
                <w:sz w:val="20"/>
                <w:szCs w:val="20"/>
              </w:rPr>
            </w:pPr>
            <w:r>
              <w:rPr>
                <w:rFonts w:ascii="Calibri" w:eastAsia="Calibri" w:hAnsi="Calibri" w:cs="Calibri"/>
                <w:color w:val="000000"/>
                <w:sz w:val="20"/>
                <w:szCs w:val="20"/>
              </w:rPr>
              <w:object w:dxaOrig="2123" w:dyaOrig="758" w14:anchorId="48EF1F97">
                <v:shape id="_x0000_i1039" type="#_x0000_t75" style="width:105.65pt;height:38.35pt" o:ole="" filled="t">
                  <v:fill color2="black"/>
                  <v:imagedata r:id="rId138" o:title=""/>
                </v:shape>
                <o:OLEObject Type="Embed" ProgID="Equation.3" ShapeID="_x0000_i1039" DrawAspect="Content" ObjectID="_1747568786" r:id="rId139"/>
              </w:object>
            </w:r>
          </w:p>
          <w:p w14:paraId="5C2E90D1"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gdzie: </w:t>
            </w:r>
          </w:p>
          <w:p w14:paraId="01767CAB"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N</w:t>
            </w:r>
            <w:r>
              <w:rPr>
                <w:rFonts w:ascii="Calibri" w:eastAsia="Calibri" w:hAnsi="Calibri" w:cs="Calibri"/>
                <w:color w:val="000000"/>
                <w:sz w:val="20"/>
                <w:szCs w:val="20"/>
                <w:vertAlign w:val="subscript"/>
              </w:rPr>
              <w:t>TE</w:t>
            </w:r>
            <w:r>
              <w:rPr>
                <w:rFonts w:ascii="Calibri" w:eastAsia="Calibri" w:hAnsi="Calibri" w:cs="Calibri"/>
                <w:color w:val="000000"/>
                <w:sz w:val="20"/>
                <w:szCs w:val="20"/>
              </w:rPr>
              <w:t xml:space="preserve"> </w:t>
            </w:r>
            <w:r>
              <w:rPr>
                <w:rFonts w:ascii="Calibri" w:eastAsia="Calibri" w:hAnsi="Calibri" w:cs="Calibri"/>
                <w:color w:val="333399"/>
                <w:sz w:val="20"/>
                <w:szCs w:val="20"/>
              </w:rPr>
              <w:t>–</w:t>
            </w:r>
            <w:r>
              <w:rPr>
                <w:rFonts w:ascii="Calibri" w:eastAsia="Calibri" w:hAnsi="Calibri" w:cs="Calibri"/>
                <w:color w:val="000000"/>
                <w:sz w:val="20"/>
                <w:szCs w:val="20"/>
              </w:rPr>
              <w:t xml:space="preserve"> liczba pracowników zatrudnionych na etapie realizacji projektu </w:t>
            </w:r>
          </w:p>
          <w:p w14:paraId="39995E5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CAPEX </w:t>
            </w:r>
            <w:r>
              <w:rPr>
                <w:rFonts w:ascii="Calibri" w:eastAsia="Calibri" w:hAnsi="Calibri" w:cs="Calibri"/>
                <w:color w:val="333399"/>
                <w:sz w:val="20"/>
                <w:szCs w:val="20"/>
              </w:rPr>
              <w:t>–</w:t>
            </w:r>
            <w:r>
              <w:rPr>
                <w:rFonts w:ascii="Calibri" w:eastAsia="Calibri" w:hAnsi="Calibri" w:cs="Calibri"/>
                <w:color w:val="000000"/>
                <w:sz w:val="20"/>
                <w:szCs w:val="20"/>
              </w:rPr>
              <w:t xml:space="preserve">  całkowite koszty inwestycyjne projektu</w:t>
            </w:r>
          </w:p>
          <w:p w14:paraId="4BC4647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L</w:t>
            </w:r>
            <w:r>
              <w:rPr>
                <w:rFonts w:ascii="Calibri" w:eastAsia="Calibri" w:hAnsi="Calibri" w:cs="Calibri"/>
                <w:color w:val="000000"/>
                <w:sz w:val="20"/>
                <w:szCs w:val="20"/>
                <w:vertAlign w:val="subscript"/>
              </w:rPr>
              <w:t>E</w:t>
            </w:r>
            <w:r>
              <w:rPr>
                <w:rFonts w:ascii="Calibri" w:eastAsia="Calibri" w:hAnsi="Calibri" w:cs="Calibri"/>
                <w:color w:val="000000"/>
                <w:sz w:val="20"/>
                <w:szCs w:val="20"/>
              </w:rPr>
              <w:t xml:space="preserve">  </w:t>
            </w:r>
            <w:r>
              <w:rPr>
                <w:rFonts w:ascii="Calibri" w:eastAsia="Calibri" w:hAnsi="Calibri" w:cs="Calibri"/>
                <w:color w:val="333399"/>
                <w:sz w:val="20"/>
                <w:szCs w:val="20"/>
              </w:rPr>
              <w:t>–</w:t>
            </w:r>
            <w:r>
              <w:rPr>
                <w:rFonts w:ascii="Calibri" w:eastAsia="Calibri" w:hAnsi="Calibri" w:cs="Calibri"/>
                <w:color w:val="000000"/>
                <w:sz w:val="20"/>
                <w:szCs w:val="20"/>
              </w:rPr>
              <w:t xml:space="preserve">  średni koszt pracy pracownika w sektorze budowlanym </w:t>
            </w:r>
          </w:p>
        </w:tc>
        <w:tc>
          <w:tcPr>
            <w:tcW w:w="7201" w:type="dxa"/>
            <w:tcBorders>
              <w:left w:val="single" w:sz="4" w:space="0" w:color="000000"/>
            </w:tcBorders>
            <w:tcMar>
              <w:left w:w="284" w:type="dxa"/>
              <w:right w:w="284" w:type="dxa"/>
            </w:tcMar>
          </w:tcPr>
          <w:p w14:paraId="484E945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sidRPr="0045151D">
              <w:rPr>
                <w:rFonts w:ascii="Calibri" w:eastAsia="Calibri" w:hAnsi="Calibri" w:cs="Calibri"/>
                <w:color w:val="000000"/>
                <w:sz w:val="20"/>
                <w:szCs w:val="20"/>
                <w:lang w:val="en-GB"/>
              </w:rPr>
              <w:t xml:space="preserve">Information about temporary employment on the implementation stage is not usually available. Therefore, a methodology that allows estimating the employment connected with project implementation using average share of labour costs coefficient in construction works has been elaborated. </w:t>
            </w:r>
            <w:r>
              <w:rPr>
                <w:rFonts w:ascii="Calibri" w:eastAsia="Calibri" w:hAnsi="Calibri" w:cs="Calibri"/>
                <w:color w:val="000000"/>
                <w:sz w:val="20"/>
                <w:szCs w:val="20"/>
              </w:rPr>
              <w:t>Two key elements of the mentioned methodology are:</w:t>
            </w:r>
          </w:p>
          <w:p w14:paraId="099D1A5C" w14:textId="77777777" w:rsidR="00600DEE" w:rsidRPr="0045151D" w:rsidRDefault="00641FB5" w:rsidP="00D5736B">
            <w:pPr>
              <w:numPr>
                <w:ilvl w:val="0"/>
                <w:numId w:val="31"/>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share of labour cost component in project costs,</w:t>
            </w:r>
          </w:p>
          <w:p w14:paraId="6B08E59B" w14:textId="77777777" w:rsidR="00600DEE" w:rsidRDefault="00641FB5" w:rsidP="00D5736B">
            <w:pPr>
              <w:numPr>
                <w:ilvl w:val="0"/>
                <w:numId w:val="31"/>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average annual labour cost.</w:t>
            </w:r>
          </w:p>
          <w:p w14:paraId="4F5D4F4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Project costs include, normally, construction works costs, equipment costs, costs of design, supervision, training, and technical assistance. Total project costs shall be specified in constant prices; they may also cover reserves for unforeseen technical circumstances, but exclude price contingencies and taxes.</w:t>
            </w:r>
          </w:p>
          <w:p w14:paraId="49B6A32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Average share of labour costs in total net project costs for a given project equals to 25%. </w:t>
            </w:r>
          </w:p>
          <w:p w14:paraId="7E9E7CB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Average annual labour cost for one employee includes annual gross salary in construction and production sector, but also other indirect costs incurred by the employer, such as social insurance, training costs, travel costs, etc. diminished by possible subsidies. Information about gross salary in private sector (in monthly or quarterly depiction) may be obtained from Main Statistical Office (GUS). Then, the amount shall be increased by the mandatory surcharges paid by the employer (average 21%). Then the costs connected with work that were not included in the salary should be taken into account. That value is estimated at 25% of project works costs calculated earlier.</w:t>
            </w:r>
          </w:p>
          <w:p w14:paraId="2122648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Temporary employment in person years is calculated in two stages:</w:t>
            </w:r>
          </w:p>
          <w:p w14:paraId="3F764004" w14:textId="77777777" w:rsidR="00600DEE" w:rsidRPr="0045151D" w:rsidRDefault="00641FB5" w:rsidP="00D5736B">
            <w:pPr>
              <w:numPr>
                <w:ilvl w:val="1"/>
                <w:numId w:val="33"/>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calculation of value of labour cost component in total project costs - project costs multiplied by average share of labour costs (estimated at 25%);</w:t>
            </w:r>
          </w:p>
          <w:p w14:paraId="3682B82A" w14:textId="77777777" w:rsidR="00600DEE" w:rsidRPr="0045151D" w:rsidRDefault="00641FB5" w:rsidP="00D5736B">
            <w:pPr>
              <w:numPr>
                <w:ilvl w:val="1"/>
                <w:numId w:val="33"/>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division of labour component value by average annual labour cost per one employee.</w:t>
            </w:r>
          </w:p>
          <w:p w14:paraId="4FDFED8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Calculation should be performed as follows:</w:t>
            </w:r>
          </w:p>
          <w:p w14:paraId="5CA794A7" w14:textId="77777777" w:rsidR="00600DEE" w:rsidRDefault="00641FB5">
            <w:pPr>
              <w:pBdr>
                <w:top w:val="nil"/>
                <w:left w:val="nil"/>
                <w:bottom w:val="nil"/>
                <w:right w:val="nil"/>
                <w:between w:val="nil"/>
              </w:pBdr>
              <w:spacing w:before="120"/>
              <w:jc w:val="center"/>
              <w:rPr>
                <w:rFonts w:ascii="Calibri" w:eastAsia="Calibri" w:hAnsi="Calibri" w:cs="Calibri"/>
                <w:color w:val="000000"/>
                <w:sz w:val="20"/>
                <w:szCs w:val="20"/>
              </w:rPr>
            </w:pPr>
            <w:r>
              <w:rPr>
                <w:rFonts w:ascii="Calibri" w:eastAsia="Calibri" w:hAnsi="Calibri" w:cs="Calibri"/>
                <w:color w:val="000000"/>
                <w:sz w:val="20"/>
                <w:szCs w:val="20"/>
              </w:rPr>
              <w:object w:dxaOrig="2123" w:dyaOrig="758" w14:anchorId="189BBBF9">
                <v:shape id="_x0000_i1040" type="#_x0000_t75" style="width:105.65pt;height:38.35pt" o:ole="" filled="t">
                  <v:fill color2="black"/>
                  <v:imagedata r:id="rId138" o:title=""/>
                </v:shape>
                <o:OLEObject Type="Embed" ProgID="Equation.3" ShapeID="_x0000_i1040" DrawAspect="Content" ObjectID="_1747568787" r:id="rId140"/>
              </w:object>
            </w:r>
          </w:p>
          <w:p w14:paraId="23FEB13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where: </w:t>
            </w:r>
          </w:p>
          <w:p w14:paraId="7CE28AE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N</w:t>
            </w:r>
            <w:r w:rsidRPr="0045151D">
              <w:rPr>
                <w:rFonts w:ascii="Calibri" w:eastAsia="Calibri" w:hAnsi="Calibri" w:cs="Calibri"/>
                <w:color w:val="000000"/>
                <w:sz w:val="20"/>
                <w:szCs w:val="20"/>
                <w:vertAlign w:val="subscript"/>
                <w:lang w:val="en-GB"/>
              </w:rPr>
              <w:t>TE</w:t>
            </w:r>
            <w:r w:rsidRPr="0045151D">
              <w:rPr>
                <w:rFonts w:ascii="Calibri" w:eastAsia="Calibri" w:hAnsi="Calibri" w:cs="Calibri"/>
                <w:color w:val="000000"/>
                <w:sz w:val="20"/>
                <w:szCs w:val="20"/>
                <w:lang w:val="en-GB"/>
              </w:rPr>
              <w:t>—number of temporary employees of the project at construction phase</w:t>
            </w:r>
          </w:p>
          <w:p w14:paraId="19F8025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CAPEX </w:t>
            </w:r>
            <w:r w:rsidRPr="0045151D">
              <w:rPr>
                <w:rFonts w:ascii="Calibri" w:eastAsia="Calibri" w:hAnsi="Calibri" w:cs="Calibri"/>
                <w:color w:val="333399"/>
                <w:sz w:val="20"/>
                <w:szCs w:val="20"/>
                <w:lang w:val="en-GB"/>
              </w:rPr>
              <w:t>–</w:t>
            </w:r>
            <w:r w:rsidRPr="0045151D">
              <w:rPr>
                <w:rFonts w:ascii="Calibri" w:eastAsia="Calibri" w:hAnsi="Calibri" w:cs="Calibri"/>
                <w:color w:val="000000"/>
                <w:sz w:val="20"/>
                <w:szCs w:val="20"/>
                <w:lang w:val="en-GB"/>
              </w:rPr>
              <w:t xml:space="preserve">  total project investment costs</w:t>
            </w:r>
          </w:p>
          <w:p w14:paraId="5A7F44A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L</w:t>
            </w:r>
            <w:r w:rsidRPr="0045151D">
              <w:rPr>
                <w:rFonts w:ascii="Calibri" w:eastAsia="Calibri" w:hAnsi="Calibri" w:cs="Calibri"/>
                <w:color w:val="000000"/>
                <w:sz w:val="20"/>
                <w:szCs w:val="20"/>
                <w:vertAlign w:val="subscript"/>
                <w:lang w:val="en-GB"/>
              </w:rPr>
              <w:t>E—</w:t>
            </w:r>
            <w:r w:rsidRPr="0045151D">
              <w:rPr>
                <w:rFonts w:ascii="Calibri" w:eastAsia="Calibri" w:hAnsi="Calibri" w:cs="Calibri"/>
                <w:color w:val="000000"/>
                <w:sz w:val="20"/>
                <w:szCs w:val="20"/>
                <w:lang w:val="en-GB"/>
              </w:rPr>
              <w:t xml:space="preserve">average labour costs of an employee in the construction sector </w:t>
            </w:r>
          </w:p>
        </w:tc>
      </w:tr>
    </w:tbl>
    <w:p w14:paraId="05749158" w14:textId="09DA47DE" w:rsidR="00600DEE" w:rsidRPr="0045151D" w:rsidRDefault="00641FB5" w:rsidP="00D5736B">
      <w:pPr>
        <w:pStyle w:val="Nagwek2"/>
        <w:numPr>
          <w:ilvl w:val="1"/>
          <w:numId w:val="17"/>
        </w:numPr>
        <w:ind w:left="0" w:firstLine="0"/>
        <w:rPr>
          <w:rFonts w:ascii="Calibri" w:eastAsia="Calibri" w:hAnsi="Calibri" w:cs="Calibri"/>
          <w:color w:val="4F81BD"/>
          <w:lang w:val="pl-PL"/>
        </w:rPr>
      </w:pPr>
      <w:bookmarkStart w:id="120" w:name="_Toc95378013"/>
      <w:r w:rsidRPr="0045151D">
        <w:rPr>
          <w:rFonts w:ascii="Calibri" w:eastAsia="Calibri" w:hAnsi="Calibri" w:cs="Calibri"/>
          <w:color w:val="4F81BD"/>
          <w:lang w:val="pl-PL"/>
        </w:rPr>
        <w:t>Miejsca pracy utworzone (lub zlikwidowane) na etapie eksploatacji</w:t>
      </w:r>
      <w:r w:rsidRPr="0045151D">
        <w:rPr>
          <w:rFonts w:ascii="Calibri" w:eastAsia="Calibri" w:hAnsi="Calibri" w:cs="Calibri"/>
          <w:color w:val="4F81BD"/>
          <w:lang w:val="pl-PL"/>
        </w:rPr>
        <w:br/>
      </w:r>
      <w:r w:rsidRPr="0045151D">
        <w:rPr>
          <w:rFonts w:ascii="Calibri" w:eastAsia="Calibri" w:hAnsi="Calibri" w:cs="Calibri"/>
          <w:i/>
          <w:color w:val="4F81BD"/>
          <w:lang w:val="pl-PL"/>
        </w:rPr>
        <w:t>5.2</w:t>
      </w:r>
      <w:r w:rsidRPr="0045151D">
        <w:rPr>
          <w:rFonts w:ascii="Calibri" w:eastAsia="Calibri" w:hAnsi="Calibri" w:cs="Calibri"/>
          <w:color w:val="4F81BD"/>
          <w:lang w:val="pl-PL"/>
        </w:rPr>
        <w:t xml:space="preserve">    </w:t>
      </w:r>
      <w:r w:rsidRPr="0045151D">
        <w:rPr>
          <w:rFonts w:ascii="Calibri" w:eastAsia="Calibri" w:hAnsi="Calibri" w:cs="Calibri"/>
          <w:i/>
          <w:color w:val="4F81BD"/>
          <w:lang w:val="pl-PL"/>
        </w:rPr>
        <w:t>Jobs created (or eliminated) during the operation stage</w:t>
      </w:r>
      <w:bookmarkEnd w:id="120"/>
    </w:p>
    <w:tbl>
      <w:tblPr>
        <w:tblStyle w:val="affffffff7"/>
        <w:tblW w:w="14571" w:type="dxa"/>
        <w:tblLayout w:type="fixed"/>
        <w:tblLook w:val="0400" w:firstRow="0" w:lastRow="0" w:firstColumn="0" w:lastColumn="0" w:noHBand="0" w:noVBand="1"/>
      </w:tblPr>
      <w:tblGrid>
        <w:gridCol w:w="7370"/>
        <w:gridCol w:w="7201"/>
      </w:tblGrid>
      <w:tr w:rsidR="00600DEE" w:rsidRPr="007463B9" w14:paraId="38C8A19B" w14:textId="77777777">
        <w:tc>
          <w:tcPr>
            <w:tcW w:w="7370" w:type="dxa"/>
            <w:tcBorders>
              <w:right w:val="single" w:sz="4" w:space="0" w:color="000000"/>
            </w:tcBorders>
            <w:tcMar>
              <w:left w:w="284" w:type="dxa"/>
              <w:right w:w="284" w:type="dxa"/>
            </w:tcMar>
          </w:tcPr>
          <w:p w14:paraId="63F8A36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Wyznaczenie liczby miejsc pracy utworzonych na etapie eksploatacji powinno być oparte na planie operacyjnym lub biznesowym zarządcy infrastruktury (GDDKiA lub innego, właściwego dla projektu gestora infrastruktury drogowej). Ten plan powinien być zgodny z prognozą ruchu i szacunkiem kosztów operacyjnych przedstawionym wcześniej. Należy przedstawić również podstawowe rozwiązania organizacyjne.</w:t>
            </w:r>
          </w:p>
          <w:p w14:paraId="54A1765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Szacunek dotyczący zatrudnienia obejmuje wszystkie miejsca pracy w administracji, eksploatacji i utrzymaniu infrastruktury drogowej.</w:t>
            </w:r>
          </w:p>
          <w:p w14:paraId="5146C6B8"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Przy szacowaniu możliwej przyszłej ewolucji zatrudnienia mogą wystąpić następujące sytuacje:</w:t>
            </w:r>
          </w:p>
          <w:p w14:paraId="23426121"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Krótkoterminowe zmniejszenie zatrudnienia (zwolnienia) z powodu zwiększenia efektywności związanej z inwestycją</w:t>
            </w:r>
          </w:p>
          <w:p w14:paraId="4494F220"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Długoterminowa zmiana zatrudnienia pobudzona przez inwestycję</w:t>
            </w:r>
          </w:p>
          <w:p w14:paraId="211985E0"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Brak wpływu inwestycji na zatrudnienie.</w:t>
            </w:r>
          </w:p>
          <w:p w14:paraId="6B31AA7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ocenie należy odnieść się przede wszystkim do długoterminowych zmian.</w:t>
            </w:r>
          </w:p>
          <w:p w14:paraId="6B651A4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Dla celów obliczeń, proponuje się przyjąć udział kosztów pracy na poziomie 35% całkowitych kosztów utrzymaniowych.</w:t>
            </w:r>
          </w:p>
          <w:p w14:paraId="20AEE70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Oprócz bezpośredniego wpływu na zatrudnienie, należy opisać ewentualne, pośrednie możliwości zatrudnienia, związane z realizacją projektu i późniejszą jego eksploatacją.</w:t>
            </w:r>
          </w:p>
          <w:p w14:paraId="70E2809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Posiadając powyższe informacje można wykazać, czy analizowana inwestycja w fazie eksploatacji przyczyni się do wytworzenia czy zlikwidowania miejsc pracy.</w:t>
            </w:r>
          </w:p>
          <w:p w14:paraId="3C6AFFE9" w14:textId="77777777" w:rsidR="00600DEE" w:rsidRDefault="00600DEE">
            <w:pPr>
              <w:pBdr>
                <w:top w:val="nil"/>
                <w:left w:val="nil"/>
                <w:bottom w:val="nil"/>
                <w:right w:val="nil"/>
                <w:between w:val="nil"/>
              </w:pBdr>
              <w:spacing w:before="120"/>
              <w:jc w:val="both"/>
              <w:rPr>
                <w:rFonts w:ascii="Calibri" w:eastAsia="Calibri" w:hAnsi="Calibri" w:cs="Calibri"/>
                <w:b/>
                <w:color w:val="323299"/>
                <w:sz w:val="20"/>
                <w:szCs w:val="20"/>
              </w:rPr>
            </w:pPr>
          </w:p>
          <w:p w14:paraId="6FE86130" w14:textId="77777777" w:rsidR="00600DEE" w:rsidRDefault="00600DEE">
            <w:pPr>
              <w:pBdr>
                <w:top w:val="nil"/>
                <w:left w:val="nil"/>
                <w:bottom w:val="nil"/>
                <w:right w:val="nil"/>
                <w:between w:val="nil"/>
              </w:pBdr>
              <w:spacing w:before="120"/>
              <w:jc w:val="both"/>
              <w:rPr>
                <w:rFonts w:ascii="Calibri" w:eastAsia="Calibri" w:hAnsi="Calibri" w:cs="Calibri"/>
                <w:b/>
                <w:color w:val="323299"/>
                <w:sz w:val="20"/>
                <w:szCs w:val="20"/>
              </w:rPr>
            </w:pPr>
          </w:p>
        </w:tc>
        <w:tc>
          <w:tcPr>
            <w:tcW w:w="7201" w:type="dxa"/>
            <w:tcBorders>
              <w:left w:val="single" w:sz="4" w:space="0" w:color="000000"/>
            </w:tcBorders>
            <w:tcMar>
              <w:left w:w="284" w:type="dxa"/>
              <w:right w:w="284" w:type="dxa"/>
            </w:tcMar>
          </w:tcPr>
          <w:p w14:paraId="40E55C9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determination of number of jobs created at the operation stage should be based on the infrastructure administration’s (GDDKiA’s or the relevant road infrastructure manager) operation or business plan. That plan should be consistent with traffic forecasts and maintenance and operation cost estimation previously presented. Basic organization solutions should be presented as well.</w:t>
            </w:r>
          </w:p>
          <w:p w14:paraId="3A1D9A9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Estimations concerning employment include all jobs in administration, management, operation and maintenance of road infrastructure.</w:t>
            </w:r>
          </w:p>
          <w:p w14:paraId="1CBF8FB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During estimation of possible future employment evolution, the following situations may occur:</w:t>
            </w:r>
          </w:p>
          <w:p w14:paraId="7BF9D7B7" w14:textId="77777777" w:rsidR="00600DEE" w:rsidRPr="0045151D" w:rsidRDefault="00641FB5" w:rsidP="00D5736B">
            <w:pPr>
              <w:numPr>
                <w:ilvl w:val="0"/>
                <w:numId w:val="34"/>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Short-term decrease of employment (dismissals) due to increase of efficiency connected with the investment</w:t>
            </w:r>
          </w:p>
          <w:p w14:paraId="3AD57F11" w14:textId="77777777" w:rsidR="00600DEE" w:rsidRPr="0045151D" w:rsidRDefault="00641FB5" w:rsidP="00D5736B">
            <w:pPr>
              <w:numPr>
                <w:ilvl w:val="0"/>
                <w:numId w:val="34"/>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Long-term change of employment stimulated by the investment</w:t>
            </w:r>
          </w:p>
          <w:p w14:paraId="2B78851F" w14:textId="77777777" w:rsidR="00600DEE" w:rsidRPr="0045151D" w:rsidRDefault="00641FB5" w:rsidP="00D5736B">
            <w:pPr>
              <w:numPr>
                <w:ilvl w:val="0"/>
                <w:numId w:val="34"/>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No influence on employment connected with the investment.</w:t>
            </w:r>
          </w:p>
          <w:p w14:paraId="4997B6D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evaluation should focus mainly on long–term changes.</w:t>
            </w:r>
          </w:p>
          <w:p w14:paraId="5C4E92B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For calculation purposes, it is proposed an average share of labour work costs in annual O&amp;M costs equals to 35%. </w:t>
            </w:r>
          </w:p>
          <w:p w14:paraId="4D5EBE22"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Besides direct influence on possible employment, employment indirect opportunities connected with project implementation and its future operation should be also described.</w:t>
            </w:r>
          </w:p>
          <w:p w14:paraId="46B107C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Based on the above mentioned information, it can be proved if the analysed investment contributes to creation or to elimination of jobs during the implementation stage.</w:t>
            </w:r>
          </w:p>
          <w:p w14:paraId="10842693"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03EC86BD" w14:textId="7A8A1A7C" w:rsidR="00600DEE" w:rsidRPr="0045151D" w:rsidRDefault="00641FB5">
      <w:pPr>
        <w:pStyle w:val="Nagwek1"/>
        <w:rPr>
          <w:rFonts w:ascii="Calibri" w:eastAsia="Calibri" w:hAnsi="Calibri" w:cs="Calibri"/>
          <w:i/>
          <w:color w:val="0070C0"/>
          <w:lang w:val="pl-PL"/>
        </w:rPr>
      </w:pPr>
      <w:bookmarkStart w:id="121" w:name="_Toc95378014"/>
      <w:r w:rsidRPr="0045151D">
        <w:rPr>
          <w:rFonts w:ascii="Calibri" w:eastAsia="Calibri" w:hAnsi="Calibri" w:cs="Calibri"/>
          <w:color w:val="0070C0"/>
          <w:lang w:val="pl-PL"/>
        </w:rPr>
        <w:t>Literatura i literatura uzupełniająca</w:t>
      </w:r>
      <w:r w:rsidRPr="0045151D">
        <w:rPr>
          <w:rFonts w:ascii="Calibri" w:eastAsia="Calibri" w:hAnsi="Calibri" w:cs="Calibri"/>
          <w:color w:val="0070C0"/>
          <w:lang w:val="pl-PL"/>
        </w:rPr>
        <w:tab/>
        <w:t xml:space="preserve">     </w:t>
      </w:r>
      <w:r w:rsidR="001740B4" w:rsidRPr="0045151D">
        <w:rPr>
          <w:rFonts w:ascii="Calibri" w:eastAsia="Calibri" w:hAnsi="Calibri" w:cs="Calibri"/>
          <w:color w:val="0070C0"/>
          <w:lang w:val="pl-PL"/>
        </w:rPr>
        <w:tab/>
      </w:r>
      <w:r w:rsidR="001740B4" w:rsidRPr="0045151D">
        <w:rPr>
          <w:rFonts w:ascii="Calibri" w:eastAsia="Calibri" w:hAnsi="Calibri" w:cs="Calibri"/>
          <w:color w:val="0070C0"/>
          <w:lang w:val="pl-PL"/>
        </w:rPr>
        <w:tab/>
      </w:r>
      <w:r w:rsidR="001740B4" w:rsidRPr="0045151D">
        <w:rPr>
          <w:rFonts w:ascii="Calibri" w:eastAsia="Calibri" w:hAnsi="Calibri" w:cs="Calibri"/>
          <w:color w:val="0070C0"/>
          <w:lang w:val="pl-PL"/>
        </w:rPr>
        <w:tab/>
      </w:r>
      <w:r w:rsidR="001740B4" w:rsidRPr="0045151D">
        <w:rPr>
          <w:rFonts w:ascii="Calibri" w:eastAsia="Calibri" w:hAnsi="Calibri" w:cs="Calibri"/>
          <w:color w:val="0070C0"/>
          <w:lang w:val="pl-PL"/>
        </w:rPr>
        <w:tab/>
      </w:r>
      <w:r w:rsidR="001740B4" w:rsidRPr="0045151D">
        <w:rPr>
          <w:rFonts w:ascii="Calibri" w:eastAsia="Calibri" w:hAnsi="Calibri" w:cs="Calibri"/>
          <w:color w:val="0070C0"/>
          <w:lang w:val="pl-PL"/>
        </w:rPr>
        <w:tab/>
      </w:r>
      <w:r w:rsidR="001740B4" w:rsidRPr="0045151D">
        <w:rPr>
          <w:rFonts w:ascii="Calibri" w:eastAsia="Calibri" w:hAnsi="Calibri" w:cs="Calibri"/>
          <w:color w:val="0070C0"/>
          <w:lang w:val="pl-PL"/>
        </w:rPr>
        <w:tab/>
        <w:t xml:space="preserve">     </w:t>
      </w:r>
      <w:r w:rsidRPr="0045151D">
        <w:rPr>
          <w:rFonts w:ascii="Calibri" w:eastAsia="Calibri" w:hAnsi="Calibri" w:cs="Calibri"/>
          <w:i/>
          <w:color w:val="0070C0"/>
          <w:lang w:val="pl-PL"/>
        </w:rPr>
        <w:t>Literature and supplementary literature</w:t>
      </w:r>
      <w:bookmarkEnd w:id="121"/>
    </w:p>
    <w:tbl>
      <w:tblPr>
        <w:tblStyle w:val="affffffff8"/>
        <w:tblW w:w="14571" w:type="dxa"/>
        <w:tblLayout w:type="fixed"/>
        <w:tblLook w:val="0400" w:firstRow="0" w:lastRow="0" w:firstColumn="0" w:lastColumn="0" w:noHBand="0" w:noVBand="1"/>
      </w:tblPr>
      <w:tblGrid>
        <w:gridCol w:w="7370"/>
        <w:gridCol w:w="7201"/>
      </w:tblGrid>
      <w:tr w:rsidR="00600DEE" w14:paraId="5B143528" w14:textId="77777777">
        <w:tc>
          <w:tcPr>
            <w:tcW w:w="7370" w:type="dxa"/>
            <w:tcBorders>
              <w:right w:val="single" w:sz="4" w:space="0" w:color="000000"/>
            </w:tcBorders>
            <w:tcMar>
              <w:left w:w="284" w:type="dxa"/>
              <w:right w:w="284" w:type="dxa"/>
            </w:tcMar>
          </w:tcPr>
          <w:p w14:paraId="23F9A274" w14:textId="77777777" w:rsidR="00600DEE" w:rsidRDefault="00600DEE">
            <w:pPr>
              <w:spacing w:after="120"/>
              <w:ind w:right="170"/>
              <w:jc w:val="both"/>
              <w:rPr>
                <w:rFonts w:ascii="Calibri" w:eastAsia="Calibri" w:hAnsi="Calibri" w:cs="Calibri"/>
                <w:sz w:val="20"/>
                <w:szCs w:val="20"/>
              </w:rPr>
            </w:pPr>
          </w:p>
        </w:tc>
        <w:tc>
          <w:tcPr>
            <w:tcW w:w="7201" w:type="dxa"/>
            <w:tcBorders>
              <w:left w:val="single" w:sz="4" w:space="0" w:color="000000"/>
            </w:tcBorders>
            <w:tcMar>
              <w:left w:w="284" w:type="dxa"/>
              <w:right w:w="284" w:type="dxa"/>
            </w:tcMar>
          </w:tcPr>
          <w:p w14:paraId="3ADA12E9" w14:textId="77777777" w:rsidR="00600DEE" w:rsidRDefault="00600DEE">
            <w:pPr>
              <w:spacing w:after="120"/>
              <w:ind w:right="170"/>
              <w:jc w:val="both"/>
              <w:rPr>
                <w:rFonts w:ascii="Calibri" w:eastAsia="Calibri" w:hAnsi="Calibri" w:cs="Calibri"/>
                <w:b/>
                <w:color w:val="323299"/>
              </w:rPr>
            </w:pPr>
          </w:p>
        </w:tc>
      </w:tr>
      <w:tr w:rsidR="00600DEE" w:rsidRPr="007463B9" w14:paraId="698A7867" w14:textId="77777777">
        <w:tc>
          <w:tcPr>
            <w:tcW w:w="7370" w:type="dxa"/>
            <w:tcBorders>
              <w:right w:val="single" w:sz="4" w:space="0" w:color="000000"/>
            </w:tcBorders>
            <w:tcMar>
              <w:left w:w="284" w:type="dxa"/>
              <w:right w:w="284" w:type="dxa"/>
            </w:tcMar>
          </w:tcPr>
          <w:p w14:paraId="3148286F"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[1]. Belli P. et al., Economic Analysis of Investment Operations.  Analytical Tools and Practical Applications, The World Bank, Washington, D.C. 2001.</w:t>
            </w:r>
          </w:p>
          <w:p w14:paraId="3843E931"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[2]. Belli P., Handbook on Economic Analysis of Investment Operations, The World Bank, Washington, D.C. 1998.</w:t>
            </w:r>
          </w:p>
          <w:p w14:paraId="2055BF7D"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[3]. Datka S., Suchorzewski W., Tracz M., Inżynieria ruchu, WKiŁ, Warszawa 1997.</w:t>
            </w:r>
          </w:p>
          <w:p w14:paraId="149FEB37"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[4]. European Commission, External Costs of Transport, Externalities of Energy, Vol. 9: Fuel Cycles for Emerging and End-Use Technologies, Transport and Waste, Brussels 1999.</w:t>
            </w:r>
          </w:p>
          <w:p w14:paraId="560F576C"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[5]. European Commission, Guidance on Ex ante Conditionalities for the European Structural and Investment Funds PART II, 13 February 2013.</w:t>
            </w:r>
          </w:p>
          <w:p w14:paraId="2599BE26"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[6]. European Investment Bank, Guide to Economic Appraisal of Investment Projects, Projects Directorate, Luxembourg 2012.</w:t>
            </w:r>
          </w:p>
          <w:p w14:paraId="16209192"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[7]. European Investment Bank, EIB Project Carbon Footprint Methodologies, Methodologies for the Assessment of Project GHG Emissions and Emission Variations July 2020</w:t>
            </w:r>
          </w:p>
          <w:p w14:paraId="7A7D58BD"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[8]. Eurostat, Gross domestic product, as percentage of EU28 per capita in purchasing power standards, current prices 2021; Electricity prices components for non-household consumers, prices net of taxes 2021.</w:t>
            </w:r>
          </w:p>
          <w:p w14:paraId="35C24E89"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[9]. Florio M., Vignetti S., Cost-benefit analysis of infrastructure projects in an enlarged European Union: an incentive-oriented approach, Università degli Studi di Milano, May 2003.</w:t>
            </w:r>
          </w:p>
          <w:p w14:paraId="7A4BAB9E" w14:textId="196F2860"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[10]. GDDKiA, Instrukcja obliczania przepustowości dróg i i II klasy technicznej – Załącznik do z</w:t>
            </w:r>
            <w:r w:rsidR="00193C5C">
              <w:rPr>
                <w:rFonts w:ascii="Calibri" w:eastAsia="Calibri" w:hAnsi="Calibri" w:cs="Calibri"/>
                <w:sz w:val="20"/>
                <w:szCs w:val="20"/>
              </w:rPr>
              <w:t xml:space="preserve">arządzenia Nr 6/95 Generalnego </w:t>
            </w:r>
            <w:r>
              <w:rPr>
                <w:rFonts w:ascii="Calibri" w:eastAsia="Calibri" w:hAnsi="Calibri" w:cs="Calibri"/>
                <w:sz w:val="20"/>
                <w:szCs w:val="20"/>
              </w:rPr>
              <w:t>Dyrektora Dróg Publicznych z dnia 31 marca 1995  r., Warszawa 1995.</w:t>
            </w:r>
          </w:p>
          <w:p w14:paraId="4403C209"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[11]. GDDKiA, Metoda obliczania przepustowości rond – Instrukcja obliczania – Zarządzenie Nr 20 Generalnego Dyrektora Dróg Krajowych i Autostrad z dnia 23.07.2004r., Warszawa 2004.</w:t>
            </w:r>
          </w:p>
          <w:p w14:paraId="5F37B400"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[12]. GDDKiA, Metoda obliczania przepustowości skrzyżowań bez sygnalizacji świetlnej – Instrukcja obliczania – Zarządzenie Nr 20 Generalnego Dyrektora Dróg Krajowych i Autostrad z dnia 23.07.2004r., Warszawa 2004.</w:t>
            </w:r>
          </w:p>
          <w:p w14:paraId="770150F1"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[13]. GDDKiA, Metoda obliczania przepustowości skrzyżowań z sygnalizacją świetlną – Instrukcja obliczania – Zarządzenie Nr 20 Generalnego Dyrektora Dróg Krajowych i Autostrad z dnia 23.07.2004r., Warszawa 2004.</w:t>
            </w:r>
          </w:p>
          <w:p w14:paraId="088B31CE" w14:textId="5BF29E89"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[14]. GDDKiA, Wytyczne organizacji i przeprowadzania General</w:t>
            </w:r>
            <w:r w:rsidR="00B67038">
              <w:rPr>
                <w:rFonts w:ascii="Calibri" w:eastAsia="Calibri" w:hAnsi="Calibri" w:cs="Calibri"/>
                <w:sz w:val="20"/>
                <w:szCs w:val="20"/>
              </w:rPr>
              <w:t xml:space="preserve">nego Pomiaru Ruchu w 2010 roku </w:t>
            </w:r>
            <w:r>
              <w:rPr>
                <w:rFonts w:ascii="Calibri" w:eastAsia="Calibri" w:hAnsi="Calibri" w:cs="Calibri"/>
                <w:sz w:val="20"/>
                <w:szCs w:val="20"/>
              </w:rPr>
              <w:t>na drogach krajowych, Warszawa 2009.</w:t>
            </w:r>
          </w:p>
          <w:p w14:paraId="5F024FE0" w14:textId="056BE4AB"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[15]. HEATCO – Developing Harmonised European Approaches for Transport Costing and Project Assessment, University of Stuttgart, Stuttgart 2006.</w:t>
            </w:r>
          </w:p>
          <w:p w14:paraId="76BF2C5F" w14:textId="061B240D"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[16]. Przewodnik do AKK (opublikowany przez GDDKiA w 2021 r.) zastępujący dotychczas stosowaną Instrukcję IBDiM z 2008</w:t>
            </w:r>
          </w:p>
          <w:p w14:paraId="1F163D36" w14:textId="5872CDB3"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[17]. JASPERS, The Use of Transport Models in Transport Planning and Project Appraisal, Luty 2014.</w:t>
            </w:r>
          </w:p>
          <w:p w14:paraId="33370E78"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 xml:space="preserve">[18]. Jamroz K., Budzyński M., Gaca S., Kieć M., Michalski L., Kustra W., Gumińska L., Praca badawcza wykonana na zlecenie GDDKiA, Metoda Prognozowania Wskaźników BRD dla potrzeb analiz efektywności ekonomicznej inwestycji realizowanych na drogach krajowych w Polsce, Gdańsk Kwiecień 2012.  </w:t>
            </w:r>
          </w:p>
          <w:p w14:paraId="428A0F2F" w14:textId="77777777" w:rsidR="00B95FB9"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 xml:space="preserve">[19]. „Wycena kosztów wypadków i kolizji drogowych na sieci dróg w Polsce na koniec roku 2018, z wyodrębnieniem średnich kosztów społeczno-ekonomicznych wypadków na transeuropejskiej sieci transportowej”, Krajowa Rada Bezpieczeństwa Ruchu Drogowego, grudzień 2019. </w:t>
            </w:r>
          </w:p>
          <w:p w14:paraId="6232E0DE" w14:textId="32D222B4"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[20].  "Stan bezpieczeństwa ruchu drogowego oraz działania realizowane w tym zakresie w 2019 r.", Krajowa Rada Bezpieczeństwa Ruchu Drogowego, sierpień 2020.</w:t>
            </w:r>
          </w:p>
          <w:p w14:paraId="1DA90772" w14:textId="7C4E9637" w:rsidR="00600DEE" w:rsidRPr="007463B9" w:rsidRDefault="00641FB5">
            <w:pPr>
              <w:spacing w:after="120"/>
              <w:ind w:right="170"/>
              <w:jc w:val="both"/>
              <w:rPr>
                <w:rFonts w:ascii="Calibri" w:eastAsia="Calibri" w:hAnsi="Calibri" w:cs="Calibri"/>
                <w:sz w:val="20"/>
                <w:szCs w:val="20"/>
                <w:lang w:val="en-GB"/>
              </w:rPr>
            </w:pPr>
            <w:r w:rsidRPr="007463B9">
              <w:rPr>
                <w:rFonts w:ascii="Calibri" w:eastAsia="Calibri" w:hAnsi="Calibri" w:cs="Calibri"/>
                <w:sz w:val="20"/>
                <w:szCs w:val="20"/>
                <w:lang w:val="en-GB"/>
              </w:rPr>
              <w:t>[21]. Van Essen H., van Wijngaarden L., Schroten A., Sutter D., Bieler C., Maffii S., Brambilla M., Fiorello D., Fermi F., Parolin R., El Beyrouty K.,</w:t>
            </w:r>
            <w:r w:rsidR="00B95FB9" w:rsidRPr="007463B9">
              <w:rPr>
                <w:rFonts w:ascii="Calibri" w:eastAsia="Calibri" w:hAnsi="Calibri" w:cs="Calibri"/>
                <w:sz w:val="20"/>
                <w:szCs w:val="20"/>
                <w:lang w:val="en-GB"/>
              </w:rPr>
              <w:t xml:space="preserve"> </w:t>
            </w:r>
            <w:r w:rsidRPr="007463B9">
              <w:rPr>
                <w:rFonts w:ascii="Calibri" w:eastAsia="Calibri" w:hAnsi="Calibri" w:cs="Calibri"/>
                <w:sz w:val="20"/>
                <w:szCs w:val="20"/>
                <w:lang w:val="en-GB"/>
              </w:rPr>
              <w:t>Handbook on External Costs of Transport, European Co</w:t>
            </w:r>
            <w:r w:rsidR="00B95FB9" w:rsidRPr="007463B9">
              <w:rPr>
                <w:rFonts w:ascii="Calibri" w:eastAsia="Calibri" w:hAnsi="Calibri" w:cs="Calibri"/>
                <w:sz w:val="20"/>
                <w:szCs w:val="20"/>
                <w:lang w:val="en-GB"/>
              </w:rPr>
              <w:t>mmission, Version January 2019.</w:t>
            </w:r>
          </w:p>
          <w:p w14:paraId="788F602D"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[22]. Krych A., Słownictwo kompleksowych badań i modelowania potoków ruch; materiały z II ogólnopolskiej konferencji Naukowo – Technicznej, Modelowanie podróży i prognozowanie ruchu, Kraków Listopada 2010.</w:t>
            </w:r>
          </w:p>
          <w:p w14:paraId="2F698E4B"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[23]. Litman T., Transportation Cost Analysis: Techniques, Estimates and Implications, Second Edition, Victoria Transport Policy Institute, Victoria, January 2009.</w:t>
            </w:r>
          </w:p>
          <w:p w14:paraId="7F84951B" w14:textId="25AB10F3"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[24]. Merkisz J., Nowak M., Pielecha J., Fuć P., Merkisz-Guranowska A., Środki i infrastruktura transportu, Politechnika Warszawska, Warszawa 2013.</w:t>
            </w:r>
          </w:p>
          <w:p w14:paraId="1C59200D"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[25]. Ortuzar J. de Dios, Willumsen L.G., Modelling Transport, John Wiley &amp; Sons Ltd, Chichester 2001.</w:t>
            </w:r>
          </w:p>
          <w:p w14:paraId="222F5449" w14:textId="572DD4C2"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[26]. Rozporządzenie Ministra Transportu i Gospodarki Morskiej z dnia 2 marca 1999r. w sprawie warunków technicznych, jakim powinny odpowiadać drogi publiczne i ich usytuowanie (Dz. U. z 1999r., Nr 43, poz. 430).</w:t>
            </w:r>
          </w:p>
          <w:p w14:paraId="0CC14BE4"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[27]. Sartori D., Catalano G., Genco M., Pancotti C., Sirtori E., Vignetti s., Del Bo C., Guide to Cost-benefit Analysis of Investment Projects – Economic appraisal tool for Cohesion Policy 2014-2020, European Commission DG Regio, Brussels Grudzien 2014.</w:t>
            </w:r>
          </w:p>
          <w:p w14:paraId="6E89155C"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[28]. Supernak J., Modele powstawania miejskiego ruchu osobowego, WKiŁ, Warszawa 1980.</w:t>
            </w:r>
          </w:p>
          <w:p w14:paraId="1C0558B8" w14:textId="5BB2CAB9"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w:t>
            </w:r>
            <w:r w:rsidR="00B67038">
              <w:rPr>
                <w:rFonts w:ascii="Calibri" w:eastAsia="Calibri" w:hAnsi="Calibri" w:cs="Calibri"/>
                <w:sz w:val="20"/>
                <w:szCs w:val="20"/>
                <w:lang w:val="en-GB"/>
              </w:rPr>
              <w:t>29</w:t>
            </w:r>
            <w:r w:rsidRPr="0045151D">
              <w:rPr>
                <w:rFonts w:ascii="Calibri" w:eastAsia="Calibri" w:hAnsi="Calibri" w:cs="Calibri"/>
                <w:sz w:val="20"/>
                <w:szCs w:val="20"/>
                <w:lang w:val="en-GB"/>
              </w:rPr>
              <w:t>]. United Nations, Economic Commission for Europe, Cost Benefit Analysis of Transport Infrastructure Projects. A set of guidelines for socio-economic cost benefit analysis of transport infrastructure project appraisal, New York – Geneva 2003.</w:t>
            </w:r>
          </w:p>
          <w:p w14:paraId="14294CB5" w14:textId="4030D0CF" w:rsidR="00600DEE" w:rsidRDefault="00B67038">
            <w:pPr>
              <w:spacing w:after="120"/>
              <w:ind w:right="170"/>
              <w:jc w:val="both"/>
              <w:rPr>
                <w:rFonts w:ascii="Calibri" w:eastAsia="Calibri" w:hAnsi="Calibri" w:cs="Calibri"/>
                <w:sz w:val="20"/>
                <w:szCs w:val="20"/>
              </w:rPr>
            </w:pPr>
            <w:r>
              <w:rPr>
                <w:rFonts w:ascii="Calibri" w:eastAsia="Calibri" w:hAnsi="Calibri" w:cs="Calibri"/>
                <w:sz w:val="20"/>
                <w:szCs w:val="20"/>
              </w:rPr>
              <w:t>[30</w:t>
            </w:r>
            <w:r w:rsidR="00641FB5">
              <w:rPr>
                <w:rFonts w:ascii="Calibri" w:eastAsia="Calibri" w:hAnsi="Calibri" w:cs="Calibri"/>
                <w:sz w:val="20"/>
                <w:szCs w:val="20"/>
              </w:rPr>
              <w:t>]. Zeszyty Naukowo-Techniczne Stowarzyszenia Inżynierów i Techników Komunikacji Rzeczpospolitej Polskiej Oddział w Krakowie, Modelowanie podróży i prognozowanie ruchu, materiały konferencyjne nr 1(103)/2014.</w:t>
            </w:r>
          </w:p>
          <w:p w14:paraId="0F7088A2" w14:textId="13352183" w:rsidR="00600DEE" w:rsidRPr="0045151D" w:rsidRDefault="00B67038">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[31</w:t>
            </w:r>
            <w:r w:rsidR="00641FB5" w:rsidRPr="0045151D">
              <w:rPr>
                <w:rFonts w:ascii="Calibri" w:eastAsia="Calibri" w:hAnsi="Calibri" w:cs="Calibri"/>
                <w:sz w:val="20"/>
                <w:szCs w:val="20"/>
                <w:lang w:val="en-GB"/>
              </w:rPr>
              <w:t>].</w:t>
            </w:r>
            <w:r w:rsidR="00641FB5" w:rsidRPr="0045151D">
              <w:rPr>
                <w:lang w:val="en-GB"/>
              </w:rPr>
              <w:t xml:space="preserve"> </w:t>
            </w:r>
            <w:r w:rsidR="00641FB5" w:rsidRPr="0045151D">
              <w:rPr>
                <w:rFonts w:ascii="Calibri" w:eastAsia="Calibri" w:hAnsi="Calibri" w:cs="Calibri"/>
                <w:sz w:val="20"/>
                <w:szCs w:val="20"/>
                <w:lang w:val="en-GB"/>
              </w:rPr>
              <w:t>G. Mellios, S. Hausberger, M. Keller, C. Samaras, L. Ntziachristos, Parameterisation of fuel consumption and CO2 emissions of passenger cars and light commercial vehicles for modelling purposes, JRC 2011</w:t>
            </w:r>
          </w:p>
          <w:p w14:paraId="6B367043" w14:textId="04EE7542" w:rsidR="00600DEE" w:rsidRDefault="00B67038">
            <w:pPr>
              <w:spacing w:after="120"/>
              <w:ind w:right="170"/>
              <w:jc w:val="both"/>
              <w:rPr>
                <w:rFonts w:ascii="Calibri" w:eastAsia="Calibri" w:hAnsi="Calibri" w:cs="Calibri"/>
                <w:sz w:val="20"/>
                <w:szCs w:val="20"/>
              </w:rPr>
            </w:pPr>
            <w:r>
              <w:rPr>
                <w:rFonts w:ascii="Calibri" w:eastAsia="Calibri" w:hAnsi="Calibri" w:cs="Calibri"/>
                <w:sz w:val="20"/>
                <w:szCs w:val="20"/>
              </w:rPr>
              <w:t>[32</w:t>
            </w:r>
            <w:r w:rsidR="00641FB5">
              <w:rPr>
                <w:rFonts w:ascii="Calibri" w:eastAsia="Calibri" w:hAnsi="Calibri" w:cs="Calibri"/>
                <w:sz w:val="20"/>
                <w:szCs w:val="20"/>
              </w:rPr>
              <w:t>].</w:t>
            </w:r>
            <w:r w:rsidR="00641FB5">
              <w:t xml:space="preserve"> </w:t>
            </w:r>
            <w:r w:rsidR="00641FB5">
              <w:rPr>
                <w:rFonts w:ascii="Calibri" w:eastAsia="Calibri" w:hAnsi="Calibri" w:cs="Calibri"/>
                <w:sz w:val="20"/>
                <w:szCs w:val="20"/>
              </w:rPr>
              <w:t>CAKE (Centrum Analiz Klimatyczno-Energetycznych), Ścieżki redukcji emisji CO2 w sektorze transportu w Polsce w kontekście „Europejskiego Zielonego Ładu”, 2020</w:t>
            </w:r>
          </w:p>
          <w:p w14:paraId="227DAA23" w14:textId="4421BF0A" w:rsidR="00600DEE" w:rsidRDefault="00B67038">
            <w:pPr>
              <w:spacing w:after="120"/>
              <w:ind w:right="170"/>
              <w:jc w:val="both"/>
              <w:rPr>
                <w:rFonts w:ascii="Calibri" w:eastAsia="Calibri" w:hAnsi="Calibri" w:cs="Calibri"/>
                <w:sz w:val="20"/>
                <w:szCs w:val="20"/>
              </w:rPr>
            </w:pPr>
            <w:r>
              <w:rPr>
                <w:rFonts w:ascii="Calibri" w:eastAsia="Calibri" w:hAnsi="Calibri" w:cs="Calibri"/>
                <w:sz w:val="20"/>
                <w:szCs w:val="20"/>
              </w:rPr>
              <w:t>[33</w:t>
            </w:r>
            <w:r w:rsidR="00641FB5">
              <w:rPr>
                <w:rFonts w:ascii="Calibri" w:eastAsia="Calibri" w:hAnsi="Calibri" w:cs="Calibri"/>
                <w:sz w:val="20"/>
                <w:szCs w:val="20"/>
              </w:rPr>
              <w:t>].</w:t>
            </w:r>
            <w:r w:rsidR="00641FB5">
              <w:t xml:space="preserve"> </w:t>
            </w:r>
            <w:r w:rsidR="00641FB5">
              <w:rPr>
                <w:rFonts w:ascii="Calibri" w:eastAsia="Calibri" w:hAnsi="Calibri" w:cs="Calibri"/>
                <w:sz w:val="20"/>
                <w:szCs w:val="20"/>
              </w:rPr>
              <w:t>ITS, Prognozy eksperckie zmian aktywności sektora transportu drogowego (w kontekście ustawy o systemie zarządzania emisjami gazów cieplarnianych i innych substancji), 2017</w:t>
            </w:r>
          </w:p>
          <w:p w14:paraId="49F4B47D" w14:textId="6ECC0FDB" w:rsidR="00600DEE" w:rsidRPr="0045151D" w:rsidRDefault="00B67038">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[34</w:t>
            </w:r>
            <w:r w:rsidR="00641FB5" w:rsidRPr="0045151D">
              <w:rPr>
                <w:rFonts w:ascii="Calibri" w:eastAsia="Calibri" w:hAnsi="Calibri" w:cs="Calibri"/>
                <w:sz w:val="20"/>
                <w:szCs w:val="20"/>
                <w:lang w:val="en-GB"/>
              </w:rPr>
              <w:t>].</w:t>
            </w:r>
            <w:r w:rsidR="00641FB5" w:rsidRPr="0045151D">
              <w:rPr>
                <w:lang w:val="en-GB"/>
              </w:rPr>
              <w:t xml:space="preserve"> </w:t>
            </w:r>
            <w:r w:rsidR="00641FB5" w:rsidRPr="0045151D">
              <w:rPr>
                <w:rFonts w:ascii="Calibri" w:eastAsia="Calibri" w:hAnsi="Calibri" w:cs="Calibri"/>
                <w:sz w:val="20"/>
                <w:szCs w:val="20"/>
                <w:lang w:val="en-GB"/>
              </w:rPr>
              <w:t>OECD/ITF, Optimisation of Maintenance, 2012</w:t>
            </w:r>
          </w:p>
          <w:p w14:paraId="4BBD0CF4" w14:textId="1DB58B79" w:rsidR="00600DEE" w:rsidRPr="0045151D" w:rsidRDefault="00B67038">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[35</w:t>
            </w:r>
            <w:r w:rsidR="00641FB5" w:rsidRPr="0045151D">
              <w:rPr>
                <w:rFonts w:ascii="Calibri" w:eastAsia="Calibri" w:hAnsi="Calibri" w:cs="Calibri"/>
                <w:sz w:val="20"/>
                <w:szCs w:val="20"/>
                <w:lang w:val="en-GB"/>
              </w:rPr>
              <w:t>].</w:t>
            </w:r>
            <w:r w:rsidR="00641FB5" w:rsidRPr="0045151D">
              <w:rPr>
                <w:lang w:val="en-GB"/>
              </w:rPr>
              <w:t xml:space="preserve"> </w:t>
            </w:r>
            <w:r w:rsidR="00641FB5" w:rsidRPr="0045151D">
              <w:rPr>
                <w:rFonts w:ascii="Calibri" w:eastAsia="Calibri" w:hAnsi="Calibri" w:cs="Calibri"/>
                <w:sz w:val="20"/>
                <w:szCs w:val="20"/>
                <w:lang w:val="en-GB"/>
              </w:rPr>
              <w:t>EMEP/EEA air pollutant emission inventory guidebook, 2019, 1.A.3.b.i-iv Road Transport Appendix 4 Emission Factors 2019 (Sept. 2020).</w:t>
            </w:r>
          </w:p>
          <w:p w14:paraId="2EA6DBE9" w14:textId="78888780" w:rsidR="00600DEE" w:rsidRPr="0045151D" w:rsidRDefault="00B67038">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[36</w:t>
            </w:r>
            <w:r w:rsidR="00641FB5" w:rsidRPr="0045151D">
              <w:rPr>
                <w:rFonts w:ascii="Calibri" w:eastAsia="Calibri" w:hAnsi="Calibri" w:cs="Calibri"/>
                <w:sz w:val="20"/>
                <w:szCs w:val="20"/>
                <w:lang w:val="en-GB"/>
              </w:rPr>
              <w:t>].</w:t>
            </w:r>
            <w:r w:rsidR="00641FB5" w:rsidRPr="0045151D">
              <w:rPr>
                <w:lang w:val="en-GB"/>
              </w:rPr>
              <w:t xml:space="preserve"> </w:t>
            </w:r>
            <w:r w:rsidR="00641FB5" w:rsidRPr="0045151D">
              <w:rPr>
                <w:rFonts w:ascii="Calibri" w:eastAsia="Calibri" w:hAnsi="Calibri" w:cs="Calibri"/>
                <w:sz w:val="20"/>
                <w:szCs w:val="20"/>
                <w:lang w:val="en-GB"/>
              </w:rPr>
              <w:t>GUS, Transport – wyniki działalności w 2019 r. Transport – activity results in 2019, 2020</w:t>
            </w:r>
          </w:p>
          <w:p w14:paraId="46BE7F2D" w14:textId="010307F7" w:rsidR="00600DEE" w:rsidRDefault="00B67038">
            <w:pPr>
              <w:spacing w:after="120"/>
              <w:ind w:right="170"/>
              <w:jc w:val="both"/>
              <w:rPr>
                <w:rFonts w:ascii="Calibri" w:eastAsia="Calibri" w:hAnsi="Calibri" w:cs="Calibri"/>
                <w:sz w:val="20"/>
                <w:szCs w:val="20"/>
              </w:rPr>
            </w:pPr>
            <w:r>
              <w:rPr>
                <w:rFonts w:ascii="Calibri" w:eastAsia="Calibri" w:hAnsi="Calibri" w:cs="Calibri"/>
                <w:sz w:val="20"/>
                <w:szCs w:val="20"/>
              </w:rPr>
              <w:t>[37</w:t>
            </w:r>
            <w:r w:rsidR="00641FB5">
              <w:rPr>
                <w:rFonts w:ascii="Calibri" w:eastAsia="Calibri" w:hAnsi="Calibri" w:cs="Calibri"/>
                <w:sz w:val="20"/>
                <w:szCs w:val="20"/>
              </w:rPr>
              <w:t>].</w:t>
            </w:r>
            <w:r w:rsidR="00641FB5">
              <w:t xml:space="preserve"> </w:t>
            </w:r>
            <w:r w:rsidR="00641FB5">
              <w:rPr>
                <w:rFonts w:ascii="Calibri" w:eastAsia="Calibri" w:hAnsi="Calibri" w:cs="Calibri"/>
                <w:sz w:val="20"/>
                <w:szCs w:val="20"/>
              </w:rPr>
              <w:t>GUS, Roczne wskaźniki makroekonomiczne, aktualizacja 2021.</w:t>
            </w:r>
          </w:p>
          <w:p w14:paraId="1521CDFF" w14:textId="388DCD6C" w:rsidR="00600DEE" w:rsidRPr="0045151D" w:rsidRDefault="00B67038">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[38</w:t>
            </w:r>
            <w:r w:rsidR="00641FB5" w:rsidRPr="0045151D">
              <w:rPr>
                <w:rFonts w:ascii="Calibri" w:eastAsia="Calibri" w:hAnsi="Calibri" w:cs="Calibri"/>
                <w:sz w:val="20"/>
                <w:szCs w:val="20"/>
                <w:lang w:val="en-GB"/>
              </w:rPr>
              <w:t>]. European Comission, Economic Appraisal Vademecum 2021-2027 - General Principles and Sector Applications, 2021</w:t>
            </w:r>
          </w:p>
          <w:p w14:paraId="4CE871A6" w14:textId="4B8C6A3E" w:rsidR="00600DEE" w:rsidRDefault="00B67038">
            <w:pPr>
              <w:spacing w:after="120"/>
              <w:ind w:right="170"/>
              <w:jc w:val="both"/>
              <w:rPr>
                <w:rFonts w:ascii="Calibri" w:eastAsia="Calibri" w:hAnsi="Calibri" w:cs="Calibri"/>
                <w:sz w:val="20"/>
                <w:szCs w:val="20"/>
              </w:rPr>
            </w:pPr>
            <w:r>
              <w:rPr>
                <w:rFonts w:ascii="Calibri" w:eastAsia="Calibri" w:hAnsi="Calibri" w:cs="Calibri"/>
                <w:sz w:val="20"/>
                <w:szCs w:val="20"/>
              </w:rPr>
              <w:t>[39</w:t>
            </w:r>
            <w:r w:rsidR="00641FB5">
              <w:rPr>
                <w:rFonts w:ascii="Calibri" w:eastAsia="Calibri" w:hAnsi="Calibri" w:cs="Calibri"/>
                <w:sz w:val="20"/>
                <w:szCs w:val="20"/>
              </w:rPr>
              <w:t>].</w:t>
            </w:r>
            <w:r w:rsidR="00641FB5">
              <w:t xml:space="preserve"> </w:t>
            </w:r>
            <w:r w:rsidR="00641FB5">
              <w:rPr>
                <w:rFonts w:ascii="Calibri" w:eastAsia="Calibri" w:hAnsi="Calibri" w:cs="Calibri"/>
                <w:sz w:val="20"/>
                <w:szCs w:val="20"/>
              </w:rPr>
              <w:t>ECB, EUR/PLN średnioroczne kursy walut.</w:t>
            </w:r>
          </w:p>
        </w:tc>
        <w:tc>
          <w:tcPr>
            <w:tcW w:w="7201" w:type="dxa"/>
            <w:tcBorders>
              <w:left w:val="single" w:sz="4" w:space="0" w:color="000000"/>
            </w:tcBorders>
            <w:tcMar>
              <w:left w:w="284" w:type="dxa"/>
              <w:right w:w="284" w:type="dxa"/>
            </w:tcMar>
          </w:tcPr>
          <w:p w14:paraId="0C5CC81F"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[1]. Belli P. et al., Economic Analysis of Investment Operations. Analytical Tools and Practical Applications, The World Bank, Washington, D.C. 2001.</w:t>
            </w:r>
          </w:p>
          <w:p w14:paraId="5E76066E"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[2]. Belli P., Handbook on Economic Analysis of Investment Operations, The World Bank, Washington, D.C. 1998.</w:t>
            </w:r>
          </w:p>
          <w:p w14:paraId="70E19A80"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[3]. Datka S., Suchorzewski W., Tracz M., Inżynieria ruchu, WKiŁ, Warszawa 1997.</w:t>
            </w:r>
          </w:p>
          <w:p w14:paraId="19F119F6" w14:textId="3528DFE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[4]. European Commission, External Costs of Transport, Externalities of Energy, Vol. 9: Fuel Cycles for Emerging and End-Use Technologies, Tran</w:t>
            </w:r>
            <w:r w:rsidR="00B95FB9">
              <w:rPr>
                <w:rFonts w:ascii="Calibri" w:eastAsia="Calibri" w:hAnsi="Calibri" w:cs="Calibri"/>
                <w:sz w:val="20"/>
                <w:szCs w:val="20"/>
                <w:lang w:val="en-GB"/>
              </w:rPr>
              <w:t xml:space="preserve">sport and Waste, </w:t>
            </w:r>
            <w:r w:rsidRPr="0045151D">
              <w:rPr>
                <w:rFonts w:ascii="Calibri" w:eastAsia="Calibri" w:hAnsi="Calibri" w:cs="Calibri"/>
                <w:sz w:val="20"/>
                <w:szCs w:val="20"/>
                <w:lang w:val="en-GB"/>
              </w:rPr>
              <w:t>Brussels 1999.</w:t>
            </w:r>
          </w:p>
          <w:p w14:paraId="517DB6C7"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[5]. European Commission, Guidance on Ex ante Conditionalities for the European Structural and Investment Funds PART II, 13 February 2013.</w:t>
            </w:r>
          </w:p>
          <w:p w14:paraId="5ED9C3E9"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[6]. European Investment Bank, Guide to Economic Appraisal of Investment Projects, Projects Directorate, Luxembourg 2012.</w:t>
            </w:r>
          </w:p>
          <w:p w14:paraId="633DB6C1"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[7]. European Investment Bank, EIB Project Carbon Footprint Methodologies, Methodologies for the Assessment of Project GHG Emissions and Emission Variations July 2020.</w:t>
            </w:r>
          </w:p>
          <w:p w14:paraId="519906A5"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[8]. Eurostat data, Gross domestic product, as percentage of EU28 per capita in purchasing power standards, current prices 2021; Electricity prices components for non-household consumers, prices net of taxes 2021. . </w:t>
            </w:r>
          </w:p>
          <w:p w14:paraId="76A0BD6E"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[9]. Florio M., Vignetti S., Cost-benefit analysis of infrastructure projects in an enlarged European Union: an incentive-oriented approach, Università degli Studi di Milano, May 2003.</w:t>
            </w:r>
          </w:p>
          <w:p w14:paraId="0F902ED5"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[10]. GDDKiA, Instrukcja obliczania przepustowości dróg i i II klasy technicznej – Załącznik do zarządzenia Nr 6/95 Generalnego Dyrektora Dróg publicznych z dnia 31 marca 1995, Warszawa 1995.</w:t>
            </w:r>
          </w:p>
          <w:p w14:paraId="29615D40"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[11]. GDDKiA, Metoda obliczania przepustowości rond – Instrukcja obliczania – Zarządzenie Nr 20 Generalnego Dyrektora Dróg Krajowych i Autostrad z dnia 23.07.2004r., Warszawa 2004.</w:t>
            </w:r>
          </w:p>
          <w:p w14:paraId="174318C0" w14:textId="694C5B5A"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 xml:space="preserve">[12]. GDDKiA, Metoda obliczania przepustowości skrzyżowań bez sygnalizacji świetlnej – Instrukcja obliczania – Zarządzenie Nr 20 Generalnego Dyrektora Dróg Krajowych i Autostrad z dnia 23.07.2004r., Warszawa 2004. </w:t>
            </w:r>
          </w:p>
          <w:p w14:paraId="04192F95"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[13]. GDDKiA, Metoda obliczania przepustowości skrzyżowań z sygnalizacją świetlną – Instrukcja obliczania – Zarządzenie Nr 20 Generalnego Dyrektora Dróg Krajowych i Autostrad z dnia 23.07.2004r., Warszawa 2004.</w:t>
            </w:r>
          </w:p>
          <w:p w14:paraId="55431296"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[14].   GDDKiA, Guidelines for the organization and realisation of the General Traffic Measurement in 2010 on national roads, Warsaw 2009.</w:t>
            </w:r>
          </w:p>
          <w:p w14:paraId="092CEBD2" w14:textId="2DA26820"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[15]. HEATCO – Developing Harmonised European Approaches for Transport Costing and Project Assessment, University of Stuttgart, Stuttgart 2006.</w:t>
            </w:r>
          </w:p>
          <w:p w14:paraId="1B5F9D46" w14:textId="6DBD88B8" w:rsidR="00600DEE" w:rsidRPr="0045151D" w:rsidRDefault="00B95FB9">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 xml:space="preserve">[16]. </w:t>
            </w:r>
            <w:r w:rsidR="00641FB5" w:rsidRPr="0045151D">
              <w:rPr>
                <w:rFonts w:ascii="Calibri" w:eastAsia="Calibri" w:hAnsi="Calibri" w:cs="Calibri"/>
                <w:sz w:val="20"/>
                <w:szCs w:val="20"/>
                <w:lang w:val="en-GB"/>
              </w:rPr>
              <w:t>GDDKiA internal CBA instruction (published in 2021) substituting IBDiM instruction dated 2008.</w:t>
            </w:r>
          </w:p>
          <w:p w14:paraId="3E2152EF" w14:textId="2E795E95"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[17]. JASPERS, The Use of Transport Models in Transport Planning and Project Appraisal, February 2014.</w:t>
            </w:r>
          </w:p>
          <w:p w14:paraId="1F775FC3"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 xml:space="preserve">[18]. Jamroz K., Budzyński M., Gaca S., Kieć M., Michalski L., Kustra W., Gumińska L., Praca badawcza wykonana na zlecenie GDDKiA, Metoda Prognozowania Wskaźników BRD dla potrzeb analiz efektywności ekonomicznej inwestycji realizowanych na drogach krajowych w Polsce, Gdańsk April 2012.  </w:t>
            </w:r>
          </w:p>
          <w:p w14:paraId="41A17383"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[19].  "Wycena kosztów wypadków i kolizji drogowych na sieci dróg w Polsce na koniec roku 2018, z wyodrębnieniem średnich kosztów społeczno-ekonomicznych wypadków na transeuropejskiej sieci transportowej", Krajowa Rada Bezpieczeństwa Ruchu Drogowego, grudzień 2019.</w:t>
            </w:r>
          </w:p>
          <w:p w14:paraId="69D940DA"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[20].  "Stan bezpieczeństwa ruchu drogowego oraz działania realizowane w tym zakresie w 2019 r.", Krajowa Rada Bezpieczeństwa Ruchu Drogowego, sierpień 2020.</w:t>
            </w:r>
          </w:p>
          <w:p w14:paraId="4E99EA59" w14:textId="77777777" w:rsidR="00600DEE" w:rsidRPr="007463B9" w:rsidRDefault="00641FB5">
            <w:pPr>
              <w:spacing w:after="120"/>
              <w:ind w:right="170"/>
              <w:jc w:val="both"/>
              <w:rPr>
                <w:rFonts w:ascii="Calibri" w:eastAsia="Calibri" w:hAnsi="Calibri" w:cs="Calibri"/>
                <w:sz w:val="20"/>
                <w:szCs w:val="20"/>
                <w:lang w:val="en-GB"/>
              </w:rPr>
            </w:pPr>
            <w:r w:rsidRPr="007463B9">
              <w:rPr>
                <w:rFonts w:ascii="Calibri" w:eastAsia="Calibri" w:hAnsi="Calibri" w:cs="Calibri"/>
                <w:sz w:val="20"/>
                <w:szCs w:val="20"/>
                <w:lang w:val="en-GB"/>
              </w:rPr>
              <w:t>[21]. Van Essen H., van Wijngaarden L., Schroten A., Sutter D., Bieler C., Maffii S., Brambilla M., Fiorello D., Fermi F., Parolin R., El Beyrouty K.,Handbook on External Costs of Transport, European Commission, Version January 2019..</w:t>
            </w:r>
          </w:p>
          <w:p w14:paraId="01C03B8B"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[22]. Krych A., Słownictwo kompleksowych badań i modelowania potoków ruch; materiały z II ogólnopolskiej konferencji Naukowo – Technicznej, Modelowanie podróży i prognozowanie ruchu, Kraków Listopada 2010.</w:t>
            </w:r>
          </w:p>
          <w:p w14:paraId="46B8E37E"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[23]. Litman T., Transportation Cost Analysis: Techniques, Estimates and Implications, Second Edition, Victoria Transport Policy Institute, Victoria, January 2009.</w:t>
            </w:r>
          </w:p>
          <w:p w14:paraId="3DFC21C2"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 xml:space="preserve">[24]. Merkisz J., Nowak M., Pielecha J., Fuć P., Merkisz-Guranowska A., Środki i infrastruktura transportu, Politechnika Warszawska, Warszawa 2013. </w:t>
            </w:r>
          </w:p>
          <w:p w14:paraId="0CA7D6D0"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[25]. Ortuzar J. de Dios, Willumsen L.G., Modelling Transport, John Wiley &amp; Sons Ltd, Chichester 2001.</w:t>
            </w:r>
          </w:p>
          <w:p w14:paraId="1DE89A0B" w14:textId="4D798278"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 xml:space="preserve">[26]. Rozporządzenie Ministra Transportu i Gospodarki Morskiej z dnia 2 marca 1999 r. w sprawie warunków technicznych, jakim powinny odpowiadać drogi publiczne i ich usytuowanie (Dz. U. z 1999r., Nr 43, poz. 430). </w:t>
            </w:r>
          </w:p>
          <w:p w14:paraId="7F6A5F79" w14:textId="77777777"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[27]. Sartori D., Catalano G., Genco M., Pancotti C., Sirtori E., Vignetti s., Del Bo C., Guide to Cost-benefit Analysis of Investment Projects – Economic appraisal tool for Cohesion Policy 2014-2020, European Commission DG Regio, Brussels December 2014. </w:t>
            </w:r>
          </w:p>
          <w:p w14:paraId="2EDDB01A" w14:textId="77777777" w:rsidR="00600DEE" w:rsidRDefault="00641FB5">
            <w:pPr>
              <w:spacing w:after="120"/>
              <w:ind w:right="170"/>
              <w:jc w:val="both"/>
              <w:rPr>
                <w:rFonts w:ascii="Calibri" w:eastAsia="Calibri" w:hAnsi="Calibri" w:cs="Calibri"/>
                <w:sz w:val="20"/>
                <w:szCs w:val="20"/>
              </w:rPr>
            </w:pPr>
            <w:r>
              <w:rPr>
                <w:rFonts w:ascii="Calibri" w:eastAsia="Calibri" w:hAnsi="Calibri" w:cs="Calibri"/>
                <w:sz w:val="20"/>
                <w:szCs w:val="20"/>
              </w:rPr>
              <w:t xml:space="preserve">[28]. Supernak J., Modele powstawania miejskiego ruchu osobowego, WKiŁ, Warszawa 1980. </w:t>
            </w:r>
          </w:p>
          <w:p w14:paraId="09B994C3" w14:textId="383CB6A6" w:rsidR="00600DEE" w:rsidRPr="0045151D" w:rsidRDefault="00641FB5">
            <w:pPr>
              <w:spacing w:after="120"/>
              <w:ind w:right="170"/>
              <w:jc w:val="both"/>
              <w:rPr>
                <w:rFonts w:ascii="Calibri" w:eastAsia="Calibri" w:hAnsi="Calibri" w:cs="Calibri"/>
                <w:sz w:val="20"/>
                <w:szCs w:val="20"/>
                <w:lang w:val="en-GB"/>
              </w:rPr>
            </w:pPr>
            <w:r w:rsidRPr="0045151D">
              <w:rPr>
                <w:rFonts w:ascii="Calibri" w:eastAsia="Calibri" w:hAnsi="Calibri" w:cs="Calibri"/>
                <w:sz w:val="20"/>
                <w:szCs w:val="20"/>
                <w:lang w:val="en-GB"/>
              </w:rPr>
              <w:t>[</w:t>
            </w:r>
            <w:r w:rsidR="002D4835">
              <w:rPr>
                <w:rFonts w:ascii="Calibri" w:eastAsia="Calibri" w:hAnsi="Calibri" w:cs="Calibri"/>
                <w:sz w:val="20"/>
                <w:szCs w:val="20"/>
                <w:lang w:val="en-GB"/>
              </w:rPr>
              <w:t>29</w:t>
            </w:r>
            <w:r w:rsidRPr="0045151D">
              <w:rPr>
                <w:rFonts w:ascii="Calibri" w:eastAsia="Calibri" w:hAnsi="Calibri" w:cs="Calibri"/>
                <w:sz w:val="20"/>
                <w:szCs w:val="20"/>
                <w:lang w:val="en-GB"/>
              </w:rPr>
              <w:t>]. United Nations, Economic Commission for Europe, Cost Benefit Analysis of Transport Infrastructure Projects. A set of guidelines for socio-economic cost benefit analysis of transport infrastructure project appraisal, New York – Geneva 2003.</w:t>
            </w:r>
          </w:p>
          <w:p w14:paraId="2F8CC2F9" w14:textId="7037538F" w:rsidR="00600DEE" w:rsidRDefault="002D4835">
            <w:pPr>
              <w:spacing w:after="120"/>
              <w:ind w:right="170"/>
              <w:jc w:val="both"/>
              <w:rPr>
                <w:rFonts w:ascii="Calibri" w:eastAsia="Calibri" w:hAnsi="Calibri" w:cs="Calibri"/>
                <w:sz w:val="20"/>
                <w:szCs w:val="20"/>
              </w:rPr>
            </w:pPr>
            <w:r>
              <w:rPr>
                <w:rFonts w:ascii="Calibri" w:eastAsia="Calibri" w:hAnsi="Calibri" w:cs="Calibri"/>
                <w:sz w:val="20"/>
                <w:szCs w:val="20"/>
              </w:rPr>
              <w:t>[30</w:t>
            </w:r>
            <w:r w:rsidR="00641FB5">
              <w:rPr>
                <w:rFonts w:ascii="Calibri" w:eastAsia="Calibri" w:hAnsi="Calibri" w:cs="Calibri"/>
                <w:sz w:val="20"/>
                <w:szCs w:val="20"/>
              </w:rPr>
              <w:t>]. Zeszyty Naukowo-Techniczne Stowarzyszenia Inżynierów i Techników Komunikacji Rzeczpospolitej Polskiej Oddział w Krakowie, Modelowanie podróży i prognozowanie ruchu, materiały konferencyjne nr 1(103)/2014.</w:t>
            </w:r>
          </w:p>
          <w:p w14:paraId="4620A4E5" w14:textId="526289D3" w:rsidR="00600DEE" w:rsidRPr="0045151D" w:rsidRDefault="002D4835">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[31</w:t>
            </w:r>
            <w:r w:rsidR="00641FB5" w:rsidRPr="0045151D">
              <w:rPr>
                <w:rFonts w:ascii="Calibri" w:eastAsia="Calibri" w:hAnsi="Calibri" w:cs="Calibri"/>
                <w:sz w:val="20"/>
                <w:szCs w:val="20"/>
                <w:lang w:val="en-GB"/>
              </w:rPr>
              <w:t>].</w:t>
            </w:r>
            <w:r w:rsidR="00641FB5" w:rsidRPr="0045151D">
              <w:rPr>
                <w:lang w:val="en-GB"/>
              </w:rPr>
              <w:t xml:space="preserve"> </w:t>
            </w:r>
            <w:r w:rsidR="00641FB5" w:rsidRPr="0045151D">
              <w:rPr>
                <w:rFonts w:ascii="Calibri" w:eastAsia="Calibri" w:hAnsi="Calibri" w:cs="Calibri"/>
                <w:sz w:val="20"/>
                <w:szCs w:val="20"/>
                <w:lang w:val="en-GB"/>
              </w:rPr>
              <w:t>G. Mellios, S. Hausberger, M. Keller, C. Samaras, L. Ntziachristos, Parameterisation of fuel consumption and CO2 emissions of passenger cars and light commercial vehicles for modelling purposes, JRC 2011</w:t>
            </w:r>
          </w:p>
          <w:p w14:paraId="6D62C83F" w14:textId="048BE804" w:rsidR="00600DEE" w:rsidRDefault="002D4835">
            <w:pPr>
              <w:spacing w:after="120"/>
              <w:ind w:right="170"/>
              <w:jc w:val="both"/>
              <w:rPr>
                <w:rFonts w:ascii="Calibri" w:eastAsia="Calibri" w:hAnsi="Calibri" w:cs="Calibri"/>
                <w:sz w:val="20"/>
                <w:szCs w:val="20"/>
              </w:rPr>
            </w:pPr>
            <w:r>
              <w:rPr>
                <w:rFonts w:ascii="Calibri" w:eastAsia="Calibri" w:hAnsi="Calibri" w:cs="Calibri"/>
                <w:sz w:val="20"/>
                <w:szCs w:val="20"/>
              </w:rPr>
              <w:t>[32</w:t>
            </w:r>
            <w:r w:rsidR="00641FB5">
              <w:rPr>
                <w:rFonts w:ascii="Calibri" w:eastAsia="Calibri" w:hAnsi="Calibri" w:cs="Calibri"/>
                <w:sz w:val="20"/>
                <w:szCs w:val="20"/>
              </w:rPr>
              <w:t>].</w:t>
            </w:r>
            <w:r w:rsidR="00641FB5">
              <w:t xml:space="preserve"> </w:t>
            </w:r>
            <w:r w:rsidR="00641FB5">
              <w:rPr>
                <w:rFonts w:ascii="Calibri" w:eastAsia="Calibri" w:hAnsi="Calibri" w:cs="Calibri"/>
                <w:sz w:val="20"/>
                <w:szCs w:val="20"/>
              </w:rPr>
              <w:t>CAKE (Centrum Analiz Klimatyczno-Energetycznych), Ścieżki redukcji emisji CO2 w sektorze transportu w Polsce w kontekście „Europejskiego Zielonego Ładu”, 2020</w:t>
            </w:r>
          </w:p>
          <w:p w14:paraId="01A8F7AD" w14:textId="5CA47375" w:rsidR="00600DEE" w:rsidRDefault="002D4835">
            <w:pPr>
              <w:spacing w:after="120"/>
              <w:ind w:right="170"/>
              <w:jc w:val="both"/>
              <w:rPr>
                <w:rFonts w:ascii="Calibri" w:eastAsia="Calibri" w:hAnsi="Calibri" w:cs="Calibri"/>
                <w:sz w:val="20"/>
                <w:szCs w:val="20"/>
              </w:rPr>
            </w:pPr>
            <w:r>
              <w:rPr>
                <w:rFonts w:ascii="Calibri" w:eastAsia="Calibri" w:hAnsi="Calibri" w:cs="Calibri"/>
                <w:sz w:val="20"/>
                <w:szCs w:val="20"/>
              </w:rPr>
              <w:t>[33</w:t>
            </w:r>
            <w:r w:rsidR="00641FB5">
              <w:rPr>
                <w:rFonts w:ascii="Calibri" w:eastAsia="Calibri" w:hAnsi="Calibri" w:cs="Calibri"/>
                <w:sz w:val="20"/>
                <w:szCs w:val="20"/>
              </w:rPr>
              <w:t>].</w:t>
            </w:r>
            <w:r w:rsidR="00641FB5">
              <w:t xml:space="preserve"> </w:t>
            </w:r>
            <w:r w:rsidR="00641FB5">
              <w:rPr>
                <w:rFonts w:ascii="Calibri" w:eastAsia="Calibri" w:hAnsi="Calibri" w:cs="Calibri"/>
                <w:sz w:val="20"/>
                <w:szCs w:val="20"/>
              </w:rPr>
              <w:t>ITS, Prognozy eksperckie zmian aktywności sektora transportu drogowego (w kontekście ustawy o systemie zarządzania emisjami gazów cieplarnianych i innych substancji), 2017</w:t>
            </w:r>
          </w:p>
          <w:p w14:paraId="4A3252C8" w14:textId="3B02465C" w:rsidR="00600DEE" w:rsidRPr="0045151D" w:rsidRDefault="002D4835">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[34</w:t>
            </w:r>
            <w:r w:rsidR="00641FB5" w:rsidRPr="0045151D">
              <w:rPr>
                <w:rFonts w:ascii="Calibri" w:eastAsia="Calibri" w:hAnsi="Calibri" w:cs="Calibri"/>
                <w:sz w:val="20"/>
                <w:szCs w:val="20"/>
                <w:lang w:val="en-GB"/>
              </w:rPr>
              <w:t>].</w:t>
            </w:r>
            <w:r w:rsidR="00641FB5" w:rsidRPr="0045151D">
              <w:rPr>
                <w:lang w:val="en-GB"/>
              </w:rPr>
              <w:t xml:space="preserve"> </w:t>
            </w:r>
            <w:r w:rsidR="00641FB5" w:rsidRPr="0045151D">
              <w:rPr>
                <w:rFonts w:ascii="Calibri" w:eastAsia="Calibri" w:hAnsi="Calibri" w:cs="Calibri"/>
                <w:sz w:val="20"/>
                <w:szCs w:val="20"/>
                <w:lang w:val="en-GB"/>
              </w:rPr>
              <w:t>OECD/ITF, Optimisation of Maintenance, 2012</w:t>
            </w:r>
          </w:p>
          <w:p w14:paraId="079E9F93" w14:textId="5499C8E6" w:rsidR="00600DEE" w:rsidRPr="0045151D" w:rsidRDefault="002D4835">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[35</w:t>
            </w:r>
            <w:r w:rsidR="00641FB5" w:rsidRPr="0045151D">
              <w:rPr>
                <w:rFonts w:ascii="Calibri" w:eastAsia="Calibri" w:hAnsi="Calibri" w:cs="Calibri"/>
                <w:sz w:val="20"/>
                <w:szCs w:val="20"/>
                <w:lang w:val="en-GB"/>
              </w:rPr>
              <w:t>].</w:t>
            </w:r>
            <w:r w:rsidR="00641FB5" w:rsidRPr="0045151D">
              <w:rPr>
                <w:lang w:val="en-GB"/>
              </w:rPr>
              <w:t xml:space="preserve"> </w:t>
            </w:r>
            <w:r w:rsidR="00641FB5" w:rsidRPr="0045151D">
              <w:rPr>
                <w:rFonts w:ascii="Calibri" w:eastAsia="Calibri" w:hAnsi="Calibri" w:cs="Calibri"/>
                <w:sz w:val="20"/>
                <w:szCs w:val="20"/>
                <w:lang w:val="en-GB"/>
              </w:rPr>
              <w:t>EMEP/EEA air pollutant emission inventory guidebook, 2019, 1.A.3.b.i-iv Road Transport Appendix 4 Emission Factors 2019 (Sept. 2020).</w:t>
            </w:r>
          </w:p>
          <w:p w14:paraId="6B5C6BF8" w14:textId="5BCD1E53" w:rsidR="00600DEE" w:rsidRPr="0045151D" w:rsidRDefault="002D4835">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[36</w:t>
            </w:r>
            <w:r w:rsidR="00641FB5" w:rsidRPr="0045151D">
              <w:rPr>
                <w:rFonts w:ascii="Calibri" w:eastAsia="Calibri" w:hAnsi="Calibri" w:cs="Calibri"/>
                <w:sz w:val="20"/>
                <w:szCs w:val="20"/>
                <w:lang w:val="en-GB"/>
              </w:rPr>
              <w:t>].</w:t>
            </w:r>
            <w:r w:rsidR="00641FB5" w:rsidRPr="0045151D">
              <w:rPr>
                <w:lang w:val="en-GB"/>
              </w:rPr>
              <w:t xml:space="preserve"> </w:t>
            </w:r>
            <w:r w:rsidR="00641FB5" w:rsidRPr="0045151D">
              <w:rPr>
                <w:rFonts w:ascii="Calibri" w:eastAsia="Calibri" w:hAnsi="Calibri" w:cs="Calibri"/>
                <w:sz w:val="20"/>
                <w:szCs w:val="20"/>
                <w:lang w:val="en-GB"/>
              </w:rPr>
              <w:t>GUS, Transport – wyniki działalności w 2019 r. Transport – activity results in 2019, 2020</w:t>
            </w:r>
          </w:p>
          <w:p w14:paraId="44B6D78B" w14:textId="177C1FB4" w:rsidR="002D4835" w:rsidRDefault="002D4835">
            <w:pPr>
              <w:spacing w:after="120"/>
              <w:ind w:right="170"/>
              <w:jc w:val="both"/>
              <w:rPr>
                <w:rFonts w:ascii="Calibri" w:eastAsia="Calibri" w:hAnsi="Calibri" w:cs="Calibri"/>
                <w:sz w:val="20"/>
                <w:szCs w:val="20"/>
              </w:rPr>
            </w:pPr>
            <w:r>
              <w:rPr>
                <w:rFonts w:ascii="Calibri" w:eastAsia="Calibri" w:hAnsi="Calibri" w:cs="Calibri"/>
                <w:sz w:val="20"/>
                <w:szCs w:val="20"/>
              </w:rPr>
              <w:t>[37</w:t>
            </w:r>
            <w:r w:rsidR="00641FB5">
              <w:rPr>
                <w:rFonts w:ascii="Calibri" w:eastAsia="Calibri" w:hAnsi="Calibri" w:cs="Calibri"/>
                <w:sz w:val="20"/>
                <w:szCs w:val="20"/>
              </w:rPr>
              <w:t>].</w:t>
            </w:r>
            <w:r w:rsidR="00641FB5">
              <w:t xml:space="preserve"> </w:t>
            </w:r>
            <w:r w:rsidR="00641FB5">
              <w:rPr>
                <w:rFonts w:ascii="Calibri" w:eastAsia="Calibri" w:hAnsi="Calibri" w:cs="Calibri"/>
                <w:sz w:val="20"/>
                <w:szCs w:val="20"/>
              </w:rPr>
              <w:t>GUS, Roczne wskaźniki makroekonomiczne, aktualizacja 2021.</w:t>
            </w:r>
          </w:p>
          <w:p w14:paraId="53A6F151" w14:textId="67298487" w:rsidR="00600DEE" w:rsidRPr="0045151D" w:rsidRDefault="002D4835">
            <w:pPr>
              <w:spacing w:after="120"/>
              <w:ind w:right="170"/>
              <w:jc w:val="both"/>
              <w:rPr>
                <w:rFonts w:ascii="Calibri" w:eastAsia="Calibri" w:hAnsi="Calibri" w:cs="Calibri"/>
                <w:sz w:val="20"/>
                <w:szCs w:val="20"/>
                <w:lang w:val="en-GB"/>
              </w:rPr>
            </w:pPr>
            <w:r w:rsidRPr="006C5DD9">
              <w:rPr>
                <w:rFonts w:ascii="Calibri" w:eastAsia="Calibri" w:hAnsi="Calibri" w:cs="Calibri"/>
                <w:sz w:val="20"/>
                <w:szCs w:val="20"/>
                <w:lang w:val="en-GB"/>
              </w:rPr>
              <w:t>[38</w:t>
            </w:r>
            <w:r w:rsidR="00641FB5" w:rsidRPr="006C5DD9">
              <w:rPr>
                <w:rFonts w:ascii="Calibri" w:eastAsia="Calibri" w:hAnsi="Calibri" w:cs="Calibri"/>
                <w:sz w:val="20"/>
                <w:szCs w:val="20"/>
                <w:lang w:val="en-GB"/>
              </w:rPr>
              <w:t xml:space="preserve">]. </w:t>
            </w:r>
            <w:r w:rsidR="00641FB5" w:rsidRPr="0045151D">
              <w:rPr>
                <w:rFonts w:ascii="Calibri" w:eastAsia="Calibri" w:hAnsi="Calibri" w:cs="Calibri"/>
                <w:sz w:val="20"/>
                <w:szCs w:val="20"/>
                <w:lang w:val="en-GB"/>
              </w:rPr>
              <w:t>European Comission, Economic Appraisal Vademecum 2021-2027 - General Principles and Sector Applications, 2021</w:t>
            </w:r>
          </w:p>
          <w:p w14:paraId="4684A3BE" w14:textId="4C906AD7" w:rsidR="00600DEE" w:rsidRPr="0045151D" w:rsidRDefault="00B67038">
            <w:pPr>
              <w:spacing w:after="120"/>
              <w:ind w:right="170"/>
              <w:jc w:val="both"/>
              <w:rPr>
                <w:rFonts w:ascii="Calibri" w:eastAsia="Calibri" w:hAnsi="Calibri" w:cs="Calibri"/>
                <w:sz w:val="20"/>
                <w:szCs w:val="20"/>
                <w:lang w:val="en-GB"/>
              </w:rPr>
            </w:pPr>
            <w:r>
              <w:rPr>
                <w:rFonts w:ascii="Calibri" w:eastAsia="Calibri" w:hAnsi="Calibri" w:cs="Calibri"/>
                <w:sz w:val="20"/>
                <w:szCs w:val="20"/>
                <w:lang w:val="en-GB"/>
              </w:rPr>
              <w:t>[39</w:t>
            </w:r>
            <w:r w:rsidR="00641FB5" w:rsidRPr="0045151D">
              <w:rPr>
                <w:rFonts w:ascii="Calibri" w:eastAsia="Calibri" w:hAnsi="Calibri" w:cs="Calibri"/>
                <w:sz w:val="20"/>
                <w:szCs w:val="20"/>
                <w:lang w:val="en-GB"/>
              </w:rPr>
              <w:t>].</w:t>
            </w:r>
            <w:r w:rsidR="00641FB5" w:rsidRPr="0045151D">
              <w:rPr>
                <w:lang w:val="en-GB"/>
              </w:rPr>
              <w:t xml:space="preserve"> </w:t>
            </w:r>
            <w:r w:rsidR="00641FB5" w:rsidRPr="0045151D">
              <w:rPr>
                <w:rFonts w:ascii="Calibri" w:eastAsia="Calibri" w:hAnsi="Calibri" w:cs="Calibri"/>
                <w:sz w:val="20"/>
                <w:szCs w:val="20"/>
                <w:lang w:val="en-GB"/>
              </w:rPr>
              <w:t>ECB, EUR/PLN exchange rates yearly averages.</w:t>
            </w:r>
          </w:p>
        </w:tc>
      </w:tr>
    </w:tbl>
    <w:p w14:paraId="0039F318" w14:textId="68D0B4E8" w:rsidR="00600DEE" w:rsidRDefault="00641FB5">
      <w:pPr>
        <w:pStyle w:val="Nagwek1"/>
        <w:rPr>
          <w:rFonts w:ascii="Calibri" w:eastAsia="Calibri" w:hAnsi="Calibri" w:cs="Calibri"/>
          <w:color w:val="0070C0"/>
        </w:rPr>
      </w:pPr>
      <w:bookmarkStart w:id="122" w:name="_Toc95378015"/>
      <w:r>
        <w:rPr>
          <w:rFonts w:ascii="Calibri" w:eastAsia="Calibri" w:hAnsi="Calibri" w:cs="Calibri"/>
          <w:color w:val="0070C0"/>
        </w:rPr>
        <w:t>Definicje i akronimy</w:t>
      </w:r>
      <w:r>
        <w:rPr>
          <w:rFonts w:ascii="Calibri" w:eastAsia="Calibri" w:hAnsi="Calibri" w:cs="Calibri"/>
          <w:color w:val="0070C0"/>
        </w:rPr>
        <w:tab/>
      </w:r>
      <w:r>
        <w:rPr>
          <w:rFonts w:ascii="Calibri" w:eastAsia="Calibri" w:hAnsi="Calibri" w:cs="Calibri"/>
          <w:color w:val="0070C0"/>
        </w:rPr>
        <w:tab/>
      </w:r>
      <w:r>
        <w:rPr>
          <w:rFonts w:ascii="Calibri" w:eastAsia="Calibri" w:hAnsi="Calibri" w:cs="Calibri"/>
          <w:color w:val="0070C0"/>
        </w:rPr>
        <w:tab/>
      </w:r>
      <w:r>
        <w:rPr>
          <w:rFonts w:ascii="Calibri" w:eastAsia="Calibri" w:hAnsi="Calibri" w:cs="Calibri"/>
          <w:color w:val="0070C0"/>
        </w:rPr>
        <w:tab/>
      </w:r>
      <w:r>
        <w:rPr>
          <w:rFonts w:ascii="Calibri" w:eastAsia="Calibri" w:hAnsi="Calibri" w:cs="Calibri"/>
          <w:color w:val="0070C0"/>
        </w:rPr>
        <w:tab/>
        <w:t xml:space="preserve">     </w:t>
      </w:r>
      <w:r>
        <w:rPr>
          <w:rFonts w:ascii="Calibri" w:eastAsia="Calibri" w:hAnsi="Calibri" w:cs="Calibri"/>
          <w:i/>
          <w:color w:val="0070C0"/>
        </w:rPr>
        <w:t>Definitions and Acronyms</w:t>
      </w:r>
      <w:bookmarkEnd w:id="122"/>
    </w:p>
    <w:tbl>
      <w:tblPr>
        <w:tblStyle w:val="affffffff9"/>
        <w:tblW w:w="14571" w:type="dxa"/>
        <w:tblLayout w:type="fixed"/>
        <w:tblLook w:val="0400" w:firstRow="0" w:lastRow="0" w:firstColumn="0" w:lastColumn="0" w:noHBand="0" w:noVBand="1"/>
      </w:tblPr>
      <w:tblGrid>
        <w:gridCol w:w="7650"/>
        <w:gridCol w:w="6921"/>
      </w:tblGrid>
      <w:tr w:rsidR="00600DEE" w:rsidRPr="007463B9" w14:paraId="468485EA" w14:textId="77777777" w:rsidTr="00482C1E">
        <w:tc>
          <w:tcPr>
            <w:tcW w:w="7650" w:type="dxa"/>
            <w:tcBorders>
              <w:right w:val="single" w:sz="4" w:space="0" w:color="000000"/>
            </w:tcBorders>
            <w:tcMar>
              <w:left w:w="284" w:type="dxa"/>
              <w:right w:w="284" w:type="dxa"/>
            </w:tcMar>
          </w:tcPr>
          <w:p w14:paraId="4A2F93DE"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 xml:space="preserve">Wariant bezinwestycyjny (W0), </w:t>
            </w:r>
            <w:r>
              <w:rPr>
                <w:rFonts w:ascii="Calibri" w:eastAsia="Calibri" w:hAnsi="Calibri" w:cs="Calibri"/>
                <w:color w:val="000000"/>
                <w:sz w:val="20"/>
                <w:szCs w:val="20"/>
              </w:rPr>
              <w:t xml:space="preserve">zwany również </w:t>
            </w:r>
            <w:r>
              <w:rPr>
                <w:rFonts w:ascii="Calibri" w:eastAsia="Calibri" w:hAnsi="Calibri" w:cs="Calibri"/>
                <w:b/>
                <w:color w:val="000000"/>
                <w:sz w:val="20"/>
                <w:szCs w:val="20"/>
              </w:rPr>
              <w:t>wariantem zerowym</w:t>
            </w:r>
            <w:r>
              <w:rPr>
                <w:rFonts w:ascii="Calibri" w:eastAsia="Calibri" w:hAnsi="Calibri" w:cs="Calibri"/>
                <w:color w:val="000000"/>
                <w:sz w:val="20"/>
                <w:szCs w:val="20"/>
              </w:rPr>
              <w:t>, jest wyjściowym wariantem w AKK (opartej na metodzie przyrostowej), ponieważ stanowi odniesienie, do którego będą porównywane wszystkie warianty inwestycyjne. Wariant bezinwestycyjny oznacza ponoszenie niezbędnych kosztów eksploatacji i utrzymania, (które wraz z upływem czasu mogą ulegać znacznemu wzrostowi ze względu na pogarszający się stan infrastruktury) w celu zapewnienia minimalnego poziomu utrzymania i umożliwienia funkcjonowania infrastruktury bez pogorszenia jej stanu technicznego przez cały okres analizy. Ta definicja winna być interpretowana, jako zapewnianie pożądanego (standardowego) poziomu remontów i utrzymania istniejącej infrastruktury i sprzętu.</w:t>
            </w:r>
          </w:p>
          <w:p w14:paraId="1E4895AD" w14:textId="07ED9503"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Wariant</w:t>
            </w:r>
            <w:r>
              <w:rPr>
                <w:rFonts w:ascii="Calibri" w:eastAsia="Calibri" w:hAnsi="Calibri" w:cs="Calibri"/>
                <w:color w:val="000000"/>
                <w:sz w:val="20"/>
                <w:szCs w:val="20"/>
              </w:rPr>
              <w:t xml:space="preserve"> </w:t>
            </w:r>
            <w:r>
              <w:rPr>
                <w:rFonts w:ascii="Calibri" w:eastAsia="Calibri" w:hAnsi="Calibri" w:cs="Calibri"/>
                <w:b/>
                <w:color w:val="000000"/>
                <w:sz w:val="20"/>
                <w:szCs w:val="20"/>
              </w:rPr>
              <w:t>Wn</w:t>
            </w:r>
            <w:r>
              <w:rPr>
                <w:rFonts w:ascii="Calibri" w:eastAsia="Calibri" w:hAnsi="Calibri" w:cs="Calibri"/>
                <w:color w:val="000000"/>
                <w:sz w:val="20"/>
                <w:szCs w:val="20"/>
              </w:rPr>
              <w:t xml:space="preserve">, zwany również </w:t>
            </w:r>
            <w:r>
              <w:rPr>
                <w:rFonts w:ascii="Calibri" w:eastAsia="Calibri" w:hAnsi="Calibri" w:cs="Calibri"/>
                <w:b/>
                <w:color w:val="000000"/>
                <w:sz w:val="20"/>
                <w:szCs w:val="20"/>
              </w:rPr>
              <w:t>wariantem z projektem</w:t>
            </w:r>
            <w:r>
              <w:rPr>
                <w:rFonts w:ascii="Calibri" w:eastAsia="Calibri" w:hAnsi="Calibri" w:cs="Calibri"/>
                <w:color w:val="000000"/>
                <w:sz w:val="20"/>
                <w:szCs w:val="20"/>
              </w:rPr>
              <w:t>, tzn. inwestycyjny (W1, W2,… Wn), oznacza wariant, w którym określa się nakłady inwestycyjne do poniesienia w pierwszym i ewentualnie w następnych latach oraz koszty utrzymania odci</w:t>
            </w:r>
            <w:r w:rsidR="002D4835">
              <w:rPr>
                <w:rFonts w:ascii="Calibri" w:eastAsia="Calibri" w:hAnsi="Calibri" w:cs="Calibri"/>
                <w:color w:val="000000"/>
                <w:sz w:val="20"/>
                <w:szCs w:val="20"/>
              </w:rPr>
              <w:t>nka nowego lub przebudowanego. W</w:t>
            </w:r>
            <w:r>
              <w:rPr>
                <w:rFonts w:ascii="Calibri" w:eastAsia="Calibri" w:hAnsi="Calibri" w:cs="Calibri"/>
                <w:color w:val="000000"/>
                <w:sz w:val="20"/>
                <w:szCs w:val="20"/>
              </w:rPr>
              <w:t> przypadku przejęcia ruchu z innego odcinka (np. miejskiego, gdy projektuje się obwodnicę miasta, lub budowę nowego mostu) uwzględnia się również koszty utrzymania i remontów drogi istniejącej odciążonej.</w:t>
            </w:r>
          </w:p>
          <w:p w14:paraId="61A2D088"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Remont cząstkowy</w:t>
            </w:r>
          </w:p>
          <w:p w14:paraId="3E26E49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a. drogi: remontem cząstkowym nawierzchni nazywamy zespół następujących zabiegów technicznych, związanych z usuwaniem uszkodzeń nawierzchni zagrażających bezpieczeństwu ruchu, jak również zabiegi obejmujące małe powierzchnie, hamujące proces powiększania się powstałych uszkodzeń, tj.:</w:t>
            </w:r>
          </w:p>
          <w:p w14:paraId="751B95D8"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łatanie nawierzchni,</w:t>
            </w:r>
          </w:p>
          <w:p w14:paraId="3E507362"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usuwanie drobnych uszkodzeń, pęknięć, złuszczeń i wykruszeń nawierzchni,</w:t>
            </w:r>
          </w:p>
          <w:p w14:paraId="2F675071"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usuwanie skutków przełomów.</w:t>
            </w:r>
          </w:p>
          <w:p w14:paraId="2985D0B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b. mosty: remonty cząstkowe dotyczą usunięcia uszkodzeń spowodowanych działaniem ruchu, warunkami atmosferycznymi i gruntowo-wodnymi oraz robót konserwacyjnych elementów konstrukcji, tj.:</w:t>
            </w:r>
          </w:p>
          <w:p w14:paraId="0DA5229A"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naprawa uszkodzonych poręczy,</w:t>
            </w:r>
          </w:p>
          <w:p w14:paraId="132D15CF"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malowanie konstrukcji i urządzeń,</w:t>
            </w:r>
          </w:p>
          <w:p w14:paraId="43AA71F4"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naprawa rozmytych skarp,</w:t>
            </w:r>
          </w:p>
          <w:p w14:paraId="7CE2699D"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usuwanie drobnych uszkodzeń, pęknięć i wykruszeń nawierzchni.</w:t>
            </w:r>
          </w:p>
          <w:p w14:paraId="14FAB349"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 xml:space="preserve">Remont okresowy </w:t>
            </w:r>
          </w:p>
          <w:p w14:paraId="70BCA5B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Prace remontowe przywracające stan pierwotny drogi lub pełną wartość techniczną obiektu mostowego, z wyłączeniem robót objętych remontami cząstkowymi oraz utrzymaniem bieżącym.</w:t>
            </w:r>
          </w:p>
          <w:p w14:paraId="102F935D" w14:textId="77777777" w:rsidR="00600DEE" w:rsidRDefault="00641FB5" w:rsidP="00D5736B">
            <w:pPr>
              <w:numPr>
                <w:ilvl w:val="0"/>
                <w:numId w:val="50"/>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Drogi: przywrócenie pierwotnych cech nawierzchni: równość, szorstkość, nośność itp.</w:t>
            </w:r>
          </w:p>
          <w:p w14:paraId="0C351DBF" w14:textId="77777777" w:rsidR="00600DEE" w:rsidRDefault="00641FB5" w:rsidP="00D5736B">
            <w:pPr>
              <w:numPr>
                <w:ilvl w:val="0"/>
                <w:numId w:val="50"/>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Mosty: wymiana uszkodzonych elementów konstrukcji, przywrócenie pierwotnych cech nawierzchni.</w:t>
            </w:r>
          </w:p>
          <w:p w14:paraId="6CC2DC62"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 xml:space="preserve">Utrzymanie bieżące </w:t>
            </w:r>
          </w:p>
          <w:p w14:paraId="0A8D9E0E" w14:textId="112A280A"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Utrzymaniem bieżącym określamy roboty o charakterze ciągłym, wykonywane w ciągu całego roku, zapewniające sprawność techniczną i bezpieczeństwo infrastruktury. Bieżące roboty utrzymaniowe obejmują także roboty sezonowe. Zależnie od pory wykonania wyróżniamy roboty: wiosenne, letnie, jesienne i zimowe</w:t>
            </w:r>
            <w:r w:rsidR="002D4835">
              <w:rPr>
                <w:rFonts w:ascii="Calibri" w:eastAsia="Calibri" w:hAnsi="Calibri" w:cs="Calibri"/>
                <w:color w:val="000000"/>
                <w:sz w:val="20"/>
                <w:szCs w:val="20"/>
              </w:rPr>
              <w:t>.</w:t>
            </w:r>
          </w:p>
          <w:p w14:paraId="75F53BB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Typowe roboty obejmują, między innymi:</w:t>
            </w:r>
          </w:p>
          <w:p w14:paraId="5C004035"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czyszczenie jezdni, poboczy i innych obszarów,</w:t>
            </w:r>
          </w:p>
          <w:p w14:paraId="10AC069A"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usuwanie zanieczyszczeń i walka z kurzem,</w:t>
            </w:r>
          </w:p>
          <w:p w14:paraId="3285F127"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drobne naprawy jezdni, poboczy i innych obszarów,</w:t>
            </w:r>
          </w:p>
          <w:p w14:paraId="57812947"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czyszczenie odwodnienia,</w:t>
            </w:r>
          </w:p>
          <w:p w14:paraId="111966E8"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utrzymanie urządzeń do uzdatniania i zbiorników wodnych,</w:t>
            </w:r>
          </w:p>
          <w:p w14:paraId="168D8B28"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drobne naprawy nawierzchni (łatanie, uszczelnianie),</w:t>
            </w:r>
          </w:p>
          <w:p w14:paraId="4F202BD6"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konserwacja oznakowania poziomego,</w:t>
            </w:r>
          </w:p>
          <w:p w14:paraId="203E9453"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czyszczenie i drobne naprawy/wymiana oznakowania pionowego,</w:t>
            </w:r>
          </w:p>
          <w:p w14:paraId="1BCCF6FE"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konserwacja barier i ogrodzeń,</w:t>
            </w:r>
          </w:p>
          <w:p w14:paraId="212C22A7"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czyszczenie i drobne naprawy budowli,</w:t>
            </w:r>
          </w:p>
          <w:p w14:paraId="353A12DF"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drobne roboty ziemne,</w:t>
            </w:r>
          </w:p>
          <w:p w14:paraId="0FF2C351"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czyszczenie ekranów akustycznych i murów oporowych,</w:t>
            </w:r>
          </w:p>
          <w:p w14:paraId="6F3BA6C8" w14:textId="7EAB49D5" w:rsidR="00600DEE" w:rsidRDefault="002D483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sidRPr="002D4835">
              <w:rPr>
                <w:rFonts w:asciiTheme="minorHAnsi" w:hAnsiTheme="minorHAnsi"/>
                <w:sz w:val="20"/>
                <w:szCs w:val="20"/>
                <w:lang w:eastAsia="en-US"/>
              </w:rPr>
              <w:t>utrzymanie elektronicznego systemu poboru opłat</w:t>
            </w:r>
            <w:r>
              <w:rPr>
                <w:rFonts w:asciiTheme="minorHAnsi" w:hAnsiTheme="minorHAnsi"/>
                <w:lang w:eastAsia="en-US"/>
              </w:rPr>
              <w:t xml:space="preserve"> </w:t>
            </w:r>
            <w:r w:rsidR="00641FB5">
              <w:rPr>
                <w:rFonts w:ascii="Calibri" w:eastAsia="Calibri" w:hAnsi="Calibri" w:cs="Calibri"/>
                <w:color w:val="000000"/>
                <w:sz w:val="20"/>
                <w:szCs w:val="20"/>
              </w:rPr>
              <w:t>(na drogach płatnych),</w:t>
            </w:r>
          </w:p>
          <w:p w14:paraId="5E7A34E0"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utrzymanie zieleni w pasie drogowym,</w:t>
            </w:r>
          </w:p>
          <w:p w14:paraId="114B56B6"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utrzymanie urządzeń informatycznych,</w:t>
            </w:r>
          </w:p>
          <w:p w14:paraId="124A35B9"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konserwacja oświetlenia (wymiana żarówek),</w:t>
            </w:r>
          </w:p>
          <w:p w14:paraId="43FBB720"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roboty zimowe: solenie (prewencyjne i po opadach),</w:t>
            </w:r>
          </w:p>
          <w:p w14:paraId="2AAD13F4"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usuwanie zanieczyszczeń i śniegu z jezdni,</w:t>
            </w:r>
          </w:p>
          <w:p w14:paraId="4CE33C80"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informacje dla użytkowników,</w:t>
            </w:r>
          </w:p>
          <w:p w14:paraId="4494D191"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usuwanie gołoledzi, szronu i szadzi,</w:t>
            </w:r>
          </w:p>
          <w:p w14:paraId="1C388411"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zabezpieczanie fragmentów zniszczonych przez mróz.</w:t>
            </w:r>
          </w:p>
          <w:p w14:paraId="3F2F323A" w14:textId="1DB0C370"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Podróż służbowa </w:t>
            </w:r>
            <w:r>
              <w:rPr>
                <w:rFonts w:ascii="Calibri" w:eastAsia="Calibri" w:hAnsi="Calibri" w:cs="Calibri"/>
                <w:color w:val="000000"/>
                <w:sz w:val="20"/>
                <w:szCs w:val="20"/>
              </w:rPr>
              <w:t>—</w:t>
            </w:r>
            <w:r>
              <w:rPr>
                <w:rFonts w:ascii="Calibri" w:eastAsia="Calibri" w:hAnsi="Calibri" w:cs="Calibri"/>
                <w:b/>
                <w:color w:val="000000"/>
                <w:sz w:val="20"/>
                <w:szCs w:val="20"/>
              </w:rPr>
              <w:t xml:space="preserve"> </w:t>
            </w:r>
            <w:r>
              <w:rPr>
                <w:rFonts w:ascii="Calibri" w:eastAsia="Calibri" w:hAnsi="Calibri" w:cs="Calibri"/>
                <w:color w:val="000000"/>
                <w:sz w:val="20"/>
                <w:szCs w:val="20"/>
              </w:rPr>
              <w:t>jest rozumiana jako podróż w </w:t>
            </w:r>
            <w:r w:rsidR="002D4835">
              <w:rPr>
                <w:rFonts w:ascii="Calibri" w:eastAsia="Calibri" w:hAnsi="Calibri" w:cs="Calibri"/>
                <w:color w:val="000000"/>
                <w:sz w:val="20"/>
                <w:szCs w:val="20"/>
              </w:rPr>
              <w:t>trakcie</w:t>
            </w:r>
            <w:r>
              <w:rPr>
                <w:rFonts w:ascii="Calibri" w:eastAsia="Calibri" w:hAnsi="Calibri" w:cs="Calibri"/>
                <w:color w:val="000000"/>
                <w:sz w:val="20"/>
                <w:szCs w:val="20"/>
              </w:rPr>
              <w:t xml:space="preserve"> pracy lub wynikająca </w:t>
            </w:r>
            <w:r>
              <w:rPr>
                <w:rFonts w:ascii="Calibri" w:eastAsia="Calibri" w:hAnsi="Calibri" w:cs="Calibri"/>
                <w:color w:val="000000"/>
                <w:sz w:val="20"/>
                <w:szCs w:val="20"/>
              </w:rPr>
              <w:br/>
              <w:t xml:space="preserve">z obowiązku służbowego, wyłączając dojazd do/z pracy (commuting). Najczęściej koszty przejazdu </w:t>
            </w:r>
            <w:r w:rsidR="002D4835">
              <w:rPr>
                <w:rFonts w:ascii="Calibri" w:eastAsia="Calibri" w:hAnsi="Calibri" w:cs="Calibri"/>
                <w:color w:val="000000"/>
                <w:sz w:val="20"/>
                <w:szCs w:val="20"/>
              </w:rPr>
              <w:t xml:space="preserve">w celach służbowych </w:t>
            </w:r>
            <w:r>
              <w:rPr>
                <w:rFonts w:ascii="Calibri" w:eastAsia="Calibri" w:hAnsi="Calibri" w:cs="Calibri"/>
                <w:color w:val="000000"/>
                <w:sz w:val="20"/>
                <w:szCs w:val="20"/>
              </w:rPr>
              <w:t>nie są pokrywane przez użytkownika tylko przez pracodawcę.</w:t>
            </w:r>
          </w:p>
          <w:p w14:paraId="10A6C1C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Prędkość projektowa </w:t>
            </w:r>
            <w:r>
              <w:rPr>
                <w:rFonts w:ascii="Calibri" w:eastAsia="Calibri" w:hAnsi="Calibri" w:cs="Calibri"/>
                <w:color w:val="333399"/>
                <w:sz w:val="20"/>
                <w:szCs w:val="20"/>
              </w:rPr>
              <w:t>–</w:t>
            </w:r>
            <w:r>
              <w:rPr>
                <w:rFonts w:ascii="Calibri" w:eastAsia="Calibri" w:hAnsi="Calibri" w:cs="Calibri"/>
                <w:b/>
                <w:color w:val="000000"/>
                <w:sz w:val="20"/>
                <w:szCs w:val="20"/>
              </w:rPr>
              <w:t xml:space="preserve"> </w:t>
            </w:r>
            <w:r>
              <w:rPr>
                <w:rFonts w:ascii="Calibri" w:eastAsia="Calibri" w:hAnsi="Calibri" w:cs="Calibri"/>
                <w:color w:val="000000"/>
                <w:sz w:val="20"/>
                <w:szCs w:val="20"/>
              </w:rPr>
              <w:t xml:space="preserve"> to prędkość, dla jakiej projektowane są parametry techniczne poszczególnych elementów drogi, zapewniająca bezpieczną jazdę pojedynczego pojazdu w normalnych warunkach.</w:t>
            </w:r>
          </w:p>
          <w:p w14:paraId="68658A12" w14:textId="35DAD266"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Średnia prędkość podróży </w:t>
            </w:r>
            <w:r>
              <w:rPr>
                <w:rFonts w:ascii="Calibri" w:eastAsia="Calibri" w:hAnsi="Calibri" w:cs="Calibri"/>
                <w:color w:val="333399"/>
                <w:sz w:val="20"/>
                <w:szCs w:val="20"/>
              </w:rPr>
              <w:t>–</w:t>
            </w:r>
            <w:r>
              <w:rPr>
                <w:rFonts w:ascii="Calibri" w:eastAsia="Calibri" w:hAnsi="Calibri" w:cs="Calibri"/>
                <w:b/>
                <w:color w:val="000000"/>
                <w:sz w:val="20"/>
                <w:szCs w:val="20"/>
              </w:rPr>
              <w:t xml:space="preserve"> </w:t>
            </w:r>
            <w:r>
              <w:rPr>
                <w:rFonts w:ascii="Calibri" w:eastAsia="Calibri" w:hAnsi="Calibri" w:cs="Calibri"/>
                <w:color w:val="000000"/>
                <w:sz w:val="20"/>
                <w:szCs w:val="20"/>
              </w:rPr>
              <w:t>to prędkość przejazdu na odcinku uwzględn</w:t>
            </w:r>
            <w:r w:rsidR="00B95FB9">
              <w:rPr>
                <w:rFonts w:ascii="Calibri" w:eastAsia="Calibri" w:hAnsi="Calibri" w:cs="Calibri"/>
                <w:color w:val="000000"/>
                <w:sz w:val="20"/>
                <w:szCs w:val="20"/>
              </w:rPr>
              <w:t xml:space="preserve">iająca ograniczenia techniczne </w:t>
            </w:r>
            <w:r>
              <w:rPr>
                <w:rFonts w:ascii="Calibri" w:eastAsia="Calibri" w:hAnsi="Calibri" w:cs="Calibri"/>
                <w:color w:val="000000"/>
                <w:sz w:val="20"/>
                <w:szCs w:val="20"/>
              </w:rPr>
              <w:t>i formalno-prawne trasy (np.: ograniczenia prędkości).</w:t>
            </w:r>
          </w:p>
          <w:p w14:paraId="1A6EC20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FNPV</w:t>
            </w:r>
            <w:r>
              <w:rPr>
                <w:rFonts w:ascii="Calibri" w:eastAsia="Calibri" w:hAnsi="Calibri" w:cs="Calibri"/>
                <w:color w:val="000000"/>
                <w:sz w:val="20"/>
                <w:szCs w:val="20"/>
              </w:rPr>
              <w:t xml:space="preserve"> – Financial Net Present Value (finansowa zaktualizowana wartość netto). Suma zdyskontowanych wartości oczekiwanych kosztów inwestycji i kosztów operacyjnych pomniejszonych o zdyskontowaną wartość oczekiwanych przychodów.</w:t>
            </w:r>
          </w:p>
          <w:p w14:paraId="2615AF0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ENPV</w:t>
            </w:r>
            <w:r>
              <w:rPr>
                <w:rFonts w:ascii="Calibri" w:eastAsia="Calibri" w:hAnsi="Calibri" w:cs="Calibri"/>
                <w:color w:val="000000"/>
                <w:sz w:val="20"/>
                <w:szCs w:val="20"/>
              </w:rPr>
              <w:t xml:space="preserve"> – Economic Net Present Value (ekonomiczna zaktualizowana wartość netto). Suma zdyskontowanych wartości oczekiwanych kosztów inwestycji pomniejszonych o zdyskontowaną wartość oczekiwanych korzyści ekonomicznych. </w:t>
            </w:r>
          </w:p>
          <w:p w14:paraId="28E8736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sidRPr="007463B9">
              <w:rPr>
                <w:rFonts w:ascii="Calibri" w:eastAsia="Calibri" w:hAnsi="Calibri" w:cs="Calibri"/>
                <w:b/>
                <w:color w:val="000000"/>
                <w:sz w:val="20"/>
                <w:szCs w:val="20"/>
              </w:rPr>
              <w:t>FRR</w:t>
            </w:r>
            <w:r w:rsidRPr="007463B9">
              <w:rPr>
                <w:rFonts w:ascii="Calibri" w:eastAsia="Calibri" w:hAnsi="Calibri" w:cs="Calibri"/>
                <w:color w:val="000000"/>
                <w:sz w:val="20"/>
                <w:szCs w:val="20"/>
              </w:rPr>
              <w:t xml:space="preserve"> – Financial (Internal) Rate of Return (finansowa wewnętrzna stopa zwrotu). </w:t>
            </w:r>
            <w:r>
              <w:rPr>
                <w:rFonts w:ascii="Calibri" w:eastAsia="Calibri" w:hAnsi="Calibri" w:cs="Calibri"/>
                <w:color w:val="000000"/>
                <w:sz w:val="20"/>
                <w:szCs w:val="20"/>
              </w:rPr>
              <w:t>Stopa dyskontowa dla której FNPV=0.</w:t>
            </w:r>
          </w:p>
          <w:p w14:paraId="789F809E"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ERR</w:t>
            </w:r>
            <w:r>
              <w:rPr>
                <w:rFonts w:ascii="Calibri" w:eastAsia="Calibri" w:hAnsi="Calibri" w:cs="Calibri"/>
                <w:color w:val="000000"/>
                <w:sz w:val="20"/>
                <w:szCs w:val="20"/>
              </w:rPr>
              <w:t xml:space="preserve"> – Economic Rate of Return (ekonomiczna wewnętrzna stopa zwrotu). Jeden ze wskaźników efektywności społeczno-ekonomicznej projektu. Stopa dyskontowa przy której bieżąca wartość korzyści równa jest wartości bieżącej kosztów tj. ekonomiczna zaktualizowana wartość netto (ENPV) jest równa 0. </w:t>
            </w:r>
          </w:p>
          <w:p w14:paraId="1A161D9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GPR – Generalny Pomiar Ruchu</w:t>
            </w:r>
            <w:r>
              <w:rPr>
                <w:rFonts w:ascii="Calibri" w:eastAsia="Calibri" w:hAnsi="Calibri" w:cs="Calibri"/>
                <w:color w:val="000000"/>
                <w:sz w:val="20"/>
                <w:szCs w:val="20"/>
              </w:rPr>
              <w:t xml:space="preserve"> – cykliczny (organizowany co 5 lat) pomiar natężeń ruchu drogowego na drogach krajowych i wojewódzkich, przeprowadzany na terenie całego kraju w celu określenia podstawowych parametrów ruchu, tj.:</w:t>
            </w:r>
          </w:p>
          <w:p w14:paraId="5D791A5E" w14:textId="77777777" w:rsidR="00600DEE" w:rsidRDefault="00641FB5" w:rsidP="00D5736B">
            <w:pPr>
              <w:numPr>
                <w:ilvl w:val="0"/>
                <w:numId w:val="47"/>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Średni Dobowy Ruch w roku (SDR) i rodzajowa struktura ruchu w punktach pomiarowych,</w:t>
            </w:r>
          </w:p>
          <w:p w14:paraId="09F5680F" w14:textId="77777777" w:rsidR="00600DEE" w:rsidRDefault="00641FB5" w:rsidP="00D5736B">
            <w:pPr>
              <w:numPr>
                <w:ilvl w:val="0"/>
                <w:numId w:val="47"/>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obciążenie ruchem sieci dróg krajowych w kraju i poszczególnych województwach z uwzględnieniem podziału funkcjonalnego dróg,</w:t>
            </w:r>
          </w:p>
          <w:p w14:paraId="26A5CE1C" w14:textId="77777777" w:rsidR="00600DEE" w:rsidRDefault="00641FB5" w:rsidP="00D5736B">
            <w:pPr>
              <w:numPr>
                <w:ilvl w:val="0"/>
                <w:numId w:val="47"/>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obciążenie ruchem sieci dróg krajowych z uwzględnieniem podziału na klasy techniczne dróg.</w:t>
            </w:r>
          </w:p>
          <w:p w14:paraId="41E0C6A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SDR </w:t>
            </w:r>
            <w:r>
              <w:rPr>
                <w:rFonts w:ascii="Calibri" w:eastAsia="Calibri" w:hAnsi="Calibri" w:cs="Calibri"/>
                <w:color w:val="000000"/>
                <w:sz w:val="20"/>
                <w:szCs w:val="20"/>
              </w:rPr>
              <w:t xml:space="preserve">, </w:t>
            </w:r>
            <w:r>
              <w:rPr>
                <w:rFonts w:ascii="Calibri" w:eastAsia="Calibri" w:hAnsi="Calibri" w:cs="Calibri"/>
                <w:b/>
                <w:color w:val="000000"/>
                <w:sz w:val="20"/>
                <w:szCs w:val="20"/>
              </w:rPr>
              <w:t>Średni dobowy ruch w roku</w:t>
            </w:r>
            <w:r>
              <w:rPr>
                <w:rFonts w:ascii="Calibri" w:eastAsia="Calibri" w:hAnsi="Calibri" w:cs="Calibri"/>
                <w:color w:val="000000"/>
                <w:sz w:val="20"/>
                <w:szCs w:val="20"/>
              </w:rPr>
              <w:t xml:space="preserve"> - liczba pojazdów silnikowych przejeżdżających przez przekrój poprzeczny drogi w ciągu 24 kolejnych godzin średnio w ciągu roku. SDR wyrażony jest w pojazdach rzeczywistych na dobę, wyliczony zgodnie z odpowiednimi wytycznymi.</w:t>
            </w:r>
          </w:p>
          <w:p w14:paraId="67322DF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Struktura rodzajowa ruchu</w:t>
            </w:r>
            <w:r>
              <w:rPr>
                <w:rFonts w:ascii="Calibri" w:eastAsia="Calibri" w:hAnsi="Calibri" w:cs="Calibri"/>
                <w:color w:val="000000"/>
                <w:sz w:val="20"/>
                <w:szCs w:val="20"/>
              </w:rPr>
              <w:t xml:space="preserve"> – podział potoku ruchu na poszczególne kategorie pojazdów w ujęciu ilościowym i procentowym.</w:t>
            </w:r>
          </w:p>
          <w:p w14:paraId="0B1A3E2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Kategorie pojazdów </w:t>
            </w:r>
            <w:r>
              <w:rPr>
                <w:rFonts w:ascii="Calibri" w:eastAsia="Calibri" w:hAnsi="Calibri" w:cs="Calibri"/>
                <w:color w:val="000000"/>
                <w:sz w:val="20"/>
                <w:szCs w:val="20"/>
              </w:rPr>
              <w:t>samochodowych uwzględniane w krajowym modelu ruchu:</w:t>
            </w:r>
          </w:p>
          <w:p w14:paraId="08CEA3A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SO </w:t>
            </w:r>
            <w:r>
              <w:rPr>
                <w:rFonts w:ascii="Calibri" w:eastAsia="Calibri" w:hAnsi="Calibri" w:cs="Calibri"/>
                <w:color w:val="000000"/>
                <w:sz w:val="20"/>
                <w:szCs w:val="20"/>
              </w:rPr>
              <w:t>– samochody osobowe,</w:t>
            </w:r>
          </w:p>
          <w:p w14:paraId="7A68F67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SD</w:t>
            </w:r>
            <w:r>
              <w:rPr>
                <w:rFonts w:ascii="Calibri" w:eastAsia="Calibri" w:hAnsi="Calibri" w:cs="Calibri"/>
                <w:color w:val="000000"/>
                <w:sz w:val="20"/>
                <w:szCs w:val="20"/>
              </w:rPr>
              <w:t xml:space="preserve"> – samochody dostawcze,</w:t>
            </w:r>
          </w:p>
          <w:p w14:paraId="27C400E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SC</w:t>
            </w:r>
            <w:r>
              <w:rPr>
                <w:rFonts w:ascii="Calibri" w:eastAsia="Calibri" w:hAnsi="Calibri" w:cs="Calibri"/>
                <w:color w:val="000000"/>
                <w:sz w:val="20"/>
                <w:szCs w:val="20"/>
              </w:rPr>
              <w:t xml:space="preserve"> – samochody ciężarowe bez przyczep,</w:t>
            </w:r>
          </w:p>
          <w:p w14:paraId="2564923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SCp</w:t>
            </w:r>
            <w:r>
              <w:rPr>
                <w:rFonts w:ascii="Calibri" w:eastAsia="Calibri" w:hAnsi="Calibri" w:cs="Calibri"/>
                <w:color w:val="000000"/>
                <w:sz w:val="20"/>
                <w:szCs w:val="20"/>
              </w:rPr>
              <w:t xml:space="preserve"> – samochody ciężarowe z przyczepami i naczepami,</w:t>
            </w:r>
          </w:p>
          <w:p w14:paraId="1E4AF798"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GPR dodatkowo uwzględnia się:</w:t>
            </w:r>
          </w:p>
          <w:p w14:paraId="3D0935F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M</w:t>
            </w:r>
            <w:r>
              <w:rPr>
                <w:rFonts w:ascii="Calibri" w:eastAsia="Calibri" w:hAnsi="Calibri" w:cs="Calibri"/>
                <w:color w:val="000000"/>
                <w:sz w:val="20"/>
                <w:szCs w:val="20"/>
              </w:rPr>
              <w:t xml:space="preserve"> – motocykle i motorowery,</w:t>
            </w:r>
          </w:p>
          <w:p w14:paraId="25693ED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SOp</w:t>
            </w:r>
            <w:r>
              <w:rPr>
                <w:rFonts w:ascii="Calibri" w:eastAsia="Calibri" w:hAnsi="Calibri" w:cs="Calibri"/>
                <w:color w:val="000000"/>
                <w:sz w:val="20"/>
                <w:szCs w:val="20"/>
              </w:rPr>
              <w:t xml:space="preserve"> – samochody osobowe z przyczepami,</w:t>
            </w:r>
          </w:p>
          <w:p w14:paraId="519BC73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A </w:t>
            </w:r>
            <w:r>
              <w:rPr>
                <w:rFonts w:ascii="Calibri" w:eastAsia="Calibri" w:hAnsi="Calibri" w:cs="Calibri"/>
                <w:color w:val="000000"/>
                <w:sz w:val="20"/>
                <w:szCs w:val="20"/>
              </w:rPr>
              <w:t>– autobusy.</w:t>
            </w:r>
          </w:p>
          <w:p w14:paraId="603598E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Kategorie pojazdów, które można zamiennie przyjąć są następujące:</w:t>
            </w:r>
          </w:p>
          <w:p w14:paraId="03372080" w14:textId="77777777" w:rsidR="00600DEE" w:rsidRDefault="00641FB5" w:rsidP="00D5736B">
            <w:pPr>
              <w:numPr>
                <w:ilvl w:val="0"/>
                <w:numId w:val="45"/>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b/>
                <w:color w:val="000000"/>
                <w:sz w:val="20"/>
                <w:szCs w:val="20"/>
              </w:rPr>
              <w:t>LV</w:t>
            </w:r>
            <w:r>
              <w:rPr>
                <w:rFonts w:ascii="Calibri" w:eastAsia="Calibri" w:hAnsi="Calibri" w:cs="Calibri"/>
                <w:color w:val="000000"/>
                <w:sz w:val="20"/>
                <w:szCs w:val="20"/>
              </w:rPr>
              <w:t xml:space="preserve"> – samochody lekkie, masa całkowita &lt; 3,5 tony,</w:t>
            </w:r>
          </w:p>
          <w:p w14:paraId="74E66E6B" w14:textId="77777777" w:rsidR="00600DEE" w:rsidRDefault="00641FB5" w:rsidP="00D5736B">
            <w:pPr>
              <w:numPr>
                <w:ilvl w:val="0"/>
                <w:numId w:val="45"/>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b/>
                <w:color w:val="000000"/>
                <w:sz w:val="20"/>
                <w:szCs w:val="20"/>
              </w:rPr>
              <w:t>HGV</w:t>
            </w:r>
            <w:r>
              <w:rPr>
                <w:rFonts w:ascii="Calibri" w:eastAsia="Calibri" w:hAnsi="Calibri" w:cs="Calibri"/>
                <w:color w:val="000000"/>
                <w:sz w:val="20"/>
                <w:szCs w:val="20"/>
              </w:rPr>
              <w:t xml:space="preserve"> – samochody ciężkie, masa całkowita &gt; 3,5 tony (w tym autobusy).</w:t>
            </w:r>
          </w:p>
          <w:p w14:paraId="4726E740" w14:textId="39F90300"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Praca </w:t>
            </w:r>
            <w:r w:rsidR="00F468E2">
              <w:rPr>
                <w:rFonts w:ascii="Calibri" w:eastAsia="Calibri" w:hAnsi="Calibri" w:cs="Calibri"/>
                <w:b/>
                <w:color w:val="000000"/>
                <w:sz w:val="20"/>
                <w:szCs w:val="20"/>
              </w:rPr>
              <w:t>eksploatacyjna</w:t>
            </w:r>
            <w:r w:rsidR="00E008AE">
              <w:rPr>
                <w:rFonts w:ascii="Calibri" w:eastAsia="Calibri" w:hAnsi="Calibri" w:cs="Calibri"/>
                <w:color w:val="000000"/>
                <w:sz w:val="20"/>
                <w:szCs w:val="20"/>
              </w:rPr>
              <w:t xml:space="preserve"> </w:t>
            </w:r>
            <w:r>
              <w:rPr>
                <w:rFonts w:ascii="Calibri" w:eastAsia="Calibri" w:hAnsi="Calibri" w:cs="Calibri"/>
                <w:color w:val="000000"/>
                <w:sz w:val="20"/>
                <w:szCs w:val="20"/>
              </w:rPr>
              <w:t xml:space="preserve">– iloczyn: liczby przejechanych kilometrów (długość drogi) i liczby pojazdów (wyrażona w pojazdokilometrach [poj-km]) lub iloczyn liczby pojazdów i czasu przejazdu (wyrażona w pojazdogodzinach [poj-h]). </w:t>
            </w:r>
          </w:p>
          <w:p w14:paraId="3A824DB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Model ruchu</w:t>
            </w:r>
            <w:r>
              <w:rPr>
                <w:rFonts w:ascii="Calibri" w:eastAsia="Calibri" w:hAnsi="Calibri" w:cs="Calibri"/>
                <w:color w:val="000000"/>
                <w:sz w:val="20"/>
                <w:szCs w:val="20"/>
              </w:rPr>
              <w:t xml:space="preserve"> – matematyczne odwzorowanie zachowań użytkowników transportu indywidualnego i/lub zbiorowego oraz transportu towarowego.</w:t>
            </w:r>
          </w:p>
          <w:p w14:paraId="33EBC8DC" w14:textId="25E806EA"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Przepustowość </w:t>
            </w:r>
            <w:r>
              <w:rPr>
                <w:rFonts w:ascii="Calibri" w:eastAsia="Calibri" w:hAnsi="Calibri" w:cs="Calibri"/>
                <w:color w:val="000000"/>
                <w:sz w:val="20"/>
                <w:szCs w:val="20"/>
              </w:rPr>
              <w:t>– największa liczba jednostek (pojazdów lub pieszych), którą może przepuścić przekrój poprzeczny drogi (ulicy, wlotu na skrzyżowanie, przejścia dla pieszych, ścieżki rowerowej, itp.) w jednostce czasu. Przepustowość wyraża się w pojaz</w:t>
            </w:r>
            <w:r w:rsidR="002D4835">
              <w:rPr>
                <w:rFonts w:ascii="Calibri" w:eastAsia="Calibri" w:hAnsi="Calibri" w:cs="Calibri"/>
                <w:color w:val="000000"/>
                <w:sz w:val="20"/>
                <w:szCs w:val="20"/>
              </w:rPr>
              <w:t>dach rzeczywistych na godzinę [poj.</w:t>
            </w:r>
            <w:r>
              <w:rPr>
                <w:rFonts w:ascii="Calibri" w:eastAsia="Calibri" w:hAnsi="Calibri" w:cs="Calibri"/>
                <w:color w:val="000000"/>
                <w:sz w:val="20"/>
                <w:szCs w:val="20"/>
              </w:rPr>
              <w:t>/h].</w:t>
            </w:r>
          </w:p>
          <w:p w14:paraId="77856AEC"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 xml:space="preserve">Klasa drogi </w:t>
            </w:r>
            <w:r>
              <w:rPr>
                <w:rFonts w:ascii="Calibri" w:eastAsia="Calibri" w:hAnsi="Calibri" w:cs="Calibri"/>
                <w:color w:val="000000"/>
                <w:sz w:val="20"/>
                <w:szCs w:val="20"/>
              </w:rPr>
              <w:t>– rozumie się przez to przyporządkowanie drodze odpowiednich parametrów technicznych, wynikających z jej cech funkcjonalnych. Wyróżniamy następujące klasy dróg:</w:t>
            </w:r>
          </w:p>
          <w:p w14:paraId="5463D91E"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autostrady, oznaczone symbolem „A”,</w:t>
            </w:r>
          </w:p>
          <w:p w14:paraId="158D37A2"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drogi ekspresowe, oznaczone symbolem „S”,</w:t>
            </w:r>
          </w:p>
          <w:p w14:paraId="659BEC42"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drogi główne ruchu przyspieszonego, oznaczone symbolem „GP”,</w:t>
            </w:r>
          </w:p>
          <w:p w14:paraId="29C398D6"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drogi główne, oznaczone symbolem „G”,</w:t>
            </w:r>
          </w:p>
          <w:p w14:paraId="4FCB230E"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drogi zbiorcze, oznaczone symbolem „Z”,</w:t>
            </w:r>
          </w:p>
          <w:p w14:paraId="3F0CBDB5"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drogi lokalne, oznaczone symbolem „L”,</w:t>
            </w:r>
          </w:p>
          <w:p w14:paraId="66D698A0" w14:textId="77777777" w:rsidR="00600DEE" w:rsidRDefault="00641FB5">
            <w:pPr>
              <w:numPr>
                <w:ilvl w:val="0"/>
                <w:numId w:val="13"/>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drogi dojazdowe, oznaczone symbolem „D”.</w:t>
            </w:r>
          </w:p>
          <w:p w14:paraId="51AA2417"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 xml:space="preserve">Droga w terenie płaskim </w:t>
            </w:r>
            <w:r>
              <w:rPr>
                <w:rFonts w:ascii="Calibri" w:eastAsia="Calibri" w:hAnsi="Calibri" w:cs="Calibri"/>
                <w:color w:val="000000"/>
                <w:sz w:val="20"/>
                <w:szCs w:val="20"/>
              </w:rPr>
              <w:t>– droga na której nachylenie podłużne jest mniejsze lub równe 2%.</w:t>
            </w:r>
          </w:p>
          <w:p w14:paraId="07376AC3" w14:textId="77777777" w:rsidR="00600DEE" w:rsidRDefault="00641FB5">
            <w:pPr>
              <w:pBdr>
                <w:top w:val="nil"/>
                <w:left w:val="nil"/>
                <w:bottom w:val="nil"/>
                <w:right w:val="nil"/>
                <w:between w:val="nil"/>
              </w:pBdr>
              <w:spacing w:before="120"/>
              <w:jc w:val="both"/>
              <w:rPr>
                <w:rFonts w:ascii="Calibri" w:eastAsia="Calibri" w:hAnsi="Calibri" w:cs="Calibri"/>
                <w:b/>
                <w:color w:val="000000"/>
                <w:sz w:val="20"/>
                <w:szCs w:val="20"/>
              </w:rPr>
            </w:pPr>
            <w:r>
              <w:rPr>
                <w:rFonts w:ascii="Calibri" w:eastAsia="Calibri" w:hAnsi="Calibri" w:cs="Calibri"/>
                <w:b/>
                <w:color w:val="000000"/>
                <w:sz w:val="20"/>
                <w:szCs w:val="20"/>
              </w:rPr>
              <w:t xml:space="preserve">Droga w terenie falistym </w:t>
            </w:r>
            <w:r>
              <w:rPr>
                <w:rFonts w:ascii="Calibri" w:eastAsia="Calibri" w:hAnsi="Calibri" w:cs="Calibri"/>
                <w:color w:val="000000"/>
                <w:sz w:val="20"/>
                <w:szCs w:val="20"/>
              </w:rPr>
              <w:t>– droga na której nachylenie podłużne wynosi od 2% do 6%.</w:t>
            </w:r>
          </w:p>
          <w:p w14:paraId="74077D9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Droga w terenie górskim </w:t>
            </w:r>
            <w:r>
              <w:rPr>
                <w:rFonts w:ascii="Calibri" w:eastAsia="Calibri" w:hAnsi="Calibri" w:cs="Calibri"/>
                <w:color w:val="000000"/>
                <w:sz w:val="20"/>
                <w:szCs w:val="20"/>
              </w:rPr>
              <w:t>– droga na której nachylenie podłużne jest większe od 6%.</w:t>
            </w:r>
          </w:p>
          <w:p w14:paraId="5E6A50B7" w14:textId="572E871E"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Kate</w:t>
            </w:r>
            <w:r w:rsidR="00B95FB9">
              <w:rPr>
                <w:rFonts w:ascii="Calibri" w:eastAsia="Calibri" w:hAnsi="Calibri" w:cs="Calibri"/>
                <w:b/>
                <w:color w:val="000000"/>
                <w:sz w:val="20"/>
                <w:szCs w:val="20"/>
              </w:rPr>
              <w:t xml:space="preserve">goria drogi </w:t>
            </w:r>
            <w:r>
              <w:rPr>
                <w:rFonts w:ascii="Calibri" w:eastAsia="Calibri" w:hAnsi="Calibri" w:cs="Calibri"/>
                <w:color w:val="000000"/>
                <w:sz w:val="20"/>
                <w:szCs w:val="20"/>
              </w:rPr>
              <w:t>- rozumie się przez to przyporządkowanie drogi odpowiedniemu podmiotowi zarządzającemu. Wyróżniamy następujące kategorie dróg:</w:t>
            </w:r>
          </w:p>
          <w:p w14:paraId="2FA75951" w14:textId="74FC6FF5" w:rsidR="00600DEE" w:rsidRDefault="00641FB5" w:rsidP="00D5736B">
            <w:pPr>
              <w:numPr>
                <w:ilvl w:val="0"/>
                <w:numId w:val="41"/>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drogi kr</w:t>
            </w:r>
            <w:r w:rsidR="00B95FB9">
              <w:rPr>
                <w:rFonts w:ascii="Calibri" w:eastAsia="Calibri" w:hAnsi="Calibri" w:cs="Calibri"/>
                <w:color w:val="000000"/>
                <w:sz w:val="20"/>
                <w:szCs w:val="20"/>
              </w:rPr>
              <w:t>ajowe (zarządzane przez GDDKiA)</w:t>
            </w:r>
            <w:r>
              <w:rPr>
                <w:rFonts w:ascii="Calibri" w:eastAsia="Calibri" w:hAnsi="Calibri" w:cs="Calibri"/>
                <w:color w:val="000000"/>
                <w:sz w:val="20"/>
                <w:szCs w:val="20"/>
              </w:rPr>
              <w:t xml:space="preserve"> - klasa A,S,GP, wyjątkowo G,</w:t>
            </w:r>
          </w:p>
          <w:p w14:paraId="421A544A" w14:textId="77777777" w:rsidR="00600DEE" w:rsidRDefault="00641FB5" w:rsidP="00D5736B">
            <w:pPr>
              <w:numPr>
                <w:ilvl w:val="0"/>
                <w:numId w:val="41"/>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drogi wojewódzkie - klasa G,Z, wyjątkowo GP,</w:t>
            </w:r>
          </w:p>
          <w:p w14:paraId="072068E3" w14:textId="77777777" w:rsidR="00600DEE" w:rsidRDefault="00641FB5" w:rsidP="00D5736B">
            <w:pPr>
              <w:numPr>
                <w:ilvl w:val="0"/>
                <w:numId w:val="41"/>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drogi powiatowe - klasa G, Z, wyjątkowo L</w:t>
            </w:r>
          </w:p>
          <w:p w14:paraId="01648351" w14:textId="3B96BB71" w:rsidR="00600DEE" w:rsidRDefault="00B95FB9" w:rsidP="00D5736B">
            <w:pPr>
              <w:numPr>
                <w:ilvl w:val="0"/>
                <w:numId w:val="41"/>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drogi gminne - klasa L, D, wyjątkowo </w:t>
            </w:r>
            <w:r w:rsidR="00641FB5">
              <w:rPr>
                <w:rFonts w:ascii="Calibri" w:eastAsia="Calibri" w:hAnsi="Calibri" w:cs="Calibri"/>
                <w:color w:val="000000"/>
                <w:sz w:val="20"/>
                <w:szCs w:val="20"/>
              </w:rPr>
              <w:t>Z.</w:t>
            </w:r>
          </w:p>
          <w:p w14:paraId="080E6C68" w14:textId="77777777" w:rsidR="00600DEE" w:rsidRDefault="00641FB5" w:rsidP="00D5736B">
            <w:pPr>
              <w:numPr>
                <w:ilvl w:val="0"/>
                <w:numId w:val="41"/>
              </w:num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leśne, zakładowe, prywatne  </w:t>
            </w:r>
          </w:p>
          <w:p w14:paraId="2C618B2E" w14:textId="419E1892" w:rsidR="00600DEE" w:rsidRDefault="00641FB5" w:rsidP="002D4835">
            <w:pPr>
              <w:spacing w:before="120"/>
              <w:jc w:val="both"/>
              <w:rPr>
                <w:rFonts w:ascii="Calibri" w:eastAsia="Calibri" w:hAnsi="Calibri" w:cs="Calibri"/>
                <w:sz w:val="20"/>
                <w:szCs w:val="20"/>
              </w:rPr>
            </w:pPr>
            <w:r>
              <w:rPr>
                <w:rFonts w:ascii="Calibri" w:eastAsia="Calibri" w:hAnsi="Calibri" w:cs="Calibri"/>
                <w:b/>
                <w:sz w:val="20"/>
                <w:szCs w:val="20"/>
              </w:rPr>
              <w:t xml:space="preserve">Bufor, obszar oddziaływania projektu </w:t>
            </w:r>
            <w:r>
              <w:rPr>
                <w:rFonts w:ascii="Calibri" w:eastAsia="Calibri" w:hAnsi="Calibri" w:cs="Calibri"/>
                <w:sz w:val="20"/>
                <w:szCs w:val="20"/>
              </w:rPr>
              <w:t xml:space="preserve">– obszar wyodrębniany z modelu sieci dróg na potrzeby analiz finansowo-ekonomicznych. Dla nowej inwestycji zamiejskiej drogowej lub autostradowej jest to zazwyczaj obszar obejmujący odcinki, dla których różnica w natężeniach ruchu pomiędzy wariantem Wn i W0 jest większa niż 10%, co można uznać za znaczące odziaływanie tej inwestycji na sieć dróg. W innych sytuacjach bufor może obejmować odcinki powyżej 5% lub powyżej 15% </w:t>
            </w:r>
            <w:r>
              <w:rPr>
                <w:rFonts w:ascii="Calibri" w:eastAsia="Calibri" w:hAnsi="Calibri" w:cs="Calibri"/>
                <w:color w:val="333399"/>
                <w:sz w:val="20"/>
                <w:szCs w:val="20"/>
              </w:rPr>
              <w:t>– w </w:t>
            </w:r>
            <w:r>
              <w:rPr>
                <w:rFonts w:ascii="Calibri" w:eastAsia="Calibri" w:hAnsi="Calibri" w:cs="Calibri"/>
                <w:sz w:val="20"/>
                <w:szCs w:val="20"/>
              </w:rPr>
              <w:t>zależności od danego projektu.</w:t>
            </w:r>
          </w:p>
        </w:tc>
        <w:tc>
          <w:tcPr>
            <w:tcW w:w="6921" w:type="dxa"/>
            <w:tcBorders>
              <w:left w:val="single" w:sz="4" w:space="0" w:color="000000"/>
            </w:tcBorders>
            <w:tcMar>
              <w:left w:w="284" w:type="dxa"/>
              <w:right w:w="284" w:type="dxa"/>
            </w:tcMar>
          </w:tcPr>
          <w:p w14:paraId="352527E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The non-investment option (W0), </w:t>
            </w:r>
            <w:r w:rsidRPr="0045151D">
              <w:rPr>
                <w:rFonts w:ascii="Calibri" w:eastAsia="Calibri" w:hAnsi="Calibri" w:cs="Calibri"/>
                <w:color w:val="000000"/>
                <w:sz w:val="20"/>
                <w:szCs w:val="20"/>
                <w:lang w:val="en-GB"/>
              </w:rPr>
              <w:t>also called</w:t>
            </w:r>
            <w:r w:rsidRPr="0045151D">
              <w:rPr>
                <w:rFonts w:ascii="Calibri" w:eastAsia="Calibri" w:hAnsi="Calibri" w:cs="Calibri"/>
                <w:b/>
                <w:color w:val="000000"/>
                <w:sz w:val="20"/>
                <w:szCs w:val="20"/>
                <w:lang w:val="en-GB"/>
              </w:rPr>
              <w:t xml:space="preserve"> without-the-project option,</w:t>
            </w:r>
            <w:r w:rsidRPr="0045151D">
              <w:rPr>
                <w:rFonts w:ascii="Calibri" w:eastAsia="Calibri" w:hAnsi="Calibri" w:cs="Calibri"/>
                <w:color w:val="000000"/>
                <w:sz w:val="20"/>
                <w:szCs w:val="20"/>
                <w:lang w:val="en-GB"/>
              </w:rPr>
              <w:t xml:space="preserve"> is the basic option in the CBA (considering the incremental approach), as it is the reference to which all investment options will be compared. The non-investment option means that required operation and maintenance costs are incurred (these may increase significantly with time as the condition of the infrastructure deteriorates) in order to enable a minimum level of maintenance and the functioning of the infrastructure without deterioration of its technical condition during the analysed period. This definition should be interpreted as the provision of a desired (standard) level of repairs and maintenance of the existing infrastructure and equipment.</w:t>
            </w:r>
          </w:p>
          <w:p w14:paraId="6D79D13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Option Wn, </w:t>
            </w:r>
            <w:r w:rsidRPr="0045151D">
              <w:rPr>
                <w:rFonts w:ascii="Calibri" w:eastAsia="Calibri" w:hAnsi="Calibri" w:cs="Calibri"/>
                <w:color w:val="000000"/>
                <w:sz w:val="20"/>
                <w:szCs w:val="20"/>
                <w:lang w:val="en-GB"/>
              </w:rPr>
              <w:t>also called</w:t>
            </w:r>
            <w:r w:rsidRPr="0045151D">
              <w:rPr>
                <w:rFonts w:ascii="Calibri" w:eastAsia="Calibri" w:hAnsi="Calibri" w:cs="Calibri"/>
                <w:b/>
                <w:color w:val="000000"/>
                <w:sz w:val="20"/>
                <w:szCs w:val="20"/>
                <w:lang w:val="en-GB"/>
              </w:rPr>
              <w:t xml:space="preserve"> with-the-project option</w:t>
            </w:r>
            <w:r w:rsidRPr="0045151D">
              <w:rPr>
                <w:rFonts w:ascii="Calibri" w:eastAsia="Calibri" w:hAnsi="Calibri" w:cs="Calibri"/>
                <w:color w:val="000000"/>
                <w:sz w:val="20"/>
                <w:szCs w:val="20"/>
                <w:lang w:val="en-GB"/>
              </w:rPr>
              <w:t xml:space="preserve"> – i.e. investment options (W1, W2,...,Wn), in which capital expenditures (to be incurred in the first and possibly following years) and maintenance costs of the new or reconstructed section are defined. In case of diverted traffic from another section (e.g. the urban section, when a bypass or a new bridge are designed), maintenance costs and costs of repairs of existing unloaded road are also considered.</w:t>
            </w:r>
          </w:p>
          <w:p w14:paraId="755BA41F"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Minor repairs</w:t>
            </w:r>
          </w:p>
          <w:p w14:paraId="57B434F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 roads: minor repair of pavement means a set of technical treatments connected with removal of damages decreasing the traffic safety as well as treatments on small areas to prevent the growth of the damaged areas, i.e.:</w:t>
            </w:r>
          </w:p>
          <w:p w14:paraId="3760E3BD" w14:textId="77777777" w:rsidR="00600DEE" w:rsidRDefault="00641FB5" w:rsidP="00D5736B">
            <w:pPr>
              <w:numPr>
                <w:ilvl w:val="0"/>
                <w:numId w:val="62"/>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patching of pavement,</w:t>
            </w:r>
          </w:p>
          <w:p w14:paraId="1B0D94BE" w14:textId="77777777" w:rsidR="00600DEE" w:rsidRPr="0045151D" w:rsidRDefault="00641FB5" w:rsidP="00D5736B">
            <w:pPr>
              <w:numPr>
                <w:ilvl w:val="0"/>
                <w:numId w:val="62"/>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removal of minor damages, cracking, spalling and ravelling of pavement,</w:t>
            </w:r>
          </w:p>
          <w:p w14:paraId="730FF0A5" w14:textId="77777777" w:rsidR="00600DEE" w:rsidRDefault="00641FB5" w:rsidP="00D5736B">
            <w:pPr>
              <w:numPr>
                <w:ilvl w:val="0"/>
                <w:numId w:val="62"/>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removing of frost damages.</w:t>
            </w:r>
          </w:p>
          <w:p w14:paraId="458FEFE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 bridges: minor repairs include removal of damages caused by traffic, weather conditions, ground and water conditions as well as maintenance treatments of structure elements, i.e.:</w:t>
            </w:r>
          </w:p>
          <w:p w14:paraId="3DF3B528" w14:textId="77777777" w:rsidR="00600DEE" w:rsidRDefault="00641FB5" w:rsidP="00D5736B">
            <w:pPr>
              <w:numPr>
                <w:ilvl w:val="0"/>
                <w:numId w:val="62"/>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repair of damaged balustrades,</w:t>
            </w:r>
          </w:p>
          <w:p w14:paraId="49798E81" w14:textId="77777777" w:rsidR="00600DEE" w:rsidRPr="0045151D" w:rsidRDefault="00641FB5" w:rsidP="00D5736B">
            <w:pPr>
              <w:numPr>
                <w:ilvl w:val="0"/>
                <w:numId w:val="62"/>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painting of the structure and devices,</w:t>
            </w:r>
          </w:p>
          <w:p w14:paraId="575CD5EF" w14:textId="77777777" w:rsidR="00600DEE" w:rsidRPr="0045151D" w:rsidRDefault="00641FB5" w:rsidP="00D5736B">
            <w:pPr>
              <w:numPr>
                <w:ilvl w:val="0"/>
                <w:numId w:val="62"/>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repair of washed out embankments,</w:t>
            </w:r>
          </w:p>
          <w:p w14:paraId="1F882152" w14:textId="77777777" w:rsidR="00600DEE" w:rsidRPr="0045151D" w:rsidRDefault="00641FB5" w:rsidP="00D5736B">
            <w:pPr>
              <w:numPr>
                <w:ilvl w:val="0"/>
                <w:numId w:val="62"/>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removal of minor damage, cracks and ravelling of pavement.</w:t>
            </w:r>
          </w:p>
          <w:p w14:paraId="4473050E"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 xml:space="preserve">Periodic maintenance </w:t>
            </w:r>
          </w:p>
          <w:p w14:paraId="0B95C1C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Rehabilitation works, to restore the original condition of the road or its full technical capacity, excluding the minor repairs and routine maintenance works. </w:t>
            </w:r>
          </w:p>
          <w:p w14:paraId="0B36D086" w14:textId="77777777" w:rsidR="00600DEE" w:rsidRPr="0045151D" w:rsidRDefault="00641FB5" w:rsidP="00D5736B">
            <w:pPr>
              <w:numPr>
                <w:ilvl w:val="0"/>
                <w:numId w:val="43"/>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Roads: restoring initial features of the pavement: evenness, roughness, bearing etc. </w:t>
            </w:r>
          </w:p>
          <w:p w14:paraId="50EA5C20" w14:textId="77777777" w:rsidR="00600DEE" w:rsidRPr="0045151D" w:rsidRDefault="00641FB5" w:rsidP="00D5736B">
            <w:pPr>
              <w:numPr>
                <w:ilvl w:val="0"/>
                <w:numId w:val="43"/>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Bridges: replacement of defective parts of the structure, restoring initial features of the pavement.</w:t>
            </w:r>
          </w:p>
          <w:p w14:paraId="49DD2159" w14:textId="77777777" w:rsidR="00600DEE" w:rsidRPr="0045151D"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 xml:space="preserve">Routine maintenance </w:t>
            </w:r>
          </w:p>
          <w:p w14:paraId="4355387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Routine maintenance is all-year-round continuous work required to keep the infrastructure technically safe and ready for day-to-day operation. Routine maintenance works include also seasonal works (spring, summer, autumn, winter).</w:t>
            </w:r>
          </w:p>
          <w:p w14:paraId="3764CF2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Typically, the works are as follows, inter-alia:</w:t>
            </w:r>
          </w:p>
          <w:p w14:paraId="316AF5E9"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cleaning of carriageway, road side and related areas,</w:t>
            </w:r>
          </w:p>
          <w:p w14:paraId="6F68CC13"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waste collection and dust prevention,</w:t>
            </w:r>
          </w:p>
          <w:p w14:paraId="2269EC57"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small repairs on carriageway, road side and related areas,</w:t>
            </w:r>
          </w:p>
          <w:p w14:paraId="549C8DC3" w14:textId="77777777" w:rsidR="00600DEE"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cleaning of drainage system ,</w:t>
            </w:r>
          </w:p>
          <w:p w14:paraId="14F7489C"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maintenance of treatment devices and ponds,</w:t>
            </w:r>
          </w:p>
          <w:p w14:paraId="6DA9492F"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small pavement repairs (patching, sealing),</w:t>
            </w:r>
          </w:p>
          <w:p w14:paraId="126978FA" w14:textId="77777777" w:rsidR="00600DEE"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maintenance of markings,</w:t>
            </w:r>
          </w:p>
          <w:p w14:paraId="7352CDAF"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cleaning and small repairs/replacement of signs,</w:t>
            </w:r>
          </w:p>
          <w:p w14:paraId="4AA99BA0"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maintenance of safety barriers and fences,</w:t>
            </w:r>
          </w:p>
          <w:p w14:paraId="67C41613"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cleaning and small repairs on structures,</w:t>
            </w:r>
          </w:p>
          <w:p w14:paraId="688FC5A5" w14:textId="77777777" w:rsidR="00600DEE"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small earthworks,</w:t>
            </w:r>
          </w:p>
          <w:p w14:paraId="6E9E369C"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cleaning of noise barriers and retaining walls,</w:t>
            </w:r>
          </w:p>
          <w:p w14:paraId="46A1FF8C" w14:textId="0329EFA4" w:rsidR="00600DEE" w:rsidRPr="0045151D" w:rsidRDefault="002D483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2D4835">
              <w:rPr>
                <w:rFonts w:asciiTheme="minorHAnsi" w:hAnsiTheme="minorHAnsi"/>
                <w:sz w:val="20"/>
                <w:szCs w:val="20"/>
                <w:lang w:val="en-GB" w:eastAsia="en-US"/>
              </w:rPr>
              <w:t>maintenance of electronic tolling system</w:t>
            </w:r>
            <w:r>
              <w:rPr>
                <w:rFonts w:asciiTheme="minorHAnsi" w:hAnsiTheme="minorHAnsi"/>
                <w:lang w:val="en-GB" w:eastAsia="en-US"/>
              </w:rPr>
              <w:t xml:space="preserve"> </w:t>
            </w:r>
            <w:r w:rsidR="00641FB5" w:rsidRPr="0045151D">
              <w:rPr>
                <w:rFonts w:ascii="Calibri" w:eastAsia="Calibri" w:hAnsi="Calibri" w:cs="Calibri"/>
                <w:color w:val="000000"/>
                <w:sz w:val="20"/>
                <w:szCs w:val="20"/>
                <w:lang w:val="en-GB"/>
              </w:rPr>
              <w:t>(where toll applies),</w:t>
            </w:r>
          </w:p>
          <w:p w14:paraId="4FD587E2"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vegetation maintenance on green areas,</w:t>
            </w:r>
          </w:p>
          <w:p w14:paraId="4DCAC3C4" w14:textId="77777777" w:rsidR="00600DEE"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IT equipment maintenance,</w:t>
            </w:r>
          </w:p>
          <w:p w14:paraId="76C507CC"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maintenance of lighting (bulb changing),</w:t>
            </w:r>
          </w:p>
          <w:p w14:paraId="7FC915E4"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winter activities:  salting (preventive and curative actions),</w:t>
            </w:r>
          </w:p>
          <w:p w14:paraId="6059C489"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cleaning and ploughing of the carriageway,</w:t>
            </w:r>
          </w:p>
          <w:p w14:paraId="6ED5AD95" w14:textId="77777777" w:rsidR="00600DEE"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user information,</w:t>
            </w:r>
          </w:p>
          <w:p w14:paraId="167129F6" w14:textId="77777777" w:rsidR="00600DEE"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removal of frost heaves,</w:t>
            </w:r>
          </w:p>
          <w:p w14:paraId="0E638D86" w14:textId="77777777" w:rsidR="00600DEE" w:rsidRPr="0045151D" w:rsidRDefault="00641FB5" w:rsidP="00D5736B">
            <w:pPr>
              <w:numPr>
                <w:ilvl w:val="0"/>
                <w:numId w:val="58"/>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securing of frost-damaged sections.</w:t>
            </w:r>
          </w:p>
          <w:p w14:paraId="1C390847" w14:textId="2CC57B53"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Business trip</w:t>
            </w:r>
            <w:r w:rsidRPr="0045151D">
              <w:rPr>
                <w:rFonts w:ascii="Calibri" w:eastAsia="Calibri" w:hAnsi="Calibri" w:cs="Calibri"/>
                <w:color w:val="000000"/>
                <w:sz w:val="20"/>
                <w:szCs w:val="20"/>
                <w:lang w:val="en-GB"/>
              </w:rPr>
              <w:t xml:space="preserve"> – trip during work time or derived from a business duty, excluding commuting. Most often cost of driving </w:t>
            </w:r>
            <w:r w:rsidR="002D4835">
              <w:rPr>
                <w:rFonts w:ascii="Calibri" w:eastAsia="Calibri" w:hAnsi="Calibri" w:cs="Calibri"/>
                <w:color w:val="000000"/>
                <w:sz w:val="20"/>
                <w:szCs w:val="20"/>
                <w:lang w:val="en-GB"/>
              </w:rPr>
              <w:t>for business purposes</w:t>
            </w:r>
            <w:r w:rsidRPr="0045151D">
              <w:rPr>
                <w:rFonts w:ascii="Calibri" w:eastAsia="Calibri" w:hAnsi="Calibri" w:cs="Calibri"/>
                <w:color w:val="000000"/>
                <w:sz w:val="20"/>
                <w:szCs w:val="20"/>
                <w:lang w:val="en-GB"/>
              </w:rPr>
              <w:t xml:space="preserve"> (</w:t>
            </w:r>
            <w:r w:rsidR="002D4835">
              <w:rPr>
                <w:rFonts w:ascii="Calibri" w:eastAsia="Calibri" w:hAnsi="Calibri" w:cs="Calibri"/>
                <w:color w:val="000000"/>
                <w:sz w:val="20"/>
                <w:szCs w:val="20"/>
                <w:lang w:val="en-GB"/>
              </w:rPr>
              <w:t xml:space="preserve">excluding </w:t>
            </w:r>
            <w:r w:rsidRPr="0045151D">
              <w:rPr>
                <w:rFonts w:ascii="Calibri" w:eastAsia="Calibri" w:hAnsi="Calibri" w:cs="Calibri"/>
                <w:color w:val="000000"/>
                <w:sz w:val="20"/>
                <w:szCs w:val="20"/>
                <w:lang w:val="en-GB"/>
              </w:rPr>
              <w:t>commuting trips) are not incurred by the user, but by their employer.</w:t>
            </w:r>
          </w:p>
          <w:p w14:paraId="4126489F" w14:textId="77777777" w:rsidR="00482C1E" w:rsidRDefault="00482C1E">
            <w:pPr>
              <w:pBdr>
                <w:top w:val="nil"/>
                <w:left w:val="nil"/>
                <w:bottom w:val="nil"/>
                <w:right w:val="nil"/>
                <w:between w:val="nil"/>
              </w:pBdr>
              <w:spacing w:before="120"/>
              <w:jc w:val="both"/>
              <w:rPr>
                <w:rFonts w:ascii="Calibri" w:eastAsia="Calibri" w:hAnsi="Calibri" w:cs="Calibri"/>
                <w:b/>
                <w:color w:val="000000"/>
                <w:sz w:val="20"/>
                <w:szCs w:val="20"/>
                <w:lang w:val="en-GB"/>
              </w:rPr>
            </w:pPr>
          </w:p>
          <w:p w14:paraId="52FF40EB" w14:textId="2912612A"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Design speed</w:t>
            </w:r>
            <w:r w:rsidRPr="0045151D">
              <w:rPr>
                <w:rFonts w:ascii="Calibri" w:eastAsia="Calibri" w:hAnsi="Calibri" w:cs="Calibri"/>
                <w:color w:val="000000"/>
                <w:sz w:val="20"/>
                <w:szCs w:val="20"/>
                <w:lang w:val="en-GB"/>
              </w:rPr>
              <w:t xml:space="preserve"> – speed for which technical parameters of individual elements of the road are designed, ensuring vehicle safety for a single vehicle moving under normal conditions.</w:t>
            </w:r>
          </w:p>
          <w:p w14:paraId="256A48E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Average travel speed</w:t>
            </w:r>
            <w:r w:rsidRPr="0045151D">
              <w:rPr>
                <w:rFonts w:ascii="Calibri" w:eastAsia="Calibri" w:hAnsi="Calibri" w:cs="Calibri"/>
                <w:color w:val="000000"/>
                <w:sz w:val="20"/>
                <w:szCs w:val="20"/>
                <w:lang w:val="en-GB"/>
              </w:rPr>
              <w:t xml:space="preserve"> – speed of drive on a section taking into consideration technical and legal limitations of the route (e.g. speed limitations).</w:t>
            </w:r>
          </w:p>
          <w:p w14:paraId="797B44A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FNPV</w:t>
            </w:r>
            <w:r w:rsidRPr="0045151D">
              <w:rPr>
                <w:rFonts w:ascii="Calibri" w:eastAsia="Calibri" w:hAnsi="Calibri" w:cs="Calibri"/>
                <w:color w:val="000000"/>
                <w:sz w:val="20"/>
                <w:szCs w:val="20"/>
                <w:lang w:val="en-GB"/>
              </w:rPr>
              <w:t xml:space="preserve"> – Financial Net Present Value – the sum obtained after the deduction of the discounted expected investment and operating costs from the discounted value of expected revenues.</w:t>
            </w:r>
          </w:p>
          <w:p w14:paraId="0905446A"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ENPV </w:t>
            </w:r>
            <w:r w:rsidRPr="0045151D">
              <w:rPr>
                <w:rFonts w:ascii="Calibri" w:eastAsia="Calibri" w:hAnsi="Calibri" w:cs="Calibri"/>
                <w:color w:val="000000"/>
                <w:sz w:val="20"/>
                <w:szCs w:val="20"/>
                <w:lang w:val="en-GB"/>
              </w:rPr>
              <w:t>– Economic Net Present Value – a sum obtained after the reduction of the discounted value of expected investment costs by the discounted value of expected economic benefits.</w:t>
            </w:r>
          </w:p>
          <w:p w14:paraId="2A1E3B4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FRR</w:t>
            </w:r>
            <w:r w:rsidRPr="0045151D">
              <w:rPr>
                <w:rFonts w:ascii="Calibri" w:eastAsia="Calibri" w:hAnsi="Calibri" w:cs="Calibri"/>
                <w:color w:val="000000"/>
                <w:sz w:val="20"/>
                <w:szCs w:val="20"/>
                <w:lang w:val="en-GB"/>
              </w:rPr>
              <w:t xml:space="preserve"> – Financial (Internal) Rate of Return – discount rate that produces zero FNPV.</w:t>
            </w:r>
          </w:p>
          <w:p w14:paraId="64D5B39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ERR</w:t>
            </w:r>
            <w:r w:rsidRPr="0045151D">
              <w:rPr>
                <w:rFonts w:ascii="Calibri" w:eastAsia="Calibri" w:hAnsi="Calibri" w:cs="Calibri"/>
                <w:color w:val="000000"/>
                <w:sz w:val="20"/>
                <w:szCs w:val="20"/>
                <w:lang w:val="en-GB"/>
              </w:rPr>
              <w:t xml:space="preserve"> – Economic Rate of Return – One of socio-economic indicators of economic profitability of the project. It is the discount rate when current benefits equal to current costs, i.e. present economic net value (ENPV) equals 0.</w:t>
            </w:r>
          </w:p>
          <w:p w14:paraId="75569D2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GPR</w:t>
            </w:r>
            <w:r w:rsidRPr="0045151D">
              <w:rPr>
                <w:rFonts w:ascii="Calibri" w:eastAsia="Calibri" w:hAnsi="Calibri" w:cs="Calibri"/>
                <w:color w:val="000000"/>
                <w:sz w:val="20"/>
                <w:szCs w:val="20"/>
                <w:lang w:val="en-GB"/>
              </w:rPr>
              <w:t xml:space="preserve"> – General Traffic Survey (Generalny Pomiar Ruchu) – a nationwide cyclical measurement (every 5 years) of the traffic volumes on national and voivodeship roads, held for the purpose of determining the following basic traffic parameters:</w:t>
            </w:r>
          </w:p>
          <w:p w14:paraId="16D825C8" w14:textId="77777777" w:rsidR="00600DEE" w:rsidRPr="0045151D" w:rsidRDefault="00641FB5" w:rsidP="00D5736B">
            <w:pPr>
              <w:numPr>
                <w:ilvl w:val="0"/>
                <w:numId w:val="44"/>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Average Annual Daily Traffic (AADT) and traffic structure on sections with counting systems,</w:t>
            </w:r>
          </w:p>
          <w:p w14:paraId="7D2E351B" w14:textId="77777777" w:rsidR="00600DEE" w:rsidRPr="0045151D" w:rsidRDefault="00641FB5" w:rsidP="00D5736B">
            <w:pPr>
              <w:numPr>
                <w:ilvl w:val="0"/>
                <w:numId w:val="44"/>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traffic flows on the national and voivodeship road networks considering the functional characteristics of roads,</w:t>
            </w:r>
          </w:p>
          <w:p w14:paraId="70B849A3" w14:textId="77777777" w:rsidR="00600DEE" w:rsidRPr="0045151D" w:rsidRDefault="00641FB5" w:rsidP="00D5736B">
            <w:pPr>
              <w:numPr>
                <w:ilvl w:val="0"/>
                <w:numId w:val="44"/>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traffic flows on the national road network considering the technical  characteristics of roads,</w:t>
            </w:r>
          </w:p>
          <w:p w14:paraId="68EDE3B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AADT, Average Annual Daily Traffic</w:t>
            </w:r>
            <w:r w:rsidRPr="0045151D">
              <w:rPr>
                <w:rFonts w:ascii="Calibri" w:eastAsia="Calibri" w:hAnsi="Calibri" w:cs="Calibri"/>
                <w:color w:val="000000"/>
                <w:sz w:val="20"/>
                <w:szCs w:val="20"/>
                <w:lang w:val="en-GB"/>
              </w:rPr>
              <w:t xml:space="preserve"> – the number of motor vehicles travelling through a given road cross section within 24 consecutive hours – annual average, is expressed in the terms of actual number of vehicles per day calculated according to relevant guidelines.</w:t>
            </w:r>
          </w:p>
          <w:p w14:paraId="09465DF8" w14:textId="540C5A0D"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Traffic Structure</w:t>
            </w:r>
            <w:r w:rsidRPr="0045151D">
              <w:rPr>
                <w:rFonts w:ascii="Calibri" w:eastAsia="Calibri" w:hAnsi="Calibri" w:cs="Calibri"/>
                <w:color w:val="000000"/>
                <w:sz w:val="20"/>
                <w:szCs w:val="20"/>
                <w:lang w:val="en-GB"/>
              </w:rPr>
              <w:t xml:space="preserve"> – division of the traffic flows into individual categories of vehicles – expr</w:t>
            </w:r>
            <w:r w:rsidR="00B95FB9">
              <w:rPr>
                <w:rFonts w:ascii="Calibri" w:eastAsia="Calibri" w:hAnsi="Calibri" w:cs="Calibri"/>
                <w:color w:val="000000"/>
                <w:sz w:val="20"/>
                <w:szCs w:val="20"/>
                <w:lang w:val="en-GB"/>
              </w:rPr>
              <w:t xml:space="preserve">essed in terms of quantity </w:t>
            </w:r>
            <w:r w:rsidRPr="0045151D">
              <w:rPr>
                <w:rFonts w:ascii="Calibri" w:eastAsia="Calibri" w:hAnsi="Calibri" w:cs="Calibri"/>
                <w:color w:val="000000"/>
                <w:sz w:val="20"/>
                <w:szCs w:val="20"/>
                <w:lang w:val="en-GB"/>
              </w:rPr>
              <w:t>and percentage.</w:t>
            </w:r>
          </w:p>
          <w:p w14:paraId="6B8FAF2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Categories of vehicles</w:t>
            </w:r>
            <w:r w:rsidRPr="0045151D">
              <w:rPr>
                <w:rFonts w:ascii="Calibri" w:eastAsia="Calibri" w:hAnsi="Calibri" w:cs="Calibri"/>
                <w:color w:val="000000"/>
                <w:sz w:val="20"/>
                <w:szCs w:val="20"/>
                <w:lang w:val="en-GB"/>
              </w:rPr>
              <w:t>, according to the national traffic model:</w:t>
            </w:r>
          </w:p>
          <w:p w14:paraId="024091D8"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 xml:space="preserve">SO </w:t>
            </w:r>
            <w:r>
              <w:rPr>
                <w:rFonts w:ascii="Calibri" w:eastAsia="Calibri" w:hAnsi="Calibri" w:cs="Calibri"/>
                <w:color w:val="000000"/>
                <w:sz w:val="20"/>
                <w:szCs w:val="20"/>
              </w:rPr>
              <w:t>– (Samochody Osobowe) passenger cars,</w:t>
            </w:r>
          </w:p>
          <w:p w14:paraId="0227B10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SD</w:t>
            </w:r>
            <w:r>
              <w:rPr>
                <w:rFonts w:ascii="Calibri" w:eastAsia="Calibri" w:hAnsi="Calibri" w:cs="Calibri"/>
                <w:color w:val="000000"/>
                <w:sz w:val="20"/>
                <w:szCs w:val="20"/>
              </w:rPr>
              <w:t xml:space="preserve"> – (Samochody Dostawcze) commercial vehicles,</w:t>
            </w:r>
          </w:p>
          <w:p w14:paraId="47BE73A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SC</w:t>
            </w:r>
            <w:r>
              <w:rPr>
                <w:rFonts w:ascii="Calibri" w:eastAsia="Calibri" w:hAnsi="Calibri" w:cs="Calibri"/>
                <w:color w:val="000000"/>
                <w:sz w:val="20"/>
                <w:szCs w:val="20"/>
              </w:rPr>
              <w:t xml:space="preserve"> – (Samochody Ciężarowe) trucks without trailers,</w:t>
            </w:r>
          </w:p>
          <w:p w14:paraId="70674A3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b/>
                <w:color w:val="000000"/>
                <w:sz w:val="20"/>
                <w:szCs w:val="20"/>
              </w:rPr>
              <w:t>SCp</w:t>
            </w:r>
            <w:r>
              <w:rPr>
                <w:rFonts w:ascii="Calibri" w:eastAsia="Calibri" w:hAnsi="Calibri" w:cs="Calibri"/>
                <w:color w:val="000000"/>
                <w:sz w:val="20"/>
                <w:szCs w:val="20"/>
              </w:rPr>
              <w:t xml:space="preserve"> – (Samochody Ciężarowe z Przyczepami) trucks with trailers/semi- trailers,</w:t>
            </w:r>
          </w:p>
          <w:p w14:paraId="45970AE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GPR, these additional categories are taken into account:</w:t>
            </w:r>
          </w:p>
          <w:p w14:paraId="4E8A218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M </w:t>
            </w:r>
            <w:r w:rsidRPr="0045151D">
              <w:rPr>
                <w:rFonts w:ascii="Calibri" w:eastAsia="Calibri" w:hAnsi="Calibri" w:cs="Calibri"/>
                <w:color w:val="000000"/>
                <w:sz w:val="20"/>
                <w:szCs w:val="20"/>
                <w:lang w:val="en-GB"/>
              </w:rPr>
              <w:t>–motorcycles and mopeds,</w:t>
            </w:r>
          </w:p>
          <w:p w14:paraId="2435EBB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SOp</w:t>
            </w:r>
            <w:r w:rsidRPr="0045151D">
              <w:rPr>
                <w:rFonts w:ascii="Calibri" w:eastAsia="Calibri" w:hAnsi="Calibri" w:cs="Calibri"/>
                <w:color w:val="000000"/>
                <w:sz w:val="20"/>
                <w:szCs w:val="20"/>
                <w:lang w:val="en-GB"/>
              </w:rPr>
              <w:t xml:space="preserve"> – (Samochody Osobowe z Przyczepami) passenger cars with trailers,</w:t>
            </w:r>
          </w:p>
          <w:p w14:paraId="43A004D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A </w:t>
            </w:r>
            <w:r w:rsidRPr="0045151D">
              <w:rPr>
                <w:rFonts w:ascii="Calibri" w:eastAsia="Calibri" w:hAnsi="Calibri" w:cs="Calibri"/>
                <w:color w:val="000000"/>
                <w:sz w:val="20"/>
                <w:szCs w:val="20"/>
                <w:lang w:val="en-GB"/>
              </w:rPr>
              <w:t>– (Autobusy) buses.</w:t>
            </w:r>
          </w:p>
          <w:p w14:paraId="6CE5E17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Vehicle categories which can alternatively be used:</w:t>
            </w:r>
          </w:p>
          <w:p w14:paraId="4A07E275" w14:textId="77777777" w:rsidR="00600DEE" w:rsidRPr="0045151D" w:rsidRDefault="00641FB5" w:rsidP="00D5736B">
            <w:pPr>
              <w:numPr>
                <w:ilvl w:val="0"/>
                <w:numId w:val="59"/>
              </w:numPr>
              <w:pBdr>
                <w:top w:val="nil"/>
                <w:left w:val="nil"/>
                <w:bottom w:val="nil"/>
                <w:right w:val="nil"/>
                <w:between w:val="nil"/>
              </w:pBdr>
              <w:spacing w:before="120"/>
              <w:ind w:hanging="7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LV</w:t>
            </w:r>
            <w:r w:rsidRPr="0045151D">
              <w:rPr>
                <w:rFonts w:ascii="Calibri" w:eastAsia="Calibri" w:hAnsi="Calibri" w:cs="Calibri"/>
                <w:color w:val="000000"/>
                <w:sz w:val="20"/>
                <w:szCs w:val="20"/>
                <w:lang w:val="en-GB"/>
              </w:rPr>
              <w:t xml:space="preserve"> – light vehicles, gross weight &lt; 3,5 tons,</w:t>
            </w:r>
          </w:p>
          <w:p w14:paraId="2B8773F4" w14:textId="77777777" w:rsidR="00600DEE" w:rsidRPr="0045151D" w:rsidRDefault="00641FB5" w:rsidP="00D5736B">
            <w:pPr>
              <w:numPr>
                <w:ilvl w:val="0"/>
                <w:numId w:val="45"/>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HGV</w:t>
            </w:r>
            <w:r w:rsidRPr="0045151D">
              <w:rPr>
                <w:rFonts w:ascii="Calibri" w:eastAsia="Calibri" w:hAnsi="Calibri" w:cs="Calibri"/>
                <w:color w:val="000000"/>
                <w:sz w:val="20"/>
                <w:szCs w:val="20"/>
                <w:lang w:val="en-GB"/>
              </w:rPr>
              <w:t xml:space="preserve"> – heavy goods vehicles, gross weight &gt; 3,5 tons (incl. buses).</w:t>
            </w:r>
          </w:p>
          <w:p w14:paraId="06781C21"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Transport work</w:t>
            </w:r>
            <w:r w:rsidRPr="0045151D">
              <w:rPr>
                <w:rFonts w:ascii="Calibri" w:eastAsia="Calibri" w:hAnsi="Calibri" w:cs="Calibri"/>
                <w:color w:val="000000"/>
                <w:sz w:val="20"/>
                <w:szCs w:val="20"/>
                <w:lang w:val="en-GB"/>
              </w:rPr>
              <w:t xml:space="preserve"> – product of the number of kilometres travelled (the length of roads) and the number of vehicles (expressed in vehicle kilometres [veh-km]) or product of the number of vehicles and the travel time (expressed in vehicle hours [veh-h]). </w:t>
            </w:r>
          </w:p>
          <w:p w14:paraId="48DBD23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Traffic Model</w:t>
            </w:r>
            <w:r w:rsidRPr="0045151D">
              <w:rPr>
                <w:rFonts w:ascii="Calibri" w:eastAsia="Calibri" w:hAnsi="Calibri" w:cs="Calibri"/>
                <w:color w:val="000000"/>
                <w:sz w:val="20"/>
                <w:szCs w:val="20"/>
                <w:lang w:val="en-GB"/>
              </w:rPr>
              <w:t xml:space="preserve"> – mathematical transposition of the behaviours of individual and/or public transport users and freight transport.</w:t>
            </w:r>
          </w:p>
          <w:p w14:paraId="341C529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Traffic Flow Capacity</w:t>
            </w:r>
            <w:r w:rsidRPr="0045151D">
              <w:rPr>
                <w:rFonts w:ascii="Calibri" w:eastAsia="Calibri" w:hAnsi="Calibri" w:cs="Calibri"/>
                <w:color w:val="000000"/>
                <w:sz w:val="20"/>
                <w:szCs w:val="20"/>
                <w:lang w:val="en-GB"/>
              </w:rPr>
              <w:t xml:space="preserve"> – the greatest number of units (vehicles or pedestrians) that can pass through a road section (street, intersection entry, pedestrian crossing, bicycle route, etc.) during a given unit of time.</w:t>
            </w:r>
          </w:p>
          <w:p w14:paraId="3D9A0137"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Traffic flow capacity is expressed in terms of actual vehicles per hour [veh/h].</w:t>
            </w:r>
          </w:p>
          <w:p w14:paraId="582D6CF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sidRPr="0045151D">
              <w:rPr>
                <w:rFonts w:ascii="Calibri" w:eastAsia="Calibri" w:hAnsi="Calibri" w:cs="Calibri"/>
                <w:b/>
                <w:color w:val="000000"/>
                <w:sz w:val="20"/>
                <w:szCs w:val="20"/>
                <w:lang w:val="en-GB"/>
              </w:rPr>
              <w:t>Road classes</w:t>
            </w:r>
            <w:r w:rsidRPr="0045151D">
              <w:rPr>
                <w:rFonts w:ascii="Calibri" w:eastAsia="Calibri" w:hAnsi="Calibri" w:cs="Calibri"/>
                <w:color w:val="000000"/>
                <w:sz w:val="20"/>
                <w:szCs w:val="20"/>
                <w:lang w:val="en-GB"/>
              </w:rPr>
              <w:t xml:space="preserve"> – based on allocation of relevant technical parameters to a road that represent its characteristics. </w:t>
            </w:r>
            <w:r>
              <w:rPr>
                <w:rFonts w:ascii="Calibri" w:eastAsia="Calibri" w:hAnsi="Calibri" w:cs="Calibri"/>
                <w:color w:val="000000"/>
                <w:sz w:val="20"/>
                <w:szCs w:val="20"/>
              </w:rPr>
              <w:t>The road classes are:</w:t>
            </w:r>
          </w:p>
          <w:p w14:paraId="61B99B8A" w14:textId="77777777" w:rsidR="00600DEE" w:rsidRDefault="00641FB5" w:rsidP="00D5736B">
            <w:pPr>
              <w:numPr>
                <w:ilvl w:val="0"/>
                <w:numId w:val="63"/>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b/>
                <w:color w:val="000000"/>
                <w:sz w:val="20"/>
                <w:szCs w:val="20"/>
              </w:rPr>
              <w:t>A</w:t>
            </w:r>
            <w:r>
              <w:rPr>
                <w:rFonts w:ascii="Calibri" w:eastAsia="Calibri" w:hAnsi="Calibri" w:cs="Calibri"/>
                <w:color w:val="000000"/>
                <w:sz w:val="20"/>
                <w:szCs w:val="20"/>
              </w:rPr>
              <w:t xml:space="preserve"> - motorways,</w:t>
            </w:r>
          </w:p>
          <w:p w14:paraId="2890E13D" w14:textId="77777777" w:rsidR="00600DEE" w:rsidRDefault="00641FB5" w:rsidP="00D5736B">
            <w:pPr>
              <w:numPr>
                <w:ilvl w:val="0"/>
                <w:numId w:val="63"/>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b/>
                <w:color w:val="000000"/>
                <w:sz w:val="20"/>
                <w:szCs w:val="20"/>
              </w:rPr>
              <w:t>S</w:t>
            </w:r>
            <w:r>
              <w:rPr>
                <w:rFonts w:ascii="Calibri" w:eastAsia="Calibri" w:hAnsi="Calibri" w:cs="Calibri"/>
                <w:color w:val="000000"/>
                <w:sz w:val="20"/>
                <w:szCs w:val="20"/>
              </w:rPr>
              <w:t xml:space="preserve"> - expressways,</w:t>
            </w:r>
          </w:p>
          <w:p w14:paraId="591DAE69" w14:textId="013FD400" w:rsidR="00600DEE" w:rsidRDefault="00641FB5" w:rsidP="00D5736B">
            <w:pPr>
              <w:numPr>
                <w:ilvl w:val="0"/>
                <w:numId w:val="63"/>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b/>
                <w:color w:val="000000"/>
                <w:sz w:val="20"/>
                <w:szCs w:val="20"/>
              </w:rPr>
              <w:t>GP</w:t>
            </w:r>
            <w:r w:rsidR="00B95FB9">
              <w:rPr>
                <w:rFonts w:ascii="Calibri" w:eastAsia="Calibri" w:hAnsi="Calibri" w:cs="Calibri"/>
                <w:color w:val="000000"/>
                <w:sz w:val="20"/>
                <w:szCs w:val="20"/>
              </w:rPr>
              <w:t xml:space="preserve"> - </w:t>
            </w:r>
            <w:r>
              <w:rPr>
                <w:rFonts w:ascii="Calibri" w:eastAsia="Calibri" w:hAnsi="Calibri" w:cs="Calibri"/>
                <w:color w:val="000000"/>
                <w:sz w:val="20"/>
                <w:szCs w:val="20"/>
              </w:rPr>
              <w:t>trunk roads,</w:t>
            </w:r>
          </w:p>
          <w:p w14:paraId="62B8D666" w14:textId="77777777" w:rsidR="00600DEE" w:rsidRDefault="00641FB5" w:rsidP="00D5736B">
            <w:pPr>
              <w:numPr>
                <w:ilvl w:val="0"/>
                <w:numId w:val="63"/>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b/>
                <w:color w:val="000000"/>
                <w:sz w:val="20"/>
                <w:szCs w:val="20"/>
              </w:rPr>
              <w:t>G</w:t>
            </w:r>
            <w:r>
              <w:rPr>
                <w:rFonts w:ascii="Calibri" w:eastAsia="Calibri" w:hAnsi="Calibri" w:cs="Calibri"/>
                <w:color w:val="000000"/>
                <w:sz w:val="20"/>
                <w:szCs w:val="20"/>
              </w:rPr>
              <w:t xml:space="preserve"> - main roads,</w:t>
            </w:r>
          </w:p>
          <w:p w14:paraId="6805E23E" w14:textId="77777777" w:rsidR="00600DEE" w:rsidRDefault="00641FB5" w:rsidP="00D5736B">
            <w:pPr>
              <w:numPr>
                <w:ilvl w:val="0"/>
                <w:numId w:val="63"/>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b/>
                <w:color w:val="000000"/>
                <w:sz w:val="20"/>
                <w:szCs w:val="20"/>
              </w:rPr>
              <w:t>Z</w:t>
            </w:r>
            <w:r>
              <w:rPr>
                <w:rFonts w:ascii="Calibri" w:eastAsia="Calibri" w:hAnsi="Calibri" w:cs="Calibri"/>
                <w:color w:val="000000"/>
                <w:sz w:val="20"/>
                <w:szCs w:val="20"/>
              </w:rPr>
              <w:t xml:space="preserve"> - collector roads,</w:t>
            </w:r>
          </w:p>
          <w:p w14:paraId="44C54089" w14:textId="77777777" w:rsidR="00600DEE" w:rsidRDefault="00641FB5" w:rsidP="00D5736B">
            <w:pPr>
              <w:numPr>
                <w:ilvl w:val="0"/>
                <w:numId w:val="63"/>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b/>
                <w:color w:val="000000"/>
                <w:sz w:val="20"/>
                <w:szCs w:val="20"/>
              </w:rPr>
              <w:t>L</w:t>
            </w:r>
            <w:r>
              <w:rPr>
                <w:rFonts w:ascii="Calibri" w:eastAsia="Calibri" w:hAnsi="Calibri" w:cs="Calibri"/>
                <w:color w:val="000000"/>
                <w:sz w:val="20"/>
                <w:szCs w:val="20"/>
              </w:rPr>
              <w:t xml:space="preserve"> - local roads,</w:t>
            </w:r>
          </w:p>
          <w:p w14:paraId="5E49A3B4" w14:textId="77777777" w:rsidR="00600DEE" w:rsidRDefault="00641FB5" w:rsidP="00D5736B">
            <w:pPr>
              <w:numPr>
                <w:ilvl w:val="0"/>
                <w:numId w:val="63"/>
              </w:numPr>
              <w:pBdr>
                <w:top w:val="nil"/>
                <w:left w:val="nil"/>
                <w:bottom w:val="nil"/>
                <w:right w:val="nil"/>
                <w:between w:val="nil"/>
              </w:pBdr>
              <w:spacing w:before="120"/>
              <w:ind w:left="707" w:hanging="707"/>
              <w:jc w:val="both"/>
              <w:rPr>
                <w:rFonts w:ascii="Calibri" w:eastAsia="Calibri" w:hAnsi="Calibri" w:cs="Calibri"/>
                <w:color w:val="000000"/>
                <w:sz w:val="20"/>
                <w:szCs w:val="20"/>
              </w:rPr>
            </w:pPr>
            <w:r>
              <w:rPr>
                <w:rFonts w:ascii="Calibri" w:eastAsia="Calibri" w:hAnsi="Calibri" w:cs="Calibri"/>
                <w:b/>
                <w:color w:val="000000"/>
                <w:sz w:val="20"/>
                <w:szCs w:val="20"/>
              </w:rPr>
              <w:t>D</w:t>
            </w:r>
            <w:r>
              <w:rPr>
                <w:rFonts w:ascii="Calibri" w:eastAsia="Calibri" w:hAnsi="Calibri" w:cs="Calibri"/>
                <w:color w:val="000000"/>
                <w:sz w:val="20"/>
                <w:szCs w:val="20"/>
              </w:rPr>
              <w:t xml:space="preserve"> – access roads.</w:t>
            </w:r>
          </w:p>
          <w:p w14:paraId="4A1A2BB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Road in flat terrain</w:t>
            </w:r>
            <w:r w:rsidRPr="0045151D">
              <w:rPr>
                <w:rFonts w:ascii="Calibri" w:eastAsia="Calibri" w:hAnsi="Calibri" w:cs="Calibri"/>
                <w:color w:val="000000"/>
                <w:sz w:val="20"/>
                <w:szCs w:val="20"/>
                <w:lang w:val="en-GB"/>
              </w:rPr>
              <w:t xml:space="preserve"> – a road on which the gradient is less than or equal to 2%.</w:t>
            </w:r>
          </w:p>
          <w:p w14:paraId="690C314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Road in rolling terrain</w:t>
            </w:r>
            <w:r w:rsidRPr="0045151D">
              <w:rPr>
                <w:rFonts w:ascii="Calibri" w:eastAsia="Calibri" w:hAnsi="Calibri" w:cs="Calibri"/>
                <w:color w:val="000000"/>
                <w:sz w:val="20"/>
                <w:szCs w:val="20"/>
                <w:lang w:val="en-GB"/>
              </w:rPr>
              <w:t xml:space="preserve"> – a road on which the gradient is between 2% and 6%.</w:t>
            </w:r>
          </w:p>
          <w:p w14:paraId="13CC095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Road in mountainous terrain</w:t>
            </w:r>
            <w:r w:rsidRPr="0045151D">
              <w:rPr>
                <w:rFonts w:ascii="Calibri" w:eastAsia="Calibri" w:hAnsi="Calibri" w:cs="Calibri"/>
                <w:color w:val="000000"/>
                <w:sz w:val="20"/>
                <w:szCs w:val="20"/>
                <w:lang w:val="en-GB"/>
              </w:rPr>
              <w:t xml:space="preserve"> – a road on which the gradient is bigger than 6%.</w:t>
            </w:r>
          </w:p>
          <w:p w14:paraId="158E9164" w14:textId="16A57A80" w:rsidR="00600DEE" w:rsidRPr="002D4835"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Road categories </w:t>
            </w:r>
            <w:r w:rsidRPr="0045151D">
              <w:rPr>
                <w:rFonts w:ascii="Calibri" w:eastAsia="Calibri" w:hAnsi="Calibri" w:cs="Calibri"/>
                <w:color w:val="000000"/>
                <w:sz w:val="20"/>
                <w:szCs w:val="20"/>
                <w:lang w:val="en-GB"/>
              </w:rPr>
              <w:t>– based on assignment to the ap</w:t>
            </w:r>
            <w:r w:rsidR="002D4835">
              <w:rPr>
                <w:rFonts w:ascii="Calibri" w:eastAsia="Calibri" w:hAnsi="Calibri" w:cs="Calibri"/>
                <w:color w:val="000000"/>
                <w:sz w:val="20"/>
                <w:szCs w:val="20"/>
                <w:lang w:val="en-GB"/>
              </w:rPr>
              <w:t>p</w:t>
            </w:r>
            <w:r w:rsidRPr="0045151D">
              <w:rPr>
                <w:rFonts w:ascii="Calibri" w:eastAsia="Calibri" w:hAnsi="Calibri" w:cs="Calibri"/>
                <w:color w:val="000000"/>
                <w:sz w:val="20"/>
                <w:szCs w:val="20"/>
                <w:lang w:val="en-GB"/>
              </w:rPr>
              <w:t xml:space="preserve">ropriate managing authority. </w:t>
            </w:r>
            <w:r w:rsidRPr="002D4835">
              <w:rPr>
                <w:rFonts w:ascii="Calibri" w:eastAsia="Calibri" w:hAnsi="Calibri" w:cs="Calibri"/>
                <w:color w:val="000000"/>
                <w:sz w:val="20"/>
                <w:szCs w:val="20"/>
                <w:lang w:val="en-GB"/>
              </w:rPr>
              <w:t>The road categories include:</w:t>
            </w:r>
          </w:p>
          <w:p w14:paraId="196C73CF" w14:textId="77777777" w:rsidR="00600DEE" w:rsidRPr="0045151D" w:rsidRDefault="00641FB5" w:rsidP="00D5736B">
            <w:pPr>
              <w:numPr>
                <w:ilvl w:val="0"/>
                <w:numId w:val="61"/>
              </w:numPr>
              <w:pBdr>
                <w:top w:val="nil"/>
                <w:left w:val="nil"/>
                <w:bottom w:val="nil"/>
                <w:right w:val="nil"/>
                <w:between w:val="nil"/>
              </w:pBdr>
              <w:spacing w:before="120"/>
              <w:ind w:left="423"/>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National Road (managed by GDDKiA): class A,S,GP, exceptionally G</w:t>
            </w:r>
          </w:p>
          <w:p w14:paraId="70A394CD" w14:textId="77777777" w:rsidR="00600DEE" w:rsidRPr="0045151D" w:rsidRDefault="00641FB5" w:rsidP="00D5736B">
            <w:pPr>
              <w:numPr>
                <w:ilvl w:val="0"/>
                <w:numId w:val="61"/>
              </w:numPr>
              <w:pBdr>
                <w:top w:val="nil"/>
                <w:left w:val="nil"/>
                <w:bottom w:val="nil"/>
                <w:right w:val="nil"/>
                <w:between w:val="nil"/>
              </w:pBdr>
              <w:spacing w:before="120"/>
              <w:ind w:left="423"/>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Voivodeship Road: class G,Z, exceptionally GP;</w:t>
            </w:r>
          </w:p>
          <w:p w14:paraId="4E907D0D" w14:textId="77777777" w:rsidR="00600DEE" w:rsidRPr="0045151D" w:rsidRDefault="00641FB5" w:rsidP="00D5736B">
            <w:pPr>
              <w:numPr>
                <w:ilvl w:val="0"/>
                <w:numId w:val="61"/>
              </w:numPr>
              <w:pBdr>
                <w:top w:val="nil"/>
                <w:left w:val="nil"/>
                <w:bottom w:val="nil"/>
                <w:right w:val="nil"/>
                <w:between w:val="nil"/>
              </w:pBdr>
              <w:spacing w:before="120"/>
              <w:ind w:left="423"/>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County Road: class G, Z, exceptionally L</w:t>
            </w:r>
          </w:p>
          <w:p w14:paraId="181A29E0" w14:textId="77777777" w:rsidR="00600DEE" w:rsidRPr="0045151D" w:rsidRDefault="00641FB5" w:rsidP="00D5736B">
            <w:pPr>
              <w:numPr>
                <w:ilvl w:val="0"/>
                <w:numId w:val="61"/>
              </w:numPr>
              <w:pBdr>
                <w:top w:val="nil"/>
                <w:left w:val="nil"/>
                <w:bottom w:val="nil"/>
                <w:right w:val="nil"/>
                <w:between w:val="nil"/>
              </w:pBdr>
              <w:spacing w:before="120"/>
              <w:ind w:left="423"/>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Communal Road: class: L, D, exceptionally Z</w:t>
            </w:r>
          </w:p>
          <w:p w14:paraId="3EC53B29" w14:textId="77777777" w:rsidR="00600DEE" w:rsidRDefault="00641FB5" w:rsidP="00D5736B">
            <w:pPr>
              <w:numPr>
                <w:ilvl w:val="0"/>
                <w:numId w:val="61"/>
              </w:numPr>
              <w:pBdr>
                <w:top w:val="nil"/>
                <w:left w:val="nil"/>
                <w:bottom w:val="nil"/>
                <w:right w:val="nil"/>
                <w:between w:val="nil"/>
              </w:pBdr>
              <w:spacing w:before="120"/>
              <w:ind w:left="423" w:hanging="422"/>
              <w:jc w:val="both"/>
              <w:rPr>
                <w:rFonts w:ascii="Calibri" w:eastAsia="Calibri" w:hAnsi="Calibri" w:cs="Calibri"/>
                <w:color w:val="000000"/>
                <w:sz w:val="20"/>
                <w:szCs w:val="20"/>
              </w:rPr>
            </w:pPr>
            <w:r>
              <w:rPr>
                <w:rFonts w:ascii="Calibri" w:eastAsia="Calibri" w:hAnsi="Calibri" w:cs="Calibri"/>
                <w:color w:val="000000"/>
                <w:sz w:val="20"/>
                <w:szCs w:val="20"/>
              </w:rPr>
              <w:t>Forest, industrial, private roads</w:t>
            </w:r>
          </w:p>
          <w:p w14:paraId="2BB7E7C8" w14:textId="77777777" w:rsidR="00600DEE" w:rsidRPr="0045151D" w:rsidRDefault="00641FB5">
            <w:pPr>
              <w:spacing w:before="120"/>
              <w:jc w:val="both"/>
              <w:rPr>
                <w:rFonts w:ascii="Calibri" w:eastAsia="Calibri" w:hAnsi="Calibri" w:cs="Calibri"/>
                <w:sz w:val="20"/>
                <w:szCs w:val="20"/>
                <w:lang w:val="en-GB"/>
              </w:rPr>
            </w:pPr>
            <w:r w:rsidRPr="0045151D">
              <w:rPr>
                <w:rFonts w:ascii="Calibri" w:eastAsia="Calibri" w:hAnsi="Calibri" w:cs="Calibri"/>
                <w:b/>
                <w:sz w:val="20"/>
                <w:szCs w:val="20"/>
                <w:lang w:val="en-GB"/>
              </w:rPr>
              <w:t xml:space="preserve">Buffer, project impact area </w:t>
            </w:r>
            <w:r w:rsidRPr="0045151D">
              <w:rPr>
                <w:rFonts w:ascii="Calibri" w:eastAsia="Calibri" w:hAnsi="Calibri" w:cs="Calibri"/>
                <w:sz w:val="20"/>
                <w:szCs w:val="20"/>
                <w:lang w:val="en-GB"/>
              </w:rPr>
              <w:t xml:space="preserve">– the area isolated from the road network model for CBA purpose; in case of the new non-urban road or motorway investment it usually includes all sections where the difference in traffic volumes between option Wn and W0 is more than 10% and can be considered as significant impact on the road network . In some cases, the buffer could also be considered as above 5% or above 15% </w:t>
            </w:r>
            <w:r w:rsidRPr="0045151D">
              <w:rPr>
                <w:rFonts w:ascii="Calibri" w:eastAsia="Calibri" w:hAnsi="Calibri" w:cs="Calibri"/>
                <w:color w:val="333399"/>
                <w:sz w:val="20"/>
                <w:szCs w:val="20"/>
                <w:lang w:val="en-GB"/>
              </w:rPr>
              <w:t>–</w:t>
            </w:r>
            <w:r w:rsidRPr="0045151D">
              <w:rPr>
                <w:rFonts w:ascii="Calibri" w:eastAsia="Calibri" w:hAnsi="Calibri" w:cs="Calibri"/>
                <w:sz w:val="20"/>
                <w:szCs w:val="20"/>
                <w:lang w:val="en-GB"/>
              </w:rPr>
              <w:t xml:space="preserve"> subject to the discretion and case by case approach.</w:t>
            </w:r>
          </w:p>
          <w:p w14:paraId="4943BBB2"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c>
      </w:tr>
    </w:tbl>
    <w:p w14:paraId="409985E7" w14:textId="77777777" w:rsidR="00921721" w:rsidRPr="00921CD1" w:rsidRDefault="00641FB5" w:rsidP="00921721">
      <w:pPr>
        <w:pStyle w:val="Nagwek1"/>
        <w:numPr>
          <w:ilvl w:val="0"/>
          <w:numId w:val="0"/>
        </w:numPr>
        <w:rPr>
          <w:rFonts w:asciiTheme="minorHAnsi" w:hAnsiTheme="minorHAnsi"/>
          <w:i/>
          <w:color w:val="0070C0"/>
          <w:lang w:val="pl-PL"/>
        </w:rPr>
      </w:pPr>
      <w:bookmarkStart w:id="123" w:name="_Toc95378016"/>
      <w:r w:rsidRPr="0045151D">
        <w:rPr>
          <w:rFonts w:ascii="Calibri" w:eastAsia="Calibri" w:hAnsi="Calibri" w:cs="Calibri"/>
          <w:color w:val="0070C0"/>
          <w:lang w:val="pl-PL"/>
        </w:rPr>
        <w:t>Załącznik A: Jednostkowe koszty ekonomiczne i finansowe</w:t>
      </w:r>
      <w:r w:rsidRPr="0045151D">
        <w:rPr>
          <w:rFonts w:ascii="Calibri" w:eastAsia="Calibri" w:hAnsi="Calibri" w:cs="Calibri"/>
          <w:color w:val="0070C0"/>
          <w:lang w:val="pl-PL"/>
        </w:rPr>
        <w:br/>
      </w:r>
      <w:r w:rsidR="00921721" w:rsidRPr="00C754F3">
        <w:rPr>
          <w:rFonts w:asciiTheme="minorHAnsi" w:hAnsiTheme="minorHAnsi"/>
          <w:i/>
          <w:color w:val="0070C0"/>
          <w:lang w:val="pl-PL"/>
        </w:rPr>
        <w:t>Appendix A: Economic and financial unit costs</w:t>
      </w:r>
      <w:bookmarkEnd w:id="123"/>
    </w:p>
    <w:tbl>
      <w:tblPr>
        <w:tblW w:w="5000" w:type="pct"/>
        <w:tblLayout w:type="fixed"/>
        <w:tblLook w:val="04A0" w:firstRow="1" w:lastRow="0" w:firstColumn="1" w:lastColumn="0" w:noHBand="0" w:noVBand="1"/>
      </w:tblPr>
      <w:tblGrid>
        <w:gridCol w:w="7230"/>
        <w:gridCol w:w="7340"/>
      </w:tblGrid>
      <w:tr w:rsidR="00921721" w:rsidRPr="007463B9" w14:paraId="577C2657" w14:textId="77777777" w:rsidTr="00880D09">
        <w:tc>
          <w:tcPr>
            <w:tcW w:w="2481" w:type="pct"/>
            <w:tcBorders>
              <w:top w:val="nil"/>
              <w:left w:val="nil"/>
              <w:bottom w:val="nil"/>
              <w:right w:val="single" w:sz="4" w:space="0" w:color="auto"/>
            </w:tcBorders>
            <w:shd w:val="clear" w:color="auto" w:fill="auto"/>
            <w:tcMar>
              <w:left w:w="284" w:type="dxa"/>
              <w:right w:w="284" w:type="dxa"/>
            </w:tcMar>
          </w:tcPr>
          <w:p w14:paraId="5CB2CD7A" w14:textId="77777777" w:rsidR="00921721" w:rsidRPr="00C754F3" w:rsidRDefault="00921721" w:rsidP="00880D09">
            <w:pPr>
              <w:pStyle w:val="anxnormal"/>
              <w:ind w:left="0"/>
              <w:rPr>
                <w:rFonts w:asciiTheme="minorHAnsi" w:hAnsiTheme="minorHAnsi" w:cs="Arial-Narrow,Bold"/>
                <w:b/>
                <w:bCs/>
                <w:color w:val="4F81BD" w:themeColor="accent1"/>
                <w:sz w:val="23"/>
                <w:szCs w:val="23"/>
                <w:lang w:eastAsia="en-GB"/>
              </w:rPr>
            </w:pPr>
            <w:r w:rsidRPr="00C754F3">
              <w:rPr>
                <w:rFonts w:asciiTheme="minorHAnsi" w:hAnsiTheme="minorHAnsi" w:cs="Arial-Narrow,Bold"/>
                <w:b/>
                <w:bCs/>
                <w:color w:val="4F81BD" w:themeColor="accent1"/>
                <w:sz w:val="23"/>
                <w:szCs w:val="23"/>
                <w:lang w:eastAsia="en-GB"/>
              </w:rPr>
              <w:t>1. Uwagi ogólne</w:t>
            </w:r>
          </w:p>
          <w:p w14:paraId="5281A400" w14:textId="77777777" w:rsidR="00921721" w:rsidRPr="00731E4E" w:rsidRDefault="00921721" w:rsidP="00880D09">
            <w:pPr>
              <w:pStyle w:val="anxnormal"/>
              <w:ind w:left="0"/>
              <w:rPr>
                <w:rFonts w:asciiTheme="minorHAnsi" w:hAnsiTheme="minorHAnsi"/>
                <w:lang w:eastAsia="en-US"/>
              </w:rPr>
            </w:pPr>
            <w:r w:rsidRPr="00731E4E">
              <w:rPr>
                <w:rFonts w:asciiTheme="minorHAnsi" w:hAnsiTheme="minorHAnsi"/>
                <w:lang w:eastAsia="en-US"/>
              </w:rPr>
              <w:t>Wszystkie koszty jednostkowe określone</w:t>
            </w:r>
            <w:r>
              <w:rPr>
                <w:rFonts w:asciiTheme="minorHAnsi" w:hAnsiTheme="minorHAnsi"/>
                <w:lang w:eastAsia="en-US"/>
              </w:rPr>
              <w:t xml:space="preserve"> w </w:t>
            </w:r>
            <w:r w:rsidRPr="00731E4E">
              <w:rPr>
                <w:rFonts w:asciiTheme="minorHAnsi" w:hAnsiTheme="minorHAnsi"/>
                <w:lang w:eastAsia="en-US"/>
              </w:rPr>
              <w:t>niniejszym załączniku odnoszą się do cen z</w:t>
            </w:r>
            <w:r>
              <w:rPr>
                <w:rFonts w:asciiTheme="minorHAnsi" w:hAnsiTheme="minorHAnsi"/>
                <w:lang w:eastAsia="en-US"/>
              </w:rPr>
              <w:t xml:space="preserve"> 2021 </w:t>
            </w:r>
            <w:r w:rsidRPr="00731E4E">
              <w:rPr>
                <w:rFonts w:asciiTheme="minorHAnsi" w:hAnsiTheme="minorHAnsi"/>
                <w:lang w:eastAsia="en-US"/>
              </w:rPr>
              <w:t>roku.</w:t>
            </w:r>
          </w:p>
          <w:p w14:paraId="527D764E" w14:textId="77777777" w:rsidR="00921721" w:rsidRPr="00731E4E" w:rsidRDefault="00921721" w:rsidP="00880D09">
            <w:pPr>
              <w:pStyle w:val="anxnormal"/>
              <w:ind w:left="0"/>
              <w:rPr>
                <w:rFonts w:asciiTheme="minorHAnsi" w:hAnsiTheme="minorHAnsi"/>
                <w:lang w:eastAsia="en-US"/>
              </w:rPr>
            </w:pPr>
            <w:r w:rsidRPr="00731E4E">
              <w:rPr>
                <w:rFonts w:asciiTheme="minorHAnsi" w:hAnsiTheme="minorHAnsi"/>
                <w:lang w:eastAsia="en-US"/>
              </w:rPr>
              <w:t>Koszty jednostkowe czasu (V</w:t>
            </w:r>
            <w:r>
              <w:rPr>
                <w:rFonts w:asciiTheme="minorHAnsi" w:hAnsiTheme="minorHAnsi"/>
                <w:lang w:eastAsia="en-US"/>
              </w:rPr>
              <w:t>o</w:t>
            </w:r>
            <w:r w:rsidRPr="00731E4E">
              <w:rPr>
                <w:rFonts w:asciiTheme="minorHAnsi" w:hAnsiTheme="minorHAnsi"/>
                <w:lang w:eastAsia="en-US"/>
              </w:rPr>
              <w:t>T), wypadków, zanieczyszczenia powietrza</w:t>
            </w:r>
            <w:r>
              <w:rPr>
                <w:rFonts w:asciiTheme="minorHAnsi" w:hAnsiTheme="minorHAnsi"/>
                <w:lang w:eastAsia="en-US"/>
              </w:rPr>
              <w:t xml:space="preserve"> i </w:t>
            </w:r>
            <w:r w:rsidRPr="00731E4E">
              <w:rPr>
                <w:rFonts w:asciiTheme="minorHAnsi" w:hAnsiTheme="minorHAnsi"/>
                <w:lang w:eastAsia="en-US"/>
              </w:rPr>
              <w:t>hałasu rosną</w:t>
            </w:r>
            <w:r>
              <w:rPr>
                <w:rFonts w:asciiTheme="minorHAnsi" w:hAnsiTheme="minorHAnsi"/>
                <w:lang w:eastAsia="en-US"/>
              </w:rPr>
              <w:t xml:space="preserve"> w </w:t>
            </w:r>
            <w:r w:rsidRPr="00731E4E">
              <w:rPr>
                <w:rFonts w:asciiTheme="minorHAnsi" w:hAnsiTheme="minorHAnsi"/>
                <w:lang w:eastAsia="en-US"/>
              </w:rPr>
              <w:t>czasie</w:t>
            </w:r>
            <w:r>
              <w:rPr>
                <w:rFonts w:asciiTheme="minorHAnsi" w:hAnsiTheme="minorHAnsi"/>
                <w:lang w:eastAsia="en-US"/>
              </w:rPr>
              <w:t xml:space="preserve"> z odpowiednią</w:t>
            </w:r>
            <w:r w:rsidRPr="00731E4E">
              <w:rPr>
                <w:rFonts w:asciiTheme="minorHAnsi" w:hAnsiTheme="minorHAnsi"/>
                <w:lang w:eastAsia="en-US"/>
              </w:rPr>
              <w:t xml:space="preserve"> elastycznością</w:t>
            </w:r>
            <w:r w:rsidRPr="00731E4E">
              <w:rPr>
                <w:rStyle w:val="Odwoanieprzypisudolnego"/>
                <w:rFonts w:asciiTheme="minorHAnsi" w:hAnsiTheme="minorHAnsi"/>
                <w:lang w:eastAsia="en-US"/>
              </w:rPr>
              <w:footnoteReference w:id="17"/>
            </w:r>
            <w:r>
              <w:rPr>
                <w:rFonts w:asciiTheme="minorHAnsi" w:hAnsiTheme="minorHAnsi"/>
                <w:lang w:eastAsia="en-US"/>
              </w:rPr>
              <w:t xml:space="preserve"> w </w:t>
            </w:r>
            <w:r w:rsidRPr="00731E4E">
              <w:rPr>
                <w:rFonts w:asciiTheme="minorHAnsi" w:hAnsiTheme="minorHAnsi"/>
                <w:lang w:eastAsia="en-US"/>
              </w:rPr>
              <w:t>stosunku do wzrostu PKB na 1</w:t>
            </w:r>
            <w:r>
              <w:rPr>
                <w:rFonts w:asciiTheme="minorHAnsi" w:hAnsiTheme="minorHAnsi"/>
                <w:lang w:eastAsia="en-US"/>
              </w:rPr>
              <w:t> </w:t>
            </w:r>
            <w:r w:rsidRPr="00731E4E">
              <w:rPr>
                <w:rFonts w:asciiTheme="minorHAnsi" w:hAnsiTheme="minorHAnsi"/>
                <w:lang w:eastAsia="en-US"/>
              </w:rPr>
              <w:t>mieszkańca (</w:t>
            </w:r>
            <w:r>
              <w:rPr>
                <w:rFonts w:asciiTheme="minorHAnsi" w:hAnsiTheme="minorHAnsi"/>
                <w:lang w:eastAsia="en-US"/>
              </w:rPr>
              <w:t>przyjęte wartości wskaźnika elastyczności dla poszczególnych kategorii kosztów ekonomicznych przedstawiono w kolejnych punktach niniejszego Załącznika A</w:t>
            </w:r>
            <w:r w:rsidRPr="00731E4E">
              <w:rPr>
                <w:rFonts w:asciiTheme="minorHAnsi" w:hAnsiTheme="minorHAnsi"/>
                <w:lang w:eastAsia="en-US"/>
              </w:rPr>
              <w:t xml:space="preserve"> poniżej).</w:t>
            </w:r>
          </w:p>
          <w:p w14:paraId="3230742A" w14:textId="77777777" w:rsidR="00921721" w:rsidRPr="00731E4E" w:rsidRDefault="00921721" w:rsidP="00880D09">
            <w:pPr>
              <w:pStyle w:val="anxnormal"/>
              <w:ind w:left="0"/>
              <w:rPr>
                <w:rFonts w:asciiTheme="minorHAnsi" w:hAnsiTheme="minorHAnsi"/>
                <w:lang w:eastAsia="en-US"/>
              </w:rPr>
            </w:pPr>
            <w:r w:rsidRPr="002C6855">
              <w:rPr>
                <w:rFonts w:asciiTheme="minorHAnsi" w:hAnsiTheme="minorHAnsi"/>
                <w:lang w:eastAsia="en-US"/>
              </w:rPr>
              <w:t>Dla VoT i wypadków, poniższe tabele przedstawiają wartości kosztów jednostkowych do 2060 roku.</w:t>
            </w:r>
            <w:r w:rsidRPr="00731E4E">
              <w:rPr>
                <w:rFonts w:asciiTheme="minorHAnsi" w:hAnsiTheme="minorHAnsi"/>
                <w:lang w:eastAsia="en-US"/>
              </w:rPr>
              <w:t xml:space="preserve"> Dla pozostałych kategorii, zasady wzrostu cen są opisane</w:t>
            </w:r>
            <w:r>
              <w:rPr>
                <w:rFonts w:asciiTheme="minorHAnsi" w:hAnsiTheme="minorHAnsi"/>
                <w:lang w:eastAsia="en-US"/>
              </w:rPr>
              <w:t xml:space="preserve"> w </w:t>
            </w:r>
            <w:r w:rsidRPr="00731E4E">
              <w:rPr>
                <w:rFonts w:asciiTheme="minorHAnsi" w:hAnsiTheme="minorHAnsi"/>
                <w:lang w:eastAsia="en-US"/>
              </w:rPr>
              <w:t>niniejszym załączniku.</w:t>
            </w:r>
          </w:p>
          <w:p w14:paraId="07E54355" w14:textId="77777777" w:rsidR="00921721" w:rsidRPr="00731E4E" w:rsidRDefault="00921721" w:rsidP="00880D09">
            <w:pPr>
              <w:pStyle w:val="anxnormal"/>
              <w:ind w:left="0"/>
              <w:rPr>
                <w:rFonts w:asciiTheme="minorHAnsi" w:hAnsiTheme="minorHAnsi"/>
                <w:lang w:eastAsia="en-US"/>
              </w:rPr>
            </w:pPr>
            <w:r w:rsidRPr="00731E4E">
              <w:rPr>
                <w:rFonts w:asciiTheme="minorHAnsi" w:hAnsiTheme="minorHAnsi"/>
                <w:lang w:eastAsia="en-US"/>
              </w:rPr>
              <w:t>Koszty jednostkowe zależne od kategorii pojazdów (tj. VOC, zanieczyszczenie powietrza, zmiany klimatu</w:t>
            </w:r>
            <w:r>
              <w:rPr>
                <w:rFonts w:asciiTheme="minorHAnsi" w:hAnsiTheme="minorHAnsi"/>
                <w:lang w:eastAsia="en-US"/>
              </w:rPr>
              <w:t xml:space="preserve"> i </w:t>
            </w:r>
            <w:r w:rsidRPr="00731E4E">
              <w:rPr>
                <w:rFonts w:asciiTheme="minorHAnsi" w:hAnsiTheme="minorHAnsi"/>
                <w:lang w:eastAsia="en-US"/>
              </w:rPr>
              <w:t>hałasu) zróżnicowano</w:t>
            </w:r>
            <w:r>
              <w:rPr>
                <w:rFonts w:asciiTheme="minorHAnsi" w:hAnsiTheme="minorHAnsi"/>
                <w:lang w:eastAsia="en-US"/>
              </w:rPr>
              <w:t xml:space="preserve"> w </w:t>
            </w:r>
            <w:r w:rsidRPr="00731E4E">
              <w:rPr>
                <w:rFonts w:asciiTheme="minorHAnsi" w:hAnsiTheme="minorHAnsi"/>
                <w:lang w:eastAsia="en-US"/>
              </w:rPr>
              <w:t xml:space="preserve">zależności od </w:t>
            </w:r>
            <w:r w:rsidRPr="00731E4E">
              <w:rPr>
                <w:rStyle w:val="hps"/>
                <w:rFonts w:asciiTheme="minorHAnsi" w:hAnsiTheme="minorHAnsi"/>
                <w:color w:val="222222"/>
              </w:rPr>
              <w:t xml:space="preserve">dwóch kategorii </w:t>
            </w:r>
            <w:r w:rsidRPr="00731E4E">
              <w:rPr>
                <w:rFonts w:asciiTheme="minorHAnsi" w:hAnsiTheme="minorHAnsi"/>
                <w:lang w:eastAsia="en-US"/>
              </w:rPr>
              <w:t>pojazdów (samochody lekkie LV</w:t>
            </w:r>
            <w:r>
              <w:rPr>
                <w:rFonts w:asciiTheme="minorHAnsi" w:hAnsiTheme="minorHAnsi"/>
                <w:lang w:eastAsia="en-US"/>
              </w:rPr>
              <w:t xml:space="preserve"> i </w:t>
            </w:r>
            <w:r w:rsidRPr="00731E4E">
              <w:rPr>
                <w:rFonts w:asciiTheme="minorHAnsi" w:hAnsiTheme="minorHAnsi"/>
                <w:lang w:eastAsia="en-US"/>
              </w:rPr>
              <w:t>samochody ciężarowe HGV)</w:t>
            </w:r>
            <w:r>
              <w:rPr>
                <w:rFonts w:asciiTheme="minorHAnsi" w:hAnsiTheme="minorHAnsi"/>
                <w:lang w:eastAsia="en-US"/>
              </w:rPr>
              <w:t xml:space="preserve"> i </w:t>
            </w:r>
            <w:r w:rsidRPr="00731E4E">
              <w:rPr>
                <w:rFonts w:asciiTheme="minorHAnsi" w:hAnsiTheme="minorHAnsi"/>
                <w:lang w:eastAsia="en-US"/>
              </w:rPr>
              <w:t>przedstawiono w</w:t>
            </w:r>
            <w:r>
              <w:rPr>
                <w:rFonts w:asciiTheme="minorHAnsi" w:hAnsiTheme="minorHAnsi"/>
                <w:lang w:eastAsia="en-US"/>
              </w:rPr>
              <w:t> </w:t>
            </w:r>
            <w:r w:rsidRPr="00731E4E">
              <w:rPr>
                <w:rFonts w:asciiTheme="minorHAnsi" w:hAnsiTheme="minorHAnsi"/>
                <w:lang w:eastAsia="en-US"/>
              </w:rPr>
              <w:t>odpowiednich tabelach</w:t>
            </w:r>
            <w:r>
              <w:rPr>
                <w:rFonts w:asciiTheme="minorHAnsi" w:hAnsiTheme="minorHAnsi"/>
                <w:lang w:eastAsia="en-US"/>
              </w:rPr>
              <w:t xml:space="preserve"> </w:t>
            </w:r>
            <w:r w:rsidRPr="00AD3A1D">
              <w:rPr>
                <w:rFonts w:asciiTheme="minorHAnsi" w:hAnsiTheme="minorHAnsi"/>
                <w:lang w:eastAsia="en-US"/>
              </w:rPr>
              <w:t>(w niektórych przypadkach</w:t>
            </w:r>
            <w:r>
              <w:rPr>
                <w:rFonts w:asciiTheme="minorHAnsi" w:hAnsiTheme="minorHAnsi"/>
                <w:lang w:eastAsia="en-US"/>
              </w:rPr>
              <w:t xml:space="preserve"> podano</w:t>
            </w:r>
            <w:r w:rsidRPr="00AD3A1D">
              <w:rPr>
                <w:rFonts w:asciiTheme="minorHAnsi" w:hAnsiTheme="minorHAnsi"/>
                <w:lang w:eastAsia="en-US"/>
              </w:rPr>
              <w:t xml:space="preserve"> bardziej szczegółow</w:t>
            </w:r>
            <w:r>
              <w:rPr>
                <w:rFonts w:asciiTheme="minorHAnsi" w:hAnsiTheme="minorHAnsi"/>
                <w:lang w:eastAsia="en-US"/>
              </w:rPr>
              <w:t>y</w:t>
            </w:r>
            <w:r w:rsidRPr="00AD3A1D">
              <w:rPr>
                <w:rFonts w:asciiTheme="minorHAnsi" w:hAnsiTheme="minorHAnsi"/>
                <w:lang w:eastAsia="en-US"/>
              </w:rPr>
              <w:t xml:space="preserve"> </w:t>
            </w:r>
            <w:r>
              <w:rPr>
                <w:rFonts w:asciiTheme="minorHAnsi" w:hAnsiTheme="minorHAnsi"/>
                <w:lang w:eastAsia="en-US"/>
              </w:rPr>
              <w:t xml:space="preserve">podział, zalecany </w:t>
            </w:r>
            <w:r w:rsidRPr="00AD3A1D">
              <w:rPr>
                <w:rFonts w:asciiTheme="minorHAnsi" w:hAnsiTheme="minorHAnsi"/>
                <w:lang w:eastAsia="en-US"/>
              </w:rPr>
              <w:t>do wykorzystania jedynie w szczególnych przypadkach).</w:t>
            </w:r>
            <w:r>
              <w:rPr>
                <w:rFonts w:asciiTheme="minorHAnsi" w:hAnsiTheme="minorHAnsi"/>
                <w:lang w:eastAsia="en-US"/>
              </w:rPr>
              <w:t xml:space="preserve"> W </w:t>
            </w:r>
            <w:r w:rsidRPr="00731E4E">
              <w:rPr>
                <w:rFonts w:asciiTheme="minorHAnsi" w:hAnsiTheme="minorHAnsi"/>
                <w:lang w:eastAsia="en-US"/>
              </w:rPr>
              <w:t>przypadku, jeżeli rezultaty prognozy ruchu zostały przedstawione</w:t>
            </w:r>
            <w:r>
              <w:rPr>
                <w:rFonts w:asciiTheme="minorHAnsi" w:hAnsiTheme="minorHAnsi"/>
                <w:lang w:eastAsia="en-US"/>
              </w:rPr>
              <w:t xml:space="preserve"> w </w:t>
            </w:r>
            <w:r w:rsidRPr="00731E4E">
              <w:rPr>
                <w:rFonts w:asciiTheme="minorHAnsi" w:hAnsiTheme="minorHAnsi"/>
                <w:lang w:eastAsia="en-US"/>
              </w:rPr>
              <w:t>podziale na 5 kategorii pojazdów,</w:t>
            </w:r>
            <w:r>
              <w:rPr>
                <w:rFonts w:asciiTheme="minorHAnsi" w:hAnsiTheme="minorHAnsi"/>
                <w:lang w:eastAsia="en-US"/>
              </w:rPr>
              <w:t xml:space="preserve"> o </w:t>
            </w:r>
            <w:r w:rsidRPr="00731E4E">
              <w:rPr>
                <w:rFonts w:asciiTheme="minorHAnsi" w:hAnsiTheme="minorHAnsi"/>
                <w:lang w:eastAsia="en-US"/>
              </w:rPr>
              <w:t>których mowa</w:t>
            </w:r>
            <w:r>
              <w:rPr>
                <w:rFonts w:asciiTheme="minorHAnsi" w:hAnsiTheme="minorHAnsi"/>
                <w:lang w:eastAsia="en-US"/>
              </w:rPr>
              <w:t xml:space="preserve"> w </w:t>
            </w:r>
            <w:r w:rsidRPr="00731E4E">
              <w:rPr>
                <w:rFonts w:asciiTheme="minorHAnsi" w:hAnsiTheme="minorHAnsi"/>
                <w:lang w:eastAsia="en-US"/>
              </w:rPr>
              <w:t>rozdziale 1.8, to powinny zostać potraktowane</w:t>
            </w:r>
            <w:r>
              <w:rPr>
                <w:rFonts w:asciiTheme="minorHAnsi" w:hAnsiTheme="minorHAnsi"/>
                <w:lang w:eastAsia="en-US"/>
              </w:rPr>
              <w:t xml:space="preserve"> w </w:t>
            </w:r>
            <w:r w:rsidRPr="00731E4E">
              <w:rPr>
                <w:rFonts w:asciiTheme="minorHAnsi" w:hAnsiTheme="minorHAnsi"/>
                <w:lang w:eastAsia="en-US"/>
              </w:rPr>
              <w:t>sposób następujący:</w:t>
            </w:r>
          </w:p>
          <w:p w14:paraId="0154BFB7" w14:textId="77777777" w:rsidR="00921721" w:rsidRPr="00731E4E" w:rsidRDefault="00921721" w:rsidP="00D5736B">
            <w:pPr>
              <w:pStyle w:val="anxnormal"/>
              <w:numPr>
                <w:ilvl w:val="0"/>
                <w:numId w:val="88"/>
              </w:numPr>
              <w:snapToGrid w:val="0"/>
              <w:ind w:left="851" w:hanging="851"/>
              <w:rPr>
                <w:rFonts w:asciiTheme="minorHAnsi" w:hAnsiTheme="minorHAnsi"/>
                <w:lang w:eastAsia="en-US"/>
              </w:rPr>
            </w:pPr>
            <w:r w:rsidRPr="00731E4E">
              <w:rPr>
                <w:rFonts w:asciiTheme="minorHAnsi" w:hAnsiTheme="minorHAnsi"/>
                <w:lang w:eastAsia="en-US"/>
              </w:rPr>
              <w:t xml:space="preserve">koszty jednostkowe dla LV należy przyjąć dla samochodów osobowych (SO) </w:t>
            </w:r>
            <w:r>
              <w:rPr>
                <w:rFonts w:asciiTheme="minorHAnsi" w:hAnsiTheme="minorHAnsi"/>
                <w:lang w:eastAsia="en-US"/>
              </w:rPr>
              <w:t>i </w:t>
            </w:r>
            <w:r w:rsidRPr="00731E4E">
              <w:rPr>
                <w:rFonts w:asciiTheme="minorHAnsi" w:hAnsiTheme="minorHAnsi"/>
                <w:lang w:eastAsia="en-US"/>
              </w:rPr>
              <w:t>samochodów dostawczych (SD);</w:t>
            </w:r>
          </w:p>
          <w:p w14:paraId="2B4B8CEC" w14:textId="77777777" w:rsidR="00921721" w:rsidRDefault="00921721" w:rsidP="00D5736B">
            <w:pPr>
              <w:pStyle w:val="anxnormal"/>
              <w:numPr>
                <w:ilvl w:val="0"/>
                <w:numId w:val="88"/>
              </w:numPr>
              <w:snapToGrid w:val="0"/>
              <w:ind w:left="851" w:hanging="851"/>
              <w:rPr>
                <w:rFonts w:asciiTheme="minorHAnsi" w:hAnsiTheme="minorHAnsi"/>
                <w:lang w:eastAsia="en-US"/>
              </w:rPr>
            </w:pPr>
            <w:r w:rsidRPr="00731E4E">
              <w:rPr>
                <w:rFonts w:asciiTheme="minorHAnsi" w:hAnsiTheme="minorHAnsi"/>
                <w:lang w:eastAsia="en-US"/>
              </w:rPr>
              <w:t>koszty jednostkowe dla HGV należy przyjąć dla samochodów ciężarowych bez przyczep (SC), samochodów ciężarowych</w:t>
            </w:r>
            <w:r>
              <w:rPr>
                <w:rFonts w:asciiTheme="minorHAnsi" w:hAnsiTheme="minorHAnsi"/>
                <w:lang w:eastAsia="en-US"/>
              </w:rPr>
              <w:t xml:space="preserve"> z </w:t>
            </w:r>
            <w:r w:rsidRPr="00731E4E">
              <w:rPr>
                <w:rFonts w:asciiTheme="minorHAnsi" w:hAnsiTheme="minorHAnsi"/>
                <w:lang w:eastAsia="en-US"/>
              </w:rPr>
              <w:t>przyczepami (SCp) oraz autobusów (A).</w:t>
            </w:r>
          </w:p>
          <w:p w14:paraId="0C6A117B" w14:textId="77777777" w:rsidR="00921721" w:rsidRPr="003708F5" w:rsidRDefault="00921721" w:rsidP="00880D09">
            <w:pPr>
              <w:pStyle w:val="anxnormal"/>
              <w:ind w:left="0"/>
              <w:rPr>
                <w:rFonts w:asciiTheme="minorHAnsi" w:hAnsiTheme="minorHAnsi"/>
                <w:lang w:eastAsia="en-US"/>
              </w:rPr>
            </w:pPr>
          </w:p>
          <w:p w14:paraId="5C2D4F32" w14:textId="77777777" w:rsidR="00921721" w:rsidRPr="00AA7E38" w:rsidRDefault="00921721" w:rsidP="00880D09">
            <w:pPr>
              <w:pStyle w:val="anxnormal"/>
              <w:ind w:left="0"/>
              <w:rPr>
                <w:rFonts w:asciiTheme="minorHAnsi" w:hAnsiTheme="minorHAnsi"/>
                <w:lang w:eastAsia="en-US"/>
              </w:rPr>
            </w:pPr>
            <w:r w:rsidRPr="00983DF9">
              <w:rPr>
                <w:rFonts w:asciiTheme="minorHAnsi" w:hAnsiTheme="minorHAnsi" w:cstheme="minorHAnsi"/>
              </w:rPr>
              <w:t xml:space="preserve">Przedstawione poniżej koszty jednostkowe oraz związane z nimi zasady i założenia do prognozowania odpowiadają tym zawartym w </w:t>
            </w:r>
            <w:r w:rsidRPr="00B92BFA">
              <w:rPr>
                <w:rFonts w:asciiTheme="minorHAnsi" w:hAnsiTheme="minorHAnsi" w:cstheme="minorHAnsi"/>
                <w:b/>
                <w:i/>
                <w:highlight w:val="yellow"/>
              </w:rPr>
              <w:t>pliku Excel</w:t>
            </w:r>
            <w:r w:rsidRPr="00467842">
              <w:rPr>
                <w:rFonts w:asciiTheme="minorHAnsi" w:hAnsiTheme="minorHAnsi" w:cstheme="minorHAnsi"/>
                <w:highlight w:val="yellow"/>
              </w:rPr>
              <w:t xml:space="preserve">, który został </w:t>
            </w:r>
            <w:r w:rsidRPr="00467842">
              <w:rPr>
                <w:rFonts w:asciiTheme="minorHAnsi" w:hAnsiTheme="minorHAnsi"/>
                <w:highlight w:val="yellow"/>
              </w:rPr>
              <w:t>opracowany w związku z Niebieskimi Księgami</w:t>
            </w:r>
            <w:r w:rsidRPr="00467842">
              <w:rPr>
                <w:rFonts w:asciiTheme="minorHAnsi" w:hAnsiTheme="minorHAnsi" w:cstheme="minorHAnsi"/>
                <w:highlight w:val="yellow"/>
              </w:rPr>
              <w:t>.</w:t>
            </w:r>
            <w:r w:rsidRPr="00467842">
              <w:rPr>
                <w:rFonts w:asciiTheme="minorHAnsi" w:hAnsiTheme="minorHAnsi"/>
                <w:highlight w:val="yellow"/>
                <w:lang w:eastAsia="en-US"/>
              </w:rPr>
              <w:t xml:space="preserve"> CUPT PUBLICATION REFERENCE</w:t>
            </w:r>
          </w:p>
          <w:p w14:paraId="51441980" w14:textId="77777777" w:rsidR="00921721" w:rsidRPr="00F04E31" w:rsidRDefault="00921721" w:rsidP="00880D09">
            <w:pPr>
              <w:pStyle w:val="anxnormal"/>
              <w:ind w:left="0"/>
              <w:rPr>
                <w:rFonts w:asciiTheme="minorHAnsi" w:hAnsiTheme="minorHAnsi"/>
                <w:lang w:eastAsia="en-US"/>
              </w:rPr>
            </w:pPr>
          </w:p>
          <w:p w14:paraId="3C932E0C" w14:textId="77777777" w:rsidR="00921721" w:rsidRPr="00F23E44" w:rsidRDefault="00921721" w:rsidP="00880D09">
            <w:pPr>
              <w:pStyle w:val="anxnormal"/>
              <w:ind w:left="0"/>
              <w:rPr>
                <w:rFonts w:asciiTheme="minorHAnsi" w:hAnsiTheme="minorHAnsi" w:cs="Arial-Narrow,Bold"/>
                <w:b/>
                <w:bCs/>
                <w:color w:val="4F81BD" w:themeColor="accent1"/>
                <w:sz w:val="23"/>
                <w:szCs w:val="23"/>
                <w:lang w:eastAsia="en-GB"/>
              </w:rPr>
            </w:pPr>
            <w:r w:rsidRPr="00F23E44">
              <w:rPr>
                <w:rFonts w:asciiTheme="minorHAnsi" w:hAnsiTheme="minorHAnsi" w:cs="Arial-Narrow,Bold"/>
                <w:b/>
                <w:bCs/>
                <w:color w:val="4F81BD" w:themeColor="accent1"/>
                <w:sz w:val="23"/>
                <w:szCs w:val="23"/>
                <w:lang w:eastAsia="en-GB"/>
              </w:rPr>
              <w:t>2. Trendy wzrostu PKB</w:t>
            </w:r>
          </w:p>
          <w:p w14:paraId="755A676F" w14:textId="77777777" w:rsidR="00921721" w:rsidRPr="00CD7B3F" w:rsidRDefault="00921721" w:rsidP="00880D09">
            <w:pPr>
              <w:pStyle w:val="anxnormal"/>
              <w:spacing w:after="120"/>
              <w:ind w:left="0"/>
              <w:rPr>
                <w:rFonts w:asciiTheme="minorHAnsi" w:hAnsiTheme="minorHAnsi"/>
                <w:lang w:eastAsia="en-US"/>
              </w:rPr>
            </w:pPr>
            <w:r w:rsidRPr="00CD7B3F">
              <w:rPr>
                <w:rFonts w:asciiTheme="minorHAnsi" w:hAnsiTheme="minorHAnsi"/>
                <w:lang w:eastAsia="en-US"/>
              </w:rPr>
              <w:t xml:space="preserve">Trendy wzrostu PKB do wykorzystania </w:t>
            </w:r>
            <w:r>
              <w:rPr>
                <w:rFonts w:asciiTheme="minorHAnsi" w:hAnsiTheme="minorHAnsi"/>
                <w:lang w:eastAsia="en-US"/>
              </w:rPr>
              <w:t>w </w:t>
            </w:r>
            <w:r w:rsidRPr="00CD7B3F">
              <w:rPr>
                <w:rFonts w:asciiTheme="minorHAnsi" w:hAnsiTheme="minorHAnsi"/>
                <w:lang w:eastAsia="en-US"/>
              </w:rPr>
              <w:t>prognozie ruchu</w:t>
            </w:r>
            <w:r>
              <w:rPr>
                <w:rFonts w:asciiTheme="minorHAnsi" w:hAnsiTheme="minorHAnsi"/>
                <w:lang w:eastAsia="en-US"/>
              </w:rPr>
              <w:t xml:space="preserve"> GDDKiA</w:t>
            </w:r>
            <w:r w:rsidRPr="00CD7B3F">
              <w:rPr>
                <w:rFonts w:asciiTheme="minorHAnsi" w:hAnsiTheme="minorHAnsi"/>
                <w:lang w:eastAsia="en-US"/>
              </w:rPr>
              <w:t xml:space="preserve"> </w:t>
            </w:r>
          </w:p>
          <w:tbl>
            <w:tblPr>
              <w:tblW w:w="6795" w:type="dxa"/>
              <w:tblLayout w:type="fixed"/>
              <w:tblLook w:val="04A0" w:firstRow="1" w:lastRow="0" w:firstColumn="1" w:lastColumn="0" w:noHBand="0" w:noVBand="1"/>
            </w:tblPr>
            <w:tblGrid>
              <w:gridCol w:w="1244"/>
              <w:gridCol w:w="944"/>
              <w:gridCol w:w="752"/>
              <w:gridCol w:w="752"/>
              <w:gridCol w:w="752"/>
              <w:gridCol w:w="752"/>
              <w:gridCol w:w="847"/>
              <w:gridCol w:w="752"/>
            </w:tblGrid>
            <w:tr w:rsidR="00921721" w:rsidRPr="00731E4E" w14:paraId="1C3670E4" w14:textId="77777777" w:rsidTr="00880D09">
              <w:trPr>
                <w:trHeight w:hRule="exact" w:val="479"/>
              </w:trPr>
              <w:tc>
                <w:tcPr>
                  <w:tcW w:w="1244" w:type="dxa"/>
                  <w:tcBorders>
                    <w:top w:val="single" w:sz="8" w:space="0" w:color="FFFFFF"/>
                    <w:left w:val="single" w:sz="8" w:space="0" w:color="FFFFFF"/>
                    <w:bottom w:val="single" w:sz="8" w:space="0" w:color="FFFFFF"/>
                    <w:right w:val="single" w:sz="8" w:space="0" w:color="FFFFFF"/>
                  </w:tcBorders>
                  <w:shd w:val="clear" w:color="auto" w:fill="808080" w:themeFill="background1" w:themeFillShade="80"/>
                  <w:vAlign w:val="center"/>
                  <w:hideMark/>
                </w:tcPr>
                <w:p w14:paraId="283F0ECD"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cs="Arial"/>
                      <w:b/>
                      <w:bCs/>
                      <w:color w:val="FFFFFF"/>
                      <w:sz w:val="18"/>
                      <w:szCs w:val="18"/>
                    </w:rPr>
                    <w:t>Lata</w:t>
                  </w:r>
                </w:p>
              </w:tc>
              <w:tc>
                <w:tcPr>
                  <w:tcW w:w="944"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1627A385" w14:textId="77777777" w:rsidR="00921721" w:rsidRPr="00731E4E" w:rsidRDefault="00921721" w:rsidP="00880D09">
                  <w:pPr>
                    <w:jc w:val="center"/>
                    <w:rPr>
                      <w:rFonts w:asciiTheme="minorHAnsi" w:hAnsiTheme="minorHAnsi"/>
                      <w:b/>
                      <w:bCs/>
                      <w:color w:val="FFFFFF"/>
                      <w:sz w:val="18"/>
                      <w:szCs w:val="18"/>
                      <w:lang w:eastAsia="en-GB"/>
                    </w:rPr>
                  </w:pPr>
                </w:p>
              </w:tc>
              <w:tc>
                <w:tcPr>
                  <w:tcW w:w="752"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09B8DF04" w14:textId="77777777" w:rsidR="00921721" w:rsidRPr="00731E4E" w:rsidRDefault="00921721" w:rsidP="00880D09">
                  <w:pPr>
                    <w:jc w:val="center"/>
                    <w:rPr>
                      <w:rFonts w:asciiTheme="minorHAnsi" w:hAnsiTheme="minorHAnsi"/>
                      <w:b/>
                      <w:bCs/>
                      <w:color w:val="FFFFFF"/>
                      <w:sz w:val="18"/>
                      <w:szCs w:val="18"/>
                      <w:lang w:eastAsia="en-GB"/>
                    </w:rPr>
                  </w:pPr>
                </w:p>
              </w:tc>
              <w:tc>
                <w:tcPr>
                  <w:tcW w:w="752"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14504AB0" w14:textId="77777777" w:rsidR="00921721" w:rsidRPr="00731E4E" w:rsidRDefault="00921721" w:rsidP="00880D09">
                  <w:pPr>
                    <w:jc w:val="center"/>
                    <w:rPr>
                      <w:rFonts w:asciiTheme="minorHAnsi" w:hAnsiTheme="minorHAnsi"/>
                      <w:b/>
                      <w:bCs/>
                      <w:color w:val="FFFFFF"/>
                      <w:sz w:val="18"/>
                      <w:szCs w:val="18"/>
                      <w:lang w:eastAsia="en-GB"/>
                    </w:rPr>
                  </w:pPr>
                </w:p>
              </w:tc>
              <w:tc>
                <w:tcPr>
                  <w:tcW w:w="752"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674DF82F" w14:textId="77777777" w:rsidR="00921721" w:rsidRPr="00731E4E" w:rsidRDefault="00921721" w:rsidP="00880D09">
                  <w:pPr>
                    <w:jc w:val="center"/>
                    <w:rPr>
                      <w:rFonts w:asciiTheme="minorHAnsi" w:hAnsiTheme="minorHAnsi"/>
                      <w:b/>
                      <w:bCs/>
                      <w:color w:val="FFFFFF"/>
                      <w:sz w:val="18"/>
                      <w:szCs w:val="18"/>
                      <w:lang w:eastAsia="en-GB"/>
                    </w:rPr>
                  </w:pPr>
                </w:p>
              </w:tc>
              <w:tc>
                <w:tcPr>
                  <w:tcW w:w="752"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35371065" w14:textId="77777777" w:rsidR="00921721" w:rsidRPr="00731E4E" w:rsidRDefault="00921721" w:rsidP="00880D09">
                  <w:pPr>
                    <w:jc w:val="center"/>
                    <w:rPr>
                      <w:rFonts w:asciiTheme="minorHAnsi" w:hAnsiTheme="minorHAnsi"/>
                      <w:b/>
                      <w:bCs/>
                      <w:color w:val="FFFFFF"/>
                      <w:sz w:val="18"/>
                      <w:szCs w:val="18"/>
                      <w:lang w:eastAsia="en-GB"/>
                    </w:rPr>
                  </w:pPr>
                </w:p>
              </w:tc>
              <w:tc>
                <w:tcPr>
                  <w:tcW w:w="847" w:type="dxa"/>
                  <w:tcBorders>
                    <w:top w:val="single" w:sz="8" w:space="0" w:color="FFFFFF"/>
                    <w:left w:val="nil"/>
                    <w:bottom w:val="single" w:sz="8" w:space="0" w:color="FFFFFF"/>
                    <w:right w:val="single" w:sz="8" w:space="0" w:color="FFFFFF"/>
                  </w:tcBorders>
                  <w:shd w:val="clear" w:color="auto" w:fill="808080" w:themeFill="background1" w:themeFillShade="80"/>
                  <w:vAlign w:val="center"/>
                  <w:hideMark/>
                </w:tcPr>
                <w:p w14:paraId="1C7CCD0F" w14:textId="77777777" w:rsidR="00921721" w:rsidRPr="00CD7B3F" w:rsidRDefault="00921721" w:rsidP="00880D09">
                  <w:pPr>
                    <w:jc w:val="center"/>
                    <w:rPr>
                      <w:rFonts w:asciiTheme="minorHAnsi" w:hAnsiTheme="minorHAnsi"/>
                      <w:b/>
                      <w:bCs/>
                      <w:color w:val="FFFFFF"/>
                      <w:sz w:val="18"/>
                      <w:szCs w:val="18"/>
                      <w:lang w:eastAsia="en-GB"/>
                    </w:rPr>
                  </w:pPr>
                  <w:r w:rsidRPr="00CD7B3F">
                    <w:rPr>
                      <w:rFonts w:asciiTheme="minorHAnsi" w:hAnsiTheme="minorHAnsi"/>
                      <w:b/>
                      <w:bCs/>
                      <w:color w:val="FFFFFF"/>
                      <w:sz w:val="18"/>
                      <w:szCs w:val="18"/>
                      <w:lang w:eastAsia="en-GB"/>
                    </w:rPr>
                    <w:t>2020</w:t>
                  </w:r>
                </w:p>
              </w:tc>
              <w:tc>
                <w:tcPr>
                  <w:tcW w:w="752" w:type="dxa"/>
                  <w:tcBorders>
                    <w:top w:val="single" w:sz="8" w:space="0" w:color="FFFFFF"/>
                    <w:left w:val="nil"/>
                    <w:bottom w:val="single" w:sz="8" w:space="0" w:color="FFFFFF"/>
                    <w:right w:val="single" w:sz="8" w:space="0" w:color="FFFFFF"/>
                  </w:tcBorders>
                  <w:shd w:val="clear" w:color="auto" w:fill="808080" w:themeFill="background1" w:themeFillShade="80"/>
                  <w:vAlign w:val="center"/>
                  <w:hideMark/>
                </w:tcPr>
                <w:p w14:paraId="7AD36E2B" w14:textId="77777777" w:rsidR="00921721" w:rsidRPr="00CD7B3F" w:rsidRDefault="00921721" w:rsidP="00880D09">
                  <w:pPr>
                    <w:jc w:val="center"/>
                    <w:rPr>
                      <w:rFonts w:asciiTheme="minorHAnsi" w:hAnsiTheme="minorHAnsi"/>
                      <w:b/>
                      <w:bCs/>
                      <w:color w:val="FFFFFF"/>
                      <w:sz w:val="18"/>
                      <w:szCs w:val="18"/>
                      <w:lang w:eastAsia="en-GB"/>
                    </w:rPr>
                  </w:pPr>
                  <w:r w:rsidRPr="00CD7B3F">
                    <w:rPr>
                      <w:rFonts w:asciiTheme="minorHAnsi" w:hAnsiTheme="minorHAnsi"/>
                      <w:b/>
                      <w:bCs/>
                      <w:color w:val="FFFFFF"/>
                      <w:sz w:val="18"/>
                      <w:szCs w:val="18"/>
                      <w:lang w:eastAsia="en-GB"/>
                    </w:rPr>
                    <w:t>2021</w:t>
                  </w:r>
                </w:p>
              </w:tc>
            </w:tr>
            <w:tr w:rsidR="00921721" w:rsidRPr="00731E4E" w14:paraId="7AB27489" w14:textId="77777777" w:rsidTr="00880D09">
              <w:trPr>
                <w:trHeight w:val="396"/>
              </w:trPr>
              <w:tc>
                <w:tcPr>
                  <w:tcW w:w="1244"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6F95ABAC"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Wzrost PKB</w:t>
                  </w:r>
                </w:p>
              </w:tc>
              <w:tc>
                <w:tcPr>
                  <w:tcW w:w="944" w:type="dxa"/>
                  <w:tcBorders>
                    <w:top w:val="nil"/>
                    <w:left w:val="nil"/>
                    <w:bottom w:val="single" w:sz="8" w:space="0" w:color="FFFFFF"/>
                    <w:right w:val="single" w:sz="8" w:space="0" w:color="FFFFFF"/>
                  </w:tcBorders>
                  <w:shd w:val="clear" w:color="auto" w:fill="DBE5F1" w:themeFill="accent1" w:themeFillTint="33"/>
                  <w:vAlign w:val="center"/>
                </w:tcPr>
                <w:p w14:paraId="5BE7E550" w14:textId="77777777" w:rsidR="00921721" w:rsidRPr="00296507" w:rsidRDefault="00921721" w:rsidP="00880D09">
                  <w:pPr>
                    <w:jc w:val="center"/>
                    <w:rPr>
                      <w:rFonts w:asciiTheme="minorHAnsi" w:hAnsiTheme="minorHAnsi"/>
                      <w:color w:val="4F81BD" w:themeColor="accent1"/>
                      <w:sz w:val="18"/>
                      <w:szCs w:val="18"/>
                      <w:lang w:eastAsia="en-GB"/>
                    </w:rPr>
                  </w:pPr>
                </w:p>
              </w:tc>
              <w:tc>
                <w:tcPr>
                  <w:tcW w:w="752" w:type="dxa"/>
                  <w:tcBorders>
                    <w:top w:val="nil"/>
                    <w:left w:val="nil"/>
                    <w:bottom w:val="single" w:sz="8" w:space="0" w:color="FFFFFF"/>
                    <w:right w:val="single" w:sz="8" w:space="0" w:color="FFFFFF"/>
                  </w:tcBorders>
                  <w:shd w:val="clear" w:color="auto" w:fill="DBE5F1" w:themeFill="accent1" w:themeFillTint="33"/>
                  <w:vAlign w:val="center"/>
                </w:tcPr>
                <w:p w14:paraId="6A550367" w14:textId="77777777" w:rsidR="00921721" w:rsidRPr="00296507" w:rsidRDefault="00921721" w:rsidP="00880D09">
                  <w:pPr>
                    <w:jc w:val="center"/>
                    <w:rPr>
                      <w:rFonts w:asciiTheme="minorHAnsi" w:hAnsiTheme="minorHAnsi"/>
                      <w:color w:val="4F81BD" w:themeColor="accent1"/>
                      <w:sz w:val="18"/>
                      <w:szCs w:val="18"/>
                      <w:lang w:eastAsia="en-GB"/>
                    </w:rPr>
                  </w:pPr>
                </w:p>
              </w:tc>
              <w:tc>
                <w:tcPr>
                  <w:tcW w:w="752" w:type="dxa"/>
                  <w:tcBorders>
                    <w:top w:val="nil"/>
                    <w:left w:val="nil"/>
                    <w:bottom w:val="single" w:sz="8" w:space="0" w:color="FFFFFF"/>
                    <w:right w:val="single" w:sz="8" w:space="0" w:color="FFFFFF"/>
                  </w:tcBorders>
                  <w:shd w:val="clear" w:color="auto" w:fill="DBE5F1" w:themeFill="accent1" w:themeFillTint="33"/>
                  <w:vAlign w:val="center"/>
                </w:tcPr>
                <w:p w14:paraId="5A708259" w14:textId="77777777" w:rsidR="00921721" w:rsidRPr="00296507" w:rsidRDefault="00921721" w:rsidP="00880D09">
                  <w:pPr>
                    <w:jc w:val="center"/>
                    <w:rPr>
                      <w:rFonts w:asciiTheme="minorHAnsi" w:hAnsiTheme="minorHAnsi"/>
                      <w:color w:val="4F81BD" w:themeColor="accent1"/>
                      <w:sz w:val="18"/>
                      <w:szCs w:val="18"/>
                      <w:lang w:eastAsia="en-GB"/>
                    </w:rPr>
                  </w:pPr>
                </w:p>
              </w:tc>
              <w:tc>
                <w:tcPr>
                  <w:tcW w:w="752" w:type="dxa"/>
                  <w:tcBorders>
                    <w:top w:val="nil"/>
                    <w:left w:val="nil"/>
                    <w:bottom w:val="single" w:sz="8" w:space="0" w:color="FFFFFF"/>
                    <w:right w:val="single" w:sz="8" w:space="0" w:color="FFFFFF"/>
                  </w:tcBorders>
                  <w:shd w:val="clear" w:color="auto" w:fill="DBE5F1" w:themeFill="accent1" w:themeFillTint="33"/>
                  <w:vAlign w:val="center"/>
                </w:tcPr>
                <w:p w14:paraId="29457ACF" w14:textId="77777777" w:rsidR="00921721" w:rsidRPr="00296507" w:rsidRDefault="00921721" w:rsidP="00880D09">
                  <w:pPr>
                    <w:jc w:val="center"/>
                    <w:rPr>
                      <w:rFonts w:asciiTheme="minorHAnsi" w:hAnsiTheme="minorHAnsi"/>
                      <w:color w:val="4F81BD" w:themeColor="accent1"/>
                      <w:sz w:val="18"/>
                      <w:szCs w:val="18"/>
                      <w:lang w:eastAsia="en-GB"/>
                    </w:rPr>
                  </w:pPr>
                </w:p>
              </w:tc>
              <w:tc>
                <w:tcPr>
                  <w:tcW w:w="752" w:type="dxa"/>
                  <w:tcBorders>
                    <w:top w:val="nil"/>
                    <w:left w:val="nil"/>
                    <w:bottom w:val="single" w:sz="8" w:space="0" w:color="FFFFFF"/>
                    <w:right w:val="single" w:sz="8" w:space="0" w:color="FFFFFF"/>
                  </w:tcBorders>
                  <w:shd w:val="clear" w:color="auto" w:fill="DBE5F1" w:themeFill="accent1" w:themeFillTint="33"/>
                  <w:vAlign w:val="center"/>
                </w:tcPr>
                <w:p w14:paraId="69850EF2" w14:textId="77777777" w:rsidR="00921721" w:rsidRPr="00296507" w:rsidRDefault="00921721" w:rsidP="00880D09">
                  <w:pPr>
                    <w:jc w:val="center"/>
                    <w:rPr>
                      <w:rFonts w:asciiTheme="minorHAnsi" w:hAnsiTheme="minorHAnsi"/>
                      <w:color w:val="4F81BD" w:themeColor="accent1"/>
                      <w:sz w:val="18"/>
                      <w:szCs w:val="18"/>
                      <w:lang w:eastAsia="en-GB"/>
                    </w:rPr>
                  </w:pPr>
                </w:p>
              </w:tc>
              <w:tc>
                <w:tcPr>
                  <w:tcW w:w="847" w:type="dxa"/>
                  <w:tcBorders>
                    <w:top w:val="nil"/>
                    <w:left w:val="nil"/>
                    <w:bottom w:val="single" w:sz="8" w:space="0" w:color="FFFFFF"/>
                    <w:right w:val="single" w:sz="8" w:space="0" w:color="FFFFFF"/>
                  </w:tcBorders>
                  <w:shd w:val="clear" w:color="auto" w:fill="DBE5F1" w:themeFill="accent1" w:themeFillTint="33"/>
                  <w:vAlign w:val="center"/>
                  <w:hideMark/>
                </w:tcPr>
                <w:p w14:paraId="309B3926" w14:textId="77777777" w:rsidR="00921721" w:rsidRPr="00CD7B3F" w:rsidRDefault="00921721" w:rsidP="00880D09">
                  <w:pPr>
                    <w:jc w:val="center"/>
                    <w:rPr>
                      <w:rFonts w:asciiTheme="minorHAnsi" w:hAnsiTheme="minorHAnsi"/>
                      <w:color w:val="4F81BD" w:themeColor="accent1"/>
                      <w:sz w:val="18"/>
                      <w:szCs w:val="18"/>
                      <w:lang w:eastAsia="en-GB"/>
                    </w:rPr>
                  </w:pPr>
                  <w:r w:rsidRPr="00CD7B3F">
                    <w:rPr>
                      <w:rFonts w:asciiTheme="minorHAnsi" w:hAnsiTheme="minorHAnsi"/>
                      <w:color w:val="4F81BD" w:themeColor="accent1"/>
                      <w:sz w:val="18"/>
                      <w:szCs w:val="18"/>
                      <w:lang w:eastAsia="en-GB"/>
                    </w:rPr>
                    <w:t>3</w:t>
                  </w:r>
                  <w:r>
                    <w:rPr>
                      <w:rFonts w:asciiTheme="minorHAnsi" w:hAnsiTheme="minorHAnsi"/>
                      <w:color w:val="4F81BD" w:themeColor="accent1"/>
                      <w:sz w:val="18"/>
                      <w:szCs w:val="18"/>
                      <w:lang w:eastAsia="en-GB"/>
                    </w:rPr>
                    <w:t>,</w:t>
                  </w:r>
                  <w:r w:rsidRPr="00CD7B3F">
                    <w:rPr>
                      <w:rFonts w:asciiTheme="minorHAnsi" w:hAnsiTheme="minorHAnsi"/>
                      <w:color w:val="4F81BD" w:themeColor="accent1"/>
                      <w:sz w:val="18"/>
                      <w:szCs w:val="18"/>
                      <w:lang w:eastAsia="en-GB"/>
                    </w:rPr>
                    <w:t>30%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4DEC3B79" w14:textId="77777777" w:rsidR="00921721" w:rsidRPr="00CD7B3F" w:rsidRDefault="00921721" w:rsidP="00880D09">
                  <w:pPr>
                    <w:jc w:val="center"/>
                    <w:rPr>
                      <w:rFonts w:asciiTheme="minorHAnsi" w:hAnsiTheme="minorHAnsi"/>
                      <w:color w:val="4F81BD" w:themeColor="accent1"/>
                      <w:sz w:val="18"/>
                      <w:szCs w:val="18"/>
                      <w:lang w:eastAsia="en-GB"/>
                    </w:rPr>
                  </w:pPr>
                  <w:r w:rsidRPr="00CD7B3F">
                    <w:rPr>
                      <w:rFonts w:asciiTheme="minorHAnsi" w:hAnsiTheme="minorHAnsi"/>
                      <w:color w:val="4F81BD" w:themeColor="accent1"/>
                      <w:sz w:val="18"/>
                      <w:szCs w:val="18"/>
                      <w:lang w:eastAsia="en-GB"/>
                    </w:rPr>
                    <w:t>3</w:t>
                  </w:r>
                  <w:r>
                    <w:rPr>
                      <w:rFonts w:asciiTheme="minorHAnsi" w:hAnsiTheme="minorHAnsi"/>
                      <w:color w:val="4F81BD" w:themeColor="accent1"/>
                      <w:sz w:val="18"/>
                      <w:szCs w:val="18"/>
                      <w:lang w:eastAsia="en-GB"/>
                    </w:rPr>
                    <w:t>,</w:t>
                  </w:r>
                  <w:r w:rsidRPr="00CD7B3F">
                    <w:rPr>
                      <w:rFonts w:asciiTheme="minorHAnsi" w:hAnsiTheme="minorHAnsi"/>
                      <w:color w:val="4F81BD" w:themeColor="accent1"/>
                      <w:sz w:val="18"/>
                      <w:szCs w:val="18"/>
                      <w:lang w:eastAsia="en-GB"/>
                    </w:rPr>
                    <w:t>20%</w:t>
                  </w:r>
                </w:p>
              </w:tc>
            </w:tr>
            <w:tr w:rsidR="00921721" w:rsidRPr="00731E4E" w14:paraId="58077016" w14:textId="77777777" w:rsidTr="00880D09">
              <w:trPr>
                <w:trHeight w:hRule="exact" w:val="490"/>
              </w:trPr>
              <w:tc>
                <w:tcPr>
                  <w:tcW w:w="1244" w:type="dxa"/>
                  <w:tcBorders>
                    <w:top w:val="nil"/>
                    <w:left w:val="single" w:sz="8" w:space="0" w:color="FFFFFF"/>
                    <w:bottom w:val="single" w:sz="8" w:space="0" w:color="FFFFFF"/>
                    <w:right w:val="single" w:sz="8" w:space="0" w:color="FFFFFF"/>
                  </w:tcBorders>
                  <w:shd w:val="clear" w:color="auto" w:fill="A6A6A6" w:themeFill="background1" w:themeFillShade="A6"/>
                  <w:vAlign w:val="center"/>
                  <w:hideMark/>
                </w:tcPr>
                <w:p w14:paraId="2B2D94F8"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cs="Arial"/>
                      <w:b/>
                      <w:bCs/>
                      <w:color w:val="FFFFFF"/>
                      <w:sz w:val="18"/>
                      <w:szCs w:val="18"/>
                    </w:rPr>
                    <w:t>Lata</w:t>
                  </w:r>
                </w:p>
              </w:tc>
              <w:tc>
                <w:tcPr>
                  <w:tcW w:w="944" w:type="dxa"/>
                  <w:tcBorders>
                    <w:top w:val="nil"/>
                    <w:left w:val="nil"/>
                    <w:bottom w:val="single" w:sz="8" w:space="0" w:color="FFFFFF"/>
                    <w:right w:val="single" w:sz="8" w:space="0" w:color="FFFFFF"/>
                  </w:tcBorders>
                  <w:shd w:val="clear" w:color="auto" w:fill="A6A6A6" w:themeFill="background1" w:themeFillShade="A6"/>
                  <w:vAlign w:val="center"/>
                  <w:hideMark/>
                </w:tcPr>
                <w:p w14:paraId="0EB8C8D6"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2022</w:t>
                  </w:r>
                </w:p>
              </w:tc>
              <w:tc>
                <w:tcPr>
                  <w:tcW w:w="752" w:type="dxa"/>
                  <w:tcBorders>
                    <w:top w:val="nil"/>
                    <w:left w:val="nil"/>
                    <w:bottom w:val="single" w:sz="8" w:space="0" w:color="FFFFFF"/>
                    <w:right w:val="single" w:sz="8" w:space="0" w:color="FFFFFF"/>
                  </w:tcBorders>
                  <w:shd w:val="clear" w:color="auto" w:fill="A6A6A6" w:themeFill="background1" w:themeFillShade="A6"/>
                  <w:vAlign w:val="center"/>
                  <w:hideMark/>
                </w:tcPr>
                <w:p w14:paraId="61FD6BF1"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2023</w:t>
                  </w:r>
                </w:p>
              </w:tc>
              <w:tc>
                <w:tcPr>
                  <w:tcW w:w="752" w:type="dxa"/>
                  <w:tcBorders>
                    <w:top w:val="nil"/>
                    <w:left w:val="nil"/>
                    <w:bottom w:val="single" w:sz="8" w:space="0" w:color="FFFFFF"/>
                    <w:right w:val="single" w:sz="8" w:space="0" w:color="FFFFFF"/>
                  </w:tcBorders>
                  <w:shd w:val="clear" w:color="auto" w:fill="A6A6A6" w:themeFill="background1" w:themeFillShade="A6"/>
                  <w:vAlign w:val="center"/>
                  <w:hideMark/>
                </w:tcPr>
                <w:p w14:paraId="5222F137"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2024</w:t>
                  </w:r>
                </w:p>
              </w:tc>
              <w:tc>
                <w:tcPr>
                  <w:tcW w:w="752" w:type="dxa"/>
                  <w:tcBorders>
                    <w:top w:val="nil"/>
                    <w:left w:val="nil"/>
                    <w:bottom w:val="single" w:sz="8" w:space="0" w:color="FFFFFF"/>
                    <w:right w:val="single" w:sz="8" w:space="0" w:color="FFFFFF"/>
                  </w:tcBorders>
                  <w:shd w:val="clear" w:color="auto" w:fill="A6A6A6" w:themeFill="background1" w:themeFillShade="A6"/>
                  <w:vAlign w:val="center"/>
                  <w:hideMark/>
                </w:tcPr>
                <w:p w14:paraId="218C9DB4"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2025</w:t>
                  </w:r>
                </w:p>
              </w:tc>
              <w:tc>
                <w:tcPr>
                  <w:tcW w:w="752" w:type="dxa"/>
                  <w:tcBorders>
                    <w:top w:val="nil"/>
                    <w:left w:val="nil"/>
                    <w:bottom w:val="single" w:sz="8" w:space="0" w:color="FFFFFF"/>
                    <w:right w:val="single" w:sz="8" w:space="0" w:color="FFFFFF"/>
                  </w:tcBorders>
                  <w:shd w:val="clear" w:color="auto" w:fill="A6A6A6" w:themeFill="background1" w:themeFillShade="A6"/>
                  <w:vAlign w:val="center"/>
                  <w:hideMark/>
                </w:tcPr>
                <w:p w14:paraId="2A8ACA40"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2026</w:t>
                  </w:r>
                </w:p>
              </w:tc>
              <w:tc>
                <w:tcPr>
                  <w:tcW w:w="847" w:type="dxa"/>
                  <w:tcBorders>
                    <w:top w:val="nil"/>
                    <w:left w:val="nil"/>
                    <w:bottom w:val="single" w:sz="8" w:space="0" w:color="FFFFFF"/>
                    <w:right w:val="single" w:sz="8" w:space="0" w:color="FFFFFF"/>
                  </w:tcBorders>
                  <w:shd w:val="clear" w:color="auto" w:fill="A6A6A6" w:themeFill="background1" w:themeFillShade="A6"/>
                  <w:vAlign w:val="center"/>
                  <w:hideMark/>
                </w:tcPr>
                <w:p w14:paraId="297DB425"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2027</w:t>
                  </w:r>
                </w:p>
              </w:tc>
              <w:tc>
                <w:tcPr>
                  <w:tcW w:w="752" w:type="dxa"/>
                  <w:tcBorders>
                    <w:top w:val="nil"/>
                    <w:left w:val="nil"/>
                    <w:bottom w:val="single" w:sz="8" w:space="0" w:color="FFFFFF"/>
                    <w:right w:val="single" w:sz="8" w:space="0" w:color="FFFFFF"/>
                  </w:tcBorders>
                  <w:shd w:val="clear" w:color="auto" w:fill="A6A6A6" w:themeFill="background1" w:themeFillShade="A6"/>
                  <w:vAlign w:val="center"/>
                  <w:hideMark/>
                </w:tcPr>
                <w:p w14:paraId="5674C070"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2028</w:t>
                  </w:r>
                </w:p>
              </w:tc>
            </w:tr>
            <w:tr w:rsidR="00921721" w:rsidRPr="00731E4E" w14:paraId="16AE2AA5" w14:textId="77777777" w:rsidTr="00880D09">
              <w:trPr>
                <w:trHeight w:val="386"/>
              </w:trPr>
              <w:tc>
                <w:tcPr>
                  <w:tcW w:w="1244"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3063EF4F"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Wzrost PKB</w:t>
                  </w:r>
                </w:p>
              </w:tc>
              <w:tc>
                <w:tcPr>
                  <w:tcW w:w="944" w:type="dxa"/>
                  <w:tcBorders>
                    <w:top w:val="nil"/>
                    <w:left w:val="nil"/>
                    <w:bottom w:val="single" w:sz="8" w:space="0" w:color="FFFFFF"/>
                    <w:right w:val="single" w:sz="8" w:space="0" w:color="FFFFFF"/>
                  </w:tcBorders>
                  <w:shd w:val="clear" w:color="auto" w:fill="DBE5F1" w:themeFill="accent1" w:themeFillTint="33"/>
                  <w:vAlign w:val="center"/>
                  <w:hideMark/>
                </w:tcPr>
                <w:p w14:paraId="04E07215"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3</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10%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318554F0"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3</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00%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631855B3"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90%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379C9E0D"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80%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0E683364"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80%</w:t>
                  </w:r>
                </w:p>
              </w:tc>
              <w:tc>
                <w:tcPr>
                  <w:tcW w:w="847" w:type="dxa"/>
                  <w:tcBorders>
                    <w:top w:val="nil"/>
                    <w:left w:val="nil"/>
                    <w:bottom w:val="single" w:sz="8" w:space="0" w:color="FFFFFF"/>
                    <w:right w:val="single" w:sz="8" w:space="0" w:color="FFFFFF"/>
                  </w:tcBorders>
                  <w:shd w:val="clear" w:color="auto" w:fill="DBE5F1" w:themeFill="accent1" w:themeFillTint="33"/>
                  <w:vAlign w:val="center"/>
                  <w:hideMark/>
                </w:tcPr>
                <w:p w14:paraId="4E882E90"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80%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596F1CBB"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70%</w:t>
                  </w:r>
                </w:p>
              </w:tc>
            </w:tr>
            <w:tr w:rsidR="00921721" w:rsidRPr="00731E4E" w14:paraId="281D221E" w14:textId="77777777" w:rsidTr="00880D09">
              <w:trPr>
                <w:trHeight w:hRule="exact" w:val="503"/>
              </w:trPr>
              <w:tc>
                <w:tcPr>
                  <w:tcW w:w="1244" w:type="dxa"/>
                  <w:tcBorders>
                    <w:top w:val="nil"/>
                    <w:left w:val="single" w:sz="8" w:space="0" w:color="FFFFFF"/>
                    <w:bottom w:val="single" w:sz="8" w:space="0" w:color="FFFFFF"/>
                    <w:right w:val="single" w:sz="8" w:space="0" w:color="FFFFFF"/>
                  </w:tcBorders>
                  <w:shd w:val="clear" w:color="auto" w:fill="BFBFBF" w:themeFill="background1" w:themeFillShade="BF"/>
                  <w:vAlign w:val="center"/>
                  <w:hideMark/>
                </w:tcPr>
                <w:p w14:paraId="32A6C752"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cs="Arial"/>
                      <w:b/>
                      <w:bCs/>
                      <w:color w:val="FFFFFF"/>
                      <w:sz w:val="18"/>
                      <w:szCs w:val="18"/>
                    </w:rPr>
                    <w:t>Lata</w:t>
                  </w:r>
                </w:p>
              </w:tc>
              <w:tc>
                <w:tcPr>
                  <w:tcW w:w="944" w:type="dxa"/>
                  <w:tcBorders>
                    <w:top w:val="nil"/>
                    <w:left w:val="nil"/>
                    <w:bottom w:val="single" w:sz="8" w:space="0" w:color="FFFFFF"/>
                    <w:right w:val="single" w:sz="8" w:space="0" w:color="FFFFFF"/>
                  </w:tcBorders>
                  <w:shd w:val="clear" w:color="auto" w:fill="BFBFBF" w:themeFill="background1" w:themeFillShade="BF"/>
                  <w:vAlign w:val="center"/>
                  <w:hideMark/>
                </w:tcPr>
                <w:p w14:paraId="4339644A"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2029</w:t>
                  </w:r>
                </w:p>
              </w:tc>
              <w:tc>
                <w:tcPr>
                  <w:tcW w:w="752" w:type="dxa"/>
                  <w:tcBorders>
                    <w:top w:val="nil"/>
                    <w:left w:val="nil"/>
                    <w:bottom w:val="single" w:sz="8" w:space="0" w:color="FFFFFF"/>
                    <w:right w:val="single" w:sz="8" w:space="0" w:color="FFFFFF"/>
                  </w:tcBorders>
                  <w:shd w:val="clear" w:color="auto" w:fill="BFBFBF" w:themeFill="background1" w:themeFillShade="BF"/>
                  <w:vAlign w:val="center"/>
                  <w:hideMark/>
                </w:tcPr>
                <w:p w14:paraId="0BC93A03"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2030</w:t>
                  </w:r>
                </w:p>
              </w:tc>
              <w:tc>
                <w:tcPr>
                  <w:tcW w:w="752" w:type="dxa"/>
                  <w:tcBorders>
                    <w:top w:val="nil"/>
                    <w:left w:val="nil"/>
                    <w:bottom w:val="single" w:sz="8" w:space="0" w:color="FFFFFF"/>
                    <w:right w:val="single" w:sz="8" w:space="0" w:color="FFFFFF"/>
                  </w:tcBorders>
                  <w:shd w:val="clear" w:color="auto" w:fill="BFBFBF" w:themeFill="background1" w:themeFillShade="BF"/>
                  <w:vAlign w:val="center"/>
                  <w:hideMark/>
                </w:tcPr>
                <w:p w14:paraId="41C3315F"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2031</w:t>
                  </w:r>
                </w:p>
              </w:tc>
              <w:tc>
                <w:tcPr>
                  <w:tcW w:w="752" w:type="dxa"/>
                  <w:tcBorders>
                    <w:top w:val="nil"/>
                    <w:left w:val="nil"/>
                    <w:bottom w:val="single" w:sz="8" w:space="0" w:color="FFFFFF"/>
                    <w:right w:val="single" w:sz="8" w:space="0" w:color="FFFFFF"/>
                  </w:tcBorders>
                  <w:shd w:val="clear" w:color="auto" w:fill="BFBFBF" w:themeFill="background1" w:themeFillShade="BF"/>
                  <w:vAlign w:val="center"/>
                  <w:hideMark/>
                </w:tcPr>
                <w:p w14:paraId="7849F0C3"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2032</w:t>
                  </w:r>
                </w:p>
              </w:tc>
              <w:tc>
                <w:tcPr>
                  <w:tcW w:w="752" w:type="dxa"/>
                  <w:tcBorders>
                    <w:top w:val="nil"/>
                    <w:left w:val="nil"/>
                    <w:bottom w:val="single" w:sz="8" w:space="0" w:color="FFFFFF"/>
                    <w:right w:val="single" w:sz="8" w:space="0" w:color="FFFFFF"/>
                  </w:tcBorders>
                  <w:shd w:val="clear" w:color="auto" w:fill="BFBFBF" w:themeFill="background1" w:themeFillShade="BF"/>
                  <w:vAlign w:val="center"/>
                  <w:hideMark/>
                </w:tcPr>
                <w:p w14:paraId="47A64E38"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2033</w:t>
                  </w:r>
                </w:p>
              </w:tc>
              <w:tc>
                <w:tcPr>
                  <w:tcW w:w="847" w:type="dxa"/>
                  <w:tcBorders>
                    <w:top w:val="nil"/>
                    <w:left w:val="nil"/>
                    <w:bottom w:val="single" w:sz="8" w:space="0" w:color="FFFFFF"/>
                    <w:right w:val="single" w:sz="8" w:space="0" w:color="FFFFFF"/>
                  </w:tcBorders>
                  <w:shd w:val="clear" w:color="auto" w:fill="BFBFBF" w:themeFill="background1" w:themeFillShade="BF"/>
                  <w:vAlign w:val="center"/>
                  <w:hideMark/>
                </w:tcPr>
                <w:p w14:paraId="52138B0A"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2034</w:t>
                  </w:r>
                </w:p>
              </w:tc>
              <w:tc>
                <w:tcPr>
                  <w:tcW w:w="752" w:type="dxa"/>
                  <w:tcBorders>
                    <w:top w:val="nil"/>
                    <w:left w:val="nil"/>
                    <w:bottom w:val="single" w:sz="8" w:space="0" w:color="FFFFFF"/>
                    <w:right w:val="single" w:sz="8" w:space="0" w:color="FFFFFF"/>
                  </w:tcBorders>
                  <w:shd w:val="clear" w:color="auto" w:fill="BFBFBF" w:themeFill="background1" w:themeFillShade="BF"/>
                  <w:vAlign w:val="center"/>
                  <w:hideMark/>
                </w:tcPr>
                <w:p w14:paraId="52C9F086" w14:textId="77777777" w:rsidR="00921721" w:rsidRPr="00731E4E" w:rsidRDefault="00921721" w:rsidP="00880D09">
                  <w:pPr>
                    <w:jc w:val="center"/>
                    <w:rPr>
                      <w:rFonts w:asciiTheme="minorHAnsi" w:hAnsiTheme="minorHAnsi"/>
                      <w:b/>
                      <w:bCs/>
                      <w:color w:val="FFFFFF"/>
                      <w:sz w:val="18"/>
                      <w:szCs w:val="18"/>
                      <w:lang w:eastAsia="en-GB"/>
                    </w:rPr>
                  </w:pPr>
                  <w:r w:rsidRPr="00731E4E">
                    <w:rPr>
                      <w:rFonts w:asciiTheme="minorHAnsi" w:hAnsiTheme="minorHAnsi"/>
                      <w:b/>
                      <w:bCs/>
                      <w:color w:val="FFFFFF"/>
                      <w:sz w:val="18"/>
                      <w:szCs w:val="18"/>
                      <w:lang w:eastAsia="en-GB"/>
                    </w:rPr>
                    <w:t>2035</w:t>
                  </w:r>
                </w:p>
              </w:tc>
            </w:tr>
            <w:tr w:rsidR="00921721" w:rsidRPr="00731E4E" w14:paraId="39CD5AE8" w14:textId="77777777" w:rsidTr="00880D09">
              <w:trPr>
                <w:trHeight w:val="422"/>
              </w:trPr>
              <w:tc>
                <w:tcPr>
                  <w:tcW w:w="1244"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00B29FC9"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Wzrost PKB</w:t>
                  </w:r>
                </w:p>
              </w:tc>
              <w:tc>
                <w:tcPr>
                  <w:tcW w:w="944" w:type="dxa"/>
                  <w:tcBorders>
                    <w:top w:val="nil"/>
                    <w:left w:val="nil"/>
                    <w:bottom w:val="single" w:sz="8" w:space="0" w:color="FFFFFF"/>
                    <w:right w:val="single" w:sz="8" w:space="0" w:color="FFFFFF"/>
                  </w:tcBorders>
                  <w:shd w:val="clear" w:color="auto" w:fill="DBE5F1" w:themeFill="accent1" w:themeFillTint="33"/>
                  <w:vAlign w:val="center"/>
                  <w:hideMark/>
                </w:tcPr>
                <w:p w14:paraId="5FA88F0D"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70%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6084C5EE"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70%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60AA2974"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60%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7B0539DA"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60%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128963EC"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60%</w:t>
                  </w:r>
                </w:p>
              </w:tc>
              <w:tc>
                <w:tcPr>
                  <w:tcW w:w="847" w:type="dxa"/>
                  <w:tcBorders>
                    <w:top w:val="nil"/>
                    <w:left w:val="nil"/>
                    <w:bottom w:val="single" w:sz="8" w:space="0" w:color="FFFFFF"/>
                    <w:right w:val="single" w:sz="8" w:space="0" w:color="FFFFFF"/>
                  </w:tcBorders>
                  <w:shd w:val="clear" w:color="auto" w:fill="DBE5F1" w:themeFill="accent1" w:themeFillTint="33"/>
                  <w:vAlign w:val="center"/>
                  <w:hideMark/>
                </w:tcPr>
                <w:p w14:paraId="3BCB14CC"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50%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78E9BB8F"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50%</w:t>
                  </w:r>
                </w:p>
              </w:tc>
            </w:tr>
            <w:tr w:rsidR="00921721" w:rsidRPr="00731E4E" w14:paraId="483BFF55" w14:textId="77777777" w:rsidTr="00880D09">
              <w:trPr>
                <w:trHeight w:hRule="exact" w:val="493"/>
              </w:trPr>
              <w:tc>
                <w:tcPr>
                  <w:tcW w:w="1244" w:type="dxa"/>
                  <w:tcBorders>
                    <w:top w:val="nil"/>
                    <w:left w:val="single" w:sz="8" w:space="0" w:color="FFFFFF"/>
                    <w:bottom w:val="single" w:sz="8" w:space="0" w:color="FFFFFF"/>
                    <w:right w:val="single" w:sz="8" w:space="0" w:color="FFFFFF"/>
                  </w:tcBorders>
                  <w:shd w:val="clear" w:color="auto" w:fill="D9D9D9" w:themeFill="background1" w:themeFillShade="D9"/>
                  <w:vAlign w:val="center"/>
                  <w:hideMark/>
                </w:tcPr>
                <w:p w14:paraId="162536CC" w14:textId="77777777" w:rsidR="00921721" w:rsidRPr="009D596D" w:rsidRDefault="00921721" w:rsidP="00880D09">
                  <w:pPr>
                    <w:jc w:val="center"/>
                    <w:rPr>
                      <w:rFonts w:asciiTheme="minorHAnsi" w:hAnsiTheme="minorHAnsi"/>
                      <w:b/>
                      <w:bCs/>
                      <w:color w:val="808080" w:themeColor="background1" w:themeShade="80"/>
                      <w:sz w:val="18"/>
                      <w:szCs w:val="18"/>
                      <w:lang w:eastAsia="en-GB"/>
                    </w:rPr>
                  </w:pPr>
                  <w:r w:rsidRPr="009D596D">
                    <w:rPr>
                      <w:rFonts w:asciiTheme="minorHAnsi" w:hAnsiTheme="minorHAnsi" w:cs="Arial"/>
                      <w:b/>
                      <w:bCs/>
                      <w:color w:val="808080" w:themeColor="background1" w:themeShade="80"/>
                      <w:sz w:val="18"/>
                      <w:szCs w:val="18"/>
                    </w:rPr>
                    <w:t>Lata</w:t>
                  </w:r>
                </w:p>
              </w:tc>
              <w:tc>
                <w:tcPr>
                  <w:tcW w:w="944" w:type="dxa"/>
                  <w:tcBorders>
                    <w:top w:val="nil"/>
                    <w:left w:val="nil"/>
                    <w:bottom w:val="single" w:sz="8" w:space="0" w:color="FFFFFF"/>
                    <w:right w:val="single" w:sz="8" w:space="0" w:color="FFFFFF"/>
                  </w:tcBorders>
                  <w:shd w:val="clear" w:color="auto" w:fill="D9D9D9" w:themeFill="background1" w:themeFillShade="D9"/>
                  <w:vAlign w:val="center"/>
                  <w:hideMark/>
                </w:tcPr>
                <w:p w14:paraId="2CB3F2A6" w14:textId="77777777" w:rsidR="00921721" w:rsidRPr="009D596D" w:rsidRDefault="00921721" w:rsidP="00880D09">
                  <w:pPr>
                    <w:jc w:val="center"/>
                    <w:rPr>
                      <w:rFonts w:asciiTheme="minorHAnsi" w:hAnsiTheme="minorHAnsi"/>
                      <w:b/>
                      <w:bCs/>
                      <w:color w:val="808080" w:themeColor="background1" w:themeShade="80"/>
                      <w:sz w:val="18"/>
                      <w:szCs w:val="18"/>
                      <w:lang w:eastAsia="en-GB"/>
                    </w:rPr>
                  </w:pPr>
                  <w:r w:rsidRPr="009D596D">
                    <w:rPr>
                      <w:rFonts w:asciiTheme="minorHAnsi" w:hAnsiTheme="minorHAnsi"/>
                      <w:b/>
                      <w:bCs/>
                      <w:color w:val="808080" w:themeColor="background1" w:themeShade="80"/>
                      <w:sz w:val="18"/>
                      <w:szCs w:val="18"/>
                      <w:lang w:eastAsia="en-GB"/>
                    </w:rPr>
                    <w:t>2036</w:t>
                  </w:r>
                </w:p>
              </w:tc>
              <w:tc>
                <w:tcPr>
                  <w:tcW w:w="752" w:type="dxa"/>
                  <w:tcBorders>
                    <w:top w:val="nil"/>
                    <w:left w:val="nil"/>
                    <w:bottom w:val="single" w:sz="8" w:space="0" w:color="FFFFFF"/>
                    <w:right w:val="single" w:sz="8" w:space="0" w:color="FFFFFF"/>
                  </w:tcBorders>
                  <w:shd w:val="clear" w:color="auto" w:fill="D9D9D9" w:themeFill="background1" w:themeFillShade="D9"/>
                  <w:vAlign w:val="center"/>
                  <w:hideMark/>
                </w:tcPr>
                <w:p w14:paraId="0E70892C" w14:textId="77777777" w:rsidR="00921721" w:rsidRPr="009D596D" w:rsidRDefault="00921721" w:rsidP="00880D09">
                  <w:pPr>
                    <w:jc w:val="center"/>
                    <w:rPr>
                      <w:rFonts w:asciiTheme="minorHAnsi" w:hAnsiTheme="minorHAnsi"/>
                      <w:b/>
                      <w:bCs/>
                      <w:color w:val="808080" w:themeColor="background1" w:themeShade="80"/>
                      <w:sz w:val="18"/>
                      <w:szCs w:val="18"/>
                      <w:lang w:eastAsia="en-GB"/>
                    </w:rPr>
                  </w:pPr>
                  <w:r w:rsidRPr="009D596D">
                    <w:rPr>
                      <w:rFonts w:asciiTheme="minorHAnsi" w:hAnsiTheme="minorHAnsi"/>
                      <w:b/>
                      <w:bCs/>
                      <w:color w:val="808080" w:themeColor="background1" w:themeShade="80"/>
                      <w:sz w:val="18"/>
                      <w:szCs w:val="18"/>
                      <w:lang w:eastAsia="en-GB"/>
                    </w:rPr>
                    <w:t>2037</w:t>
                  </w:r>
                </w:p>
              </w:tc>
              <w:tc>
                <w:tcPr>
                  <w:tcW w:w="752" w:type="dxa"/>
                  <w:tcBorders>
                    <w:top w:val="nil"/>
                    <w:left w:val="nil"/>
                    <w:bottom w:val="single" w:sz="8" w:space="0" w:color="FFFFFF"/>
                    <w:right w:val="single" w:sz="8" w:space="0" w:color="FFFFFF"/>
                  </w:tcBorders>
                  <w:shd w:val="clear" w:color="auto" w:fill="D9D9D9" w:themeFill="background1" w:themeFillShade="D9"/>
                  <w:vAlign w:val="center"/>
                  <w:hideMark/>
                </w:tcPr>
                <w:p w14:paraId="0E4B1FAD" w14:textId="77777777" w:rsidR="00921721" w:rsidRPr="009D596D" w:rsidRDefault="00921721" w:rsidP="00880D09">
                  <w:pPr>
                    <w:jc w:val="center"/>
                    <w:rPr>
                      <w:rFonts w:asciiTheme="minorHAnsi" w:hAnsiTheme="minorHAnsi"/>
                      <w:b/>
                      <w:bCs/>
                      <w:color w:val="808080" w:themeColor="background1" w:themeShade="80"/>
                      <w:sz w:val="18"/>
                      <w:szCs w:val="18"/>
                      <w:lang w:eastAsia="en-GB"/>
                    </w:rPr>
                  </w:pPr>
                  <w:r w:rsidRPr="009D596D">
                    <w:rPr>
                      <w:rFonts w:asciiTheme="minorHAnsi" w:hAnsiTheme="minorHAnsi"/>
                      <w:b/>
                      <w:bCs/>
                      <w:color w:val="808080" w:themeColor="background1" w:themeShade="80"/>
                      <w:sz w:val="18"/>
                      <w:szCs w:val="18"/>
                      <w:lang w:eastAsia="en-GB"/>
                    </w:rPr>
                    <w:t>2038</w:t>
                  </w:r>
                </w:p>
              </w:tc>
              <w:tc>
                <w:tcPr>
                  <w:tcW w:w="752" w:type="dxa"/>
                  <w:tcBorders>
                    <w:top w:val="nil"/>
                    <w:left w:val="nil"/>
                    <w:bottom w:val="single" w:sz="8" w:space="0" w:color="FFFFFF"/>
                    <w:right w:val="single" w:sz="8" w:space="0" w:color="FFFFFF"/>
                  </w:tcBorders>
                  <w:shd w:val="clear" w:color="auto" w:fill="D9D9D9" w:themeFill="background1" w:themeFillShade="D9"/>
                  <w:vAlign w:val="center"/>
                  <w:hideMark/>
                </w:tcPr>
                <w:p w14:paraId="730AD648" w14:textId="77777777" w:rsidR="00921721" w:rsidRPr="009D596D" w:rsidRDefault="00921721" w:rsidP="00880D09">
                  <w:pPr>
                    <w:jc w:val="center"/>
                    <w:rPr>
                      <w:rFonts w:asciiTheme="minorHAnsi" w:hAnsiTheme="minorHAnsi"/>
                      <w:b/>
                      <w:bCs/>
                      <w:color w:val="808080" w:themeColor="background1" w:themeShade="80"/>
                      <w:sz w:val="18"/>
                      <w:szCs w:val="18"/>
                      <w:lang w:eastAsia="en-GB"/>
                    </w:rPr>
                  </w:pPr>
                  <w:r w:rsidRPr="009D596D">
                    <w:rPr>
                      <w:rFonts w:asciiTheme="minorHAnsi" w:hAnsiTheme="minorHAnsi"/>
                      <w:b/>
                      <w:bCs/>
                      <w:color w:val="808080" w:themeColor="background1" w:themeShade="80"/>
                      <w:sz w:val="18"/>
                      <w:szCs w:val="18"/>
                      <w:lang w:eastAsia="en-GB"/>
                    </w:rPr>
                    <w:t>2039</w:t>
                  </w:r>
                </w:p>
              </w:tc>
              <w:tc>
                <w:tcPr>
                  <w:tcW w:w="752" w:type="dxa"/>
                  <w:tcBorders>
                    <w:top w:val="nil"/>
                    <w:left w:val="nil"/>
                    <w:bottom w:val="single" w:sz="8" w:space="0" w:color="FFFFFF"/>
                    <w:right w:val="single" w:sz="8" w:space="0" w:color="FFFFFF"/>
                  </w:tcBorders>
                  <w:shd w:val="clear" w:color="auto" w:fill="D9D9D9" w:themeFill="background1" w:themeFillShade="D9"/>
                  <w:vAlign w:val="center"/>
                  <w:hideMark/>
                </w:tcPr>
                <w:p w14:paraId="01CB8F55" w14:textId="77777777" w:rsidR="00921721" w:rsidRPr="009D596D" w:rsidRDefault="00921721" w:rsidP="00880D09">
                  <w:pPr>
                    <w:jc w:val="center"/>
                    <w:rPr>
                      <w:rFonts w:asciiTheme="minorHAnsi" w:hAnsiTheme="minorHAnsi"/>
                      <w:b/>
                      <w:bCs/>
                      <w:color w:val="808080" w:themeColor="background1" w:themeShade="80"/>
                      <w:sz w:val="18"/>
                      <w:szCs w:val="18"/>
                      <w:lang w:eastAsia="en-GB"/>
                    </w:rPr>
                  </w:pPr>
                  <w:r w:rsidRPr="009D596D">
                    <w:rPr>
                      <w:rFonts w:asciiTheme="minorHAnsi" w:hAnsiTheme="minorHAnsi"/>
                      <w:b/>
                      <w:bCs/>
                      <w:color w:val="808080" w:themeColor="background1" w:themeShade="80"/>
                      <w:sz w:val="18"/>
                      <w:szCs w:val="18"/>
                      <w:lang w:eastAsia="en-GB"/>
                    </w:rPr>
                    <w:t>2040</w:t>
                  </w:r>
                </w:p>
              </w:tc>
              <w:tc>
                <w:tcPr>
                  <w:tcW w:w="847" w:type="dxa"/>
                  <w:tcBorders>
                    <w:top w:val="nil"/>
                    <w:left w:val="nil"/>
                    <w:bottom w:val="single" w:sz="8" w:space="0" w:color="FFFFFF"/>
                    <w:right w:val="single" w:sz="8" w:space="0" w:color="FFFFFF"/>
                  </w:tcBorders>
                  <w:shd w:val="clear" w:color="auto" w:fill="D9D9D9" w:themeFill="background1" w:themeFillShade="D9"/>
                  <w:vAlign w:val="center"/>
                  <w:hideMark/>
                </w:tcPr>
                <w:p w14:paraId="79465710" w14:textId="77777777" w:rsidR="00921721" w:rsidRPr="009D596D" w:rsidRDefault="00921721" w:rsidP="00880D09">
                  <w:pPr>
                    <w:jc w:val="center"/>
                    <w:rPr>
                      <w:rFonts w:asciiTheme="minorHAnsi" w:hAnsiTheme="minorHAnsi"/>
                      <w:b/>
                      <w:bCs/>
                      <w:color w:val="808080" w:themeColor="background1" w:themeShade="80"/>
                      <w:sz w:val="18"/>
                      <w:szCs w:val="18"/>
                      <w:lang w:eastAsia="en-GB"/>
                    </w:rPr>
                  </w:pPr>
                  <w:r w:rsidRPr="009D596D">
                    <w:rPr>
                      <w:rFonts w:asciiTheme="minorHAnsi" w:hAnsiTheme="minorHAnsi"/>
                      <w:b/>
                      <w:bCs/>
                      <w:color w:val="808080" w:themeColor="background1" w:themeShade="80"/>
                      <w:sz w:val="18"/>
                      <w:szCs w:val="18"/>
                      <w:lang w:eastAsia="en-GB"/>
                    </w:rPr>
                    <w:t>2041</w:t>
                  </w:r>
                </w:p>
              </w:tc>
              <w:tc>
                <w:tcPr>
                  <w:tcW w:w="752" w:type="dxa"/>
                  <w:tcBorders>
                    <w:top w:val="nil"/>
                    <w:left w:val="nil"/>
                    <w:bottom w:val="single" w:sz="8" w:space="0" w:color="FFFFFF"/>
                    <w:right w:val="single" w:sz="8" w:space="0" w:color="FFFFFF"/>
                  </w:tcBorders>
                  <w:shd w:val="clear" w:color="auto" w:fill="D9D9D9" w:themeFill="background1" w:themeFillShade="D9"/>
                  <w:vAlign w:val="center"/>
                  <w:hideMark/>
                </w:tcPr>
                <w:p w14:paraId="1A8700F2" w14:textId="77777777" w:rsidR="00921721" w:rsidRPr="009D596D" w:rsidRDefault="00921721" w:rsidP="00880D09">
                  <w:pPr>
                    <w:jc w:val="center"/>
                    <w:rPr>
                      <w:rFonts w:asciiTheme="minorHAnsi" w:hAnsiTheme="minorHAnsi"/>
                      <w:b/>
                      <w:bCs/>
                      <w:color w:val="808080" w:themeColor="background1" w:themeShade="80"/>
                      <w:sz w:val="18"/>
                      <w:szCs w:val="18"/>
                      <w:lang w:eastAsia="en-GB"/>
                    </w:rPr>
                  </w:pPr>
                  <w:r w:rsidRPr="009D596D">
                    <w:rPr>
                      <w:rFonts w:asciiTheme="minorHAnsi" w:hAnsiTheme="minorHAnsi"/>
                      <w:b/>
                      <w:bCs/>
                      <w:color w:val="808080" w:themeColor="background1" w:themeShade="80"/>
                      <w:sz w:val="18"/>
                      <w:szCs w:val="18"/>
                      <w:lang w:eastAsia="en-GB"/>
                    </w:rPr>
                    <w:t>2042</w:t>
                  </w:r>
                </w:p>
              </w:tc>
            </w:tr>
            <w:tr w:rsidR="00921721" w:rsidRPr="00731E4E" w14:paraId="4DC6C162" w14:textId="77777777" w:rsidTr="00880D09">
              <w:trPr>
                <w:trHeight w:val="519"/>
              </w:trPr>
              <w:tc>
                <w:tcPr>
                  <w:tcW w:w="1244"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40BF3B4B"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Wzrost PKB</w:t>
                  </w:r>
                </w:p>
              </w:tc>
              <w:tc>
                <w:tcPr>
                  <w:tcW w:w="944" w:type="dxa"/>
                  <w:tcBorders>
                    <w:top w:val="nil"/>
                    <w:left w:val="nil"/>
                    <w:bottom w:val="single" w:sz="8" w:space="0" w:color="FFFFFF"/>
                    <w:right w:val="single" w:sz="8" w:space="0" w:color="FFFFFF"/>
                  </w:tcBorders>
                  <w:shd w:val="clear" w:color="auto" w:fill="DBE5F1" w:themeFill="accent1" w:themeFillTint="33"/>
                  <w:vAlign w:val="center"/>
                  <w:hideMark/>
                </w:tcPr>
                <w:p w14:paraId="035276CE"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40%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0DA4660D"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40%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76EBB074"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30%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4ADD37AB"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20%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23AD79C2"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2</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10%</w:t>
                  </w:r>
                </w:p>
              </w:tc>
              <w:tc>
                <w:tcPr>
                  <w:tcW w:w="847" w:type="dxa"/>
                  <w:tcBorders>
                    <w:top w:val="nil"/>
                    <w:left w:val="nil"/>
                    <w:bottom w:val="single" w:sz="8" w:space="0" w:color="FFFFFF"/>
                    <w:right w:val="single" w:sz="8" w:space="0" w:color="FFFFFF"/>
                  </w:tcBorders>
                  <w:shd w:val="clear" w:color="auto" w:fill="DBE5F1" w:themeFill="accent1" w:themeFillTint="33"/>
                  <w:vAlign w:val="center"/>
                  <w:hideMark/>
                </w:tcPr>
                <w:p w14:paraId="5124CAC3"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00%</w:t>
                  </w:r>
                </w:p>
              </w:tc>
              <w:tc>
                <w:tcPr>
                  <w:tcW w:w="752" w:type="dxa"/>
                  <w:tcBorders>
                    <w:top w:val="nil"/>
                    <w:left w:val="nil"/>
                    <w:bottom w:val="single" w:sz="8" w:space="0" w:color="FFFFFF"/>
                    <w:right w:val="single" w:sz="8" w:space="0" w:color="FFFFFF"/>
                  </w:tcBorders>
                  <w:shd w:val="clear" w:color="auto" w:fill="DBE5F1" w:themeFill="accent1" w:themeFillTint="33"/>
                  <w:vAlign w:val="center"/>
                  <w:hideMark/>
                </w:tcPr>
                <w:p w14:paraId="0B837907" w14:textId="77777777" w:rsidR="00921721" w:rsidRPr="00296507" w:rsidRDefault="00921721" w:rsidP="00880D09">
                  <w:pPr>
                    <w:jc w:val="center"/>
                    <w:rPr>
                      <w:rFonts w:asciiTheme="minorHAnsi" w:hAnsiTheme="minorHAnsi"/>
                      <w:color w:val="4F81BD" w:themeColor="accent1"/>
                      <w:sz w:val="18"/>
                      <w:szCs w:val="18"/>
                      <w:lang w:eastAsia="en-GB"/>
                    </w:rPr>
                  </w:pPr>
                  <w:r w:rsidRPr="00296507">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296507">
                    <w:rPr>
                      <w:rFonts w:asciiTheme="minorHAnsi" w:hAnsiTheme="minorHAnsi"/>
                      <w:color w:val="4F81BD" w:themeColor="accent1"/>
                      <w:sz w:val="18"/>
                      <w:szCs w:val="18"/>
                      <w:lang w:eastAsia="en-GB"/>
                    </w:rPr>
                    <w:t>00%</w:t>
                  </w:r>
                </w:p>
              </w:tc>
            </w:tr>
          </w:tbl>
          <w:p w14:paraId="5CF59D26" w14:textId="77777777" w:rsidR="00921721" w:rsidRDefault="00921721" w:rsidP="00880D09">
            <w:pPr>
              <w:pStyle w:val="anxnormal"/>
              <w:ind w:left="0"/>
              <w:rPr>
                <w:rFonts w:asciiTheme="minorHAnsi" w:hAnsiTheme="minorHAnsi"/>
                <w:color w:val="222222"/>
                <w:sz w:val="16"/>
                <w:szCs w:val="16"/>
              </w:rPr>
            </w:pPr>
            <w:r w:rsidRPr="00731E4E">
              <w:rPr>
                <w:rStyle w:val="hps"/>
                <w:rFonts w:asciiTheme="minorHAnsi" w:hAnsiTheme="minorHAnsi"/>
                <w:b/>
                <w:i/>
                <w:color w:val="222222"/>
                <w:sz w:val="16"/>
                <w:szCs w:val="16"/>
              </w:rPr>
              <w:t>Źródło:</w:t>
            </w:r>
            <w:r w:rsidRPr="00731E4E">
              <w:rPr>
                <w:rStyle w:val="shorttext"/>
                <w:rFonts w:asciiTheme="minorHAnsi" w:eastAsia="MS Mincho" w:hAnsiTheme="minorHAnsi"/>
                <w:b/>
                <w:i/>
                <w:color w:val="222222"/>
                <w:sz w:val="16"/>
                <w:szCs w:val="16"/>
              </w:rPr>
              <w:t xml:space="preserve"> </w:t>
            </w:r>
            <w:r w:rsidRPr="00731E4E">
              <w:rPr>
                <w:rStyle w:val="hps"/>
                <w:rFonts w:asciiTheme="minorHAnsi" w:hAnsiTheme="minorHAnsi"/>
                <w:b/>
                <w:i/>
                <w:color w:val="222222"/>
                <w:sz w:val="16"/>
                <w:szCs w:val="16"/>
              </w:rPr>
              <w:t>Prognozy</w:t>
            </w:r>
            <w:r w:rsidRPr="00731E4E">
              <w:rPr>
                <w:rStyle w:val="shorttext"/>
                <w:rFonts w:asciiTheme="minorHAnsi" w:eastAsia="MS Mincho" w:hAnsiTheme="minorHAnsi"/>
                <w:b/>
                <w:i/>
                <w:color w:val="222222"/>
                <w:sz w:val="16"/>
                <w:szCs w:val="16"/>
              </w:rPr>
              <w:t xml:space="preserve"> </w:t>
            </w:r>
            <w:r w:rsidRPr="00731E4E">
              <w:rPr>
                <w:rStyle w:val="hps"/>
                <w:rFonts w:asciiTheme="minorHAnsi" w:hAnsiTheme="minorHAnsi"/>
                <w:b/>
                <w:i/>
                <w:color w:val="222222"/>
                <w:sz w:val="16"/>
                <w:szCs w:val="16"/>
              </w:rPr>
              <w:t>wskaźnika wzrostu</w:t>
            </w:r>
            <w:r w:rsidRPr="00731E4E">
              <w:rPr>
                <w:rStyle w:val="shorttext"/>
                <w:rFonts w:asciiTheme="minorHAnsi" w:eastAsia="MS Mincho" w:hAnsiTheme="minorHAnsi"/>
                <w:b/>
                <w:i/>
                <w:color w:val="222222"/>
                <w:sz w:val="16"/>
                <w:szCs w:val="16"/>
              </w:rPr>
              <w:t xml:space="preserve"> </w:t>
            </w:r>
            <w:r w:rsidRPr="00731E4E">
              <w:rPr>
                <w:rStyle w:val="hps"/>
                <w:rFonts w:asciiTheme="minorHAnsi" w:hAnsiTheme="minorHAnsi"/>
                <w:b/>
                <w:i/>
                <w:color w:val="222222"/>
                <w:sz w:val="16"/>
                <w:szCs w:val="16"/>
              </w:rPr>
              <w:t>PKB</w:t>
            </w:r>
            <w:r w:rsidRPr="00731E4E">
              <w:rPr>
                <w:rStyle w:val="shorttext"/>
                <w:rFonts w:asciiTheme="minorHAnsi" w:eastAsia="MS Mincho" w:hAnsiTheme="minorHAnsi"/>
                <w:b/>
                <w:i/>
                <w:color w:val="222222"/>
                <w:sz w:val="16"/>
                <w:szCs w:val="16"/>
              </w:rPr>
              <w:t xml:space="preserve"> </w:t>
            </w:r>
            <w:r w:rsidRPr="00731E4E">
              <w:rPr>
                <w:rStyle w:val="hps"/>
                <w:rFonts w:asciiTheme="minorHAnsi" w:hAnsiTheme="minorHAnsi"/>
                <w:b/>
                <w:i/>
                <w:color w:val="222222"/>
                <w:sz w:val="16"/>
                <w:szCs w:val="16"/>
              </w:rPr>
              <w:t>na Okres</w:t>
            </w:r>
            <w:r w:rsidRPr="00731E4E">
              <w:rPr>
                <w:rStyle w:val="shorttext"/>
                <w:rFonts w:asciiTheme="minorHAnsi" w:eastAsia="MS Mincho" w:hAnsiTheme="minorHAnsi"/>
                <w:b/>
                <w:i/>
                <w:color w:val="222222"/>
                <w:sz w:val="16"/>
                <w:szCs w:val="16"/>
              </w:rPr>
              <w:t xml:space="preserve"> </w:t>
            </w:r>
            <w:r w:rsidRPr="00731E4E">
              <w:rPr>
                <w:rStyle w:val="hps"/>
                <w:rFonts w:asciiTheme="minorHAnsi" w:hAnsiTheme="minorHAnsi"/>
                <w:b/>
                <w:i/>
                <w:color w:val="222222"/>
                <w:sz w:val="16"/>
                <w:szCs w:val="16"/>
              </w:rPr>
              <w:t>2008-2040</w:t>
            </w:r>
            <w:r w:rsidRPr="00731E4E">
              <w:rPr>
                <w:rStyle w:val="shorttext"/>
                <w:rFonts w:asciiTheme="minorHAnsi" w:eastAsia="MS Mincho" w:hAnsiTheme="minorHAnsi"/>
                <w:b/>
                <w:i/>
                <w:color w:val="222222"/>
                <w:sz w:val="16"/>
                <w:szCs w:val="16"/>
              </w:rPr>
              <w:t xml:space="preserve">, </w:t>
            </w:r>
            <w:r w:rsidRPr="00731E4E">
              <w:rPr>
                <w:rStyle w:val="hps"/>
                <w:rFonts w:asciiTheme="minorHAnsi" w:hAnsiTheme="minorHAnsi"/>
                <w:b/>
                <w:i/>
                <w:color w:val="222222"/>
                <w:sz w:val="16"/>
                <w:szCs w:val="16"/>
              </w:rPr>
              <w:t>GDDKiA</w:t>
            </w:r>
            <w:r w:rsidRPr="00731E4E">
              <w:rPr>
                <w:rStyle w:val="shorttext"/>
                <w:rFonts w:asciiTheme="minorHAnsi" w:eastAsia="MS Mincho" w:hAnsiTheme="minorHAnsi"/>
                <w:b/>
                <w:i/>
                <w:color w:val="222222"/>
                <w:sz w:val="16"/>
                <w:szCs w:val="16"/>
              </w:rPr>
              <w:t>,</w:t>
            </w:r>
            <w:r w:rsidRPr="00731E4E">
              <w:rPr>
                <w:rStyle w:val="shorttext"/>
                <w:rFonts w:asciiTheme="minorHAnsi" w:eastAsia="MS Mincho" w:hAnsiTheme="minorHAnsi"/>
                <w:color w:val="222222"/>
                <w:sz w:val="16"/>
                <w:szCs w:val="16"/>
              </w:rPr>
              <w:t xml:space="preserve"> </w:t>
            </w:r>
            <w:hyperlink r:id="rId141" w:history="1">
              <w:r w:rsidRPr="00731E4E">
                <w:rPr>
                  <w:rStyle w:val="Hipercze"/>
                  <w:rFonts w:asciiTheme="minorHAnsi" w:hAnsiTheme="minorHAnsi"/>
                  <w:sz w:val="16"/>
                  <w:szCs w:val="16"/>
                </w:rPr>
                <w:t>http://www.gddkia.gov.pl/pl/992/zalozenia-do-prognoz-ruchu</w:t>
              </w:r>
            </w:hyperlink>
            <w:r w:rsidRPr="00731E4E">
              <w:rPr>
                <w:rStyle w:val="shorttext"/>
                <w:rFonts w:asciiTheme="minorHAnsi" w:eastAsia="MS Mincho" w:hAnsiTheme="minorHAnsi"/>
                <w:color w:val="222222"/>
                <w:sz w:val="16"/>
                <w:szCs w:val="16"/>
              </w:rPr>
              <w:t xml:space="preserve">. </w:t>
            </w:r>
            <w:r w:rsidRPr="00731E4E">
              <w:rPr>
                <w:rFonts w:asciiTheme="minorHAnsi" w:hAnsiTheme="minorHAnsi"/>
                <w:color w:val="222222"/>
                <w:sz w:val="16"/>
                <w:szCs w:val="16"/>
              </w:rPr>
              <w:br/>
            </w:r>
            <w:r w:rsidRPr="00731E4E">
              <w:rPr>
                <w:rStyle w:val="hps"/>
                <w:rFonts w:asciiTheme="minorHAnsi" w:hAnsiTheme="minorHAnsi"/>
                <w:color w:val="222222"/>
                <w:sz w:val="16"/>
                <w:szCs w:val="16"/>
              </w:rPr>
              <w:t>Od</w:t>
            </w:r>
            <w:r w:rsidRPr="00731E4E">
              <w:rPr>
                <w:rStyle w:val="shorttext"/>
                <w:rFonts w:asciiTheme="minorHAnsi" w:eastAsia="MS Mincho" w:hAnsiTheme="minorHAnsi"/>
                <w:color w:val="222222"/>
                <w:sz w:val="16"/>
                <w:szCs w:val="16"/>
              </w:rPr>
              <w:t xml:space="preserve"> </w:t>
            </w:r>
            <w:r w:rsidRPr="00731E4E">
              <w:rPr>
                <w:rStyle w:val="hps"/>
                <w:rFonts w:asciiTheme="minorHAnsi" w:hAnsiTheme="minorHAnsi"/>
                <w:color w:val="222222"/>
                <w:sz w:val="16"/>
                <w:szCs w:val="16"/>
              </w:rPr>
              <w:t>2041-2042</w:t>
            </w:r>
            <w:r w:rsidRPr="00731E4E">
              <w:rPr>
                <w:rStyle w:val="shorttext"/>
                <w:rFonts w:asciiTheme="minorHAnsi" w:eastAsia="MS Mincho" w:hAnsiTheme="minorHAnsi"/>
                <w:color w:val="222222"/>
                <w:sz w:val="16"/>
                <w:szCs w:val="16"/>
              </w:rPr>
              <w:t xml:space="preserve">, </w:t>
            </w:r>
            <w:r w:rsidRPr="00731E4E">
              <w:rPr>
                <w:rStyle w:val="hps"/>
                <w:rFonts w:asciiTheme="minorHAnsi" w:hAnsiTheme="minorHAnsi"/>
                <w:color w:val="222222"/>
                <w:sz w:val="16"/>
                <w:szCs w:val="16"/>
              </w:rPr>
              <w:t xml:space="preserve">przyjęto </w:t>
            </w:r>
            <w:r w:rsidRPr="00731E4E">
              <w:rPr>
                <w:rStyle w:val="shorttext"/>
                <w:rFonts w:asciiTheme="minorHAnsi" w:eastAsia="MS Mincho" w:hAnsiTheme="minorHAnsi"/>
                <w:color w:val="222222"/>
                <w:sz w:val="16"/>
                <w:szCs w:val="16"/>
              </w:rPr>
              <w:t xml:space="preserve">konserwatywne </w:t>
            </w:r>
            <w:r w:rsidRPr="00731E4E">
              <w:rPr>
                <w:rStyle w:val="hps"/>
                <w:rFonts w:asciiTheme="minorHAnsi" w:hAnsiTheme="minorHAnsi"/>
                <w:color w:val="222222"/>
                <w:sz w:val="16"/>
                <w:szCs w:val="16"/>
              </w:rPr>
              <w:t>założenie,</w:t>
            </w:r>
            <w:r w:rsidRPr="00731E4E">
              <w:rPr>
                <w:rStyle w:val="shorttext"/>
                <w:rFonts w:asciiTheme="minorHAnsi" w:eastAsia="MS Mincho" w:hAnsiTheme="minorHAnsi"/>
                <w:color w:val="222222"/>
                <w:sz w:val="16"/>
                <w:szCs w:val="16"/>
              </w:rPr>
              <w:t xml:space="preserve"> </w:t>
            </w:r>
            <w:r w:rsidRPr="00731E4E">
              <w:rPr>
                <w:rStyle w:val="hps"/>
                <w:rFonts w:asciiTheme="minorHAnsi" w:hAnsiTheme="minorHAnsi"/>
                <w:color w:val="222222"/>
                <w:sz w:val="16"/>
                <w:szCs w:val="16"/>
              </w:rPr>
              <w:t>1</w:t>
            </w:r>
            <w:r w:rsidRPr="00731E4E">
              <w:rPr>
                <w:rStyle w:val="shorttext"/>
                <w:rFonts w:asciiTheme="minorHAnsi" w:eastAsia="MS Mincho" w:hAnsiTheme="minorHAnsi"/>
                <w:color w:val="222222"/>
                <w:sz w:val="16"/>
                <w:szCs w:val="16"/>
              </w:rPr>
              <w:t xml:space="preserve">% </w:t>
            </w:r>
            <w:r w:rsidRPr="00731E4E">
              <w:rPr>
                <w:rStyle w:val="hps"/>
                <w:rFonts w:asciiTheme="minorHAnsi" w:hAnsiTheme="minorHAnsi"/>
                <w:color w:val="222222"/>
                <w:sz w:val="16"/>
                <w:szCs w:val="16"/>
              </w:rPr>
              <w:t>wzrostu PKB</w:t>
            </w:r>
            <w:r w:rsidRPr="00731E4E">
              <w:rPr>
                <w:rStyle w:val="shorttext"/>
                <w:rFonts w:asciiTheme="minorHAnsi" w:eastAsia="MS Mincho" w:hAnsiTheme="minorHAnsi"/>
                <w:color w:val="222222"/>
                <w:sz w:val="16"/>
                <w:szCs w:val="16"/>
              </w:rPr>
              <w:t>.</w:t>
            </w:r>
          </w:p>
          <w:p w14:paraId="559A9EC2" w14:textId="77777777" w:rsidR="00921721" w:rsidRPr="006321BC" w:rsidRDefault="00921721" w:rsidP="00880D09">
            <w:pPr>
              <w:pStyle w:val="anxnormal"/>
              <w:ind w:left="0"/>
              <w:rPr>
                <w:rFonts w:asciiTheme="minorHAnsi" w:hAnsiTheme="minorHAnsi"/>
                <w:lang w:eastAsia="en-US"/>
              </w:rPr>
            </w:pPr>
            <w:r w:rsidRPr="00296507">
              <w:rPr>
                <w:rFonts w:asciiTheme="minorHAnsi" w:hAnsiTheme="minorHAnsi"/>
                <w:lang w:eastAsia="en-US"/>
              </w:rPr>
              <w:t>Dla uzyskania wartości regionalnych stóp wzrostu PKB (na poziomie aglomeracji lub województwa), rekomenduje się to samo źródło: “</w:t>
            </w:r>
            <w:r w:rsidRPr="00296507">
              <w:rPr>
                <w:rFonts w:asciiTheme="minorHAnsi" w:hAnsiTheme="minorHAnsi"/>
                <w:iCs/>
              </w:rPr>
              <w:t>Analiza prognozy wzrostu PKB do 2040 roku dla potrzeb prognozy wzrostu ruchu</w:t>
            </w:r>
            <w:r w:rsidRPr="00296507">
              <w:rPr>
                <w:rFonts w:asciiTheme="minorHAnsi" w:hAnsiTheme="minorHAnsi"/>
                <w:lang w:eastAsia="en-US"/>
              </w:rPr>
              <w:t>”, opracowane</w:t>
            </w:r>
            <w:r>
              <w:rPr>
                <w:rFonts w:asciiTheme="minorHAnsi" w:hAnsiTheme="minorHAnsi"/>
                <w:lang w:eastAsia="en-US"/>
              </w:rPr>
              <w:t xml:space="preserve"> w </w:t>
            </w:r>
            <w:r w:rsidRPr="00296507">
              <w:rPr>
                <w:rFonts w:asciiTheme="minorHAnsi" w:hAnsiTheme="minorHAnsi"/>
                <w:lang w:eastAsia="en-US"/>
              </w:rPr>
              <w:t xml:space="preserve">2012 dla GDDKiA, </w:t>
            </w:r>
            <w:hyperlink r:id="rId142" w:history="1">
              <w:r w:rsidRPr="00296507">
                <w:rPr>
                  <w:rStyle w:val="Hipercze"/>
                  <w:rFonts w:asciiTheme="minorHAnsi" w:hAnsiTheme="minorHAnsi"/>
                  <w:lang w:eastAsia="en-GB"/>
                </w:rPr>
                <w:t>http://www.gddkia.gov.pl/pl/992/zalozenia-do-prognoz-ruchu</w:t>
              </w:r>
            </w:hyperlink>
            <w:r w:rsidRPr="006321BC">
              <w:rPr>
                <w:rFonts w:asciiTheme="minorHAnsi" w:hAnsiTheme="minorHAnsi"/>
                <w:lang w:eastAsia="en-US"/>
              </w:rPr>
              <w:t>.</w:t>
            </w:r>
          </w:p>
          <w:p w14:paraId="27C95E28" w14:textId="77777777" w:rsidR="00921721" w:rsidRPr="006321BC" w:rsidRDefault="00921721" w:rsidP="00880D09">
            <w:pPr>
              <w:pStyle w:val="anxnormal"/>
              <w:spacing w:after="120"/>
              <w:ind w:left="0"/>
              <w:rPr>
                <w:rFonts w:asciiTheme="minorHAnsi" w:hAnsiTheme="minorHAnsi"/>
                <w:lang w:eastAsia="en-US"/>
              </w:rPr>
            </w:pPr>
          </w:p>
          <w:p w14:paraId="732DEAA9" w14:textId="77777777" w:rsidR="00921721" w:rsidRPr="006321BC" w:rsidRDefault="00921721" w:rsidP="00880D09">
            <w:pPr>
              <w:pStyle w:val="anxnormal"/>
              <w:spacing w:after="120"/>
              <w:ind w:left="0"/>
              <w:rPr>
                <w:rFonts w:asciiTheme="minorHAnsi" w:hAnsiTheme="minorHAnsi"/>
                <w:lang w:eastAsia="en-US"/>
              </w:rPr>
            </w:pPr>
          </w:p>
          <w:p w14:paraId="43905632" w14:textId="77777777" w:rsidR="00921721" w:rsidRPr="006321BC" w:rsidRDefault="00921721" w:rsidP="00880D09">
            <w:pPr>
              <w:pStyle w:val="anxnormal"/>
              <w:spacing w:after="120"/>
              <w:ind w:left="0"/>
              <w:rPr>
                <w:rFonts w:asciiTheme="minorHAnsi" w:hAnsiTheme="minorHAnsi"/>
                <w:lang w:eastAsia="en-US"/>
              </w:rPr>
            </w:pPr>
          </w:p>
          <w:p w14:paraId="13479F4C" w14:textId="77777777" w:rsidR="00921721" w:rsidRDefault="00921721" w:rsidP="00880D09">
            <w:pPr>
              <w:pStyle w:val="anxnormal"/>
              <w:spacing w:after="120"/>
              <w:ind w:left="0"/>
              <w:rPr>
                <w:rFonts w:asciiTheme="minorHAnsi" w:hAnsiTheme="minorHAnsi"/>
                <w:lang w:eastAsia="en-US"/>
              </w:rPr>
            </w:pPr>
            <w:r w:rsidRPr="002C6855">
              <w:rPr>
                <w:rFonts w:asciiTheme="minorHAnsi" w:hAnsiTheme="minorHAnsi"/>
                <w:lang w:eastAsia="en-US"/>
              </w:rPr>
              <w:t>Wzrost PKB per capita do wykorzystania przy indeksacji kosztów jednostkowych, przedstawiono poniżej.</w:t>
            </w:r>
            <w:r w:rsidRPr="00731E4E" w:rsidDel="003D4863">
              <w:rPr>
                <w:rFonts w:asciiTheme="minorHAnsi" w:hAnsiTheme="minorHAnsi"/>
                <w:lang w:eastAsia="en-US"/>
              </w:rPr>
              <w:t xml:space="preserve"> </w:t>
            </w:r>
          </w:p>
          <w:tbl>
            <w:tblPr>
              <w:tblW w:w="6484" w:type="dxa"/>
              <w:tblLayout w:type="fixed"/>
              <w:tblLook w:val="04A0" w:firstRow="1" w:lastRow="0" w:firstColumn="1" w:lastColumn="0" w:noHBand="0" w:noVBand="1"/>
            </w:tblPr>
            <w:tblGrid>
              <w:gridCol w:w="755"/>
              <w:gridCol w:w="819"/>
              <w:gridCol w:w="818"/>
              <w:gridCol w:w="818"/>
              <w:gridCol w:w="819"/>
              <w:gridCol w:w="818"/>
              <w:gridCol w:w="818"/>
              <w:gridCol w:w="819"/>
            </w:tblGrid>
            <w:tr w:rsidR="00921721" w:rsidRPr="007B305C" w14:paraId="2A060D7C" w14:textId="77777777" w:rsidTr="00880D09">
              <w:trPr>
                <w:trHeight w:val="247"/>
              </w:trPr>
              <w:tc>
                <w:tcPr>
                  <w:tcW w:w="755" w:type="dxa"/>
                  <w:tcBorders>
                    <w:top w:val="single" w:sz="8" w:space="0" w:color="FFFFFF"/>
                    <w:left w:val="single" w:sz="8" w:space="0" w:color="FFFFFF"/>
                    <w:bottom w:val="single" w:sz="8" w:space="0" w:color="FFFFFF"/>
                    <w:right w:val="single" w:sz="8" w:space="0" w:color="FFFFFF"/>
                  </w:tcBorders>
                  <w:shd w:val="clear" w:color="auto" w:fill="808080" w:themeFill="background1" w:themeFillShade="80"/>
                  <w:vAlign w:val="center"/>
                  <w:hideMark/>
                </w:tcPr>
                <w:p w14:paraId="3DB6E600" w14:textId="77777777" w:rsidR="00921721" w:rsidRPr="007B305C" w:rsidRDefault="00921721" w:rsidP="00880D09">
                  <w:pPr>
                    <w:jc w:val="center"/>
                    <w:rPr>
                      <w:rFonts w:asciiTheme="minorHAnsi" w:hAnsiTheme="minorHAnsi"/>
                      <w:b/>
                      <w:bCs/>
                      <w:color w:val="FFFFFF"/>
                      <w:sz w:val="18"/>
                      <w:szCs w:val="18"/>
                      <w:lang w:eastAsia="en-GB"/>
                    </w:rPr>
                  </w:pPr>
                  <w:r>
                    <w:rPr>
                      <w:rFonts w:asciiTheme="minorHAnsi" w:hAnsiTheme="minorHAnsi"/>
                      <w:b/>
                      <w:bCs/>
                      <w:color w:val="FFFFFF"/>
                      <w:sz w:val="18"/>
                      <w:szCs w:val="18"/>
                      <w:lang w:eastAsia="en-GB"/>
                    </w:rPr>
                    <w:t>Lata</w:t>
                  </w:r>
                </w:p>
              </w:tc>
              <w:tc>
                <w:tcPr>
                  <w:tcW w:w="819"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2CA25B1A"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2021</w:t>
                  </w:r>
                </w:p>
              </w:tc>
              <w:tc>
                <w:tcPr>
                  <w:tcW w:w="818"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6B8DCAC3"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2022</w:t>
                  </w:r>
                </w:p>
              </w:tc>
              <w:tc>
                <w:tcPr>
                  <w:tcW w:w="818"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39A87E45"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2023</w:t>
                  </w:r>
                </w:p>
              </w:tc>
              <w:tc>
                <w:tcPr>
                  <w:tcW w:w="819"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1000F868"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2024</w:t>
                  </w:r>
                </w:p>
              </w:tc>
              <w:tc>
                <w:tcPr>
                  <w:tcW w:w="818"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1046715F"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2025</w:t>
                  </w:r>
                </w:p>
              </w:tc>
              <w:tc>
                <w:tcPr>
                  <w:tcW w:w="818" w:type="dxa"/>
                  <w:tcBorders>
                    <w:top w:val="single" w:sz="8" w:space="0" w:color="FFFFFF"/>
                    <w:left w:val="nil"/>
                    <w:bottom w:val="single" w:sz="8" w:space="0" w:color="FFFFFF"/>
                    <w:right w:val="single" w:sz="8" w:space="0" w:color="FFFFFF"/>
                  </w:tcBorders>
                  <w:shd w:val="clear" w:color="auto" w:fill="808080" w:themeFill="background1" w:themeFillShade="80"/>
                  <w:vAlign w:val="center"/>
                  <w:hideMark/>
                </w:tcPr>
                <w:p w14:paraId="7977F6D7"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2026</w:t>
                  </w:r>
                </w:p>
              </w:tc>
              <w:tc>
                <w:tcPr>
                  <w:tcW w:w="819" w:type="dxa"/>
                  <w:tcBorders>
                    <w:top w:val="single" w:sz="8" w:space="0" w:color="FFFFFF"/>
                    <w:left w:val="nil"/>
                    <w:bottom w:val="single" w:sz="8" w:space="0" w:color="FFFFFF"/>
                    <w:right w:val="single" w:sz="8" w:space="0" w:color="FFFFFF"/>
                  </w:tcBorders>
                  <w:shd w:val="clear" w:color="auto" w:fill="808080" w:themeFill="background1" w:themeFillShade="80"/>
                  <w:vAlign w:val="center"/>
                  <w:hideMark/>
                </w:tcPr>
                <w:p w14:paraId="0A459231"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2027</w:t>
                  </w:r>
                </w:p>
              </w:tc>
            </w:tr>
            <w:tr w:rsidR="00921721" w:rsidRPr="007B305C" w14:paraId="735BA644" w14:textId="77777777" w:rsidTr="00880D09">
              <w:trPr>
                <w:trHeight w:val="247"/>
              </w:trPr>
              <w:tc>
                <w:tcPr>
                  <w:tcW w:w="755"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454023EA" w14:textId="77777777" w:rsidR="00921721" w:rsidRPr="007B305C" w:rsidRDefault="00921721" w:rsidP="00880D09">
                  <w:pPr>
                    <w:jc w:val="center"/>
                    <w:rPr>
                      <w:rFonts w:asciiTheme="minorHAnsi" w:hAnsiTheme="minorHAnsi"/>
                      <w:color w:val="4F81BD" w:themeColor="accent1"/>
                      <w:sz w:val="18"/>
                      <w:szCs w:val="18"/>
                      <w:lang w:eastAsia="en-GB"/>
                    </w:rPr>
                  </w:pPr>
                  <w:r>
                    <w:rPr>
                      <w:rFonts w:asciiTheme="minorHAnsi" w:hAnsiTheme="minorHAnsi"/>
                      <w:color w:val="4F81BD" w:themeColor="accent1"/>
                      <w:sz w:val="18"/>
                      <w:szCs w:val="18"/>
                      <w:lang w:eastAsia="en-GB"/>
                    </w:rPr>
                    <w:t>PKB</w:t>
                  </w:r>
                  <w:r w:rsidRPr="007B305C">
                    <w:rPr>
                      <w:rFonts w:asciiTheme="minorHAnsi" w:hAnsiTheme="minorHAnsi"/>
                      <w:color w:val="4F81BD" w:themeColor="accent1"/>
                      <w:sz w:val="18"/>
                      <w:szCs w:val="18"/>
                      <w:lang w:eastAsia="en-GB"/>
                    </w:rPr>
                    <w:t xml:space="preserve"> per capita</w:t>
                  </w:r>
                </w:p>
              </w:tc>
              <w:tc>
                <w:tcPr>
                  <w:tcW w:w="819" w:type="dxa"/>
                  <w:tcBorders>
                    <w:top w:val="nil"/>
                    <w:left w:val="nil"/>
                    <w:bottom w:val="single" w:sz="8" w:space="0" w:color="FFFFFF"/>
                    <w:right w:val="single" w:sz="8" w:space="0" w:color="FFFFFF"/>
                  </w:tcBorders>
                  <w:shd w:val="clear" w:color="auto" w:fill="DBE5F1" w:themeFill="accent1" w:themeFillTint="33"/>
                </w:tcPr>
                <w:p w14:paraId="48AEA7FE"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051</w:t>
                  </w:r>
                </w:p>
              </w:tc>
              <w:tc>
                <w:tcPr>
                  <w:tcW w:w="818" w:type="dxa"/>
                  <w:tcBorders>
                    <w:top w:val="nil"/>
                    <w:left w:val="nil"/>
                    <w:bottom w:val="single" w:sz="8" w:space="0" w:color="FFFFFF"/>
                    <w:right w:val="single" w:sz="8" w:space="0" w:color="FFFFFF"/>
                  </w:tcBorders>
                  <w:shd w:val="clear" w:color="auto" w:fill="DBE5F1" w:themeFill="accent1" w:themeFillTint="33"/>
                </w:tcPr>
                <w:p w14:paraId="6F6F88E6"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048</w:t>
                  </w:r>
                </w:p>
              </w:tc>
              <w:tc>
                <w:tcPr>
                  <w:tcW w:w="818" w:type="dxa"/>
                  <w:tcBorders>
                    <w:top w:val="nil"/>
                    <w:left w:val="nil"/>
                    <w:bottom w:val="single" w:sz="8" w:space="0" w:color="FFFFFF"/>
                    <w:right w:val="single" w:sz="8" w:space="0" w:color="FFFFFF"/>
                  </w:tcBorders>
                  <w:shd w:val="clear" w:color="auto" w:fill="DBE5F1" w:themeFill="accent1" w:themeFillTint="33"/>
                </w:tcPr>
                <w:p w14:paraId="24E3C04A"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039</w:t>
                  </w:r>
                </w:p>
              </w:tc>
              <w:tc>
                <w:tcPr>
                  <w:tcW w:w="819" w:type="dxa"/>
                  <w:tcBorders>
                    <w:top w:val="nil"/>
                    <w:left w:val="nil"/>
                    <w:bottom w:val="single" w:sz="8" w:space="0" w:color="FFFFFF"/>
                    <w:right w:val="single" w:sz="8" w:space="0" w:color="FFFFFF"/>
                  </w:tcBorders>
                  <w:shd w:val="clear" w:color="auto" w:fill="DBE5F1" w:themeFill="accent1" w:themeFillTint="33"/>
                </w:tcPr>
                <w:p w14:paraId="50549D8A"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037</w:t>
                  </w:r>
                </w:p>
              </w:tc>
              <w:tc>
                <w:tcPr>
                  <w:tcW w:w="818" w:type="dxa"/>
                  <w:tcBorders>
                    <w:top w:val="nil"/>
                    <w:left w:val="nil"/>
                    <w:bottom w:val="single" w:sz="8" w:space="0" w:color="FFFFFF"/>
                    <w:right w:val="single" w:sz="8" w:space="0" w:color="FFFFFF"/>
                  </w:tcBorders>
                  <w:shd w:val="clear" w:color="auto" w:fill="DBE5F1" w:themeFill="accent1" w:themeFillTint="33"/>
                </w:tcPr>
                <w:p w14:paraId="592C9BFC"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038</w:t>
                  </w:r>
                </w:p>
              </w:tc>
              <w:tc>
                <w:tcPr>
                  <w:tcW w:w="818" w:type="dxa"/>
                  <w:tcBorders>
                    <w:top w:val="nil"/>
                    <w:left w:val="nil"/>
                    <w:bottom w:val="single" w:sz="8" w:space="0" w:color="FFFFFF"/>
                    <w:right w:val="single" w:sz="8" w:space="0" w:color="FFFFFF"/>
                  </w:tcBorders>
                  <w:shd w:val="clear" w:color="auto" w:fill="DBE5F1" w:themeFill="accent1" w:themeFillTint="33"/>
                  <w:hideMark/>
                </w:tcPr>
                <w:p w14:paraId="1F68FF1F"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038</w:t>
                  </w:r>
                </w:p>
              </w:tc>
              <w:tc>
                <w:tcPr>
                  <w:tcW w:w="819" w:type="dxa"/>
                  <w:tcBorders>
                    <w:top w:val="nil"/>
                    <w:left w:val="nil"/>
                    <w:bottom w:val="single" w:sz="8" w:space="0" w:color="FFFFFF"/>
                    <w:right w:val="single" w:sz="8" w:space="0" w:color="FFFFFF"/>
                  </w:tcBorders>
                  <w:shd w:val="clear" w:color="auto" w:fill="DBE5F1" w:themeFill="accent1" w:themeFillTint="33"/>
                  <w:hideMark/>
                </w:tcPr>
                <w:p w14:paraId="1A10034F"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037</w:t>
                  </w:r>
                </w:p>
              </w:tc>
            </w:tr>
            <w:tr w:rsidR="00921721" w:rsidRPr="007B305C" w14:paraId="6327DEA8" w14:textId="77777777" w:rsidTr="00880D09">
              <w:trPr>
                <w:trHeight w:val="247"/>
              </w:trPr>
              <w:tc>
                <w:tcPr>
                  <w:tcW w:w="755" w:type="dxa"/>
                  <w:tcBorders>
                    <w:top w:val="nil"/>
                    <w:left w:val="single" w:sz="8" w:space="0" w:color="FFFFFF"/>
                    <w:bottom w:val="single" w:sz="8" w:space="0" w:color="FFFFFF"/>
                    <w:right w:val="single" w:sz="8" w:space="0" w:color="FFFFFF"/>
                  </w:tcBorders>
                  <w:shd w:val="clear" w:color="auto" w:fill="808080" w:themeFill="background1" w:themeFillShade="80"/>
                  <w:vAlign w:val="center"/>
                  <w:hideMark/>
                </w:tcPr>
                <w:p w14:paraId="1E06843A" w14:textId="77777777" w:rsidR="00921721" w:rsidRPr="007B305C" w:rsidRDefault="00921721" w:rsidP="00880D09">
                  <w:pPr>
                    <w:jc w:val="center"/>
                    <w:rPr>
                      <w:rFonts w:asciiTheme="minorHAnsi" w:hAnsiTheme="minorHAnsi"/>
                      <w:b/>
                      <w:bCs/>
                      <w:color w:val="FFFFFF"/>
                      <w:sz w:val="18"/>
                      <w:szCs w:val="18"/>
                      <w:lang w:eastAsia="en-GB"/>
                    </w:rPr>
                  </w:pPr>
                  <w:r>
                    <w:rPr>
                      <w:rFonts w:asciiTheme="minorHAnsi" w:hAnsiTheme="minorHAnsi"/>
                      <w:b/>
                      <w:bCs/>
                      <w:color w:val="FFFFFF"/>
                      <w:sz w:val="18"/>
                      <w:szCs w:val="18"/>
                      <w:lang w:eastAsia="en-GB"/>
                    </w:rPr>
                    <w:t>Lata</w:t>
                  </w:r>
                </w:p>
              </w:tc>
              <w:tc>
                <w:tcPr>
                  <w:tcW w:w="819" w:type="dxa"/>
                  <w:tcBorders>
                    <w:top w:val="nil"/>
                    <w:left w:val="nil"/>
                    <w:bottom w:val="single" w:sz="8" w:space="0" w:color="FFFFFF"/>
                    <w:right w:val="single" w:sz="8" w:space="0" w:color="FFFFFF"/>
                  </w:tcBorders>
                  <w:shd w:val="clear" w:color="auto" w:fill="808080" w:themeFill="background1" w:themeFillShade="80"/>
                  <w:vAlign w:val="center"/>
                  <w:hideMark/>
                </w:tcPr>
                <w:p w14:paraId="7B0B72EB"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2028</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01449703"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2029</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3F620876"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2030</w:t>
                  </w:r>
                </w:p>
              </w:tc>
              <w:tc>
                <w:tcPr>
                  <w:tcW w:w="819" w:type="dxa"/>
                  <w:tcBorders>
                    <w:top w:val="nil"/>
                    <w:left w:val="nil"/>
                    <w:bottom w:val="single" w:sz="8" w:space="0" w:color="FFFFFF"/>
                    <w:right w:val="single" w:sz="8" w:space="0" w:color="FFFFFF"/>
                  </w:tcBorders>
                  <w:shd w:val="clear" w:color="auto" w:fill="808080" w:themeFill="background1" w:themeFillShade="80"/>
                  <w:vAlign w:val="center"/>
                  <w:hideMark/>
                </w:tcPr>
                <w:p w14:paraId="2EEB5D74"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2031</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166CEE21"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2032</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6BF82A4C"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2033</w:t>
                  </w:r>
                </w:p>
              </w:tc>
              <w:tc>
                <w:tcPr>
                  <w:tcW w:w="819" w:type="dxa"/>
                  <w:tcBorders>
                    <w:top w:val="nil"/>
                    <w:left w:val="nil"/>
                    <w:bottom w:val="single" w:sz="8" w:space="0" w:color="FFFFFF"/>
                    <w:right w:val="single" w:sz="8" w:space="0" w:color="FFFFFF"/>
                  </w:tcBorders>
                  <w:shd w:val="clear" w:color="auto" w:fill="808080" w:themeFill="background1" w:themeFillShade="80"/>
                  <w:vAlign w:val="center"/>
                  <w:hideMark/>
                </w:tcPr>
                <w:p w14:paraId="2A7B9C4C"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2034</w:t>
                  </w:r>
                </w:p>
              </w:tc>
            </w:tr>
            <w:tr w:rsidR="00921721" w:rsidRPr="007B305C" w14:paraId="58C5955E" w14:textId="77777777" w:rsidTr="00880D09">
              <w:trPr>
                <w:trHeight w:val="268"/>
              </w:trPr>
              <w:tc>
                <w:tcPr>
                  <w:tcW w:w="755"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0B95C513" w14:textId="77777777" w:rsidR="00921721" w:rsidRPr="007B305C" w:rsidRDefault="00921721" w:rsidP="00880D09">
                  <w:pPr>
                    <w:jc w:val="center"/>
                    <w:rPr>
                      <w:rFonts w:asciiTheme="minorHAnsi" w:hAnsiTheme="minorHAnsi"/>
                      <w:color w:val="4F81BD" w:themeColor="accent1"/>
                      <w:sz w:val="18"/>
                      <w:szCs w:val="18"/>
                      <w:lang w:eastAsia="en-GB"/>
                    </w:rPr>
                  </w:pPr>
                  <w:r>
                    <w:rPr>
                      <w:rFonts w:asciiTheme="minorHAnsi" w:hAnsiTheme="minorHAnsi"/>
                      <w:color w:val="4F81BD" w:themeColor="accent1"/>
                      <w:sz w:val="18"/>
                      <w:szCs w:val="18"/>
                      <w:lang w:eastAsia="en-GB"/>
                    </w:rPr>
                    <w:t>PKB</w:t>
                  </w:r>
                  <w:r w:rsidRPr="007B305C">
                    <w:rPr>
                      <w:rFonts w:asciiTheme="minorHAnsi" w:hAnsiTheme="minorHAnsi"/>
                      <w:color w:val="4F81BD" w:themeColor="accent1"/>
                      <w:sz w:val="18"/>
                      <w:szCs w:val="18"/>
                      <w:lang w:eastAsia="en-GB"/>
                    </w:rPr>
                    <w:t xml:space="preserve"> per capita</w:t>
                  </w:r>
                </w:p>
              </w:tc>
              <w:tc>
                <w:tcPr>
                  <w:tcW w:w="819" w:type="dxa"/>
                  <w:tcBorders>
                    <w:top w:val="nil"/>
                    <w:left w:val="nil"/>
                    <w:bottom w:val="single" w:sz="8" w:space="0" w:color="FFFFFF"/>
                    <w:right w:val="single" w:sz="8" w:space="0" w:color="FFFFFF"/>
                  </w:tcBorders>
                  <w:shd w:val="clear" w:color="auto" w:fill="DBE5F1" w:themeFill="accent1" w:themeFillTint="33"/>
                  <w:vAlign w:val="bottom"/>
                  <w:hideMark/>
                </w:tcPr>
                <w:p w14:paraId="0BB62EEA"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036</w:t>
                  </w:r>
                </w:p>
              </w:tc>
              <w:tc>
                <w:tcPr>
                  <w:tcW w:w="818" w:type="dxa"/>
                  <w:tcBorders>
                    <w:top w:val="nil"/>
                    <w:left w:val="nil"/>
                    <w:bottom w:val="single" w:sz="8" w:space="0" w:color="FFFFFF"/>
                    <w:right w:val="single" w:sz="8" w:space="0" w:color="FFFFFF"/>
                  </w:tcBorders>
                  <w:shd w:val="clear" w:color="auto" w:fill="DBE5F1" w:themeFill="accent1" w:themeFillTint="33"/>
                  <w:vAlign w:val="bottom"/>
                  <w:hideMark/>
                </w:tcPr>
                <w:p w14:paraId="673285A5"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034</w:t>
                  </w:r>
                </w:p>
              </w:tc>
              <w:tc>
                <w:tcPr>
                  <w:tcW w:w="818" w:type="dxa"/>
                  <w:tcBorders>
                    <w:top w:val="nil"/>
                    <w:left w:val="nil"/>
                    <w:bottom w:val="single" w:sz="8" w:space="0" w:color="FFFFFF"/>
                    <w:right w:val="single" w:sz="8" w:space="0" w:color="FFFFFF"/>
                  </w:tcBorders>
                  <w:shd w:val="clear" w:color="auto" w:fill="DBE5F1" w:themeFill="accent1" w:themeFillTint="33"/>
                  <w:vAlign w:val="bottom"/>
                  <w:hideMark/>
                </w:tcPr>
                <w:p w14:paraId="183E0574"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032</w:t>
                  </w:r>
                </w:p>
              </w:tc>
              <w:tc>
                <w:tcPr>
                  <w:tcW w:w="819" w:type="dxa"/>
                  <w:tcBorders>
                    <w:top w:val="nil"/>
                    <w:left w:val="nil"/>
                    <w:bottom w:val="single" w:sz="8" w:space="0" w:color="FFFFFF"/>
                    <w:right w:val="single" w:sz="8" w:space="0" w:color="FFFFFF"/>
                  </w:tcBorders>
                  <w:shd w:val="clear" w:color="auto" w:fill="DBE5F1" w:themeFill="accent1" w:themeFillTint="33"/>
                  <w:vAlign w:val="bottom"/>
                  <w:hideMark/>
                </w:tcPr>
                <w:p w14:paraId="1E63E5F2"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032</w:t>
                  </w:r>
                </w:p>
              </w:tc>
              <w:tc>
                <w:tcPr>
                  <w:tcW w:w="818" w:type="dxa"/>
                  <w:tcBorders>
                    <w:top w:val="nil"/>
                    <w:left w:val="nil"/>
                    <w:bottom w:val="single" w:sz="8" w:space="0" w:color="FFFFFF"/>
                    <w:right w:val="single" w:sz="8" w:space="0" w:color="FFFFFF"/>
                  </w:tcBorders>
                  <w:shd w:val="clear" w:color="auto" w:fill="DBE5F1" w:themeFill="accent1" w:themeFillTint="33"/>
                  <w:vAlign w:val="bottom"/>
                  <w:hideMark/>
                </w:tcPr>
                <w:p w14:paraId="79792E3B"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031</w:t>
                  </w:r>
                </w:p>
              </w:tc>
              <w:tc>
                <w:tcPr>
                  <w:tcW w:w="818" w:type="dxa"/>
                  <w:tcBorders>
                    <w:top w:val="nil"/>
                    <w:left w:val="nil"/>
                    <w:bottom w:val="single" w:sz="8" w:space="0" w:color="FFFFFF"/>
                    <w:right w:val="single" w:sz="8" w:space="0" w:color="FFFFFF"/>
                  </w:tcBorders>
                  <w:shd w:val="clear" w:color="auto" w:fill="DBE5F1" w:themeFill="accent1" w:themeFillTint="33"/>
                  <w:vAlign w:val="bottom"/>
                  <w:hideMark/>
                </w:tcPr>
                <w:p w14:paraId="38EF8BEA"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030</w:t>
                  </w:r>
                </w:p>
              </w:tc>
              <w:tc>
                <w:tcPr>
                  <w:tcW w:w="819" w:type="dxa"/>
                  <w:tcBorders>
                    <w:top w:val="nil"/>
                    <w:left w:val="nil"/>
                    <w:bottom w:val="single" w:sz="8" w:space="0" w:color="FFFFFF"/>
                    <w:right w:val="single" w:sz="8" w:space="0" w:color="FFFFFF"/>
                  </w:tcBorders>
                  <w:shd w:val="clear" w:color="auto" w:fill="DBE5F1" w:themeFill="accent1" w:themeFillTint="33"/>
                  <w:vAlign w:val="bottom"/>
                  <w:hideMark/>
                </w:tcPr>
                <w:p w14:paraId="58D75ADC"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029</w:t>
                  </w:r>
                </w:p>
              </w:tc>
            </w:tr>
            <w:tr w:rsidR="00921721" w:rsidRPr="007B305C" w14:paraId="1E31269D" w14:textId="77777777" w:rsidTr="00880D09">
              <w:trPr>
                <w:trHeight w:val="247"/>
              </w:trPr>
              <w:tc>
                <w:tcPr>
                  <w:tcW w:w="755" w:type="dxa"/>
                  <w:tcBorders>
                    <w:top w:val="nil"/>
                    <w:left w:val="single" w:sz="8" w:space="0" w:color="FFFFFF"/>
                    <w:bottom w:val="single" w:sz="8" w:space="0" w:color="FFFFFF"/>
                    <w:right w:val="single" w:sz="8" w:space="0" w:color="FFFFFF"/>
                  </w:tcBorders>
                  <w:shd w:val="clear" w:color="auto" w:fill="808080" w:themeFill="background1" w:themeFillShade="80"/>
                  <w:vAlign w:val="center"/>
                  <w:hideMark/>
                </w:tcPr>
                <w:p w14:paraId="2F00231F" w14:textId="77777777" w:rsidR="00921721" w:rsidRPr="007B305C" w:rsidRDefault="00921721" w:rsidP="00880D09">
                  <w:pPr>
                    <w:jc w:val="center"/>
                    <w:rPr>
                      <w:rFonts w:asciiTheme="minorHAnsi" w:hAnsiTheme="minorHAnsi"/>
                      <w:b/>
                      <w:bCs/>
                      <w:color w:val="FFFFFF"/>
                      <w:sz w:val="18"/>
                      <w:szCs w:val="18"/>
                      <w:lang w:eastAsia="en-GB"/>
                    </w:rPr>
                  </w:pPr>
                  <w:r>
                    <w:rPr>
                      <w:rFonts w:asciiTheme="minorHAnsi" w:hAnsiTheme="minorHAnsi"/>
                      <w:b/>
                      <w:bCs/>
                      <w:color w:val="FFFFFF"/>
                      <w:sz w:val="18"/>
                      <w:szCs w:val="18"/>
                      <w:lang w:eastAsia="en-GB"/>
                    </w:rPr>
                    <w:t>Lata</w:t>
                  </w:r>
                </w:p>
              </w:tc>
              <w:tc>
                <w:tcPr>
                  <w:tcW w:w="819" w:type="dxa"/>
                  <w:tcBorders>
                    <w:top w:val="nil"/>
                    <w:left w:val="nil"/>
                    <w:bottom w:val="single" w:sz="8" w:space="0" w:color="FFFFFF"/>
                    <w:right w:val="single" w:sz="8" w:space="0" w:color="FFFFFF"/>
                  </w:tcBorders>
                  <w:shd w:val="clear" w:color="auto" w:fill="808080" w:themeFill="background1" w:themeFillShade="80"/>
                  <w:vAlign w:val="center"/>
                  <w:hideMark/>
                </w:tcPr>
                <w:p w14:paraId="33502C49"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2035</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25BFC610"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2036</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491E099C"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2037</w:t>
                  </w:r>
                </w:p>
              </w:tc>
              <w:tc>
                <w:tcPr>
                  <w:tcW w:w="819" w:type="dxa"/>
                  <w:tcBorders>
                    <w:top w:val="nil"/>
                    <w:left w:val="nil"/>
                    <w:bottom w:val="single" w:sz="8" w:space="0" w:color="FFFFFF"/>
                    <w:right w:val="single" w:sz="8" w:space="0" w:color="FFFFFF"/>
                  </w:tcBorders>
                  <w:shd w:val="clear" w:color="auto" w:fill="808080" w:themeFill="background1" w:themeFillShade="80"/>
                  <w:vAlign w:val="center"/>
                  <w:hideMark/>
                </w:tcPr>
                <w:p w14:paraId="20638F8C"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2038</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2686BA96"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2039</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19B0E655"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2040</w:t>
                  </w:r>
                </w:p>
              </w:tc>
              <w:tc>
                <w:tcPr>
                  <w:tcW w:w="819" w:type="dxa"/>
                  <w:tcBorders>
                    <w:top w:val="nil"/>
                    <w:left w:val="nil"/>
                    <w:bottom w:val="single" w:sz="8" w:space="0" w:color="FFFFFF"/>
                    <w:right w:val="single" w:sz="8" w:space="0" w:color="FFFFFF"/>
                  </w:tcBorders>
                  <w:shd w:val="clear" w:color="auto" w:fill="808080" w:themeFill="background1" w:themeFillShade="80"/>
                  <w:vAlign w:val="center"/>
                  <w:hideMark/>
                </w:tcPr>
                <w:p w14:paraId="32811C8D" w14:textId="77777777" w:rsidR="00921721" w:rsidRPr="007B305C" w:rsidRDefault="00921721" w:rsidP="00880D09">
                  <w:pPr>
                    <w:jc w:val="center"/>
                    <w:rPr>
                      <w:rFonts w:asciiTheme="minorHAnsi" w:hAnsiTheme="minorHAnsi"/>
                      <w:b/>
                      <w:bCs/>
                      <w:color w:val="FFFFFF"/>
                      <w:sz w:val="18"/>
                      <w:szCs w:val="18"/>
                      <w:lang w:eastAsia="en-GB"/>
                    </w:rPr>
                  </w:pPr>
                  <w:r w:rsidRPr="00F13EAB">
                    <w:rPr>
                      <w:rFonts w:asciiTheme="minorHAnsi" w:hAnsiTheme="minorHAnsi"/>
                      <w:b/>
                      <w:bCs/>
                      <w:color w:val="FFFFFF"/>
                      <w:sz w:val="18"/>
                      <w:szCs w:val="18"/>
                      <w:lang w:eastAsia="en-GB"/>
                    </w:rPr>
                    <w:t>2041</w:t>
                  </w:r>
                </w:p>
              </w:tc>
            </w:tr>
            <w:tr w:rsidR="00921721" w:rsidRPr="007B305C" w14:paraId="4DD91CA3" w14:textId="77777777" w:rsidTr="00880D09">
              <w:trPr>
                <w:trHeight w:val="247"/>
              </w:trPr>
              <w:tc>
                <w:tcPr>
                  <w:tcW w:w="755"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5EA32342" w14:textId="77777777" w:rsidR="00921721" w:rsidRPr="007B305C" w:rsidRDefault="00921721" w:rsidP="00880D09">
                  <w:pPr>
                    <w:jc w:val="center"/>
                    <w:rPr>
                      <w:rFonts w:asciiTheme="minorHAnsi" w:hAnsiTheme="minorHAnsi"/>
                      <w:color w:val="4F81BD" w:themeColor="accent1"/>
                      <w:sz w:val="18"/>
                      <w:szCs w:val="18"/>
                      <w:lang w:eastAsia="en-GB"/>
                    </w:rPr>
                  </w:pPr>
                  <w:r>
                    <w:rPr>
                      <w:rFonts w:asciiTheme="minorHAnsi" w:hAnsiTheme="minorHAnsi"/>
                      <w:color w:val="4F81BD" w:themeColor="accent1"/>
                      <w:sz w:val="18"/>
                      <w:szCs w:val="18"/>
                      <w:lang w:eastAsia="en-GB"/>
                    </w:rPr>
                    <w:t>PKB</w:t>
                  </w:r>
                  <w:r w:rsidRPr="007B305C">
                    <w:rPr>
                      <w:rFonts w:asciiTheme="minorHAnsi" w:hAnsiTheme="minorHAnsi"/>
                      <w:color w:val="4F81BD" w:themeColor="accent1"/>
                      <w:sz w:val="18"/>
                      <w:szCs w:val="18"/>
                      <w:lang w:eastAsia="en-GB"/>
                    </w:rPr>
                    <w:t xml:space="preserve"> per capita</w:t>
                  </w:r>
                </w:p>
              </w:tc>
              <w:tc>
                <w:tcPr>
                  <w:tcW w:w="819" w:type="dxa"/>
                  <w:tcBorders>
                    <w:top w:val="nil"/>
                    <w:left w:val="nil"/>
                    <w:bottom w:val="single" w:sz="8" w:space="0" w:color="FFFFFF"/>
                    <w:right w:val="single" w:sz="8" w:space="0" w:color="FFFFFF"/>
                  </w:tcBorders>
                  <w:shd w:val="clear" w:color="auto" w:fill="DBE5F1" w:themeFill="accent1" w:themeFillTint="33"/>
                  <w:vAlign w:val="bottom"/>
                  <w:hideMark/>
                </w:tcPr>
                <w:p w14:paraId="338C8D18"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029</w:t>
                  </w:r>
                </w:p>
              </w:tc>
              <w:tc>
                <w:tcPr>
                  <w:tcW w:w="818" w:type="dxa"/>
                  <w:tcBorders>
                    <w:top w:val="nil"/>
                    <w:left w:val="nil"/>
                    <w:bottom w:val="single" w:sz="8" w:space="0" w:color="FFFFFF"/>
                    <w:right w:val="single" w:sz="8" w:space="0" w:color="FFFFFF"/>
                  </w:tcBorders>
                  <w:shd w:val="clear" w:color="auto" w:fill="DBE5F1" w:themeFill="accent1" w:themeFillTint="33"/>
                  <w:vAlign w:val="bottom"/>
                  <w:hideMark/>
                </w:tcPr>
                <w:p w14:paraId="320D9DB2"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028</w:t>
                  </w:r>
                </w:p>
              </w:tc>
              <w:tc>
                <w:tcPr>
                  <w:tcW w:w="818" w:type="dxa"/>
                  <w:tcBorders>
                    <w:top w:val="nil"/>
                    <w:left w:val="nil"/>
                    <w:bottom w:val="single" w:sz="8" w:space="0" w:color="FFFFFF"/>
                    <w:right w:val="single" w:sz="8" w:space="0" w:color="FFFFFF"/>
                  </w:tcBorders>
                  <w:shd w:val="clear" w:color="auto" w:fill="DBE5F1" w:themeFill="accent1" w:themeFillTint="33"/>
                  <w:vAlign w:val="bottom"/>
                  <w:hideMark/>
                </w:tcPr>
                <w:p w14:paraId="4F67968C"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028</w:t>
                  </w:r>
                </w:p>
              </w:tc>
              <w:tc>
                <w:tcPr>
                  <w:tcW w:w="819" w:type="dxa"/>
                  <w:tcBorders>
                    <w:top w:val="nil"/>
                    <w:left w:val="nil"/>
                    <w:bottom w:val="single" w:sz="8" w:space="0" w:color="FFFFFF"/>
                    <w:right w:val="single" w:sz="8" w:space="0" w:color="FFFFFF"/>
                  </w:tcBorders>
                  <w:shd w:val="clear" w:color="auto" w:fill="DBE5F1" w:themeFill="accent1" w:themeFillTint="33"/>
                  <w:vAlign w:val="bottom"/>
                  <w:hideMark/>
                </w:tcPr>
                <w:p w14:paraId="54074D61"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027</w:t>
                  </w:r>
                </w:p>
              </w:tc>
              <w:tc>
                <w:tcPr>
                  <w:tcW w:w="818" w:type="dxa"/>
                  <w:tcBorders>
                    <w:top w:val="nil"/>
                    <w:left w:val="nil"/>
                    <w:bottom w:val="single" w:sz="8" w:space="0" w:color="FFFFFF"/>
                    <w:right w:val="single" w:sz="8" w:space="0" w:color="FFFFFF"/>
                  </w:tcBorders>
                  <w:shd w:val="clear" w:color="auto" w:fill="DBE5F1" w:themeFill="accent1" w:themeFillTint="33"/>
                  <w:vAlign w:val="bottom"/>
                  <w:hideMark/>
                </w:tcPr>
                <w:p w14:paraId="373057E2"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026</w:t>
                  </w:r>
                </w:p>
              </w:tc>
              <w:tc>
                <w:tcPr>
                  <w:tcW w:w="818" w:type="dxa"/>
                  <w:tcBorders>
                    <w:top w:val="nil"/>
                    <w:left w:val="nil"/>
                    <w:bottom w:val="single" w:sz="8" w:space="0" w:color="FFFFFF"/>
                    <w:right w:val="single" w:sz="8" w:space="0" w:color="FFFFFF"/>
                  </w:tcBorders>
                  <w:shd w:val="clear" w:color="auto" w:fill="DBE5F1" w:themeFill="accent1" w:themeFillTint="33"/>
                  <w:vAlign w:val="bottom"/>
                  <w:hideMark/>
                </w:tcPr>
                <w:p w14:paraId="54A8442E"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025</w:t>
                  </w:r>
                </w:p>
              </w:tc>
              <w:tc>
                <w:tcPr>
                  <w:tcW w:w="819" w:type="dxa"/>
                  <w:tcBorders>
                    <w:top w:val="nil"/>
                    <w:left w:val="nil"/>
                    <w:bottom w:val="single" w:sz="8" w:space="0" w:color="FFFFFF"/>
                    <w:right w:val="single" w:sz="8" w:space="0" w:color="FFFFFF"/>
                  </w:tcBorders>
                  <w:shd w:val="clear" w:color="auto" w:fill="DBE5F1" w:themeFill="accent1" w:themeFillTint="33"/>
                  <w:vAlign w:val="bottom"/>
                  <w:hideMark/>
                </w:tcPr>
                <w:p w14:paraId="564C72B3"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024</w:t>
                  </w:r>
                </w:p>
              </w:tc>
            </w:tr>
            <w:tr w:rsidR="00921721" w:rsidRPr="007B305C" w14:paraId="6FDBAF8D" w14:textId="77777777" w:rsidTr="00880D09">
              <w:trPr>
                <w:trHeight w:val="247"/>
              </w:trPr>
              <w:tc>
                <w:tcPr>
                  <w:tcW w:w="755" w:type="dxa"/>
                  <w:tcBorders>
                    <w:top w:val="nil"/>
                    <w:left w:val="single" w:sz="8" w:space="0" w:color="FFFFFF"/>
                    <w:bottom w:val="single" w:sz="8" w:space="0" w:color="FFFFFF"/>
                    <w:right w:val="single" w:sz="8" w:space="0" w:color="FFFFFF"/>
                  </w:tcBorders>
                  <w:shd w:val="clear" w:color="auto" w:fill="808080" w:themeFill="background1" w:themeFillShade="80"/>
                  <w:vAlign w:val="center"/>
                  <w:hideMark/>
                </w:tcPr>
                <w:p w14:paraId="1D2C6A5D"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300B32">
                    <w:rPr>
                      <w:rFonts w:asciiTheme="minorHAnsi" w:hAnsiTheme="minorHAnsi"/>
                      <w:b/>
                      <w:bCs/>
                      <w:color w:val="FFFFFF" w:themeColor="background1"/>
                      <w:sz w:val="18"/>
                      <w:szCs w:val="18"/>
                      <w:lang w:eastAsia="en-GB"/>
                    </w:rPr>
                    <w:t>Lata</w:t>
                  </w:r>
                </w:p>
              </w:tc>
              <w:tc>
                <w:tcPr>
                  <w:tcW w:w="819" w:type="dxa"/>
                  <w:tcBorders>
                    <w:top w:val="nil"/>
                    <w:left w:val="nil"/>
                    <w:bottom w:val="single" w:sz="8" w:space="0" w:color="FFFFFF"/>
                    <w:right w:val="single" w:sz="8" w:space="0" w:color="FFFFFF"/>
                  </w:tcBorders>
                  <w:shd w:val="clear" w:color="auto" w:fill="808080" w:themeFill="background1" w:themeFillShade="80"/>
                  <w:vAlign w:val="center"/>
                  <w:hideMark/>
                </w:tcPr>
                <w:p w14:paraId="4BF940C2"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2042</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34363D8D"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2043</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1FE4135B"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2044</w:t>
                  </w:r>
                </w:p>
              </w:tc>
              <w:tc>
                <w:tcPr>
                  <w:tcW w:w="819" w:type="dxa"/>
                  <w:tcBorders>
                    <w:top w:val="nil"/>
                    <w:left w:val="nil"/>
                    <w:bottom w:val="single" w:sz="8" w:space="0" w:color="FFFFFF"/>
                    <w:right w:val="single" w:sz="8" w:space="0" w:color="FFFFFF"/>
                  </w:tcBorders>
                  <w:shd w:val="clear" w:color="auto" w:fill="808080" w:themeFill="background1" w:themeFillShade="80"/>
                  <w:vAlign w:val="center"/>
                  <w:hideMark/>
                </w:tcPr>
                <w:p w14:paraId="0BC74854"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2045</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772E6FD1"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2046</w:t>
                  </w:r>
                </w:p>
              </w:tc>
              <w:tc>
                <w:tcPr>
                  <w:tcW w:w="818" w:type="dxa"/>
                  <w:tcBorders>
                    <w:top w:val="nil"/>
                    <w:left w:val="nil"/>
                    <w:bottom w:val="single" w:sz="8" w:space="0" w:color="FFFFFF"/>
                    <w:right w:val="single" w:sz="8" w:space="0" w:color="FFFFFF"/>
                  </w:tcBorders>
                  <w:shd w:val="clear" w:color="auto" w:fill="808080" w:themeFill="background1" w:themeFillShade="80"/>
                  <w:vAlign w:val="center"/>
                  <w:hideMark/>
                </w:tcPr>
                <w:p w14:paraId="4B8492B2"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2047</w:t>
                  </w:r>
                </w:p>
              </w:tc>
              <w:tc>
                <w:tcPr>
                  <w:tcW w:w="819" w:type="dxa"/>
                  <w:tcBorders>
                    <w:top w:val="nil"/>
                    <w:left w:val="nil"/>
                    <w:bottom w:val="single" w:sz="8" w:space="0" w:color="FFFFFF"/>
                    <w:right w:val="single" w:sz="8" w:space="0" w:color="FFFFFF"/>
                  </w:tcBorders>
                  <w:shd w:val="clear" w:color="auto" w:fill="808080" w:themeFill="background1" w:themeFillShade="80"/>
                  <w:vAlign w:val="center"/>
                  <w:hideMark/>
                </w:tcPr>
                <w:p w14:paraId="37FC948D"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2048</w:t>
                  </w:r>
                </w:p>
              </w:tc>
            </w:tr>
            <w:tr w:rsidR="00921721" w:rsidRPr="007B305C" w14:paraId="23E17601" w14:textId="77777777" w:rsidTr="00880D09">
              <w:trPr>
                <w:trHeight w:val="247"/>
              </w:trPr>
              <w:tc>
                <w:tcPr>
                  <w:tcW w:w="755" w:type="dxa"/>
                  <w:tcBorders>
                    <w:top w:val="nil"/>
                    <w:left w:val="single" w:sz="8" w:space="0" w:color="FFFFFF"/>
                    <w:bottom w:val="nil"/>
                    <w:right w:val="single" w:sz="8" w:space="0" w:color="FFFFFF"/>
                  </w:tcBorders>
                  <w:shd w:val="clear" w:color="auto" w:fill="DBE5F1" w:themeFill="accent1" w:themeFillTint="33"/>
                  <w:vAlign w:val="center"/>
                  <w:hideMark/>
                </w:tcPr>
                <w:p w14:paraId="59EA9541" w14:textId="77777777" w:rsidR="00921721" w:rsidRPr="007B305C" w:rsidRDefault="00921721" w:rsidP="00880D09">
                  <w:pPr>
                    <w:jc w:val="center"/>
                    <w:rPr>
                      <w:rFonts w:asciiTheme="minorHAnsi" w:hAnsiTheme="minorHAnsi"/>
                      <w:color w:val="4F81BD" w:themeColor="accent1"/>
                      <w:sz w:val="18"/>
                      <w:szCs w:val="18"/>
                      <w:lang w:eastAsia="en-GB"/>
                    </w:rPr>
                  </w:pPr>
                  <w:r>
                    <w:rPr>
                      <w:rFonts w:asciiTheme="minorHAnsi" w:hAnsiTheme="minorHAnsi"/>
                      <w:color w:val="4F81BD" w:themeColor="accent1"/>
                      <w:sz w:val="18"/>
                      <w:szCs w:val="18"/>
                      <w:lang w:eastAsia="en-GB"/>
                    </w:rPr>
                    <w:t>PKB</w:t>
                  </w:r>
                  <w:r w:rsidRPr="007B305C">
                    <w:rPr>
                      <w:rFonts w:asciiTheme="minorHAnsi" w:hAnsiTheme="minorHAnsi"/>
                      <w:color w:val="4F81BD" w:themeColor="accent1"/>
                      <w:sz w:val="18"/>
                      <w:szCs w:val="18"/>
                      <w:lang w:eastAsia="en-GB"/>
                    </w:rPr>
                    <w:t xml:space="preserve"> per capita</w:t>
                  </w:r>
                </w:p>
              </w:tc>
              <w:tc>
                <w:tcPr>
                  <w:tcW w:w="819" w:type="dxa"/>
                  <w:tcBorders>
                    <w:top w:val="nil"/>
                    <w:left w:val="nil"/>
                    <w:bottom w:val="nil"/>
                    <w:right w:val="single" w:sz="8" w:space="0" w:color="FFFFFF"/>
                  </w:tcBorders>
                  <w:shd w:val="clear" w:color="auto" w:fill="DBE5F1" w:themeFill="accent1" w:themeFillTint="33"/>
                  <w:vAlign w:val="bottom"/>
                  <w:hideMark/>
                </w:tcPr>
                <w:p w14:paraId="176CC126"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023</w:t>
                  </w:r>
                </w:p>
              </w:tc>
              <w:tc>
                <w:tcPr>
                  <w:tcW w:w="818" w:type="dxa"/>
                  <w:tcBorders>
                    <w:top w:val="nil"/>
                    <w:left w:val="nil"/>
                    <w:bottom w:val="nil"/>
                    <w:right w:val="single" w:sz="8" w:space="0" w:color="FFFFFF"/>
                  </w:tcBorders>
                  <w:shd w:val="clear" w:color="auto" w:fill="DBE5F1" w:themeFill="accent1" w:themeFillTint="33"/>
                  <w:vAlign w:val="bottom"/>
                  <w:hideMark/>
                </w:tcPr>
                <w:p w14:paraId="423A7CD0"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023</w:t>
                  </w:r>
                </w:p>
              </w:tc>
              <w:tc>
                <w:tcPr>
                  <w:tcW w:w="818" w:type="dxa"/>
                  <w:tcBorders>
                    <w:top w:val="nil"/>
                    <w:left w:val="nil"/>
                    <w:bottom w:val="nil"/>
                    <w:right w:val="single" w:sz="8" w:space="0" w:color="FFFFFF"/>
                  </w:tcBorders>
                  <w:shd w:val="clear" w:color="auto" w:fill="DBE5F1" w:themeFill="accent1" w:themeFillTint="33"/>
                  <w:vAlign w:val="bottom"/>
                  <w:hideMark/>
                </w:tcPr>
                <w:p w14:paraId="58D2FF45"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022</w:t>
                  </w:r>
                </w:p>
              </w:tc>
              <w:tc>
                <w:tcPr>
                  <w:tcW w:w="819" w:type="dxa"/>
                  <w:tcBorders>
                    <w:top w:val="nil"/>
                    <w:left w:val="nil"/>
                    <w:bottom w:val="nil"/>
                    <w:right w:val="single" w:sz="8" w:space="0" w:color="FFFFFF"/>
                  </w:tcBorders>
                  <w:shd w:val="clear" w:color="auto" w:fill="DBE5F1" w:themeFill="accent1" w:themeFillTint="33"/>
                  <w:vAlign w:val="bottom"/>
                  <w:hideMark/>
                </w:tcPr>
                <w:p w14:paraId="3197CD63"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021</w:t>
                  </w:r>
                </w:p>
              </w:tc>
              <w:tc>
                <w:tcPr>
                  <w:tcW w:w="818" w:type="dxa"/>
                  <w:tcBorders>
                    <w:top w:val="nil"/>
                    <w:left w:val="nil"/>
                    <w:bottom w:val="nil"/>
                    <w:right w:val="single" w:sz="8" w:space="0" w:color="FFFFFF"/>
                  </w:tcBorders>
                  <w:shd w:val="clear" w:color="auto" w:fill="DBE5F1" w:themeFill="accent1" w:themeFillTint="33"/>
                  <w:vAlign w:val="bottom"/>
                  <w:hideMark/>
                </w:tcPr>
                <w:p w14:paraId="27AF2835"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021</w:t>
                  </w:r>
                </w:p>
              </w:tc>
              <w:tc>
                <w:tcPr>
                  <w:tcW w:w="818" w:type="dxa"/>
                  <w:tcBorders>
                    <w:top w:val="nil"/>
                    <w:left w:val="nil"/>
                    <w:bottom w:val="nil"/>
                    <w:right w:val="single" w:sz="8" w:space="0" w:color="FFFFFF"/>
                  </w:tcBorders>
                  <w:shd w:val="clear" w:color="auto" w:fill="DBE5F1" w:themeFill="accent1" w:themeFillTint="33"/>
                  <w:vAlign w:val="bottom"/>
                  <w:hideMark/>
                </w:tcPr>
                <w:p w14:paraId="05A6398C"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020</w:t>
                  </w:r>
                </w:p>
              </w:tc>
              <w:tc>
                <w:tcPr>
                  <w:tcW w:w="819" w:type="dxa"/>
                  <w:tcBorders>
                    <w:top w:val="nil"/>
                    <w:left w:val="nil"/>
                    <w:bottom w:val="nil"/>
                    <w:right w:val="single" w:sz="8" w:space="0" w:color="FFFFFF"/>
                  </w:tcBorders>
                  <w:shd w:val="clear" w:color="auto" w:fill="DBE5F1" w:themeFill="accent1" w:themeFillTint="33"/>
                  <w:vAlign w:val="bottom"/>
                  <w:hideMark/>
                </w:tcPr>
                <w:p w14:paraId="54FA5D7D" w14:textId="77777777" w:rsidR="00921721" w:rsidRPr="007B305C"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020</w:t>
                  </w:r>
                </w:p>
              </w:tc>
            </w:tr>
            <w:tr w:rsidR="00921721" w:rsidRPr="007B305C" w14:paraId="59EDD2E9" w14:textId="77777777" w:rsidTr="00880D09">
              <w:trPr>
                <w:trHeight w:val="247"/>
              </w:trPr>
              <w:tc>
                <w:tcPr>
                  <w:tcW w:w="755" w:type="dxa"/>
                  <w:tcBorders>
                    <w:top w:val="nil"/>
                    <w:left w:val="single" w:sz="8" w:space="0" w:color="FFFFFF"/>
                    <w:bottom w:val="nil"/>
                    <w:right w:val="single" w:sz="8" w:space="0" w:color="FFFFFF"/>
                  </w:tcBorders>
                  <w:shd w:val="clear" w:color="auto" w:fill="808080" w:themeFill="background1" w:themeFillShade="80"/>
                  <w:vAlign w:val="center"/>
                </w:tcPr>
                <w:p w14:paraId="1B78C5EE"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300B32">
                    <w:rPr>
                      <w:rFonts w:asciiTheme="minorHAnsi" w:hAnsiTheme="minorHAnsi"/>
                      <w:b/>
                      <w:bCs/>
                      <w:color w:val="FFFFFF" w:themeColor="background1"/>
                      <w:sz w:val="18"/>
                      <w:szCs w:val="18"/>
                      <w:lang w:eastAsia="en-GB"/>
                    </w:rPr>
                    <w:t>Lata</w:t>
                  </w:r>
                </w:p>
              </w:tc>
              <w:tc>
                <w:tcPr>
                  <w:tcW w:w="819" w:type="dxa"/>
                  <w:tcBorders>
                    <w:top w:val="nil"/>
                    <w:left w:val="nil"/>
                    <w:bottom w:val="nil"/>
                    <w:right w:val="single" w:sz="8" w:space="0" w:color="FFFFFF"/>
                  </w:tcBorders>
                  <w:shd w:val="clear" w:color="auto" w:fill="808080" w:themeFill="background1" w:themeFillShade="80"/>
                  <w:vAlign w:val="bottom"/>
                </w:tcPr>
                <w:p w14:paraId="034DEC78"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2049</w:t>
                  </w:r>
                </w:p>
              </w:tc>
              <w:tc>
                <w:tcPr>
                  <w:tcW w:w="818" w:type="dxa"/>
                  <w:tcBorders>
                    <w:top w:val="nil"/>
                    <w:left w:val="nil"/>
                    <w:bottom w:val="nil"/>
                    <w:right w:val="single" w:sz="8" w:space="0" w:color="FFFFFF"/>
                  </w:tcBorders>
                  <w:shd w:val="clear" w:color="auto" w:fill="808080" w:themeFill="background1" w:themeFillShade="80"/>
                  <w:vAlign w:val="bottom"/>
                </w:tcPr>
                <w:p w14:paraId="5F756320"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2050</w:t>
                  </w:r>
                </w:p>
              </w:tc>
              <w:tc>
                <w:tcPr>
                  <w:tcW w:w="818" w:type="dxa"/>
                  <w:tcBorders>
                    <w:top w:val="nil"/>
                    <w:left w:val="nil"/>
                    <w:bottom w:val="nil"/>
                    <w:right w:val="single" w:sz="8" w:space="0" w:color="FFFFFF"/>
                  </w:tcBorders>
                  <w:shd w:val="clear" w:color="auto" w:fill="808080" w:themeFill="background1" w:themeFillShade="80"/>
                  <w:vAlign w:val="bottom"/>
                </w:tcPr>
                <w:p w14:paraId="3568B0EC"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2051</w:t>
                  </w:r>
                </w:p>
              </w:tc>
              <w:tc>
                <w:tcPr>
                  <w:tcW w:w="819" w:type="dxa"/>
                  <w:tcBorders>
                    <w:top w:val="nil"/>
                    <w:left w:val="nil"/>
                    <w:bottom w:val="nil"/>
                    <w:right w:val="single" w:sz="8" w:space="0" w:color="FFFFFF"/>
                  </w:tcBorders>
                  <w:shd w:val="clear" w:color="auto" w:fill="808080" w:themeFill="background1" w:themeFillShade="80"/>
                  <w:vAlign w:val="bottom"/>
                </w:tcPr>
                <w:p w14:paraId="0C58269A"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2052</w:t>
                  </w:r>
                </w:p>
              </w:tc>
              <w:tc>
                <w:tcPr>
                  <w:tcW w:w="818" w:type="dxa"/>
                  <w:tcBorders>
                    <w:top w:val="nil"/>
                    <w:left w:val="nil"/>
                    <w:bottom w:val="nil"/>
                    <w:right w:val="single" w:sz="8" w:space="0" w:color="FFFFFF"/>
                  </w:tcBorders>
                  <w:shd w:val="clear" w:color="auto" w:fill="808080" w:themeFill="background1" w:themeFillShade="80"/>
                  <w:vAlign w:val="bottom"/>
                </w:tcPr>
                <w:p w14:paraId="2CCDA5C2"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2053</w:t>
                  </w:r>
                </w:p>
              </w:tc>
              <w:tc>
                <w:tcPr>
                  <w:tcW w:w="818" w:type="dxa"/>
                  <w:tcBorders>
                    <w:top w:val="nil"/>
                    <w:left w:val="nil"/>
                    <w:bottom w:val="nil"/>
                    <w:right w:val="single" w:sz="8" w:space="0" w:color="FFFFFF"/>
                  </w:tcBorders>
                  <w:shd w:val="clear" w:color="auto" w:fill="808080" w:themeFill="background1" w:themeFillShade="80"/>
                  <w:vAlign w:val="bottom"/>
                </w:tcPr>
                <w:p w14:paraId="685CC5B6"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2054</w:t>
                  </w:r>
                </w:p>
              </w:tc>
              <w:tc>
                <w:tcPr>
                  <w:tcW w:w="819" w:type="dxa"/>
                  <w:tcBorders>
                    <w:top w:val="nil"/>
                    <w:left w:val="nil"/>
                    <w:bottom w:val="nil"/>
                    <w:right w:val="single" w:sz="8" w:space="0" w:color="FFFFFF"/>
                  </w:tcBorders>
                  <w:shd w:val="clear" w:color="auto" w:fill="808080" w:themeFill="background1" w:themeFillShade="80"/>
                  <w:vAlign w:val="bottom"/>
                </w:tcPr>
                <w:p w14:paraId="4A19C6D6"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2055</w:t>
                  </w:r>
                </w:p>
              </w:tc>
            </w:tr>
            <w:tr w:rsidR="00921721" w:rsidRPr="007B305C" w14:paraId="57953706" w14:textId="77777777" w:rsidTr="00880D09">
              <w:trPr>
                <w:trHeight w:val="247"/>
              </w:trPr>
              <w:tc>
                <w:tcPr>
                  <w:tcW w:w="755" w:type="dxa"/>
                  <w:tcBorders>
                    <w:top w:val="nil"/>
                    <w:left w:val="single" w:sz="8" w:space="0" w:color="FFFFFF"/>
                    <w:bottom w:val="nil"/>
                    <w:right w:val="single" w:sz="8" w:space="0" w:color="FFFFFF"/>
                  </w:tcBorders>
                  <w:shd w:val="clear" w:color="auto" w:fill="DBE5F1" w:themeFill="accent1" w:themeFillTint="33"/>
                  <w:vAlign w:val="center"/>
                </w:tcPr>
                <w:p w14:paraId="13C12650" w14:textId="77777777" w:rsidR="00921721" w:rsidRPr="003E7EB2" w:rsidRDefault="00921721" w:rsidP="00880D09">
                  <w:pPr>
                    <w:jc w:val="center"/>
                    <w:rPr>
                      <w:rFonts w:asciiTheme="minorHAnsi" w:hAnsiTheme="minorHAnsi"/>
                      <w:b/>
                      <w:bCs/>
                      <w:color w:val="808080" w:themeColor="background1" w:themeShade="80"/>
                      <w:sz w:val="18"/>
                      <w:szCs w:val="18"/>
                      <w:lang w:eastAsia="en-GB"/>
                    </w:rPr>
                  </w:pPr>
                  <w:r>
                    <w:rPr>
                      <w:rFonts w:asciiTheme="minorHAnsi" w:hAnsiTheme="minorHAnsi"/>
                      <w:color w:val="4F81BD" w:themeColor="accent1"/>
                      <w:sz w:val="18"/>
                      <w:szCs w:val="18"/>
                      <w:lang w:eastAsia="en-GB"/>
                    </w:rPr>
                    <w:t>PKB</w:t>
                  </w:r>
                  <w:r w:rsidRPr="007B305C">
                    <w:rPr>
                      <w:rFonts w:asciiTheme="minorHAnsi" w:hAnsiTheme="minorHAnsi"/>
                      <w:color w:val="4F81BD" w:themeColor="accent1"/>
                      <w:sz w:val="18"/>
                      <w:szCs w:val="18"/>
                      <w:lang w:eastAsia="en-GB"/>
                    </w:rPr>
                    <w:t xml:space="preserve"> per capita</w:t>
                  </w:r>
                </w:p>
              </w:tc>
              <w:tc>
                <w:tcPr>
                  <w:tcW w:w="819" w:type="dxa"/>
                  <w:tcBorders>
                    <w:top w:val="nil"/>
                    <w:left w:val="nil"/>
                    <w:bottom w:val="nil"/>
                    <w:right w:val="single" w:sz="8" w:space="0" w:color="FFFFFF"/>
                  </w:tcBorders>
                  <w:shd w:val="clear" w:color="auto" w:fill="DBE5F1" w:themeFill="accent1" w:themeFillTint="33"/>
                  <w:vAlign w:val="bottom"/>
                </w:tcPr>
                <w:p w14:paraId="73E79397"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020</w:t>
                  </w:r>
                </w:p>
              </w:tc>
              <w:tc>
                <w:tcPr>
                  <w:tcW w:w="818" w:type="dxa"/>
                  <w:tcBorders>
                    <w:top w:val="nil"/>
                    <w:left w:val="nil"/>
                    <w:bottom w:val="nil"/>
                    <w:right w:val="single" w:sz="8" w:space="0" w:color="FFFFFF"/>
                  </w:tcBorders>
                  <w:shd w:val="clear" w:color="auto" w:fill="DBE5F1" w:themeFill="accent1" w:themeFillTint="33"/>
                  <w:vAlign w:val="bottom"/>
                </w:tcPr>
                <w:p w14:paraId="16160178"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019</w:t>
                  </w:r>
                </w:p>
              </w:tc>
              <w:tc>
                <w:tcPr>
                  <w:tcW w:w="818" w:type="dxa"/>
                  <w:tcBorders>
                    <w:top w:val="nil"/>
                    <w:left w:val="nil"/>
                    <w:bottom w:val="nil"/>
                    <w:right w:val="single" w:sz="8" w:space="0" w:color="FFFFFF"/>
                  </w:tcBorders>
                  <w:shd w:val="clear" w:color="auto" w:fill="DBE5F1" w:themeFill="accent1" w:themeFillTint="33"/>
                  <w:vAlign w:val="bottom"/>
                </w:tcPr>
                <w:p w14:paraId="65430493"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019</w:t>
                  </w:r>
                </w:p>
              </w:tc>
              <w:tc>
                <w:tcPr>
                  <w:tcW w:w="819" w:type="dxa"/>
                  <w:tcBorders>
                    <w:top w:val="nil"/>
                    <w:left w:val="nil"/>
                    <w:bottom w:val="nil"/>
                    <w:right w:val="single" w:sz="8" w:space="0" w:color="FFFFFF"/>
                  </w:tcBorders>
                  <w:shd w:val="clear" w:color="auto" w:fill="DBE5F1" w:themeFill="accent1" w:themeFillTint="33"/>
                  <w:vAlign w:val="bottom"/>
                </w:tcPr>
                <w:p w14:paraId="57136D24"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019</w:t>
                  </w:r>
                </w:p>
              </w:tc>
              <w:tc>
                <w:tcPr>
                  <w:tcW w:w="818" w:type="dxa"/>
                  <w:tcBorders>
                    <w:top w:val="nil"/>
                    <w:left w:val="nil"/>
                    <w:bottom w:val="nil"/>
                    <w:right w:val="single" w:sz="8" w:space="0" w:color="FFFFFF"/>
                  </w:tcBorders>
                  <w:shd w:val="clear" w:color="auto" w:fill="DBE5F1" w:themeFill="accent1" w:themeFillTint="33"/>
                  <w:vAlign w:val="bottom"/>
                </w:tcPr>
                <w:p w14:paraId="1F4EF3F1"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019</w:t>
                  </w:r>
                </w:p>
              </w:tc>
              <w:tc>
                <w:tcPr>
                  <w:tcW w:w="818" w:type="dxa"/>
                  <w:tcBorders>
                    <w:top w:val="nil"/>
                    <w:left w:val="nil"/>
                    <w:bottom w:val="nil"/>
                    <w:right w:val="single" w:sz="8" w:space="0" w:color="FFFFFF"/>
                  </w:tcBorders>
                  <w:shd w:val="clear" w:color="auto" w:fill="DBE5F1" w:themeFill="accent1" w:themeFillTint="33"/>
                  <w:vAlign w:val="bottom"/>
                </w:tcPr>
                <w:p w14:paraId="32F133AD"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019</w:t>
                  </w:r>
                </w:p>
              </w:tc>
              <w:tc>
                <w:tcPr>
                  <w:tcW w:w="819" w:type="dxa"/>
                  <w:tcBorders>
                    <w:top w:val="nil"/>
                    <w:left w:val="nil"/>
                    <w:bottom w:val="nil"/>
                    <w:right w:val="single" w:sz="8" w:space="0" w:color="FFFFFF"/>
                  </w:tcBorders>
                  <w:shd w:val="clear" w:color="auto" w:fill="DBE5F1" w:themeFill="accent1" w:themeFillTint="33"/>
                  <w:vAlign w:val="bottom"/>
                </w:tcPr>
                <w:p w14:paraId="6A58467E"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019</w:t>
                  </w:r>
                </w:p>
              </w:tc>
            </w:tr>
            <w:tr w:rsidR="00921721" w:rsidRPr="007B305C" w14:paraId="3A53639D" w14:textId="77777777" w:rsidTr="00880D09">
              <w:trPr>
                <w:trHeight w:val="247"/>
              </w:trPr>
              <w:tc>
                <w:tcPr>
                  <w:tcW w:w="755" w:type="dxa"/>
                  <w:tcBorders>
                    <w:top w:val="nil"/>
                    <w:left w:val="single" w:sz="8" w:space="0" w:color="FFFFFF"/>
                    <w:bottom w:val="nil"/>
                    <w:right w:val="single" w:sz="8" w:space="0" w:color="FFFFFF"/>
                  </w:tcBorders>
                  <w:shd w:val="clear" w:color="auto" w:fill="808080" w:themeFill="background1" w:themeFillShade="80"/>
                  <w:vAlign w:val="center"/>
                </w:tcPr>
                <w:p w14:paraId="126CC690"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300B32">
                    <w:rPr>
                      <w:rFonts w:asciiTheme="minorHAnsi" w:hAnsiTheme="minorHAnsi"/>
                      <w:b/>
                      <w:bCs/>
                      <w:color w:val="FFFFFF" w:themeColor="background1"/>
                      <w:sz w:val="18"/>
                      <w:szCs w:val="18"/>
                      <w:lang w:eastAsia="en-GB"/>
                    </w:rPr>
                    <w:t>Lata</w:t>
                  </w:r>
                </w:p>
              </w:tc>
              <w:tc>
                <w:tcPr>
                  <w:tcW w:w="819" w:type="dxa"/>
                  <w:tcBorders>
                    <w:top w:val="nil"/>
                    <w:left w:val="nil"/>
                    <w:bottom w:val="nil"/>
                    <w:right w:val="single" w:sz="8" w:space="0" w:color="FFFFFF"/>
                  </w:tcBorders>
                  <w:shd w:val="clear" w:color="auto" w:fill="808080" w:themeFill="background1" w:themeFillShade="80"/>
                  <w:vAlign w:val="bottom"/>
                </w:tcPr>
                <w:p w14:paraId="720A2C92"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2056</w:t>
                  </w:r>
                </w:p>
              </w:tc>
              <w:tc>
                <w:tcPr>
                  <w:tcW w:w="818" w:type="dxa"/>
                  <w:tcBorders>
                    <w:top w:val="nil"/>
                    <w:left w:val="nil"/>
                    <w:bottom w:val="nil"/>
                    <w:right w:val="single" w:sz="8" w:space="0" w:color="FFFFFF"/>
                  </w:tcBorders>
                  <w:shd w:val="clear" w:color="auto" w:fill="808080" w:themeFill="background1" w:themeFillShade="80"/>
                  <w:vAlign w:val="bottom"/>
                </w:tcPr>
                <w:p w14:paraId="0B5CC7F7"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2057</w:t>
                  </w:r>
                </w:p>
              </w:tc>
              <w:tc>
                <w:tcPr>
                  <w:tcW w:w="818" w:type="dxa"/>
                  <w:tcBorders>
                    <w:top w:val="nil"/>
                    <w:left w:val="nil"/>
                    <w:bottom w:val="nil"/>
                    <w:right w:val="single" w:sz="8" w:space="0" w:color="FFFFFF"/>
                  </w:tcBorders>
                  <w:shd w:val="clear" w:color="auto" w:fill="808080" w:themeFill="background1" w:themeFillShade="80"/>
                  <w:vAlign w:val="bottom"/>
                </w:tcPr>
                <w:p w14:paraId="01700A01"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2058</w:t>
                  </w:r>
                </w:p>
              </w:tc>
              <w:tc>
                <w:tcPr>
                  <w:tcW w:w="819" w:type="dxa"/>
                  <w:tcBorders>
                    <w:top w:val="nil"/>
                    <w:left w:val="nil"/>
                    <w:bottom w:val="nil"/>
                    <w:right w:val="single" w:sz="8" w:space="0" w:color="FFFFFF"/>
                  </w:tcBorders>
                  <w:shd w:val="clear" w:color="auto" w:fill="808080" w:themeFill="background1" w:themeFillShade="80"/>
                  <w:vAlign w:val="bottom"/>
                </w:tcPr>
                <w:p w14:paraId="423C6F7A"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2059</w:t>
                  </w:r>
                </w:p>
              </w:tc>
              <w:tc>
                <w:tcPr>
                  <w:tcW w:w="818" w:type="dxa"/>
                  <w:tcBorders>
                    <w:top w:val="nil"/>
                    <w:left w:val="nil"/>
                    <w:bottom w:val="nil"/>
                    <w:right w:val="single" w:sz="8" w:space="0" w:color="FFFFFF"/>
                  </w:tcBorders>
                  <w:shd w:val="clear" w:color="auto" w:fill="808080" w:themeFill="background1" w:themeFillShade="80"/>
                  <w:vAlign w:val="bottom"/>
                </w:tcPr>
                <w:p w14:paraId="238D6E1F" w14:textId="77777777" w:rsidR="00921721" w:rsidRPr="00300B32" w:rsidRDefault="00921721" w:rsidP="00880D09">
                  <w:pPr>
                    <w:jc w:val="center"/>
                    <w:rPr>
                      <w:rFonts w:asciiTheme="minorHAnsi" w:hAnsiTheme="minorHAnsi"/>
                      <w:b/>
                      <w:bCs/>
                      <w:color w:val="FFFFFF" w:themeColor="background1"/>
                      <w:sz w:val="18"/>
                      <w:szCs w:val="18"/>
                      <w:lang w:eastAsia="en-GB"/>
                    </w:rPr>
                  </w:pPr>
                  <w:r w:rsidRPr="00F13EAB">
                    <w:rPr>
                      <w:rFonts w:asciiTheme="minorHAnsi" w:hAnsiTheme="minorHAnsi"/>
                      <w:b/>
                      <w:bCs/>
                      <w:color w:val="FFFFFF"/>
                      <w:sz w:val="18"/>
                      <w:szCs w:val="18"/>
                      <w:lang w:eastAsia="en-GB"/>
                    </w:rPr>
                    <w:t>2060</w:t>
                  </w:r>
                </w:p>
              </w:tc>
              <w:tc>
                <w:tcPr>
                  <w:tcW w:w="818" w:type="dxa"/>
                  <w:tcBorders>
                    <w:top w:val="nil"/>
                    <w:left w:val="nil"/>
                    <w:bottom w:val="nil"/>
                    <w:right w:val="single" w:sz="8" w:space="0" w:color="FFFFFF"/>
                  </w:tcBorders>
                  <w:shd w:val="clear" w:color="auto" w:fill="808080" w:themeFill="background1" w:themeFillShade="80"/>
                  <w:vAlign w:val="bottom"/>
                </w:tcPr>
                <w:p w14:paraId="03C64F31" w14:textId="77777777" w:rsidR="00921721" w:rsidRPr="00300B32" w:rsidRDefault="00921721" w:rsidP="00880D09">
                  <w:pPr>
                    <w:jc w:val="center"/>
                    <w:rPr>
                      <w:rFonts w:asciiTheme="minorHAnsi" w:hAnsiTheme="minorHAnsi"/>
                      <w:b/>
                      <w:bCs/>
                      <w:color w:val="FFFFFF" w:themeColor="background1"/>
                      <w:sz w:val="18"/>
                      <w:szCs w:val="18"/>
                      <w:lang w:eastAsia="en-GB"/>
                    </w:rPr>
                  </w:pPr>
                </w:p>
              </w:tc>
              <w:tc>
                <w:tcPr>
                  <w:tcW w:w="819" w:type="dxa"/>
                  <w:tcBorders>
                    <w:top w:val="nil"/>
                    <w:left w:val="nil"/>
                    <w:bottom w:val="nil"/>
                    <w:right w:val="single" w:sz="8" w:space="0" w:color="FFFFFF"/>
                  </w:tcBorders>
                  <w:shd w:val="clear" w:color="auto" w:fill="808080" w:themeFill="background1" w:themeFillShade="80"/>
                  <w:vAlign w:val="bottom"/>
                </w:tcPr>
                <w:p w14:paraId="69D8B98E" w14:textId="77777777" w:rsidR="00921721" w:rsidRPr="00300B32" w:rsidRDefault="00921721" w:rsidP="00880D09">
                  <w:pPr>
                    <w:jc w:val="center"/>
                    <w:rPr>
                      <w:rFonts w:asciiTheme="minorHAnsi" w:hAnsiTheme="minorHAnsi"/>
                      <w:b/>
                      <w:bCs/>
                      <w:color w:val="FFFFFF" w:themeColor="background1"/>
                      <w:sz w:val="18"/>
                      <w:szCs w:val="18"/>
                      <w:lang w:eastAsia="en-GB"/>
                    </w:rPr>
                  </w:pPr>
                </w:p>
              </w:tc>
            </w:tr>
            <w:tr w:rsidR="00921721" w:rsidRPr="007B305C" w14:paraId="18ABD393" w14:textId="77777777" w:rsidTr="00880D09">
              <w:trPr>
                <w:trHeight w:val="247"/>
              </w:trPr>
              <w:tc>
                <w:tcPr>
                  <w:tcW w:w="755" w:type="dxa"/>
                  <w:tcBorders>
                    <w:top w:val="nil"/>
                    <w:left w:val="single" w:sz="8" w:space="0" w:color="FFFFFF"/>
                    <w:bottom w:val="single" w:sz="8" w:space="0" w:color="FFFFFF"/>
                    <w:right w:val="single" w:sz="8" w:space="0" w:color="FFFFFF"/>
                  </w:tcBorders>
                  <w:shd w:val="clear" w:color="auto" w:fill="DBE5F1" w:themeFill="accent1" w:themeFillTint="33"/>
                  <w:vAlign w:val="center"/>
                </w:tcPr>
                <w:p w14:paraId="2C214E82" w14:textId="77777777" w:rsidR="00921721" w:rsidRPr="007B305C" w:rsidRDefault="00921721" w:rsidP="00880D09">
                  <w:pPr>
                    <w:jc w:val="center"/>
                    <w:rPr>
                      <w:rFonts w:asciiTheme="minorHAnsi" w:hAnsiTheme="minorHAnsi"/>
                      <w:color w:val="4F81BD" w:themeColor="accent1"/>
                      <w:sz w:val="18"/>
                      <w:szCs w:val="18"/>
                      <w:lang w:eastAsia="en-GB"/>
                    </w:rPr>
                  </w:pPr>
                  <w:r>
                    <w:rPr>
                      <w:rFonts w:asciiTheme="minorHAnsi" w:hAnsiTheme="minorHAnsi"/>
                      <w:color w:val="4F81BD" w:themeColor="accent1"/>
                      <w:sz w:val="18"/>
                      <w:szCs w:val="18"/>
                      <w:lang w:eastAsia="en-GB"/>
                    </w:rPr>
                    <w:t>PKB</w:t>
                  </w:r>
                  <w:r w:rsidRPr="007B305C">
                    <w:rPr>
                      <w:rFonts w:asciiTheme="minorHAnsi" w:hAnsiTheme="minorHAnsi"/>
                      <w:color w:val="4F81BD" w:themeColor="accent1"/>
                      <w:sz w:val="18"/>
                      <w:szCs w:val="18"/>
                      <w:lang w:eastAsia="en-GB"/>
                    </w:rPr>
                    <w:t xml:space="preserve"> per capita</w:t>
                  </w:r>
                </w:p>
              </w:tc>
              <w:tc>
                <w:tcPr>
                  <w:tcW w:w="819" w:type="dxa"/>
                  <w:tcBorders>
                    <w:top w:val="nil"/>
                    <w:left w:val="nil"/>
                    <w:bottom w:val="single" w:sz="8" w:space="0" w:color="FFFFFF"/>
                    <w:right w:val="single" w:sz="8" w:space="0" w:color="FFFFFF"/>
                  </w:tcBorders>
                  <w:shd w:val="clear" w:color="auto" w:fill="DBE5F1" w:themeFill="accent1" w:themeFillTint="33"/>
                  <w:vAlign w:val="bottom"/>
                </w:tcPr>
                <w:p w14:paraId="14CDAE37"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019</w:t>
                  </w:r>
                </w:p>
              </w:tc>
              <w:tc>
                <w:tcPr>
                  <w:tcW w:w="818" w:type="dxa"/>
                  <w:tcBorders>
                    <w:top w:val="nil"/>
                    <w:left w:val="nil"/>
                    <w:bottom w:val="single" w:sz="8" w:space="0" w:color="FFFFFF"/>
                    <w:right w:val="single" w:sz="8" w:space="0" w:color="FFFFFF"/>
                  </w:tcBorders>
                  <w:shd w:val="clear" w:color="auto" w:fill="DBE5F1" w:themeFill="accent1" w:themeFillTint="33"/>
                  <w:vAlign w:val="bottom"/>
                </w:tcPr>
                <w:p w14:paraId="31A1376B"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020</w:t>
                  </w:r>
                </w:p>
              </w:tc>
              <w:tc>
                <w:tcPr>
                  <w:tcW w:w="818" w:type="dxa"/>
                  <w:tcBorders>
                    <w:top w:val="nil"/>
                    <w:left w:val="nil"/>
                    <w:bottom w:val="single" w:sz="8" w:space="0" w:color="FFFFFF"/>
                    <w:right w:val="single" w:sz="8" w:space="0" w:color="FFFFFF"/>
                  </w:tcBorders>
                  <w:shd w:val="clear" w:color="auto" w:fill="DBE5F1" w:themeFill="accent1" w:themeFillTint="33"/>
                  <w:vAlign w:val="bottom"/>
                </w:tcPr>
                <w:p w14:paraId="10D7C9A2"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020</w:t>
                  </w:r>
                </w:p>
              </w:tc>
              <w:tc>
                <w:tcPr>
                  <w:tcW w:w="819" w:type="dxa"/>
                  <w:tcBorders>
                    <w:top w:val="nil"/>
                    <w:left w:val="nil"/>
                    <w:bottom w:val="single" w:sz="8" w:space="0" w:color="FFFFFF"/>
                    <w:right w:val="single" w:sz="8" w:space="0" w:color="FFFFFF"/>
                  </w:tcBorders>
                  <w:shd w:val="clear" w:color="auto" w:fill="DBE5F1" w:themeFill="accent1" w:themeFillTint="33"/>
                  <w:vAlign w:val="bottom"/>
                </w:tcPr>
                <w:p w14:paraId="415F0373"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020</w:t>
                  </w:r>
                </w:p>
              </w:tc>
              <w:tc>
                <w:tcPr>
                  <w:tcW w:w="818" w:type="dxa"/>
                  <w:tcBorders>
                    <w:top w:val="nil"/>
                    <w:left w:val="nil"/>
                    <w:bottom w:val="single" w:sz="8" w:space="0" w:color="FFFFFF"/>
                    <w:right w:val="single" w:sz="8" w:space="0" w:color="FFFFFF"/>
                  </w:tcBorders>
                  <w:shd w:val="clear" w:color="auto" w:fill="DBE5F1" w:themeFill="accent1" w:themeFillTint="33"/>
                  <w:vAlign w:val="bottom"/>
                </w:tcPr>
                <w:p w14:paraId="75142412" w14:textId="77777777" w:rsidR="00921721" w:rsidRPr="008672E3" w:rsidRDefault="00921721" w:rsidP="00880D09">
                  <w:pPr>
                    <w:jc w:val="center"/>
                    <w:rPr>
                      <w:rFonts w:asciiTheme="minorHAnsi" w:hAnsiTheme="minorHAnsi"/>
                      <w:color w:val="4F81BD" w:themeColor="accent1"/>
                      <w:sz w:val="18"/>
                      <w:szCs w:val="18"/>
                      <w:lang w:eastAsia="en-GB"/>
                    </w:rPr>
                  </w:pPr>
                  <w:r w:rsidRPr="00F13EAB">
                    <w:rPr>
                      <w:rFonts w:asciiTheme="minorHAnsi" w:hAnsiTheme="minorHAnsi"/>
                      <w:color w:val="4F81BD" w:themeColor="accent1"/>
                      <w:sz w:val="18"/>
                      <w:szCs w:val="18"/>
                      <w:lang w:eastAsia="en-GB"/>
                    </w:rPr>
                    <w:t>1</w:t>
                  </w:r>
                  <w:r>
                    <w:rPr>
                      <w:rFonts w:asciiTheme="minorHAnsi" w:hAnsiTheme="minorHAnsi"/>
                      <w:color w:val="4F81BD" w:themeColor="accent1"/>
                      <w:sz w:val="18"/>
                      <w:szCs w:val="18"/>
                      <w:lang w:eastAsia="en-GB"/>
                    </w:rPr>
                    <w:t>,</w:t>
                  </w:r>
                  <w:r w:rsidRPr="00F13EAB">
                    <w:rPr>
                      <w:rFonts w:asciiTheme="minorHAnsi" w:hAnsiTheme="minorHAnsi"/>
                      <w:color w:val="4F81BD" w:themeColor="accent1"/>
                      <w:sz w:val="18"/>
                      <w:szCs w:val="18"/>
                      <w:lang w:eastAsia="en-GB"/>
                    </w:rPr>
                    <w:t>021</w:t>
                  </w:r>
                </w:p>
              </w:tc>
              <w:tc>
                <w:tcPr>
                  <w:tcW w:w="818" w:type="dxa"/>
                  <w:tcBorders>
                    <w:top w:val="nil"/>
                    <w:left w:val="nil"/>
                    <w:bottom w:val="single" w:sz="8" w:space="0" w:color="FFFFFF"/>
                    <w:right w:val="single" w:sz="8" w:space="0" w:color="FFFFFF"/>
                  </w:tcBorders>
                  <w:shd w:val="clear" w:color="auto" w:fill="DBE5F1" w:themeFill="accent1" w:themeFillTint="33"/>
                  <w:vAlign w:val="bottom"/>
                </w:tcPr>
                <w:p w14:paraId="20B8C9D1" w14:textId="77777777" w:rsidR="00921721" w:rsidRPr="008672E3" w:rsidRDefault="00921721" w:rsidP="00880D09">
                  <w:pPr>
                    <w:jc w:val="center"/>
                    <w:rPr>
                      <w:rFonts w:asciiTheme="minorHAnsi" w:hAnsiTheme="minorHAnsi"/>
                      <w:color w:val="4F81BD" w:themeColor="accent1"/>
                      <w:sz w:val="18"/>
                      <w:szCs w:val="18"/>
                      <w:lang w:eastAsia="en-GB"/>
                    </w:rPr>
                  </w:pPr>
                </w:p>
              </w:tc>
              <w:tc>
                <w:tcPr>
                  <w:tcW w:w="819" w:type="dxa"/>
                  <w:tcBorders>
                    <w:top w:val="nil"/>
                    <w:left w:val="nil"/>
                    <w:bottom w:val="single" w:sz="8" w:space="0" w:color="FFFFFF"/>
                    <w:right w:val="single" w:sz="8" w:space="0" w:color="FFFFFF"/>
                  </w:tcBorders>
                  <w:shd w:val="clear" w:color="auto" w:fill="DBE5F1" w:themeFill="accent1" w:themeFillTint="33"/>
                  <w:vAlign w:val="bottom"/>
                </w:tcPr>
                <w:p w14:paraId="6C231364" w14:textId="77777777" w:rsidR="00921721" w:rsidRPr="008672E3" w:rsidRDefault="00921721" w:rsidP="00880D09">
                  <w:pPr>
                    <w:jc w:val="center"/>
                    <w:rPr>
                      <w:rFonts w:asciiTheme="minorHAnsi" w:hAnsiTheme="minorHAnsi"/>
                      <w:color w:val="4F81BD" w:themeColor="accent1"/>
                      <w:sz w:val="18"/>
                      <w:szCs w:val="18"/>
                      <w:lang w:eastAsia="en-GB"/>
                    </w:rPr>
                  </w:pPr>
                </w:p>
              </w:tc>
            </w:tr>
          </w:tbl>
          <w:p w14:paraId="12E065C7" w14:textId="77777777" w:rsidR="00921721" w:rsidRDefault="00921721" w:rsidP="00880D09">
            <w:pPr>
              <w:pStyle w:val="anxnormal"/>
              <w:spacing w:after="120"/>
              <w:ind w:left="0"/>
              <w:rPr>
                <w:rFonts w:asciiTheme="minorHAnsi" w:hAnsiTheme="minorHAnsi"/>
                <w:b/>
                <w:sz w:val="16"/>
                <w:szCs w:val="16"/>
              </w:rPr>
            </w:pPr>
            <w:r w:rsidRPr="00731E4E">
              <w:rPr>
                <w:rFonts w:asciiTheme="minorHAnsi" w:hAnsiTheme="minorHAnsi"/>
                <w:b/>
                <w:i/>
                <w:sz w:val="16"/>
                <w:szCs w:val="16"/>
              </w:rPr>
              <w:t>Żródło</w:t>
            </w:r>
            <w:r>
              <w:rPr>
                <w:rFonts w:asciiTheme="minorHAnsi" w:hAnsiTheme="minorHAnsi"/>
                <w:b/>
                <w:i/>
                <w:sz w:val="16"/>
                <w:szCs w:val="16"/>
              </w:rPr>
              <w:t>:</w:t>
            </w:r>
            <w:r w:rsidRPr="00731E4E">
              <w:rPr>
                <w:rFonts w:asciiTheme="minorHAnsi" w:hAnsiTheme="minorHAnsi"/>
                <w:b/>
                <w:i/>
                <w:sz w:val="16"/>
                <w:szCs w:val="16"/>
              </w:rPr>
              <w:t xml:space="preserve"> </w:t>
            </w:r>
            <w:r w:rsidRPr="003D4863">
              <w:rPr>
                <w:rFonts w:asciiTheme="minorHAnsi" w:hAnsiTheme="minorHAnsi"/>
                <w:b/>
                <w:i/>
                <w:sz w:val="16"/>
                <w:szCs w:val="16"/>
              </w:rPr>
              <w:t>Opracowanie własne CUPT</w:t>
            </w:r>
            <w:r w:rsidRPr="008C2AED">
              <w:rPr>
                <w:rFonts w:asciiTheme="minorHAnsi" w:hAnsiTheme="minorHAnsi"/>
                <w:b/>
                <w:i/>
                <w:sz w:val="16"/>
                <w:szCs w:val="16"/>
              </w:rPr>
              <w:t xml:space="preserve"> </w:t>
            </w:r>
            <w:r>
              <w:rPr>
                <w:rFonts w:asciiTheme="minorHAnsi" w:hAnsiTheme="minorHAnsi"/>
                <w:b/>
                <w:i/>
                <w:sz w:val="16"/>
                <w:szCs w:val="16"/>
              </w:rPr>
              <w:t xml:space="preserve">na podstawie </w:t>
            </w:r>
            <w:r w:rsidRPr="008C2AED">
              <w:rPr>
                <w:rFonts w:asciiTheme="minorHAnsi" w:hAnsiTheme="minorHAnsi"/>
                <w:b/>
                <w:i/>
                <w:sz w:val="16"/>
                <w:szCs w:val="16"/>
              </w:rPr>
              <w:t xml:space="preserve">Wytyczne dotyczące stosowania jednolitych wskaźników makroekonomicznych będących podstawą oszacowania skutków finansowych projektowanych ustaw, Minister Finansów, </w:t>
            </w:r>
            <w:r>
              <w:rPr>
                <w:rFonts w:asciiTheme="minorHAnsi" w:hAnsiTheme="minorHAnsi"/>
                <w:b/>
                <w:i/>
                <w:sz w:val="16"/>
                <w:szCs w:val="16"/>
              </w:rPr>
              <w:t>31 sierpnia 2021 </w:t>
            </w:r>
            <w:r w:rsidRPr="00D22C56">
              <w:rPr>
                <w:rFonts w:asciiTheme="minorHAnsi" w:hAnsiTheme="minorHAnsi"/>
                <w:b/>
                <w:i/>
                <w:sz w:val="16"/>
                <w:szCs w:val="16"/>
              </w:rPr>
              <w:t>r.</w:t>
            </w:r>
            <w:r>
              <w:rPr>
                <w:rFonts w:asciiTheme="minorHAnsi" w:hAnsiTheme="minorHAnsi"/>
                <w:b/>
                <w:i/>
                <w:sz w:val="16"/>
                <w:szCs w:val="16"/>
              </w:rPr>
              <w:t xml:space="preserve"> </w:t>
            </w:r>
            <w:r w:rsidRPr="008C2AED">
              <w:rPr>
                <w:rFonts w:asciiTheme="minorHAnsi" w:hAnsiTheme="minorHAnsi"/>
                <w:b/>
                <w:i/>
                <w:sz w:val="16"/>
                <w:szCs w:val="16"/>
              </w:rPr>
              <w:t>https://www.gov.pl/web/finanse/wytyczne-sytuacja-makroekonomiczna</w:t>
            </w:r>
            <w:r w:rsidRPr="003D4863" w:rsidDel="003D4863">
              <w:rPr>
                <w:rFonts w:asciiTheme="minorHAnsi" w:hAnsiTheme="minorHAnsi"/>
                <w:b/>
                <w:i/>
                <w:sz w:val="16"/>
                <w:szCs w:val="16"/>
              </w:rPr>
              <w:t xml:space="preserve"> </w:t>
            </w:r>
          </w:p>
          <w:p w14:paraId="45AD3FAF" w14:textId="77777777" w:rsidR="00921721" w:rsidRDefault="00921721" w:rsidP="00880D09">
            <w:pPr>
              <w:ind w:right="170"/>
              <w:jc w:val="both"/>
              <w:rPr>
                <w:rFonts w:asciiTheme="minorHAnsi" w:hAnsiTheme="minorHAnsi" w:cs="Arial"/>
                <w:b/>
                <w:sz w:val="16"/>
                <w:szCs w:val="16"/>
              </w:rPr>
            </w:pPr>
          </w:p>
          <w:p w14:paraId="227105DA" w14:textId="77777777" w:rsidR="00921721" w:rsidRDefault="00921721" w:rsidP="00880D09">
            <w:pPr>
              <w:ind w:right="170"/>
              <w:jc w:val="both"/>
              <w:rPr>
                <w:rFonts w:asciiTheme="minorHAnsi" w:hAnsiTheme="minorHAnsi" w:cs="Arial"/>
                <w:b/>
                <w:sz w:val="16"/>
                <w:szCs w:val="16"/>
              </w:rPr>
            </w:pPr>
          </w:p>
          <w:p w14:paraId="64FA3789" w14:textId="77777777" w:rsidR="00921721" w:rsidRDefault="00921721" w:rsidP="00880D09">
            <w:pPr>
              <w:ind w:right="170"/>
              <w:jc w:val="both"/>
              <w:rPr>
                <w:rFonts w:asciiTheme="minorHAnsi" w:hAnsiTheme="minorHAnsi" w:cs="Arial"/>
                <w:b/>
                <w:sz w:val="16"/>
                <w:szCs w:val="16"/>
              </w:rPr>
            </w:pPr>
          </w:p>
          <w:p w14:paraId="6E317D93" w14:textId="77777777" w:rsidR="00921721" w:rsidRDefault="00921721" w:rsidP="00880D09">
            <w:pPr>
              <w:ind w:right="170"/>
              <w:jc w:val="both"/>
              <w:rPr>
                <w:rFonts w:asciiTheme="minorHAnsi" w:hAnsiTheme="minorHAnsi" w:cs="Arial"/>
                <w:b/>
                <w:sz w:val="16"/>
                <w:szCs w:val="16"/>
              </w:rPr>
            </w:pPr>
          </w:p>
          <w:p w14:paraId="7BAB6570" w14:textId="77777777" w:rsidR="00921721" w:rsidRDefault="00921721" w:rsidP="00880D09">
            <w:pPr>
              <w:ind w:right="170"/>
              <w:jc w:val="both"/>
              <w:rPr>
                <w:rFonts w:asciiTheme="minorHAnsi" w:hAnsiTheme="minorHAnsi" w:cs="Arial"/>
                <w:b/>
                <w:sz w:val="16"/>
                <w:szCs w:val="16"/>
              </w:rPr>
            </w:pPr>
          </w:p>
          <w:p w14:paraId="795F6F66" w14:textId="77777777" w:rsidR="00921721" w:rsidRDefault="00921721" w:rsidP="00880D09">
            <w:pPr>
              <w:ind w:right="170"/>
              <w:jc w:val="both"/>
              <w:rPr>
                <w:rFonts w:asciiTheme="minorHAnsi" w:hAnsiTheme="minorHAnsi" w:cs="Arial"/>
                <w:b/>
                <w:sz w:val="16"/>
                <w:szCs w:val="16"/>
              </w:rPr>
            </w:pPr>
          </w:p>
          <w:p w14:paraId="5D4183AE" w14:textId="77777777" w:rsidR="00921721" w:rsidRDefault="00921721" w:rsidP="00880D09">
            <w:pPr>
              <w:ind w:right="170"/>
              <w:jc w:val="both"/>
              <w:rPr>
                <w:rFonts w:asciiTheme="minorHAnsi" w:hAnsiTheme="minorHAnsi" w:cs="Arial"/>
                <w:b/>
                <w:sz w:val="16"/>
                <w:szCs w:val="16"/>
              </w:rPr>
            </w:pPr>
          </w:p>
          <w:p w14:paraId="35658C25" w14:textId="77777777" w:rsidR="00921721" w:rsidRDefault="00921721" w:rsidP="00880D09">
            <w:pPr>
              <w:ind w:right="170"/>
              <w:jc w:val="both"/>
              <w:rPr>
                <w:rFonts w:asciiTheme="minorHAnsi" w:hAnsiTheme="minorHAnsi" w:cs="Arial"/>
                <w:b/>
                <w:sz w:val="16"/>
                <w:szCs w:val="16"/>
              </w:rPr>
            </w:pPr>
          </w:p>
          <w:p w14:paraId="13BE2A6E" w14:textId="77777777" w:rsidR="00921721" w:rsidRDefault="00921721" w:rsidP="00880D09">
            <w:pPr>
              <w:ind w:right="170"/>
              <w:jc w:val="both"/>
              <w:rPr>
                <w:rFonts w:asciiTheme="minorHAnsi" w:hAnsiTheme="minorHAnsi" w:cs="Arial"/>
                <w:b/>
                <w:sz w:val="16"/>
                <w:szCs w:val="16"/>
              </w:rPr>
            </w:pPr>
          </w:p>
          <w:p w14:paraId="016E8047" w14:textId="77777777" w:rsidR="00921721" w:rsidRDefault="00921721" w:rsidP="00880D09">
            <w:pPr>
              <w:ind w:right="170"/>
              <w:jc w:val="both"/>
              <w:rPr>
                <w:rFonts w:asciiTheme="minorHAnsi" w:hAnsiTheme="minorHAnsi" w:cs="Arial"/>
                <w:b/>
                <w:sz w:val="16"/>
                <w:szCs w:val="16"/>
              </w:rPr>
            </w:pPr>
          </w:p>
          <w:p w14:paraId="073BCDC2" w14:textId="77777777" w:rsidR="00921721" w:rsidRDefault="00921721" w:rsidP="00880D09">
            <w:pPr>
              <w:ind w:right="170"/>
              <w:jc w:val="both"/>
              <w:rPr>
                <w:rFonts w:asciiTheme="minorHAnsi" w:hAnsiTheme="minorHAnsi" w:cs="Arial"/>
                <w:b/>
                <w:sz w:val="16"/>
                <w:szCs w:val="16"/>
              </w:rPr>
            </w:pPr>
          </w:p>
          <w:p w14:paraId="1C51342B" w14:textId="77777777" w:rsidR="00921721" w:rsidRPr="00296507" w:rsidRDefault="00921721" w:rsidP="00880D09">
            <w:pPr>
              <w:pStyle w:val="anxnormal"/>
              <w:spacing w:before="0"/>
              <w:ind w:left="0"/>
              <w:rPr>
                <w:rFonts w:asciiTheme="minorHAnsi" w:hAnsiTheme="minorHAnsi" w:cs="Arial-Narrow,Bold"/>
                <w:b/>
                <w:bCs/>
                <w:color w:val="4F81BD" w:themeColor="accent1"/>
                <w:sz w:val="23"/>
                <w:szCs w:val="23"/>
                <w:lang w:eastAsia="en-GB"/>
              </w:rPr>
            </w:pPr>
            <w:r w:rsidRPr="00296507">
              <w:rPr>
                <w:rFonts w:asciiTheme="minorHAnsi" w:hAnsiTheme="minorHAnsi" w:cs="Arial-Narrow,Bold"/>
                <w:b/>
                <w:bCs/>
                <w:color w:val="4F81BD" w:themeColor="accent1"/>
                <w:sz w:val="23"/>
                <w:szCs w:val="23"/>
                <w:lang w:eastAsia="en-GB"/>
              </w:rPr>
              <w:t>3. Koszty czasu użytkowników infrastruktury</w:t>
            </w:r>
            <w:r>
              <w:rPr>
                <w:rFonts w:asciiTheme="minorHAnsi" w:hAnsiTheme="minorHAnsi" w:cs="Arial-Narrow,Bold"/>
                <w:b/>
                <w:bCs/>
                <w:color w:val="4F81BD" w:themeColor="accent1"/>
                <w:sz w:val="23"/>
                <w:szCs w:val="23"/>
                <w:lang w:eastAsia="en-GB"/>
              </w:rPr>
              <w:t xml:space="preserve"> transportowej</w:t>
            </w:r>
          </w:p>
          <w:p w14:paraId="724B066F" w14:textId="77777777" w:rsidR="00921721" w:rsidRDefault="00921721" w:rsidP="00880D09">
            <w:pPr>
              <w:pStyle w:val="anxnormal"/>
              <w:spacing w:before="60" w:after="60"/>
              <w:ind w:left="0"/>
              <w:rPr>
                <w:rFonts w:asciiTheme="minorHAnsi" w:hAnsiTheme="minorHAnsi"/>
                <w:lang w:eastAsia="en-US"/>
              </w:rPr>
            </w:pPr>
            <w:r w:rsidRPr="00F13EAB">
              <w:rPr>
                <w:rFonts w:asciiTheme="minorHAnsi" w:hAnsiTheme="minorHAnsi"/>
                <w:lang w:eastAsia="en-US"/>
              </w:rPr>
              <w:t xml:space="preserve">Jednostkowe koszty czasu (PLN/h), ceny 2021 </w:t>
            </w:r>
          </w:p>
          <w:tbl>
            <w:tblPr>
              <w:tblW w:w="6892" w:type="dxa"/>
              <w:tblLayout w:type="fixed"/>
              <w:tblLook w:val="04A0" w:firstRow="1" w:lastRow="0" w:firstColumn="1" w:lastColumn="0" w:noHBand="0" w:noVBand="1"/>
            </w:tblPr>
            <w:tblGrid>
              <w:gridCol w:w="640"/>
              <w:gridCol w:w="1366"/>
              <w:gridCol w:w="1378"/>
              <w:gridCol w:w="1356"/>
              <w:gridCol w:w="2152"/>
            </w:tblGrid>
            <w:tr w:rsidR="00921721" w:rsidRPr="00FF1EB0" w14:paraId="61FB8C7E" w14:textId="77777777" w:rsidTr="00880D09">
              <w:trPr>
                <w:trHeight w:val="334"/>
              </w:trPr>
              <w:tc>
                <w:tcPr>
                  <w:tcW w:w="640"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342CA58" w14:textId="77777777" w:rsidR="00921721" w:rsidRPr="00F13EAB" w:rsidRDefault="00921721" w:rsidP="00880D09">
                  <w:pPr>
                    <w:snapToGrid w:val="0"/>
                    <w:jc w:val="center"/>
                    <w:rPr>
                      <w:rFonts w:asciiTheme="minorHAnsi" w:hAnsiTheme="minorHAnsi" w:cs="Arial"/>
                      <w:b/>
                      <w:bCs/>
                      <w:color w:val="FFFFFF"/>
                      <w:sz w:val="15"/>
                      <w:szCs w:val="15"/>
                    </w:rPr>
                  </w:pPr>
                </w:p>
              </w:tc>
              <w:tc>
                <w:tcPr>
                  <w:tcW w:w="4100" w:type="dxa"/>
                  <w:gridSpan w:val="3"/>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459777E" w14:textId="77777777" w:rsidR="00921721" w:rsidRPr="0099148C" w:rsidRDefault="00921721" w:rsidP="00880D09">
                  <w:pPr>
                    <w:snapToGrid w:val="0"/>
                    <w:jc w:val="center"/>
                    <w:rPr>
                      <w:rFonts w:asciiTheme="minorHAnsi" w:hAnsiTheme="minorHAnsi" w:cs="Arial"/>
                      <w:b/>
                      <w:bCs/>
                      <w:color w:val="FFFFFF"/>
                      <w:sz w:val="15"/>
                      <w:szCs w:val="15"/>
                    </w:rPr>
                  </w:pPr>
                  <w:r w:rsidRPr="00F13EAB">
                    <w:rPr>
                      <w:rFonts w:asciiTheme="minorHAnsi" w:hAnsiTheme="minorHAnsi" w:cs="Arial"/>
                      <w:b/>
                      <w:bCs/>
                      <w:color w:val="FFFFFF"/>
                      <w:sz w:val="15"/>
                      <w:szCs w:val="15"/>
                    </w:rPr>
                    <w:t>Stawka godzinowa dla pasażerów oraz kierowców (PLN/h)</w:t>
                  </w:r>
                </w:p>
              </w:tc>
              <w:tc>
                <w:tcPr>
                  <w:tcW w:w="2152"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74A21B3" w14:textId="77777777" w:rsidR="00921721" w:rsidRPr="0099148C" w:rsidRDefault="00921721" w:rsidP="00880D09">
                  <w:pPr>
                    <w:snapToGrid w:val="0"/>
                    <w:jc w:val="center"/>
                    <w:rPr>
                      <w:rFonts w:asciiTheme="minorHAnsi" w:hAnsiTheme="minorHAnsi" w:cs="Arial"/>
                      <w:b/>
                      <w:bCs/>
                      <w:color w:val="FFFFFF"/>
                      <w:sz w:val="15"/>
                      <w:szCs w:val="15"/>
                    </w:rPr>
                  </w:pPr>
                  <w:r w:rsidRPr="00F13EAB">
                    <w:rPr>
                      <w:rFonts w:asciiTheme="minorHAnsi" w:hAnsiTheme="minorHAnsi" w:cs="Arial"/>
                      <w:b/>
                      <w:bCs/>
                      <w:color w:val="FFFFFF"/>
                      <w:sz w:val="15"/>
                      <w:szCs w:val="15"/>
                    </w:rPr>
                    <w:t>Stawka godzinow</w:t>
                  </w:r>
                  <w:r>
                    <w:rPr>
                      <w:rFonts w:asciiTheme="minorHAnsi" w:hAnsiTheme="minorHAnsi" w:cs="Arial"/>
                      <w:b/>
                      <w:bCs/>
                      <w:color w:val="FFFFFF"/>
                      <w:sz w:val="15"/>
                      <w:szCs w:val="15"/>
                    </w:rPr>
                    <w:t xml:space="preserve">a przewozów </w:t>
                  </w:r>
                  <w:r w:rsidRPr="006B4A27">
                    <w:rPr>
                      <w:rFonts w:asciiTheme="minorHAnsi" w:hAnsiTheme="minorHAnsi" w:cs="Arial"/>
                      <w:b/>
                      <w:bCs/>
                      <w:color w:val="FFFFFF"/>
                      <w:sz w:val="15"/>
                      <w:szCs w:val="15"/>
                    </w:rPr>
                    <w:t xml:space="preserve">towarowych </w:t>
                  </w:r>
                  <w:r w:rsidRPr="00E51109">
                    <w:rPr>
                      <w:rFonts w:asciiTheme="minorHAnsi" w:hAnsiTheme="minorHAnsi" w:cs="Arial"/>
                      <w:b/>
                      <w:bCs/>
                      <w:color w:val="FFFFFF"/>
                      <w:sz w:val="15"/>
                      <w:szCs w:val="15"/>
                    </w:rPr>
                    <w:t>drogowych</w:t>
                  </w:r>
                  <w:r>
                    <w:rPr>
                      <w:rFonts w:asciiTheme="minorHAnsi" w:hAnsiTheme="minorHAnsi" w:cs="Arial"/>
                      <w:b/>
                      <w:bCs/>
                      <w:color w:val="FFFFFF"/>
                      <w:sz w:val="15"/>
                      <w:szCs w:val="15"/>
                    </w:rPr>
                    <w:t xml:space="preserve"> (PLN </w:t>
                  </w:r>
                  <w:r w:rsidRPr="00F13EAB">
                    <w:rPr>
                      <w:rFonts w:asciiTheme="minorHAnsi" w:hAnsiTheme="minorHAnsi" w:cs="Arial"/>
                      <w:b/>
                      <w:bCs/>
                      <w:color w:val="FFFFFF"/>
                      <w:sz w:val="15"/>
                      <w:szCs w:val="15"/>
                    </w:rPr>
                    <w:t>/h)</w:t>
                  </w:r>
                </w:p>
              </w:tc>
            </w:tr>
            <w:tr w:rsidR="00921721" w:rsidRPr="00FF1EB0" w14:paraId="67FAC260" w14:textId="77777777" w:rsidTr="00880D09">
              <w:trPr>
                <w:trHeight w:hRule="exact" w:val="377"/>
              </w:trPr>
              <w:tc>
                <w:tcPr>
                  <w:tcW w:w="640"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A49AE05" w14:textId="77777777" w:rsidR="00921721" w:rsidRPr="0099148C" w:rsidRDefault="00921721" w:rsidP="00880D09">
                  <w:pPr>
                    <w:jc w:val="center"/>
                    <w:rPr>
                      <w:rFonts w:asciiTheme="minorHAnsi" w:hAnsiTheme="minorHAnsi" w:cs="Arial"/>
                      <w:b/>
                      <w:bCs/>
                      <w:color w:val="FFFFFF"/>
                      <w:sz w:val="15"/>
                      <w:szCs w:val="15"/>
                    </w:rPr>
                  </w:pPr>
                </w:p>
              </w:tc>
              <w:tc>
                <w:tcPr>
                  <w:tcW w:w="136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7A5AD0A" w14:textId="77777777" w:rsidR="00921721" w:rsidRPr="0099148C" w:rsidRDefault="00921721" w:rsidP="00880D09">
                  <w:pPr>
                    <w:snapToGrid w:val="0"/>
                    <w:jc w:val="center"/>
                    <w:rPr>
                      <w:rFonts w:asciiTheme="minorHAnsi" w:hAnsiTheme="minorHAnsi" w:cs="Arial"/>
                      <w:b/>
                      <w:bCs/>
                      <w:color w:val="FFFFFF"/>
                      <w:sz w:val="15"/>
                      <w:szCs w:val="15"/>
                    </w:rPr>
                  </w:pPr>
                  <w:r w:rsidRPr="00E51109">
                    <w:rPr>
                      <w:rFonts w:asciiTheme="minorHAnsi" w:hAnsiTheme="minorHAnsi" w:cs="Arial"/>
                      <w:b/>
                      <w:bCs/>
                      <w:color w:val="FFFFFF"/>
                      <w:sz w:val="15"/>
                      <w:szCs w:val="15"/>
                    </w:rPr>
                    <w:t xml:space="preserve">Podróży </w:t>
                  </w:r>
                  <w:r w:rsidRPr="00E51109">
                    <w:rPr>
                      <w:rFonts w:asciiTheme="minorHAnsi" w:hAnsiTheme="minorHAnsi" w:cs="Arial"/>
                      <w:b/>
                      <w:bCs/>
                      <w:color w:val="FFFFFF"/>
                      <w:sz w:val="15"/>
                      <w:szCs w:val="15"/>
                    </w:rPr>
                    <w:br/>
                    <w:t>służbowych</w:t>
                  </w:r>
                </w:p>
              </w:tc>
              <w:tc>
                <w:tcPr>
                  <w:tcW w:w="137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9EC2D74" w14:textId="77777777" w:rsidR="00921721" w:rsidRPr="0099148C" w:rsidRDefault="00921721" w:rsidP="00880D09">
                  <w:pPr>
                    <w:snapToGrid w:val="0"/>
                    <w:jc w:val="center"/>
                    <w:rPr>
                      <w:rFonts w:asciiTheme="minorHAnsi" w:hAnsiTheme="minorHAnsi" w:cs="Arial"/>
                      <w:b/>
                      <w:bCs/>
                      <w:color w:val="FFFFFF"/>
                      <w:sz w:val="15"/>
                      <w:szCs w:val="15"/>
                    </w:rPr>
                  </w:pPr>
                  <w:r w:rsidRPr="00E51109">
                    <w:rPr>
                      <w:rFonts w:asciiTheme="minorHAnsi" w:hAnsiTheme="minorHAnsi" w:cs="Arial"/>
                      <w:b/>
                      <w:bCs/>
                      <w:color w:val="FFFFFF"/>
                      <w:sz w:val="15"/>
                      <w:szCs w:val="15"/>
                    </w:rPr>
                    <w:t>Dojazdów do/z pracy</w:t>
                  </w:r>
                </w:p>
              </w:tc>
              <w:tc>
                <w:tcPr>
                  <w:tcW w:w="135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498864B" w14:textId="77777777" w:rsidR="00921721" w:rsidRPr="0099148C" w:rsidRDefault="00921721" w:rsidP="00880D09">
                  <w:pPr>
                    <w:snapToGrid w:val="0"/>
                    <w:jc w:val="center"/>
                    <w:rPr>
                      <w:rFonts w:asciiTheme="minorHAnsi" w:hAnsiTheme="minorHAnsi" w:cs="Arial"/>
                      <w:b/>
                      <w:bCs/>
                      <w:color w:val="FFFFFF"/>
                      <w:sz w:val="15"/>
                      <w:szCs w:val="15"/>
                    </w:rPr>
                  </w:pPr>
                  <w:r w:rsidRPr="00E51109">
                    <w:rPr>
                      <w:rFonts w:asciiTheme="minorHAnsi" w:hAnsiTheme="minorHAnsi" w:cs="Arial"/>
                      <w:b/>
                      <w:bCs/>
                      <w:color w:val="FFFFFF"/>
                      <w:sz w:val="15"/>
                      <w:szCs w:val="15"/>
                    </w:rPr>
                    <w:t xml:space="preserve">Podróży </w:t>
                  </w:r>
                  <w:r w:rsidRPr="00E51109">
                    <w:rPr>
                      <w:rFonts w:asciiTheme="minorHAnsi" w:hAnsiTheme="minorHAnsi" w:cs="Arial"/>
                      <w:b/>
                      <w:bCs/>
                      <w:color w:val="FFFFFF"/>
                      <w:sz w:val="15"/>
                      <w:szCs w:val="15"/>
                    </w:rPr>
                    <w:br/>
                  </w:r>
                  <w:r>
                    <w:rPr>
                      <w:rFonts w:asciiTheme="minorHAnsi" w:hAnsiTheme="minorHAnsi" w:cs="Arial"/>
                      <w:b/>
                      <w:bCs/>
                      <w:color w:val="FFFFFF"/>
                      <w:sz w:val="15"/>
                      <w:szCs w:val="15"/>
                    </w:rPr>
                    <w:t xml:space="preserve">pozostałych </w:t>
                  </w:r>
                </w:p>
              </w:tc>
              <w:tc>
                <w:tcPr>
                  <w:tcW w:w="2152"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A64CC34" w14:textId="77777777" w:rsidR="00921721" w:rsidRPr="0099148C" w:rsidRDefault="00921721" w:rsidP="00880D09">
                  <w:pPr>
                    <w:jc w:val="center"/>
                    <w:rPr>
                      <w:rFonts w:asciiTheme="minorHAnsi" w:hAnsiTheme="minorHAnsi" w:cs="Arial"/>
                      <w:b/>
                      <w:bCs/>
                      <w:color w:val="FFFFFF"/>
                      <w:sz w:val="15"/>
                      <w:szCs w:val="15"/>
                    </w:rPr>
                  </w:pPr>
                </w:p>
              </w:tc>
            </w:tr>
            <w:tr w:rsidR="00921721" w:rsidRPr="00FF1EB0" w14:paraId="48D74DE8"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9FFD4C3"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2021</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692084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103,10</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B54FBB7"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52,27</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649667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46,51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8ED761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103,10</w:t>
                  </w:r>
                </w:p>
              </w:tc>
            </w:tr>
            <w:tr w:rsidR="00921721" w:rsidRPr="00FF1EB0" w14:paraId="754943EE"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6D48E22"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2022</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35D6174"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105,73</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0707455"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53,60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52BCEE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47,69</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CAC33B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105,73</w:t>
                  </w:r>
                </w:p>
              </w:tc>
            </w:tr>
            <w:tr w:rsidR="00921721" w:rsidRPr="00FF1EB0" w14:paraId="771946F0"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6BFE7E4"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2023</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B2FD4FE"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108,26</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50AF2D5"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54,88</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012B81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48,84</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92BF9C2"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108,26</w:t>
                  </w:r>
                </w:p>
              </w:tc>
            </w:tr>
            <w:tr w:rsidR="00921721" w:rsidRPr="00FF1EB0" w14:paraId="5830B165"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FC35F9F"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2024</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538291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110,38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68DE28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55,96</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C390AB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49,79</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35D2A67"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110,38</w:t>
                  </w:r>
                </w:p>
              </w:tc>
            </w:tr>
            <w:tr w:rsidR="00921721" w:rsidRPr="00FF1EB0" w14:paraId="6342504F"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F1252D2"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2025</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D00280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112,44</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A0CFB18"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57,00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F09C467"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50,72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4C0607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112,44</w:t>
                  </w:r>
                </w:p>
              </w:tc>
            </w:tr>
            <w:tr w:rsidR="00921721" w:rsidRPr="00FF1EB0" w14:paraId="7E524BB9"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20FC9AF"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2026</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2B8F007"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114,55</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BDD11E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58,07</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B041E0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51,67</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80120C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114,55</w:t>
                  </w:r>
                </w:p>
              </w:tc>
            </w:tr>
            <w:tr w:rsidR="00921721" w:rsidRPr="00FF1EB0" w14:paraId="161A8704"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6300094"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2027</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A92F7B8"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116,71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336326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59,17</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13843C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52,65</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68C0EA5"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116,71</w:t>
                  </w:r>
                </w:p>
              </w:tc>
            </w:tr>
            <w:tr w:rsidR="00921721" w:rsidRPr="00FF1EB0" w14:paraId="7DAEB4FA"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2BA6B57"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2028</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4B495A4"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118,87</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EDD6E6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60,26</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FE207C4"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53,62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D50BEA5"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118,87</w:t>
                  </w:r>
                </w:p>
              </w:tc>
            </w:tr>
            <w:tr w:rsidR="00921721" w:rsidRPr="00FF1EB0" w14:paraId="20CABC16"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261D062"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2029</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D84194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121,01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FCB15F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61,34</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D171FD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54,59</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B2C627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121,01</w:t>
                  </w:r>
                </w:p>
              </w:tc>
            </w:tr>
            <w:tr w:rsidR="00921721" w:rsidRPr="00FF1EB0" w14:paraId="1EF7F635"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C9E62D9"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2030</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342E3E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123,08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82E73F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62,39</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9243435"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55,52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CF3C5C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123,08</w:t>
                  </w:r>
                </w:p>
              </w:tc>
            </w:tr>
            <w:tr w:rsidR="00921721" w:rsidRPr="00FF1EB0" w14:paraId="551071DB"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9AD1397"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2031</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FD5548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125,08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617D218"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63,41</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AE3DF07"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56,42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2EFD02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125,08</w:t>
                  </w:r>
                </w:p>
              </w:tc>
            </w:tr>
            <w:tr w:rsidR="00921721" w:rsidRPr="00FF1EB0" w14:paraId="3593A774"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2ECBFAA"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2032</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F81C62E"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127,06</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09CC26E"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64,41</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8DBC93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57,31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2C2C88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127,06</w:t>
                  </w:r>
                </w:p>
              </w:tc>
            </w:tr>
            <w:tr w:rsidR="00921721" w:rsidRPr="00FF1EB0" w14:paraId="7159B10B"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C8BE0D5"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2033</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D3D477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129,01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2EB4BE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65,40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7CC25E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58,19</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DD5E25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129,01</w:t>
                  </w:r>
                </w:p>
              </w:tc>
            </w:tr>
            <w:tr w:rsidR="00921721" w:rsidRPr="00FF1EB0" w14:paraId="079671FC"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8E9FA18"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2034</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32C316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130,95</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16F14B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66,38</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D7B1025"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59,07</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527167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130,95</w:t>
                  </w:r>
                </w:p>
              </w:tc>
            </w:tr>
            <w:tr w:rsidR="00921721" w:rsidRPr="00FF1EB0" w14:paraId="496E2511"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19F8958"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2035</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064C2A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132,85</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48D01D2"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67,35</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08BBE1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59,93</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C093CC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132,85</w:t>
                  </w:r>
                </w:p>
              </w:tc>
            </w:tr>
            <w:tr w:rsidR="00921721" w:rsidRPr="00FF1EB0" w14:paraId="71DDC80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190D78B"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2036</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CA9A538"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134,80</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334384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68,33</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55EC01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60,80</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EFC588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134,80</w:t>
                  </w:r>
                </w:p>
              </w:tc>
            </w:tr>
            <w:tr w:rsidR="00921721" w:rsidRPr="00FF1EB0" w14:paraId="307F2856"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45088B7"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2037</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099C73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136,71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67BA687"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69,30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0B048F5"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61,67</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5EBC20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136,71</w:t>
                  </w:r>
                </w:p>
              </w:tc>
            </w:tr>
            <w:tr w:rsidR="00921721" w:rsidRPr="00FF1EB0" w14:paraId="70DB9E48"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93B4203"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2038</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1602D9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138,59</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1C255D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70,26</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76424B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62,51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7E0A9B7"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138,59</w:t>
                  </w:r>
                </w:p>
              </w:tc>
            </w:tr>
            <w:tr w:rsidR="00921721" w:rsidRPr="00FF1EB0" w14:paraId="5DFBA83F"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45410F7"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2039</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81BA14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140,43</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70720E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71,19</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786C87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63,35</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8C44E4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140,43</w:t>
                  </w:r>
                </w:p>
              </w:tc>
            </w:tr>
            <w:tr w:rsidR="00921721" w:rsidRPr="00FF1EB0" w14:paraId="2099B9A3"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A726A68"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2040</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268D26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142,24</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A5B885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72,10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48B294F"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64,16</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9BC8728"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142,24</w:t>
                  </w:r>
                </w:p>
              </w:tc>
            </w:tr>
            <w:tr w:rsidR="00921721" w:rsidRPr="00FF1EB0" w14:paraId="6BCC567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4736D38"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2041</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B31D05E"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144,00</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113638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73,00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FDD8FB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64,96</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1DFA51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144,00</w:t>
                  </w:r>
                </w:p>
              </w:tc>
            </w:tr>
            <w:tr w:rsidR="00921721" w:rsidRPr="00FF1EB0" w14:paraId="479E5DE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91EE708"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2042</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191EDD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145,71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65EBD2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73,87</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B8A7B45"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65,73</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AA7EF9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145,71</w:t>
                  </w:r>
                </w:p>
              </w:tc>
            </w:tr>
            <w:tr w:rsidR="00921721" w:rsidRPr="00FF1EB0" w14:paraId="4B9A505E"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186152E"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2043</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FE7558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147,38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8C8473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74,71</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6613E3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66,48</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B9D462F"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147,38</w:t>
                  </w:r>
                </w:p>
              </w:tc>
            </w:tr>
            <w:tr w:rsidR="00921721" w:rsidRPr="00FF1EB0" w14:paraId="27600C0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A09F113"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2044</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A72585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149,07</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FB3035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75,57</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1946B1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67,24</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5DC16B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149,07</w:t>
                  </w:r>
                </w:p>
              </w:tc>
            </w:tr>
            <w:tr w:rsidR="00921721" w:rsidRPr="00FF1EB0" w14:paraId="0076A056"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ABB1096"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2045</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578175E"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150,71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B2558E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76,40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2D1458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67,98</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165262E"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150,71</w:t>
                  </w:r>
                </w:p>
              </w:tc>
            </w:tr>
            <w:tr w:rsidR="00921721" w:rsidRPr="00FF1EB0" w14:paraId="50DC69D0"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1F1ACC0"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2046</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F7D33B8"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152,29</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135E35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77,20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B5FAE71"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68,70</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0B3E81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152,29</w:t>
                  </w:r>
                </w:p>
              </w:tc>
            </w:tr>
            <w:tr w:rsidR="00921721" w:rsidRPr="00FF1EB0" w14:paraId="07BF197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2D44321"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2047</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420186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153,90</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E5562A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78,01</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CB6EA87"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69,42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04FFD8F"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153,90</w:t>
                  </w:r>
                </w:p>
              </w:tc>
            </w:tr>
            <w:tr w:rsidR="00921721" w:rsidRPr="00FF1EB0" w14:paraId="7E25E5D3"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9418F46"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2048</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322597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155,44</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7CF907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78,80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0E6C5EE"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70,12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0440FF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155,44</w:t>
                  </w:r>
                </w:p>
              </w:tc>
            </w:tr>
            <w:tr w:rsidR="00921721" w:rsidRPr="00FF1EB0" w14:paraId="67D3A83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EEEC12C"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2049</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8756FA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157,01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C493C2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79,59</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094652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70,82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7FA491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157,01</w:t>
                  </w:r>
                </w:p>
              </w:tc>
            </w:tr>
            <w:tr w:rsidR="00921721" w:rsidRPr="00FF1EB0" w14:paraId="7AFE516B"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DEA09AC"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2050</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681D955"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158,59</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E7B8784"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80,39</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40AB388"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71,54</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9966DC7"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158,59</w:t>
                  </w:r>
                </w:p>
              </w:tc>
            </w:tr>
            <w:tr w:rsidR="00921721" w:rsidRPr="00FF1EB0" w14:paraId="300A30A3"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98665D1"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2051</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3FCC4C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160,11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316464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81,17</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89239C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72,22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CBE6A8A"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160,11</w:t>
                  </w:r>
                </w:p>
              </w:tc>
            </w:tr>
            <w:tr w:rsidR="00921721" w:rsidRPr="00FF1EB0" w14:paraId="7D7EE42A"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1F8A47A"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2052</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ACA85D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161,63</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67D07F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81,94</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5A80C9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72,91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AF7BF9E"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161,63</w:t>
                  </w:r>
                </w:p>
              </w:tc>
            </w:tr>
            <w:tr w:rsidR="00921721" w:rsidRPr="00FF1EB0" w14:paraId="6E4A830F"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042250"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2053</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1A4FEB4"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163,17</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1CBF63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82,72</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8B25A8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73,60</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D46C04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163,17</w:t>
                  </w:r>
                </w:p>
              </w:tc>
            </w:tr>
            <w:tr w:rsidR="00921721" w:rsidRPr="00FF1EB0" w14:paraId="0894AC79"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B92C38C"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2054</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649752"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164,72</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60DE6E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83,50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E5F0128"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74,30</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DBC36F2"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164,72</w:t>
                  </w:r>
                </w:p>
              </w:tc>
            </w:tr>
            <w:tr w:rsidR="00921721" w:rsidRPr="00FF1EB0" w14:paraId="1DA20E96"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AA9472B"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2055</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B1C12B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166,29</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F06C501"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84,30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1C09EFE"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75,01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5A031C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166,29</w:t>
                  </w:r>
                </w:p>
              </w:tc>
            </w:tr>
            <w:tr w:rsidR="00921721" w:rsidRPr="00FF1EB0" w14:paraId="594ADB37"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D1656FF"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2056</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D1471EC"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167,87</w:t>
                  </w:r>
                </w:p>
                <w:p w14:paraId="646312D2" w14:textId="77777777" w:rsidR="00921721" w:rsidRPr="0099148C" w:rsidRDefault="00921721" w:rsidP="00880D09">
                  <w:pPr>
                    <w:spacing w:before="20"/>
                    <w:jc w:val="center"/>
                    <w:rPr>
                      <w:rFonts w:asciiTheme="minorHAnsi" w:hAnsiTheme="minorHAnsi"/>
                      <w:color w:val="4F81BD" w:themeColor="accent1"/>
                      <w:sz w:val="15"/>
                      <w:szCs w:val="15"/>
                    </w:rPr>
                  </w:pP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7D5E2F2"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85,10</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37043E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75,72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4E963D6"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167,87</w:t>
                  </w:r>
                </w:p>
                <w:p w14:paraId="78A7D2B1" w14:textId="77777777" w:rsidR="00921721" w:rsidRPr="0099148C" w:rsidRDefault="00921721" w:rsidP="00880D09">
                  <w:pPr>
                    <w:spacing w:before="20"/>
                    <w:jc w:val="center"/>
                    <w:rPr>
                      <w:rFonts w:asciiTheme="minorHAnsi" w:hAnsiTheme="minorHAnsi" w:cs="Arial"/>
                      <w:color w:val="4F81BD" w:themeColor="accent1"/>
                      <w:sz w:val="15"/>
                      <w:szCs w:val="15"/>
                    </w:rPr>
                  </w:pPr>
                </w:p>
              </w:tc>
            </w:tr>
            <w:tr w:rsidR="00921721" w:rsidRPr="00FF1EB0" w14:paraId="1DF310BF"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7C8C431"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2057</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C1B6544"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169,47</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208B6E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85,91</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35D5D30"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76,44</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FCCC6C9"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169,47</w:t>
                  </w:r>
                </w:p>
              </w:tc>
            </w:tr>
            <w:tr w:rsidR="00921721" w:rsidRPr="00FF1EB0" w14:paraId="07866FE3"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0D62F74"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2058</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3E7343C"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171,16</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7CB930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86,77</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7D433FB"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77,21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2DB061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171,16</w:t>
                  </w:r>
                </w:p>
              </w:tc>
            </w:tr>
            <w:tr w:rsidR="00921721" w:rsidRPr="00FF1EB0" w14:paraId="2DE7D1AB"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B7F19C7"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2059</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60CB79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172,88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0ECF77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87,64</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DDDC274"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77,98</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F79C783"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172,88</w:t>
                  </w:r>
                </w:p>
              </w:tc>
            </w:tr>
            <w:tr w:rsidR="00921721" w:rsidRPr="00FF1EB0" w14:paraId="1E63A311"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163684F" w14:textId="77777777" w:rsidR="00921721" w:rsidRPr="0099148C" w:rsidRDefault="00921721" w:rsidP="00880D09">
                  <w:pPr>
                    <w:spacing w:before="20"/>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2060</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DA57AB6"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174,61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061740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88,51</w:t>
                  </w:r>
                </w:p>
              </w:tc>
              <w:tc>
                <w:tcPr>
                  <w:tcW w:w="135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5AE120F"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78,76</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1F77C2D" w14:textId="77777777" w:rsidR="00921721" w:rsidRPr="0099148C" w:rsidRDefault="00921721" w:rsidP="00880D09">
                  <w:pPr>
                    <w:jc w:val="center"/>
                    <w:rPr>
                      <w:rFonts w:asciiTheme="minorHAnsi" w:hAnsiTheme="minorHAnsi"/>
                      <w:color w:val="4F81BD" w:themeColor="accent1"/>
                      <w:sz w:val="15"/>
                      <w:szCs w:val="15"/>
                    </w:rPr>
                  </w:pPr>
                  <w:r w:rsidRPr="0099148C">
                    <w:rPr>
                      <w:rFonts w:asciiTheme="minorHAnsi" w:hAnsiTheme="minorHAnsi"/>
                      <w:color w:val="4F81BD" w:themeColor="accent1"/>
                      <w:sz w:val="15"/>
                      <w:szCs w:val="15"/>
                    </w:rPr>
                    <w:t>174,61</w:t>
                  </w:r>
                </w:p>
              </w:tc>
            </w:tr>
          </w:tbl>
          <w:p w14:paraId="6F73790C" w14:textId="77777777" w:rsidR="00921721" w:rsidRPr="00B13338" w:rsidRDefault="00921721" w:rsidP="00880D09">
            <w:pPr>
              <w:spacing w:before="60"/>
              <w:ind w:right="170"/>
              <w:jc w:val="both"/>
              <w:rPr>
                <w:rFonts w:asciiTheme="minorHAnsi" w:hAnsiTheme="minorHAnsi"/>
                <w:b/>
                <w:bCs/>
                <w:i/>
                <w:iCs/>
                <w:sz w:val="16"/>
                <w:szCs w:val="16"/>
              </w:rPr>
            </w:pPr>
            <w:r w:rsidRPr="00B13338">
              <w:rPr>
                <w:rFonts w:asciiTheme="minorHAnsi" w:hAnsiTheme="minorHAnsi" w:cs="Arial"/>
                <w:b/>
                <w:i/>
                <w:sz w:val="16"/>
                <w:szCs w:val="16"/>
              </w:rPr>
              <w:t>Źródło: Studium zlecone przez JASPERS “Determination of the Value of Time (VOT) for passenge</w:t>
            </w:r>
            <w:r>
              <w:rPr>
                <w:rFonts w:asciiTheme="minorHAnsi" w:hAnsiTheme="minorHAnsi" w:cs="Arial"/>
                <w:b/>
                <w:i/>
                <w:sz w:val="16"/>
                <w:szCs w:val="16"/>
              </w:rPr>
              <w:t xml:space="preserve">rs (in PLN/h)“, Deloitte, 2021 w oparciu o wyniki badania ankietowego zleconego przez </w:t>
            </w:r>
            <w:r w:rsidRPr="00B13338">
              <w:rPr>
                <w:rFonts w:asciiTheme="minorHAnsi" w:hAnsiTheme="minorHAnsi" w:cs="Arial"/>
                <w:b/>
                <w:i/>
                <w:sz w:val="16"/>
                <w:szCs w:val="16"/>
              </w:rPr>
              <w:t>CUPT.</w:t>
            </w:r>
          </w:p>
          <w:p w14:paraId="3BF7B234" w14:textId="77777777" w:rsidR="00921721" w:rsidRPr="00731E4E" w:rsidRDefault="00921721" w:rsidP="00880D09">
            <w:pPr>
              <w:pStyle w:val="anxnormal"/>
              <w:ind w:left="0"/>
              <w:rPr>
                <w:rFonts w:asciiTheme="minorHAnsi" w:hAnsiTheme="minorHAnsi"/>
                <w:u w:val="single"/>
                <w:lang w:eastAsia="en-US"/>
              </w:rPr>
            </w:pPr>
            <w:r w:rsidRPr="00731E4E">
              <w:rPr>
                <w:rFonts w:asciiTheme="minorHAnsi" w:hAnsiTheme="minorHAnsi"/>
                <w:u w:val="single"/>
                <w:lang w:eastAsia="en-US"/>
              </w:rPr>
              <w:t>Zmienność kosztów jednostkowych</w:t>
            </w:r>
            <w:r>
              <w:rPr>
                <w:rFonts w:asciiTheme="minorHAnsi" w:hAnsiTheme="minorHAnsi"/>
                <w:u w:val="single"/>
                <w:lang w:eastAsia="en-US"/>
              </w:rPr>
              <w:t xml:space="preserve"> w </w:t>
            </w:r>
            <w:r w:rsidRPr="00731E4E">
              <w:rPr>
                <w:rFonts w:asciiTheme="minorHAnsi" w:hAnsiTheme="minorHAnsi"/>
                <w:u w:val="single"/>
                <w:lang w:eastAsia="en-US"/>
              </w:rPr>
              <w:t>czasie</w:t>
            </w:r>
          </w:p>
          <w:p w14:paraId="287C3DA6" w14:textId="77777777" w:rsidR="00921721" w:rsidRPr="00296507" w:rsidRDefault="00921721" w:rsidP="00880D09">
            <w:pPr>
              <w:pStyle w:val="anxnormal"/>
              <w:ind w:left="0"/>
              <w:rPr>
                <w:rFonts w:asciiTheme="minorHAnsi" w:hAnsiTheme="minorHAnsi"/>
                <w:lang w:eastAsia="en-US"/>
              </w:rPr>
            </w:pPr>
            <w:r w:rsidRPr="00731E4E">
              <w:rPr>
                <w:rFonts w:asciiTheme="minorHAnsi" w:hAnsiTheme="minorHAnsi"/>
                <w:lang w:eastAsia="en-US"/>
              </w:rPr>
              <w:t>Prognoza zmiany jednostkowych kosztów czasu</w:t>
            </w:r>
            <w:r>
              <w:rPr>
                <w:rFonts w:asciiTheme="minorHAnsi" w:hAnsiTheme="minorHAnsi"/>
                <w:lang w:eastAsia="en-US"/>
              </w:rPr>
              <w:t xml:space="preserve"> w czasie (w </w:t>
            </w:r>
            <w:r w:rsidRPr="00731E4E">
              <w:rPr>
                <w:rFonts w:asciiTheme="minorHAnsi" w:hAnsiTheme="minorHAnsi"/>
                <w:lang w:eastAsia="en-US"/>
              </w:rPr>
              <w:t>tabeli powyżej) jest oparta</w:t>
            </w:r>
            <w:r>
              <w:rPr>
                <w:rFonts w:asciiTheme="minorHAnsi" w:hAnsiTheme="minorHAnsi"/>
                <w:lang w:eastAsia="en-US"/>
              </w:rPr>
              <w:t xml:space="preserve"> o </w:t>
            </w:r>
            <w:r w:rsidRPr="00731E4E">
              <w:rPr>
                <w:rFonts w:asciiTheme="minorHAnsi" w:hAnsiTheme="minorHAnsi"/>
                <w:lang w:eastAsia="en-US"/>
              </w:rPr>
              <w:t>prognozowany wzrost PKB per capita (wartości podane</w:t>
            </w:r>
            <w:r>
              <w:rPr>
                <w:rFonts w:asciiTheme="minorHAnsi" w:hAnsiTheme="minorHAnsi"/>
                <w:lang w:eastAsia="en-US"/>
              </w:rPr>
              <w:t xml:space="preserve"> w punkcie </w:t>
            </w:r>
            <w:r w:rsidRPr="00731E4E">
              <w:rPr>
                <w:rFonts w:asciiTheme="minorHAnsi" w:hAnsiTheme="minorHAnsi"/>
                <w:lang w:eastAsia="en-US"/>
              </w:rPr>
              <w:t xml:space="preserve">2) przy zastosowaniu współczynnika elastyczności </w:t>
            </w:r>
            <w:r>
              <w:rPr>
                <w:rFonts w:asciiTheme="minorHAnsi" w:hAnsiTheme="minorHAnsi"/>
                <w:lang w:eastAsia="en-US"/>
              </w:rPr>
              <w:t>0,5 (</w:t>
            </w:r>
            <w:r w:rsidRPr="00E739EF">
              <w:rPr>
                <w:rFonts w:asciiTheme="minorHAnsi" w:hAnsiTheme="minorHAnsi"/>
              </w:rPr>
              <w:t>zgodnie</w:t>
            </w:r>
            <w:r>
              <w:rPr>
                <w:rFonts w:asciiTheme="minorHAnsi" w:hAnsiTheme="minorHAnsi"/>
              </w:rPr>
              <w:t xml:space="preserve"> z wytycznymi do AKK DG </w:t>
            </w:r>
            <w:r w:rsidRPr="00E739EF">
              <w:rPr>
                <w:rFonts w:asciiTheme="minorHAnsi" w:hAnsiTheme="minorHAnsi"/>
              </w:rPr>
              <w:t>Regio)</w:t>
            </w:r>
            <w:r w:rsidRPr="00731E4E">
              <w:rPr>
                <w:rFonts w:asciiTheme="minorHAnsi" w:hAnsiTheme="minorHAnsi"/>
                <w:lang w:eastAsia="en-US"/>
              </w:rPr>
              <w:t>.</w:t>
            </w:r>
          </w:p>
          <w:p w14:paraId="4155CB18" w14:textId="77777777" w:rsidR="00921721" w:rsidRPr="00521591" w:rsidRDefault="00921721" w:rsidP="00880D09">
            <w:pPr>
              <w:pStyle w:val="anxnormal"/>
              <w:ind w:left="0"/>
              <w:rPr>
                <w:rFonts w:asciiTheme="minorHAnsi" w:hAnsiTheme="minorHAnsi" w:cs="Arial-Narrow,Bold"/>
                <w:b/>
                <w:bCs/>
                <w:color w:val="4F81BD" w:themeColor="accent1"/>
                <w:sz w:val="23"/>
                <w:szCs w:val="23"/>
                <w:lang w:eastAsia="en-GB"/>
              </w:rPr>
            </w:pPr>
            <w:r w:rsidRPr="00521591">
              <w:rPr>
                <w:rFonts w:asciiTheme="minorHAnsi" w:hAnsiTheme="minorHAnsi" w:cs="Arial-Narrow,Bold"/>
                <w:b/>
                <w:bCs/>
                <w:color w:val="4F81BD" w:themeColor="accent1"/>
                <w:sz w:val="23"/>
                <w:szCs w:val="23"/>
                <w:lang w:eastAsia="en-GB"/>
              </w:rPr>
              <w:t>4. Koszty eksploatacji pojazdów</w:t>
            </w:r>
          </w:p>
          <w:p w14:paraId="135D1DA1" w14:textId="77777777" w:rsidR="00921721" w:rsidRPr="004E4661" w:rsidRDefault="00921721" w:rsidP="00880D09">
            <w:pPr>
              <w:pStyle w:val="anxnormal"/>
              <w:spacing w:after="120"/>
              <w:ind w:left="0"/>
              <w:rPr>
                <w:rFonts w:asciiTheme="minorHAnsi" w:hAnsiTheme="minorHAnsi" w:cstheme="minorHAnsi"/>
                <w:lang w:eastAsia="en-US"/>
              </w:rPr>
            </w:pPr>
            <w:bookmarkStart w:id="124" w:name="_Hlk69473056"/>
            <w:r w:rsidRPr="00C232F1">
              <w:rPr>
                <w:rFonts w:asciiTheme="minorHAnsi" w:hAnsiTheme="minorHAnsi" w:cstheme="minorHAnsi"/>
                <w:lang w:eastAsia="en-US"/>
              </w:rPr>
              <w:t>W poniższych tabelach przedstawiono jednostkowe koszty eksploatacj</w:t>
            </w:r>
            <w:r>
              <w:rPr>
                <w:rFonts w:asciiTheme="minorHAnsi" w:hAnsiTheme="minorHAnsi" w:cstheme="minorHAnsi"/>
                <w:lang w:eastAsia="en-US"/>
              </w:rPr>
              <w:t>i pojazdów kategorii LV i HGV w obecnie przyjętym roku bazowym (2021).</w:t>
            </w:r>
            <w:r w:rsidRPr="00B14EF6">
              <w:rPr>
                <w:rFonts w:asciiTheme="minorHAnsi" w:hAnsiTheme="minorHAnsi" w:cstheme="minorHAnsi"/>
                <w:lang w:eastAsia="en-US"/>
              </w:rPr>
              <w:t xml:space="preserve"> Zakłada się, że aktualna struktura floty pojazdów drogowych pod względem </w:t>
            </w:r>
            <w:r w:rsidRPr="0011069B">
              <w:rPr>
                <w:rFonts w:asciiTheme="minorHAnsi" w:hAnsiTheme="minorHAnsi" w:cstheme="minorHAnsi"/>
              </w:rPr>
              <w:t>rodzajów stosowanego paliwa</w:t>
            </w:r>
            <w:r w:rsidRPr="004E4661">
              <w:rPr>
                <w:rFonts w:asciiTheme="minorHAnsi" w:hAnsiTheme="minorHAnsi" w:cstheme="minorHAnsi"/>
                <w:lang w:eastAsia="en-US"/>
              </w:rPr>
              <w:t xml:space="preserve"> obejmuje głównie: pojazdy benzynowe</w:t>
            </w:r>
            <w:r>
              <w:rPr>
                <w:rFonts w:asciiTheme="minorHAnsi" w:hAnsiTheme="minorHAnsi" w:cstheme="minorHAnsi"/>
                <w:lang w:eastAsia="en-US"/>
              </w:rPr>
              <w:t xml:space="preserve"> i napędzane olejem napędowym w </w:t>
            </w:r>
            <w:r w:rsidRPr="004E4661">
              <w:rPr>
                <w:rFonts w:asciiTheme="minorHAnsi" w:hAnsiTheme="minorHAnsi" w:cstheme="minorHAnsi"/>
                <w:lang w:eastAsia="en-US"/>
              </w:rPr>
              <w:t>przypadku LV; oraz wyłączn</w:t>
            </w:r>
            <w:r>
              <w:rPr>
                <w:rFonts w:asciiTheme="minorHAnsi" w:hAnsiTheme="minorHAnsi" w:cstheme="minorHAnsi"/>
                <w:lang w:eastAsia="en-US"/>
              </w:rPr>
              <w:t>ie napędzane olejem napędowym w </w:t>
            </w:r>
            <w:r w:rsidRPr="004E4661">
              <w:rPr>
                <w:rFonts w:asciiTheme="minorHAnsi" w:hAnsiTheme="minorHAnsi" w:cstheme="minorHAnsi"/>
                <w:lang w:eastAsia="en-US"/>
              </w:rPr>
              <w:t>przypadku HGV.</w:t>
            </w:r>
          </w:p>
          <w:p w14:paraId="76466F05" w14:textId="77777777" w:rsidR="00921721" w:rsidRPr="0099148C" w:rsidRDefault="00921721" w:rsidP="00880D09">
            <w:pPr>
              <w:jc w:val="both"/>
              <w:rPr>
                <w:rFonts w:asciiTheme="minorHAnsi" w:hAnsiTheme="minorHAnsi" w:cstheme="minorHAnsi"/>
                <w:snapToGrid w:val="0"/>
                <w:sz w:val="20"/>
                <w:szCs w:val="20"/>
                <w:lang w:eastAsia="en-US"/>
              </w:rPr>
            </w:pPr>
            <w:r w:rsidRPr="0099148C">
              <w:rPr>
                <w:rFonts w:asciiTheme="minorHAnsi" w:hAnsiTheme="minorHAnsi" w:cstheme="minorHAnsi"/>
                <w:snapToGrid w:val="0"/>
                <w:sz w:val="20"/>
                <w:szCs w:val="20"/>
                <w:lang w:eastAsia="en-US"/>
              </w:rPr>
              <w:t>Te jednost</w:t>
            </w:r>
            <w:r>
              <w:rPr>
                <w:rFonts w:asciiTheme="minorHAnsi" w:hAnsiTheme="minorHAnsi" w:cstheme="minorHAnsi"/>
                <w:snapToGrid w:val="0"/>
                <w:sz w:val="20"/>
                <w:szCs w:val="20"/>
                <w:lang w:eastAsia="en-US"/>
              </w:rPr>
              <w:t>kowe koszty zostały obliczone z </w:t>
            </w:r>
            <w:r w:rsidRPr="0099148C">
              <w:rPr>
                <w:rFonts w:asciiTheme="minorHAnsi" w:hAnsiTheme="minorHAnsi" w:cstheme="minorHAnsi"/>
                <w:snapToGrid w:val="0"/>
                <w:sz w:val="20"/>
                <w:szCs w:val="20"/>
                <w:lang w:eastAsia="en-US"/>
              </w:rPr>
              <w:t>uwzglę</w:t>
            </w:r>
            <w:r>
              <w:rPr>
                <w:rFonts w:asciiTheme="minorHAnsi" w:hAnsiTheme="minorHAnsi" w:cstheme="minorHAnsi"/>
                <w:snapToGrid w:val="0"/>
                <w:sz w:val="20"/>
                <w:szCs w:val="20"/>
                <w:lang w:eastAsia="en-US"/>
              </w:rPr>
              <w:t>dnieniem pojazdów benzynowych i diesla: kosztów zużycia i </w:t>
            </w:r>
            <w:r w:rsidRPr="0099148C">
              <w:rPr>
                <w:rFonts w:asciiTheme="minorHAnsi" w:hAnsiTheme="minorHAnsi" w:cstheme="minorHAnsi"/>
                <w:snapToGrid w:val="0"/>
                <w:sz w:val="20"/>
                <w:szCs w:val="20"/>
                <w:lang w:eastAsia="en-US"/>
              </w:rPr>
              <w:t>innych kosztów tych pojazdów oraz odpowiednich danych dotyczących floty pojazdów drogowych (szc</w:t>
            </w:r>
            <w:r>
              <w:rPr>
                <w:rFonts w:asciiTheme="minorHAnsi" w:hAnsiTheme="minorHAnsi" w:cstheme="minorHAnsi"/>
                <w:snapToGrid w:val="0"/>
                <w:sz w:val="20"/>
                <w:szCs w:val="20"/>
                <w:lang w:eastAsia="en-US"/>
              </w:rPr>
              <w:t>zegóły dotyczące obliczeń VOC i związane z </w:t>
            </w:r>
            <w:r w:rsidRPr="0099148C">
              <w:rPr>
                <w:rFonts w:asciiTheme="minorHAnsi" w:hAnsiTheme="minorHAnsi" w:cstheme="minorHAnsi"/>
                <w:snapToGrid w:val="0"/>
                <w:sz w:val="20"/>
                <w:szCs w:val="20"/>
                <w:lang w:eastAsia="en-US"/>
              </w:rPr>
              <w:t>nimi założ</w:t>
            </w:r>
            <w:r>
              <w:rPr>
                <w:rFonts w:asciiTheme="minorHAnsi" w:hAnsiTheme="minorHAnsi" w:cstheme="minorHAnsi"/>
                <w:snapToGrid w:val="0"/>
                <w:sz w:val="20"/>
                <w:szCs w:val="20"/>
                <w:lang w:eastAsia="en-US"/>
              </w:rPr>
              <w:t>enia przedstawiono w załączniku </w:t>
            </w:r>
            <w:r w:rsidRPr="0099148C">
              <w:rPr>
                <w:rFonts w:asciiTheme="minorHAnsi" w:hAnsiTheme="minorHAnsi" w:cstheme="minorHAnsi"/>
                <w:snapToGrid w:val="0"/>
                <w:sz w:val="20"/>
                <w:szCs w:val="20"/>
                <w:lang w:eastAsia="en-US"/>
              </w:rPr>
              <w:t>D). Jednostkowe koszty eksploatacji pojazdów podane w poniższej tabeli odnoszą się do</w:t>
            </w:r>
            <w:r>
              <w:rPr>
                <w:rFonts w:asciiTheme="minorHAnsi" w:hAnsiTheme="minorHAnsi" w:cstheme="minorHAnsi"/>
                <w:snapToGrid w:val="0"/>
                <w:sz w:val="20"/>
                <w:szCs w:val="20"/>
                <w:lang w:eastAsia="en-US"/>
              </w:rPr>
              <w:t xml:space="preserve"> płaskiego terenu i </w:t>
            </w:r>
            <w:r w:rsidRPr="0099148C">
              <w:rPr>
                <w:rFonts w:asciiTheme="minorHAnsi" w:hAnsiTheme="minorHAnsi" w:cstheme="minorHAnsi"/>
                <w:snapToGrid w:val="0"/>
                <w:sz w:val="20"/>
                <w:szCs w:val="20"/>
                <w:lang w:eastAsia="en-US"/>
              </w:rPr>
              <w:t>dobrej jakości nawierzchni</w:t>
            </w:r>
            <w:r>
              <w:rPr>
                <w:rFonts w:asciiTheme="minorHAnsi" w:hAnsiTheme="minorHAnsi" w:cstheme="minorHAnsi"/>
                <w:snapToGrid w:val="0"/>
                <w:sz w:val="20"/>
                <w:szCs w:val="20"/>
                <w:lang w:eastAsia="en-US"/>
              </w:rPr>
              <w:t xml:space="preserve"> (tzn. po budowie/ remoncie) a w </w:t>
            </w:r>
            <w:r w:rsidRPr="0099148C">
              <w:rPr>
                <w:rFonts w:asciiTheme="minorHAnsi" w:hAnsiTheme="minorHAnsi" w:cstheme="minorHAnsi"/>
                <w:snapToGrid w:val="0"/>
                <w:sz w:val="20"/>
                <w:szCs w:val="20"/>
                <w:lang w:eastAsia="en-US"/>
              </w:rPr>
              <w:t>kolejnej tabeli także do nawierzchni zdegradowanej. Podano również współczynniki wpływu nachylenia podłużnego drogi.</w:t>
            </w:r>
          </w:p>
          <w:bookmarkEnd w:id="124"/>
          <w:p w14:paraId="071E023D" w14:textId="77777777" w:rsidR="00921721" w:rsidRPr="0077080B" w:rsidRDefault="00921721" w:rsidP="00880D09">
            <w:pPr>
              <w:pStyle w:val="anxnormal"/>
              <w:spacing w:after="120"/>
              <w:ind w:left="0"/>
              <w:rPr>
                <w:rStyle w:val="jlqj4b"/>
                <w:rFonts w:asciiTheme="minorHAnsi" w:hAnsiTheme="minorHAnsi" w:cstheme="minorHAnsi"/>
              </w:rPr>
            </w:pPr>
            <w:r w:rsidRPr="0099148C">
              <w:rPr>
                <w:rStyle w:val="jlqj4b"/>
                <w:rFonts w:asciiTheme="minorHAnsi" w:hAnsiTheme="minorHAnsi" w:cstheme="minorHAnsi"/>
              </w:rPr>
              <w:t>Podane poniżej wartości jednostkowe dotyczą wyłącznie pojazdó</w:t>
            </w:r>
            <w:r>
              <w:rPr>
                <w:rStyle w:val="jlqj4b"/>
                <w:rFonts w:asciiTheme="minorHAnsi" w:hAnsiTheme="minorHAnsi" w:cstheme="minorHAnsi"/>
              </w:rPr>
              <w:t>w z </w:t>
            </w:r>
            <w:r w:rsidRPr="0099148C">
              <w:rPr>
                <w:rStyle w:val="jlqj4b"/>
                <w:rFonts w:asciiTheme="minorHAnsi" w:hAnsiTheme="minorHAnsi" w:cstheme="minorHAnsi"/>
              </w:rPr>
              <w:t>silnikiem spalinowym.</w:t>
            </w:r>
            <w:r w:rsidRPr="0099148C">
              <w:rPr>
                <w:rFonts w:asciiTheme="minorHAnsi" w:hAnsiTheme="minorHAnsi" w:cstheme="minorHAnsi"/>
              </w:rPr>
              <w:t xml:space="preserve"> </w:t>
            </w:r>
            <w:r w:rsidRPr="0099148C">
              <w:rPr>
                <w:rStyle w:val="jlqj4b"/>
                <w:rFonts w:asciiTheme="minorHAnsi" w:hAnsiTheme="minorHAnsi" w:cstheme="minorHAnsi"/>
              </w:rPr>
              <w:t>Wartości dla pojazd</w:t>
            </w:r>
            <w:r>
              <w:rPr>
                <w:rStyle w:val="jlqj4b"/>
                <w:rFonts w:asciiTheme="minorHAnsi" w:hAnsiTheme="minorHAnsi" w:cstheme="minorHAnsi"/>
              </w:rPr>
              <w:t>ów elektrycznych znajdują się w jednej z </w:t>
            </w:r>
            <w:r w:rsidRPr="0099148C">
              <w:rPr>
                <w:rStyle w:val="jlqj4b"/>
                <w:rFonts w:asciiTheme="minorHAnsi" w:hAnsiTheme="minorHAnsi" w:cstheme="minorHAnsi"/>
              </w:rPr>
              <w:t>poniższych tabel.</w:t>
            </w:r>
          </w:p>
          <w:p w14:paraId="25489589" w14:textId="77777777" w:rsidR="00921721" w:rsidRDefault="00921721" w:rsidP="00880D09">
            <w:pPr>
              <w:spacing w:before="240" w:after="120"/>
              <w:jc w:val="both"/>
              <w:rPr>
                <w:rFonts w:asciiTheme="minorHAnsi" w:hAnsiTheme="minorHAnsi"/>
                <w:sz w:val="20"/>
                <w:lang w:eastAsia="en-US"/>
              </w:rPr>
            </w:pPr>
            <w:r w:rsidRPr="0077080B">
              <w:rPr>
                <w:rFonts w:asciiTheme="minorHAnsi" w:hAnsiTheme="minorHAnsi"/>
                <w:sz w:val="20"/>
                <w:lang w:eastAsia="en-US"/>
              </w:rPr>
              <w:t>Jednostkowe koszty eksploatacji pojazdów spalinowych (PLN/poj-km), ceny 2021</w:t>
            </w:r>
          </w:p>
          <w:p w14:paraId="6C9D6529" w14:textId="77777777" w:rsidR="00921721" w:rsidRPr="0077080B" w:rsidRDefault="00921721" w:rsidP="00880D09">
            <w:pPr>
              <w:spacing w:before="240"/>
              <w:jc w:val="both"/>
              <w:rPr>
                <w:rFonts w:asciiTheme="minorHAnsi" w:hAnsiTheme="minorHAnsi"/>
                <w:sz w:val="20"/>
                <w:lang w:eastAsia="en-US"/>
              </w:rPr>
            </w:pPr>
          </w:p>
          <w:tbl>
            <w:tblPr>
              <w:tblW w:w="5784" w:type="dxa"/>
              <w:tblLayout w:type="fixed"/>
              <w:tblLook w:val="04A0" w:firstRow="1" w:lastRow="0" w:firstColumn="1" w:lastColumn="0" w:noHBand="0" w:noVBand="1"/>
            </w:tblPr>
            <w:tblGrid>
              <w:gridCol w:w="1137"/>
              <w:gridCol w:w="2331"/>
              <w:gridCol w:w="2316"/>
            </w:tblGrid>
            <w:tr w:rsidR="00921721" w:rsidRPr="00731E4E" w14:paraId="45B6734A" w14:textId="77777777" w:rsidTr="00880D09">
              <w:trPr>
                <w:trHeight w:hRule="exact" w:val="754"/>
              </w:trPr>
              <w:tc>
                <w:tcPr>
                  <w:tcW w:w="1137"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D3EBF2B"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Prędkość</w:t>
                  </w:r>
                </w:p>
                <w:p w14:paraId="1B38B668"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podróży</w:t>
                  </w:r>
                </w:p>
                <w:p w14:paraId="69BA68E7"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(km/godz.)</w:t>
                  </w:r>
                </w:p>
              </w:tc>
              <w:tc>
                <w:tcPr>
                  <w:tcW w:w="4647"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F575DCE"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Jednostkowe koszty eksploatacji pojazdów – PLN/poj-km – teren płaski (nawierzchnia po remoncie/</w:t>
                  </w:r>
                  <w:r>
                    <w:rPr>
                      <w:rFonts w:asciiTheme="minorHAnsi" w:hAnsiTheme="minorHAnsi" w:cs="Arial"/>
                      <w:b/>
                      <w:bCs/>
                      <w:color w:val="FFFFFF"/>
                      <w:sz w:val="18"/>
                      <w:szCs w:val="18"/>
                    </w:rPr>
                    <w:t xml:space="preserve"> </w:t>
                  </w:r>
                  <w:r w:rsidRPr="00731E4E">
                    <w:rPr>
                      <w:rFonts w:asciiTheme="minorHAnsi" w:hAnsiTheme="minorHAnsi" w:cs="Arial"/>
                      <w:b/>
                      <w:bCs/>
                      <w:color w:val="FFFFFF"/>
                      <w:sz w:val="18"/>
                      <w:szCs w:val="18"/>
                    </w:rPr>
                    <w:t>budowie)</w:t>
                  </w:r>
                </w:p>
              </w:tc>
            </w:tr>
            <w:tr w:rsidR="00921721" w:rsidRPr="00731E4E" w14:paraId="43FF4117" w14:textId="77777777" w:rsidTr="00880D09">
              <w:trPr>
                <w:trHeight w:hRule="exact" w:val="544"/>
              </w:trPr>
              <w:tc>
                <w:tcPr>
                  <w:tcW w:w="1137"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371B45B" w14:textId="77777777" w:rsidR="00921721" w:rsidRPr="00731E4E" w:rsidRDefault="00921721" w:rsidP="00880D09">
                  <w:pPr>
                    <w:jc w:val="center"/>
                    <w:rPr>
                      <w:rFonts w:asciiTheme="minorHAnsi" w:hAnsiTheme="minorHAnsi" w:cs="Arial"/>
                      <w:b/>
                      <w:bCs/>
                      <w:color w:val="FFFFFF"/>
                      <w:sz w:val="18"/>
                      <w:szCs w:val="18"/>
                    </w:rPr>
                  </w:pPr>
                </w:p>
              </w:tc>
              <w:tc>
                <w:tcPr>
                  <w:tcW w:w="233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C20ABB3"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LV</w:t>
                  </w:r>
                </w:p>
              </w:tc>
              <w:tc>
                <w:tcPr>
                  <w:tcW w:w="231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C67C50C"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HGV</w:t>
                  </w:r>
                </w:p>
              </w:tc>
            </w:tr>
            <w:tr w:rsidR="00921721" w:rsidRPr="00731E4E" w14:paraId="05B4F10C"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270E021" w14:textId="77777777" w:rsidR="00921721" w:rsidRPr="00521591" w:rsidRDefault="00921721" w:rsidP="00880D09">
                  <w:pPr>
                    <w:spacing w:before="20"/>
                    <w:jc w:val="center"/>
                    <w:rPr>
                      <w:rFonts w:asciiTheme="minorHAnsi" w:hAnsiTheme="minorHAnsi" w:cs="Calibri"/>
                      <w:color w:val="4F81BD" w:themeColor="accent1"/>
                      <w:sz w:val="18"/>
                      <w:szCs w:val="18"/>
                    </w:rPr>
                  </w:pPr>
                  <w:r w:rsidRPr="00521591">
                    <w:rPr>
                      <w:rFonts w:asciiTheme="minorHAnsi" w:hAnsiTheme="minorHAnsi" w:cs="Arial"/>
                      <w:color w:val="4F81BD" w:themeColor="accent1"/>
                      <w:sz w:val="18"/>
                      <w:szCs w:val="18"/>
                    </w:rPr>
                    <w:t>0-10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F53247C"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406</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3AB825D"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978</w:t>
                  </w:r>
                </w:p>
              </w:tc>
            </w:tr>
            <w:tr w:rsidR="00921721" w:rsidRPr="00731E4E" w14:paraId="75C100CF"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99002E0"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11-20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4CAF09D"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188</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87D9B71"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303</w:t>
                  </w:r>
                </w:p>
              </w:tc>
            </w:tr>
            <w:tr w:rsidR="00921721" w:rsidRPr="00731E4E" w14:paraId="251F421F"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848FF56"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21-30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3783CB6"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098</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6BE1457"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100</w:t>
                  </w:r>
                </w:p>
              </w:tc>
            </w:tr>
            <w:tr w:rsidR="00921721" w:rsidRPr="00731E4E" w14:paraId="068DE022"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B38640C"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31-40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D62F074"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044</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7AF9903"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997</w:t>
                  </w:r>
                </w:p>
              </w:tc>
            </w:tr>
            <w:tr w:rsidR="00921721" w:rsidRPr="00731E4E" w14:paraId="75BC5325"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BDC3C3D"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41-50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AFFB95E"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009</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F771061"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940</w:t>
                  </w:r>
                </w:p>
              </w:tc>
            </w:tr>
            <w:tr w:rsidR="00921721" w:rsidRPr="00731E4E" w14:paraId="357BF3BD"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4CEA096"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51-60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5F374EF"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985</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7D9B184"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910</w:t>
                  </w:r>
                </w:p>
              </w:tc>
            </w:tr>
            <w:tr w:rsidR="00921721" w:rsidRPr="00731E4E" w14:paraId="23F055A8"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F426AE1"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61-70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20B360B"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970</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3252B05"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896</w:t>
                  </w:r>
                </w:p>
              </w:tc>
            </w:tr>
            <w:tr w:rsidR="00921721" w:rsidRPr="00731E4E" w14:paraId="4C63BBA8"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612C4A7"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71-80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90F2478"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962</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4F6D55A"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892</w:t>
                  </w:r>
                </w:p>
              </w:tc>
            </w:tr>
            <w:tr w:rsidR="00921721" w:rsidRPr="00731E4E" w14:paraId="16C389D8"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922ED55"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81-90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BF78C6D"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959</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2D3146E"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896</w:t>
                  </w:r>
                </w:p>
              </w:tc>
            </w:tr>
            <w:tr w:rsidR="00921721" w:rsidRPr="00731E4E" w14:paraId="3D332877"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68BDAB0"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91-100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E518D1F"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962</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99FA96A"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912</w:t>
                  </w:r>
                </w:p>
              </w:tc>
            </w:tr>
            <w:tr w:rsidR="00921721" w:rsidRPr="00731E4E" w14:paraId="4ECD4369"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EA438B7"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101-110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D20BC5E"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969</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BE72D9A"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982</w:t>
                  </w:r>
                </w:p>
              </w:tc>
            </w:tr>
            <w:tr w:rsidR="00921721" w:rsidRPr="00731E4E" w14:paraId="78C01C30"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3A00483"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111-120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CD9E89D"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981</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EBD8C66"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051</w:t>
                  </w:r>
                </w:p>
              </w:tc>
            </w:tr>
            <w:tr w:rsidR="00921721" w:rsidRPr="00731E4E" w14:paraId="504C662C"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D065671"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121-130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72F3ABD"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996</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9ED5114"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120</w:t>
                  </w:r>
                </w:p>
              </w:tc>
            </w:tr>
            <w:tr w:rsidR="00921721" w:rsidRPr="00731E4E" w14:paraId="4C9679AC" w14:textId="77777777" w:rsidTr="00880D09">
              <w:trPr>
                <w:trHeight w:hRule="exact" w:val="313"/>
              </w:trPr>
              <w:tc>
                <w:tcPr>
                  <w:tcW w:w="113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DF89422" w14:textId="77777777" w:rsidR="00921721" w:rsidRPr="00521591" w:rsidRDefault="00921721" w:rsidP="00880D09">
                  <w:pPr>
                    <w:spacing w:before="20"/>
                    <w:jc w:val="center"/>
                    <w:rPr>
                      <w:rFonts w:asciiTheme="minorHAnsi" w:hAnsiTheme="minorHAnsi" w:cs="Arial"/>
                      <w:color w:val="4F81BD" w:themeColor="accent1"/>
                      <w:sz w:val="18"/>
                      <w:szCs w:val="18"/>
                    </w:rPr>
                  </w:pPr>
                  <w:r w:rsidRPr="00521591">
                    <w:rPr>
                      <w:rFonts w:asciiTheme="minorHAnsi" w:hAnsiTheme="minorHAnsi" w:cs="Arial"/>
                      <w:color w:val="4F81BD" w:themeColor="accent1"/>
                      <w:sz w:val="18"/>
                      <w:szCs w:val="18"/>
                    </w:rPr>
                    <w:t>131-140</w:t>
                  </w:r>
                </w:p>
              </w:tc>
              <w:tc>
                <w:tcPr>
                  <w:tcW w:w="233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4579046"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015</w:t>
                  </w:r>
                </w:p>
              </w:tc>
              <w:tc>
                <w:tcPr>
                  <w:tcW w:w="23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E46C8EA" w14:textId="77777777" w:rsidR="00921721" w:rsidRPr="0052159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189</w:t>
                  </w:r>
                </w:p>
              </w:tc>
            </w:tr>
          </w:tbl>
          <w:p w14:paraId="43C68BF5" w14:textId="77777777" w:rsidR="00921721" w:rsidRPr="00731E4E" w:rsidRDefault="00921721" w:rsidP="00880D09">
            <w:pPr>
              <w:ind w:right="170"/>
              <w:jc w:val="both"/>
              <w:rPr>
                <w:rFonts w:asciiTheme="minorHAnsi" w:hAnsiTheme="minorHAnsi" w:cs="Arial"/>
                <w:b/>
                <w:i/>
                <w:sz w:val="16"/>
                <w:szCs w:val="16"/>
              </w:rPr>
            </w:pPr>
            <w:r w:rsidRPr="00731E4E">
              <w:rPr>
                <w:rFonts w:asciiTheme="minorHAnsi" w:hAnsiTheme="minorHAnsi" w:cs="Arial"/>
                <w:b/>
                <w:i/>
                <w:sz w:val="16"/>
                <w:szCs w:val="16"/>
              </w:rPr>
              <w:t xml:space="preserve">Źródło: Opracowanie </w:t>
            </w:r>
            <w:r>
              <w:rPr>
                <w:rFonts w:asciiTheme="minorHAnsi" w:hAnsiTheme="minorHAnsi" w:cs="Arial"/>
                <w:b/>
                <w:i/>
                <w:sz w:val="16"/>
                <w:szCs w:val="16"/>
              </w:rPr>
              <w:t xml:space="preserve">własne </w:t>
            </w:r>
            <w:r w:rsidRPr="00983DF9">
              <w:rPr>
                <w:rFonts w:asciiTheme="minorHAnsi" w:hAnsiTheme="minorHAnsi" w:cs="Arial"/>
                <w:b/>
                <w:i/>
                <w:sz w:val="16"/>
                <w:szCs w:val="16"/>
              </w:rPr>
              <w:t>CUPT-JASPERS</w:t>
            </w:r>
            <w:r>
              <w:rPr>
                <w:rFonts w:asciiTheme="minorHAnsi" w:hAnsiTheme="minorHAnsi" w:cs="Arial"/>
                <w:b/>
                <w:i/>
                <w:sz w:val="16"/>
                <w:szCs w:val="16"/>
              </w:rPr>
              <w:t>,</w:t>
            </w:r>
            <w:r w:rsidRPr="00983DF9">
              <w:rPr>
                <w:rFonts w:asciiTheme="minorHAnsi" w:hAnsiTheme="minorHAnsi" w:cs="Arial"/>
                <w:b/>
                <w:i/>
                <w:sz w:val="16"/>
                <w:szCs w:val="16"/>
              </w:rPr>
              <w:t xml:space="preserve"> </w:t>
            </w:r>
            <w:r>
              <w:rPr>
                <w:rFonts w:asciiTheme="minorHAnsi" w:hAnsiTheme="minorHAnsi" w:cs="Arial"/>
                <w:b/>
                <w:i/>
                <w:sz w:val="16"/>
                <w:szCs w:val="16"/>
              </w:rPr>
              <w:t>szczegóły w załączniku D.</w:t>
            </w:r>
          </w:p>
          <w:p w14:paraId="32F412FE" w14:textId="77777777" w:rsidR="00921721" w:rsidRDefault="00921721" w:rsidP="00880D09">
            <w:pPr>
              <w:ind w:right="170"/>
              <w:jc w:val="both"/>
              <w:rPr>
                <w:rFonts w:asciiTheme="minorHAnsi" w:hAnsiTheme="minorHAnsi" w:cs="Arial"/>
                <w:b/>
                <w:i/>
                <w:sz w:val="16"/>
                <w:szCs w:val="16"/>
              </w:rPr>
            </w:pPr>
          </w:p>
          <w:p w14:paraId="58895DB5" w14:textId="77777777" w:rsidR="00921721" w:rsidRDefault="00921721" w:rsidP="00880D09">
            <w:pPr>
              <w:ind w:right="170"/>
              <w:jc w:val="both"/>
              <w:rPr>
                <w:rFonts w:asciiTheme="minorHAnsi" w:hAnsiTheme="minorHAnsi" w:cs="Arial"/>
                <w:b/>
                <w:i/>
                <w:sz w:val="16"/>
                <w:szCs w:val="16"/>
              </w:rPr>
            </w:pPr>
          </w:p>
          <w:p w14:paraId="28DCD4E1" w14:textId="77777777" w:rsidR="00921721" w:rsidRDefault="00921721" w:rsidP="00880D09">
            <w:pPr>
              <w:ind w:right="170"/>
              <w:jc w:val="both"/>
              <w:rPr>
                <w:rFonts w:asciiTheme="minorHAnsi" w:hAnsiTheme="minorHAnsi" w:cs="Arial"/>
                <w:b/>
                <w:i/>
                <w:sz w:val="16"/>
                <w:szCs w:val="16"/>
              </w:rPr>
            </w:pPr>
          </w:p>
          <w:p w14:paraId="3ADF7356" w14:textId="77777777" w:rsidR="00921721" w:rsidRDefault="00921721" w:rsidP="00880D09">
            <w:pPr>
              <w:ind w:right="170"/>
              <w:jc w:val="both"/>
              <w:rPr>
                <w:rFonts w:asciiTheme="minorHAnsi" w:hAnsiTheme="minorHAnsi" w:cs="Arial"/>
                <w:b/>
                <w:i/>
                <w:sz w:val="16"/>
                <w:szCs w:val="16"/>
              </w:rPr>
            </w:pPr>
          </w:p>
          <w:p w14:paraId="29587B8B" w14:textId="77777777" w:rsidR="00921721" w:rsidRDefault="00921721" w:rsidP="00880D09">
            <w:pPr>
              <w:ind w:right="170"/>
              <w:jc w:val="both"/>
              <w:rPr>
                <w:rFonts w:asciiTheme="minorHAnsi" w:hAnsiTheme="minorHAnsi" w:cs="Arial"/>
                <w:b/>
                <w:i/>
                <w:sz w:val="16"/>
                <w:szCs w:val="16"/>
              </w:rPr>
            </w:pPr>
          </w:p>
          <w:p w14:paraId="42883A0B" w14:textId="77777777" w:rsidR="00921721" w:rsidRDefault="00921721" w:rsidP="00880D09">
            <w:pPr>
              <w:ind w:right="170"/>
              <w:jc w:val="both"/>
              <w:rPr>
                <w:rFonts w:asciiTheme="minorHAnsi" w:hAnsiTheme="minorHAnsi" w:cs="Arial"/>
                <w:b/>
                <w:i/>
                <w:sz w:val="16"/>
                <w:szCs w:val="16"/>
              </w:rPr>
            </w:pPr>
          </w:p>
          <w:p w14:paraId="7F279AD3" w14:textId="77777777" w:rsidR="00921721" w:rsidRPr="00731E4E" w:rsidRDefault="00921721" w:rsidP="00880D09">
            <w:pPr>
              <w:ind w:right="170"/>
              <w:jc w:val="both"/>
              <w:rPr>
                <w:rFonts w:asciiTheme="minorHAnsi" w:hAnsiTheme="minorHAnsi" w:cs="Arial"/>
                <w:b/>
                <w:i/>
                <w:sz w:val="16"/>
                <w:szCs w:val="16"/>
              </w:rPr>
            </w:pPr>
          </w:p>
          <w:tbl>
            <w:tblPr>
              <w:tblW w:w="5955" w:type="dxa"/>
              <w:tblLayout w:type="fixed"/>
              <w:tblLook w:val="04A0" w:firstRow="1" w:lastRow="0" w:firstColumn="1" w:lastColumn="0" w:noHBand="0" w:noVBand="1"/>
            </w:tblPr>
            <w:tblGrid>
              <w:gridCol w:w="1577"/>
              <w:gridCol w:w="2067"/>
              <w:gridCol w:w="2311"/>
            </w:tblGrid>
            <w:tr w:rsidR="00921721" w:rsidRPr="00731E4E" w14:paraId="10131D4E" w14:textId="77777777" w:rsidTr="00880D09">
              <w:trPr>
                <w:trHeight w:hRule="exact" w:val="555"/>
              </w:trPr>
              <w:tc>
                <w:tcPr>
                  <w:tcW w:w="1577"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D6B80E5"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Prędkość</w:t>
                  </w:r>
                </w:p>
                <w:p w14:paraId="103CAEEE"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podróży</w:t>
                  </w:r>
                </w:p>
                <w:p w14:paraId="030F9CDB"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(km/godz.)</w:t>
                  </w:r>
                </w:p>
              </w:tc>
              <w:tc>
                <w:tcPr>
                  <w:tcW w:w="4378"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9014079"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Jednostkowe koszty eksploatacji pojazdów – PLN/poj-km – teren płaski (nawierzchnia zdegradowana)</w:t>
                  </w:r>
                </w:p>
              </w:tc>
            </w:tr>
            <w:tr w:rsidR="00921721" w:rsidRPr="00731E4E" w14:paraId="24C2CEBE" w14:textId="77777777" w:rsidTr="00880D09">
              <w:trPr>
                <w:trHeight w:hRule="exact" w:val="311"/>
              </w:trPr>
              <w:tc>
                <w:tcPr>
                  <w:tcW w:w="1577"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857FE69" w14:textId="77777777" w:rsidR="00921721" w:rsidRPr="00731E4E" w:rsidRDefault="00921721" w:rsidP="00880D09">
                  <w:pPr>
                    <w:jc w:val="center"/>
                    <w:rPr>
                      <w:rFonts w:asciiTheme="minorHAnsi" w:hAnsiTheme="minorHAnsi" w:cs="Arial"/>
                      <w:b/>
                      <w:bCs/>
                      <w:color w:val="FFFFFF"/>
                      <w:sz w:val="18"/>
                      <w:szCs w:val="18"/>
                    </w:rPr>
                  </w:pPr>
                </w:p>
              </w:tc>
              <w:tc>
                <w:tcPr>
                  <w:tcW w:w="2067"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2C7DEDE" w14:textId="77777777" w:rsidR="00921721" w:rsidRPr="00731E4E" w:rsidRDefault="00921721" w:rsidP="00880D09">
                  <w:pPr>
                    <w:snapToGrid w:val="0"/>
                    <w:spacing w:before="20" w:after="20"/>
                    <w:jc w:val="center"/>
                    <w:rPr>
                      <w:rFonts w:asciiTheme="minorHAnsi" w:hAnsiTheme="minorHAnsi" w:cs="Arial"/>
                      <w:b/>
                      <w:bCs/>
                      <w:color w:val="FFFFFF"/>
                      <w:sz w:val="18"/>
                      <w:szCs w:val="18"/>
                      <w:highlight w:val="magenta"/>
                    </w:rPr>
                  </w:pPr>
                  <w:r w:rsidRPr="00731E4E">
                    <w:rPr>
                      <w:rFonts w:asciiTheme="minorHAnsi" w:hAnsiTheme="minorHAnsi" w:cs="Arial"/>
                      <w:b/>
                      <w:bCs/>
                      <w:color w:val="FFFFFF"/>
                      <w:sz w:val="18"/>
                      <w:szCs w:val="18"/>
                    </w:rPr>
                    <w:t>LV</w:t>
                  </w:r>
                </w:p>
              </w:tc>
              <w:tc>
                <w:tcPr>
                  <w:tcW w:w="231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8BDCF33" w14:textId="77777777" w:rsidR="00921721" w:rsidRPr="00731E4E" w:rsidRDefault="00921721" w:rsidP="00880D09">
                  <w:pPr>
                    <w:snapToGrid w:val="0"/>
                    <w:spacing w:before="20" w:after="20"/>
                    <w:jc w:val="center"/>
                    <w:rPr>
                      <w:rFonts w:asciiTheme="minorHAnsi" w:hAnsiTheme="minorHAnsi" w:cs="Arial"/>
                      <w:b/>
                      <w:bCs/>
                      <w:color w:val="FFFFFF"/>
                      <w:sz w:val="18"/>
                      <w:szCs w:val="18"/>
                      <w:highlight w:val="magenta"/>
                    </w:rPr>
                  </w:pPr>
                  <w:r w:rsidRPr="00731E4E">
                    <w:rPr>
                      <w:rFonts w:asciiTheme="minorHAnsi" w:hAnsiTheme="minorHAnsi" w:cs="Arial"/>
                      <w:b/>
                      <w:bCs/>
                      <w:color w:val="FFFFFF"/>
                      <w:sz w:val="18"/>
                      <w:szCs w:val="18"/>
                    </w:rPr>
                    <w:t>HGV</w:t>
                  </w:r>
                </w:p>
              </w:tc>
            </w:tr>
            <w:tr w:rsidR="00921721" w:rsidRPr="00731E4E" w14:paraId="4CFA075D"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0820233" w14:textId="77777777" w:rsidR="00921721" w:rsidRPr="006854F1" w:rsidRDefault="00921721" w:rsidP="00880D09">
                  <w:pPr>
                    <w:spacing w:before="20"/>
                    <w:jc w:val="center"/>
                    <w:rPr>
                      <w:rFonts w:asciiTheme="minorHAnsi" w:hAnsiTheme="minorHAnsi" w:cs="Calibri"/>
                      <w:color w:val="4F81BD" w:themeColor="accent1"/>
                      <w:sz w:val="18"/>
                      <w:szCs w:val="18"/>
                    </w:rPr>
                  </w:pPr>
                  <w:r w:rsidRPr="006854F1">
                    <w:rPr>
                      <w:rFonts w:asciiTheme="minorHAnsi" w:hAnsiTheme="minorHAnsi" w:cs="Arial"/>
                      <w:color w:val="4F81BD" w:themeColor="accent1"/>
                      <w:sz w:val="18"/>
                      <w:szCs w:val="18"/>
                    </w:rPr>
                    <w:t>0-10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69B3AB0"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565</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C275BD0"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3</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350</w:t>
                  </w:r>
                </w:p>
              </w:tc>
            </w:tr>
            <w:tr w:rsidR="00921721" w:rsidRPr="00731E4E" w14:paraId="7DC20594"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EF95B98"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11-20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F3BA3C5"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322</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E069655"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591</w:t>
                  </w:r>
                </w:p>
              </w:tc>
            </w:tr>
            <w:tr w:rsidR="00921721" w:rsidRPr="00731E4E" w14:paraId="5A335061"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75D02A4"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21-30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63B1B6D"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222</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4981A3D"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362</w:t>
                  </w:r>
                </w:p>
              </w:tc>
            </w:tr>
            <w:tr w:rsidR="00921721" w:rsidRPr="00731E4E" w14:paraId="094298DB"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D9F783E"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31-40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9D4EF03"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162</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8E2361C"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246</w:t>
                  </w:r>
                </w:p>
              </w:tc>
            </w:tr>
            <w:tr w:rsidR="00921721" w:rsidRPr="00731E4E" w14:paraId="1E27A8A6"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AEEC460"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41-50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4F08745"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122</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A822739"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182</w:t>
                  </w:r>
                </w:p>
              </w:tc>
            </w:tr>
            <w:tr w:rsidR="00921721" w:rsidRPr="00731E4E" w14:paraId="2D5BA89C"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27DB434"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51-60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B772F2B"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114</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6595D44"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188</w:t>
                  </w:r>
                </w:p>
              </w:tc>
            </w:tr>
            <w:tr w:rsidR="00921721" w:rsidRPr="00731E4E" w14:paraId="0346E1D3"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0603746"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61-70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63540A8"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115</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3FE7121"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212</w:t>
                  </w:r>
                </w:p>
              </w:tc>
            </w:tr>
            <w:tr w:rsidR="00921721" w:rsidRPr="00731E4E" w14:paraId="550C5C8E"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151FF3E"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71-80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1B9D214"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124</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0BD30F7"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246</w:t>
                  </w:r>
                </w:p>
              </w:tc>
            </w:tr>
            <w:tr w:rsidR="00921721" w:rsidRPr="00731E4E" w14:paraId="5B7DA2B1"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64791D8"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81-90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2B2F8A4"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139</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6F97801"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291</w:t>
                  </w:r>
                </w:p>
              </w:tc>
            </w:tr>
            <w:tr w:rsidR="00921721" w:rsidRPr="00731E4E" w14:paraId="7DE254C0"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DD74287"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91-100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6203A44"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160</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D681B0B"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351</w:t>
                  </w:r>
                </w:p>
              </w:tc>
            </w:tr>
            <w:tr w:rsidR="00921721" w:rsidRPr="00731E4E" w14:paraId="437A8552"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EDA4F32"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101-110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81D1E56"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187</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02195BF"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477</w:t>
                  </w:r>
                </w:p>
              </w:tc>
            </w:tr>
            <w:tr w:rsidR="00921721" w:rsidRPr="00731E4E" w14:paraId="266ED61A"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E5978D3"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111-120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97D0EEB"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201</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DB2262A"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564</w:t>
                  </w:r>
                </w:p>
              </w:tc>
            </w:tr>
            <w:tr w:rsidR="00921721" w:rsidRPr="00731E4E" w14:paraId="6732414E"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51869CF"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121-130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49FCCD2"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220</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181449E"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650</w:t>
                  </w:r>
                </w:p>
              </w:tc>
            </w:tr>
            <w:tr w:rsidR="00921721" w:rsidRPr="00731E4E" w14:paraId="6D305B63" w14:textId="77777777" w:rsidTr="00880D09">
              <w:trPr>
                <w:trHeight w:val="260"/>
              </w:trPr>
              <w:tc>
                <w:tcPr>
                  <w:tcW w:w="157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E003A5C"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131-140</w:t>
                  </w:r>
                </w:p>
              </w:tc>
              <w:tc>
                <w:tcPr>
                  <w:tcW w:w="206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9CB99EA"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243</w:t>
                  </w:r>
                </w:p>
              </w:tc>
              <w:tc>
                <w:tcPr>
                  <w:tcW w:w="231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2DC6C37" w14:textId="77777777" w:rsidR="00921721" w:rsidRPr="006854F1"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737</w:t>
                  </w:r>
                </w:p>
              </w:tc>
            </w:tr>
          </w:tbl>
          <w:p w14:paraId="732EC3E5" w14:textId="77777777" w:rsidR="00921721" w:rsidRPr="00731E4E" w:rsidRDefault="00921721" w:rsidP="00880D09">
            <w:pPr>
              <w:ind w:right="170"/>
              <w:jc w:val="both"/>
              <w:rPr>
                <w:rFonts w:asciiTheme="minorHAnsi" w:hAnsiTheme="minorHAnsi" w:cs="Arial"/>
                <w:b/>
                <w:i/>
                <w:sz w:val="16"/>
                <w:szCs w:val="16"/>
              </w:rPr>
            </w:pPr>
            <w:r w:rsidRPr="00731E4E">
              <w:rPr>
                <w:rFonts w:asciiTheme="minorHAnsi" w:hAnsiTheme="minorHAnsi" w:cs="Arial"/>
                <w:b/>
                <w:i/>
                <w:sz w:val="16"/>
                <w:szCs w:val="16"/>
              </w:rPr>
              <w:t xml:space="preserve">Źródło: Opracowanie własne </w:t>
            </w:r>
            <w:r w:rsidRPr="008E4306">
              <w:rPr>
                <w:rFonts w:asciiTheme="minorHAnsi" w:hAnsiTheme="minorHAnsi" w:cs="Arial"/>
                <w:b/>
                <w:i/>
                <w:sz w:val="16"/>
                <w:szCs w:val="16"/>
              </w:rPr>
              <w:t>CUPT-JASPERS</w:t>
            </w:r>
            <w:r>
              <w:rPr>
                <w:rFonts w:asciiTheme="minorHAnsi" w:hAnsiTheme="minorHAnsi" w:cs="Arial"/>
                <w:b/>
                <w:i/>
                <w:sz w:val="16"/>
                <w:szCs w:val="16"/>
              </w:rPr>
              <w:t>,</w:t>
            </w:r>
            <w:r w:rsidRPr="008E4306">
              <w:rPr>
                <w:rFonts w:asciiTheme="minorHAnsi" w:hAnsiTheme="minorHAnsi" w:cs="Arial"/>
                <w:b/>
                <w:i/>
                <w:sz w:val="16"/>
                <w:szCs w:val="16"/>
              </w:rPr>
              <w:t xml:space="preserve"> </w:t>
            </w:r>
            <w:r>
              <w:rPr>
                <w:rFonts w:asciiTheme="minorHAnsi" w:hAnsiTheme="minorHAnsi" w:cs="Arial"/>
                <w:b/>
                <w:i/>
                <w:sz w:val="16"/>
                <w:szCs w:val="16"/>
              </w:rPr>
              <w:t>szczegóły w załączniku D.</w:t>
            </w:r>
          </w:p>
          <w:p w14:paraId="641E2DC9" w14:textId="77777777" w:rsidR="00921721" w:rsidRDefault="00921721" w:rsidP="00880D09">
            <w:pPr>
              <w:pStyle w:val="anxnormal"/>
              <w:spacing w:after="120"/>
              <w:ind w:left="0"/>
              <w:rPr>
                <w:rFonts w:asciiTheme="minorHAnsi" w:hAnsiTheme="minorHAnsi"/>
                <w:lang w:eastAsia="en-US"/>
              </w:rPr>
            </w:pPr>
            <w:r w:rsidRPr="00731E4E">
              <w:rPr>
                <w:rFonts w:asciiTheme="minorHAnsi" w:hAnsiTheme="minorHAnsi"/>
                <w:lang w:eastAsia="en-US"/>
              </w:rPr>
              <w:t>Wskaźniki wzrostu kosztów eksploatacji ze względu na nachylenie drogi</w:t>
            </w:r>
            <w:r w:rsidRPr="00D4006A">
              <w:rPr>
                <w:rFonts w:asciiTheme="minorHAnsi" w:hAnsiTheme="minorHAnsi"/>
                <w:lang w:eastAsia="en-US"/>
              </w:rPr>
              <w:t xml:space="preserve"> </w:t>
            </w:r>
            <w:r w:rsidRPr="00C22769">
              <w:rPr>
                <w:rFonts w:asciiTheme="minorHAnsi" w:hAnsiTheme="minorHAnsi"/>
                <w:lang w:eastAsia="en-US"/>
              </w:rPr>
              <w:t>dla pojazdów spalinowych</w:t>
            </w:r>
            <w:r w:rsidRPr="00D4006A">
              <w:rPr>
                <w:lang w:eastAsia="en-US"/>
              </w:rPr>
              <w:t>.</w:t>
            </w:r>
            <w:r w:rsidRPr="00D4006A">
              <w:rPr>
                <w:rFonts w:asciiTheme="minorHAnsi" w:hAnsiTheme="minorHAnsi"/>
                <w:lang w:eastAsia="en-US"/>
              </w:rPr>
              <w:t xml:space="preserve"> </w:t>
            </w:r>
            <w:r w:rsidRPr="00C22769">
              <w:rPr>
                <w:rFonts w:asciiTheme="minorHAnsi" w:hAnsiTheme="minorHAnsi"/>
                <w:lang w:eastAsia="en-US"/>
              </w:rPr>
              <w:t>Mnożniki te mają zastosowanie do łącznych VOC:</w:t>
            </w:r>
          </w:p>
          <w:p w14:paraId="74CF7320" w14:textId="77777777" w:rsidR="00921721" w:rsidRPr="00731E4E" w:rsidRDefault="00921721" w:rsidP="00880D09">
            <w:pPr>
              <w:pStyle w:val="anxnormal"/>
              <w:spacing w:after="120"/>
              <w:ind w:left="0"/>
              <w:rPr>
                <w:rFonts w:asciiTheme="minorHAnsi" w:hAnsiTheme="minorHAnsi"/>
                <w:lang w:eastAsia="en-US"/>
              </w:rPr>
            </w:pPr>
          </w:p>
          <w:tbl>
            <w:tblPr>
              <w:tblW w:w="3296" w:type="dxa"/>
              <w:tblLayout w:type="fixed"/>
              <w:tblLook w:val="04A0" w:firstRow="1" w:lastRow="0" w:firstColumn="1" w:lastColumn="0" w:noHBand="0" w:noVBand="1"/>
            </w:tblPr>
            <w:tblGrid>
              <w:gridCol w:w="1750"/>
              <w:gridCol w:w="645"/>
              <w:gridCol w:w="901"/>
            </w:tblGrid>
            <w:tr w:rsidR="00921721" w:rsidRPr="00731E4E" w14:paraId="0C8802ED" w14:textId="77777777" w:rsidTr="00880D09">
              <w:trPr>
                <w:trHeight w:hRule="exact" w:val="309"/>
              </w:trPr>
              <w:tc>
                <w:tcPr>
                  <w:tcW w:w="175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5807D2C"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 xml:space="preserve">Rodzaj </w:t>
                  </w:r>
                  <w:r>
                    <w:rPr>
                      <w:rFonts w:asciiTheme="minorHAnsi" w:hAnsiTheme="minorHAnsi" w:cs="Arial"/>
                      <w:b/>
                      <w:bCs/>
                      <w:color w:val="FFFFFF"/>
                      <w:sz w:val="18"/>
                      <w:szCs w:val="18"/>
                    </w:rPr>
                    <w:t>terenu</w:t>
                  </w:r>
                </w:p>
              </w:tc>
              <w:tc>
                <w:tcPr>
                  <w:tcW w:w="64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D4EE637" w14:textId="77777777" w:rsidR="00921721" w:rsidRPr="00731E4E" w:rsidRDefault="00921721" w:rsidP="00880D09">
                  <w:pPr>
                    <w:snapToGrid w:val="0"/>
                    <w:spacing w:before="20" w:after="20"/>
                    <w:jc w:val="center"/>
                    <w:rPr>
                      <w:rFonts w:asciiTheme="minorHAnsi" w:hAnsiTheme="minorHAnsi" w:cs="Arial"/>
                      <w:b/>
                      <w:bCs/>
                      <w:color w:val="FFFFFF"/>
                      <w:sz w:val="18"/>
                      <w:szCs w:val="18"/>
                      <w:highlight w:val="magenta"/>
                    </w:rPr>
                  </w:pPr>
                  <w:r w:rsidRPr="00731E4E">
                    <w:rPr>
                      <w:rFonts w:asciiTheme="minorHAnsi" w:hAnsiTheme="minorHAnsi" w:cs="Arial"/>
                      <w:b/>
                      <w:bCs/>
                      <w:color w:val="FFFFFF"/>
                      <w:sz w:val="18"/>
                      <w:szCs w:val="18"/>
                    </w:rPr>
                    <w:t>LV</w:t>
                  </w:r>
                </w:p>
              </w:tc>
              <w:tc>
                <w:tcPr>
                  <w:tcW w:w="90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6E28EAB" w14:textId="77777777" w:rsidR="00921721" w:rsidRPr="00731E4E" w:rsidRDefault="00921721" w:rsidP="00880D09">
                  <w:pPr>
                    <w:snapToGrid w:val="0"/>
                    <w:spacing w:before="20" w:after="20"/>
                    <w:jc w:val="center"/>
                    <w:rPr>
                      <w:rFonts w:asciiTheme="minorHAnsi" w:hAnsiTheme="minorHAnsi" w:cs="Arial"/>
                      <w:b/>
                      <w:bCs/>
                      <w:color w:val="FFFFFF"/>
                      <w:sz w:val="18"/>
                      <w:szCs w:val="18"/>
                      <w:highlight w:val="magenta"/>
                    </w:rPr>
                  </w:pPr>
                  <w:r w:rsidRPr="00731E4E">
                    <w:rPr>
                      <w:rFonts w:asciiTheme="minorHAnsi" w:hAnsiTheme="minorHAnsi" w:cs="Arial"/>
                      <w:b/>
                      <w:bCs/>
                      <w:color w:val="FFFFFF"/>
                      <w:sz w:val="18"/>
                      <w:szCs w:val="18"/>
                    </w:rPr>
                    <w:t>HGV</w:t>
                  </w:r>
                </w:p>
              </w:tc>
            </w:tr>
            <w:tr w:rsidR="00921721" w:rsidRPr="00731E4E" w14:paraId="2242EE55" w14:textId="77777777" w:rsidTr="00880D09">
              <w:trPr>
                <w:trHeight w:val="258"/>
              </w:trPr>
              <w:tc>
                <w:tcPr>
                  <w:tcW w:w="175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8E4F88A" w14:textId="77777777" w:rsidR="00921721" w:rsidRPr="006854F1" w:rsidRDefault="00921721" w:rsidP="00880D09">
                  <w:pPr>
                    <w:spacing w:before="20"/>
                    <w:jc w:val="center"/>
                    <w:rPr>
                      <w:rFonts w:asciiTheme="minorHAnsi" w:hAnsiTheme="minorHAnsi" w:cs="Calibri"/>
                      <w:color w:val="4F81BD" w:themeColor="accent1"/>
                      <w:sz w:val="18"/>
                      <w:szCs w:val="18"/>
                    </w:rPr>
                  </w:pPr>
                  <w:r>
                    <w:rPr>
                      <w:rFonts w:asciiTheme="minorHAnsi" w:hAnsiTheme="minorHAnsi" w:cs="Arial"/>
                      <w:color w:val="4F81BD" w:themeColor="accent1"/>
                      <w:sz w:val="18"/>
                      <w:szCs w:val="18"/>
                    </w:rPr>
                    <w:t>Płaski</w:t>
                  </w:r>
                </w:p>
              </w:tc>
              <w:tc>
                <w:tcPr>
                  <w:tcW w:w="64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31FBA0C" w14:textId="77777777" w:rsidR="00921721" w:rsidRPr="006854F1" w:rsidRDefault="00921721" w:rsidP="00880D09">
                  <w:pPr>
                    <w:spacing w:before="20"/>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331381F" w14:textId="77777777" w:rsidR="00921721" w:rsidRPr="006854F1" w:rsidRDefault="00921721" w:rsidP="00880D09">
                  <w:pPr>
                    <w:spacing w:before="20"/>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r>
            <w:tr w:rsidR="00921721" w:rsidRPr="00731E4E" w14:paraId="64790D2F" w14:textId="77777777" w:rsidTr="00880D09">
              <w:trPr>
                <w:trHeight w:val="258"/>
              </w:trPr>
              <w:tc>
                <w:tcPr>
                  <w:tcW w:w="175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CBDEA06" w14:textId="77777777" w:rsidR="00921721" w:rsidRPr="006854F1" w:rsidRDefault="00921721" w:rsidP="00880D09">
                  <w:pPr>
                    <w:spacing w:before="20"/>
                    <w:jc w:val="center"/>
                    <w:rPr>
                      <w:rFonts w:asciiTheme="minorHAnsi" w:hAnsiTheme="minorHAnsi" w:cs="Arial"/>
                      <w:color w:val="4F81BD" w:themeColor="accent1"/>
                      <w:sz w:val="18"/>
                      <w:szCs w:val="18"/>
                    </w:rPr>
                  </w:pPr>
                  <w:r w:rsidRPr="006854F1">
                    <w:rPr>
                      <w:rFonts w:asciiTheme="minorHAnsi" w:hAnsiTheme="minorHAnsi" w:cs="Arial"/>
                      <w:color w:val="4F81BD" w:themeColor="accent1"/>
                      <w:sz w:val="18"/>
                      <w:szCs w:val="18"/>
                    </w:rPr>
                    <w:t>Faliste</w:t>
                  </w:r>
                </w:p>
              </w:tc>
              <w:tc>
                <w:tcPr>
                  <w:tcW w:w="64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CC7DC65" w14:textId="77777777" w:rsidR="00921721" w:rsidRPr="006854F1" w:rsidRDefault="00921721" w:rsidP="00880D09">
                  <w:pPr>
                    <w:spacing w:before="20"/>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032</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A5EDE0B" w14:textId="77777777" w:rsidR="00921721" w:rsidRPr="006854F1" w:rsidRDefault="00921721" w:rsidP="00880D09">
                  <w:pPr>
                    <w:spacing w:before="20"/>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200</w:t>
                  </w:r>
                </w:p>
              </w:tc>
            </w:tr>
          </w:tbl>
          <w:p w14:paraId="12FB9EF7" w14:textId="77777777" w:rsidR="00921721" w:rsidRDefault="00921721" w:rsidP="00880D09">
            <w:pPr>
              <w:ind w:right="170"/>
              <w:jc w:val="both"/>
              <w:rPr>
                <w:rFonts w:asciiTheme="minorHAnsi" w:hAnsiTheme="minorHAnsi" w:cs="Arial"/>
                <w:b/>
                <w:i/>
                <w:sz w:val="16"/>
                <w:szCs w:val="16"/>
              </w:rPr>
            </w:pPr>
            <w:r w:rsidRPr="00731E4E">
              <w:rPr>
                <w:rFonts w:asciiTheme="minorHAnsi" w:hAnsiTheme="minorHAnsi" w:cs="Arial"/>
                <w:b/>
                <w:i/>
                <w:sz w:val="16"/>
                <w:szCs w:val="16"/>
              </w:rPr>
              <w:t xml:space="preserve">Źródło: Opracowanie własne </w:t>
            </w:r>
            <w:r w:rsidRPr="008E4306">
              <w:rPr>
                <w:rFonts w:asciiTheme="minorHAnsi" w:hAnsiTheme="minorHAnsi" w:cs="Arial"/>
                <w:b/>
                <w:i/>
                <w:sz w:val="16"/>
                <w:szCs w:val="16"/>
              </w:rPr>
              <w:t>CUPT-JASPERS</w:t>
            </w:r>
            <w:r>
              <w:rPr>
                <w:rFonts w:asciiTheme="minorHAnsi" w:hAnsiTheme="minorHAnsi" w:cs="Arial"/>
                <w:b/>
                <w:i/>
                <w:sz w:val="16"/>
                <w:szCs w:val="16"/>
              </w:rPr>
              <w:t>,</w:t>
            </w:r>
            <w:r w:rsidRPr="008E4306">
              <w:rPr>
                <w:rFonts w:asciiTheme="minorHAnsi" w:hAnsiTheme="minorHAnsi" w:cs="Arial"/>
                <w:b/>
                <w:i/>
                <w:sz w:val="16"/>
                <w:szCs w:val="16"/>
              </w:rPr>
              <w:t xml:space="preserve"> </w:t>
            </w:r>
            <w:r>
              <w:rPr>
                <w:rFonts w:asciiTheme="minorHAnsi" w:hAnsiTheme="minorHAnsi" w:cs="Arial"/>
                <w:b/>
                <w:i/>
                <w:sz w:val="16"/>
                <w:szCs w:val="16"/>
              </w:rPr>
              <w:t>szczegóły w załączniku D</w:t>
            </w:r>
          </w:p>
          <w:p w14:paraId="5A0E29DE" w14:textId="77777777" w:rsidR="00921721" w:rsidRDefault="00921721" w:rsidP="00880D09">
            <w:pPr>
              <w:pStyle w:val="anxnormal"/>
              <w:spacing w:after="120"/>
              <w:ind w:left="0"/>
              <w:rPr>
                <w:rFonts w:asciiTheme="minorHAnsi" w:hAnsiTheme="minorHAnsi"/>
                <w:lang w:eastAsia="en-US"/>
              </w:rPr>
            </w:pPr>
            <w:r>
              <w:rPr>
                <w:rFonts w:asciiTheme="minorHAnsi" w:hAnsiTheme="minorHAnsi"/>
                <w:lang w:eastAsia="en-US"/>
              </w:rPr>
              <w:t>Nie </w:t>
            </w:r>
            <w:r w:rsidRPr="00D04EFD">
              <w:rPr>
                <w:rFonts w:asciiTheme="minorHAnsi" w:hAnsiTheme="minorHAnsi"/>
                <w:lang w:eastAsia="en-US"/>
              </w:rPr>
              <w:t>są przedstawione współczynniki dl</w:t>
            </w:r>
            <w:r>
              <w:rPr>
                <w:rFonts w:asciiTheme="minorHAnsi" w:hAnsiTheme="minorHAnsi"/>
                <w:lang w:eastAsia="en-US"/>
              </w:rPr>
              <w:t>a dróg w terenie górskim, tj. o </w:t>
            </w:r>
            <w:r w:rsidRPr="00D04EFD">
              <w:rPr>
                <w:rFonts w:asciiTheme="minorHAnsi" w:hAnsiTheme="minorHAnsi"/>
                <w:lang w:eastAsia="en-US"/>
              </w:rPr>
              <w:t xml:space="preserve">nachyleniu podłużnym powyżej 6%, ponieważ </w:t>
            </w:r>
            <w:r>
              <w:rPr>
                <w:rFonts w:asciiTheme="minorHAnsi" w:hAnsiTheme="minorHAnsi"/>
                <w:lang w:eastAsia="en-US"/>
              </w:rPr>
              <w:t>nie </w:t>
            </w:r>
            <w:r w:rsidRPr="00D04EFD">
              <w:rPr>
                <w:rFonts w:asciiTheme="minorHAnsi" w:hAnsiTheme="minorHAnsi"/>
                <w:lang w:eastAsia="en-US"/>
              </w:rPr>
              <w:t>mają one istotnego znaczenia dl</w:t>
            </w:r>
            <w:r>
              <w:rPr>
                <w:rFonts w:asciiTheme="minorHAnsi" w:hAnsiTheme="minorHAnsi"/>
                <w:lang w:eastAsia="en-US"/>
              </w:rPr>
              <w:t>a oceny ekonomicznych kosztów i </w:t>
            </w:r>
            <w:r w:rsidRPr="00D04EFD">
              <w:rPr>
                <w:rFonts w:asciiTheme="minorHAnsi" w:hAnsiTheme="minorHAnsi"/>
                <w:lang w:eastAsia="en-US"/>
              </w:rPr>
              <w:t>korzyści projektów</w:t>
            </w:r>
            <w:r>
              <w:rPr>
                <w:rFonts w:asciiTheme="minorHAnsi" w:hAnsiTheme="minorHAnsi"/>
                <w:lang w:eastAsia="en-US"/>
              </w:rPr>
              <w:t xml:space="preserve"> transportowych realizowanych w Polsce. Na przykład, autostrady i drogi ekspresowe (kategorie A i S) z zasady nie są projektowane w </w:t>
            </w:r>
            <w:r w:rsidRPr="00D04EFD">
              <w:rPr>
                <w:rFonts w:asciiTheme="minorHAnsi" w:hAnsiTheme="minorHAnsi"/>
                <w:lang w:eastAsia="en-US"/>
              </w:rPr>
              <w:t>kon</w:t>
            </w:r>
            <w:r>
              <w:rPr>
                <w:rFonts w:asciiTheme="minorHAnsi" w:hAnsiTheme="minorHAnsi"/>
                <w:lang w:eastAsia="en-US"/>
              </w:rPr>
              <w:t>figuracji „teren górski”, tj. z </w:t>
            </w:r>
            <w:r w:rsidRPr="00D04EFD">
              <w:rPr>
                <w:rFonts w:asciiTheme="minorHAnsi" w:hAnsiTheme="minorHAnsi"/>
                <w:lang w:eastAsia="en-US"/>
              </w:rPr>
              <w:t>nachyleniem podłużnym powyżej 6%.</w:t>
            </w:r>
          </w:p>
          <w:p w14:paraId="6C691611" w14:textId="77777777" w:rsidR="00921721" w:rsidRDefault="00921721" w:rsidP="00880D09">
            <w:pPr>
              <w:pStyle w:val="anxnormal"/>
              <w:spacing w:after="120"/>
              <w:ind w:left="0"/>
              <w:rPr>
                <w:rFonts w:asciiTheme="minorHAnsi" w:hAnsiTheme="minorHAnsi"/>
                <w:lang w:eastAsia="en-US"/>
              </w:rPr>
            </w:pPr>
          </w:p>
          <w:p w14:paraId="16808403" w14:textId="77777777" w:rsidR="00921721" w:rsidRPr="00D04EFD" w:rsidRDefault="00921721" w:rsidP="00880D09">
            <w:pPr>
              <w:pStyle w:val="anxnormal"/>
              <w:spacing w:after="120"/>
              <w:ind w:left="0"/>
              <w:rPr>
                <w:rFonts w:asciiTheme="minorHAnsi" w:hAnsiTheme="minorHAnsi"/>
                <w:lang w:eastAsia="en-US"/>
              </w:rPr>
            </w:pPr>
          </w:p>
          <w:p w14:paraId="5B55280D" w14:textId="77777777" w:rsidR="00921721" w:rsidRPr="00921721" w:rsidRDefault="00921721" w:rsidP="00880D09">
            <w:pPr>
              <w:pStyle w:val="anxnormal"/>
              <w:spacing w:before="240" w:after="120"/>
              <w:ind w:left="0"/>
              <w:rPr>
                <w:rFonts w:asciiTheme="minorHAnsi" w:hAnsiTheme="minorHAnsi"/>
                <w:u w:val="single"/>
                <w:lang w:eastAsia="en-US"/>
              </w:rPr>
            </w:pPr>
            <w:bookmarkStart w:id="125" w:name="_Hlk69476227"/>
            <w:r w:rsidRPr="00921721">
              <w:rPr>
                <w:rFonts w:asciiTheme="minorHAnsi" w:hAnsiTheme="minorHAnsi"/>
                <w:u w:val="single"/>
                <w:lang w:eastAsia="en-US"/>
              </w:rPr>
              <w:t>Pojazdy elektryczne kategorii LV – koszty eksploatacji pojazdu</w:t>
            </w:r>
          </w:p>
          <w:p w14:paraId="6CEE6711" w14:textId="77777777" w:rsidR="00921721" w:rsidRPr="001569CA" w:rsidRDefault="00921721" w:rsidP="00880D09">
            <w:pPr>
              <w:pStyle w:val="anxnormal"/>
              <w:ind w:left="0"/>
              <w:rPr>
                <w:rFonts w:asciiTheme="minorHAnsi" w:hAnsiTheme="minorHAnsi"/>
                <w:lang w:eastAsia="en-US"/>
              </w:rPr>
            </w:pPr>
            <w:r>
              <w:rPr>
                <w:rFonts w:asciiTheme="minorHAnsi" w:hAnsiTheme="minorHAnsi"/>
                <w:lang w:eastAsia="en-US"/>
              </w:rPr>
              <w:t xml:space="preserve">Ponieważ </w:t>
            </w:r>
            <w:r w:rsidRPr="001569CA">
              <w:rPr>
                <w:rFonts w:asciiTheme="minorHAnsi" w:hAnsiTheme="minorHAnsi"/>
                <w:lang w:eastAsia="en-US"/>
              </w:rPr>
              <w:t xml:space="preserve">spodziewany </w:t>
            </w:r>
            <w:r>
              <w:rPr>
                <w:rFonts w:asciiTheme="minorHAnsi" w:hAnsiTheme="minorHAnsi"/>
                <w:lang w:eastAsia="en-US"/>
              </w:rPr>
              <w:t xml:space="preserve">jest </w:t>
            </w:r>
            <w:r w:rsidRPr="001569CA">
              <w:rPr>
                <w:rFonts w:asciiTheme="minorHAnsi" w:hAnsiTheme="minorHAnsi"/>
                <w:lang w:eastAsia="en-US"/>
              </w:rPr>
              <w:t>stały wzrost li</w:t>
            </w:r>
            <w:r>
              <w:rPr>
                <w:rFonts w:asciiTheme="minorHAnsi" w:hAnsiTheme="minorHAnsi"/>
                <w:lang w:eastAsia="en-US"/>
              </w:rPr>
              <w:t>czby samochodów elektrycznych w </w:t>
            </w:r>
            <w:r w:rsidRPr="001569CA">
              <w:rPr>
                <w:rFonts w:asciiTheme="minorHAnsi" w:hAnsiTheme="minorHAnsi"/>
                <w:lang w:eastAsia="en-US"/>
              </w:rPr>
              <w:t>polskiej flocie pojazdów drogowych, mus</w:t>
            </w:r>
            <w:r>
              <w:rPr>
                <w:rFonts w:asciiTheme="minorHAnsi" w:hAnsiTheme="minorHAnsi"/>
                <w:lang w:eastAsia="en-US"/>
              </w:rPr>
              <w:t>i to znaleźć odzwierciedlenie w </w:t>
            </w:r>
            <w:r w:rsidRPr="001569CA">
              <w:rPr>
                <w:rFonts w:asciiTheme="minorHAnsi" w:hAnsiTheme="minorHAnsi"/>
                <w:lang w:eastAsia="en-US"/>
              </w:rPr>
              <w:t>kosztach eksploatacji. Na koszty eksploatacji pojazdów elektrycznych składają się analogicznie:</w:t>
            </w:r>
          </w:p>
          <w:p w14:paraId="10F4EA0B" w14:textId="6CE00B46" w:rsidR="00921721" w:rsidRPr="001569CA" w:rsidRDefault="00921721" w:rsidP="00D5736B">
            <w:pPr>
              <w:pStyle w:val="anxnormal"/>
              <w:numPr>
                <w:ilvl w:val="0"/>
                <w:numId w:val="92"/>
              </w:numPr>
              <w:rPr>
                <w:rFonts w:asciiTheme="minorHAnsi" w:hAnsiTheme="minorHAnsi"/>
                <w:lang w:eastAsia="en-US"/>
              </w:rPr>
            </w:pPr>
            <w:r w:rsidRPr="001569CA">
              <w:rPr>
                <w:rFonts w:asciiTheme="minorHAnsi" w:hAnsiTheme="minorHAnsi"/>
                <w:lang w:eastAsia="en-US"/>
              </w:rPr>
              <w:t xml:space="preserve">Koszty zużycia energii elektrycznej: szacuje się, że średni wskaźnik zużycia dla przeciętnego pojazdu wynosi </w:t>
            </w:r>
            <w:r w:rsidRPr="001569CA">
              <w:rPr>
                <w:rFonts w:asciiTheme="minorHAnsi" w:hAnsiTheme="minorHAnsi"/>
              </w:rPr>
              <w:t>0</w:t>
            </w:r>
            <w:r>
              <w:rPr>
                <w:rFonts w:asciiTheme="minorHAnsi" w:hAnsiTheme="minorHAnsi"/>
              </w:rPr>
              <w:t>,</w:t>
            </w:r>
            <w:r w:rsidRPr="001569CA">
              <w:rPr>
                <w:rFonts w:asciiTheme="minorHAnsi" w:hAnsiTheme="minorHAnsi"/>
              </w:rPr>
              <w:t xml:space="preserve">233 kWh/poj-km </w:t>
            </w:r>
            <w:r w:rsidRPr="001569CA">
              <w:rPr>
                <w:rFonts w:asciiTheme="minorHAnsi" w:hAnsiTheme="minorHAnsi"/>
                <w:lang w:eastAsia="en-US"/>
              </w:rPr>
              <w:t>należy przemnożyć przez koszt energii elektrycznej przyjęty na poziomie 0,2044 PLN/kWh</w:t>
            </w:r>
            <w:r w:rsidR="00CE7FE6">
              <w:rPr>
                <w:rFonts w:asciiTheme="minorHAnsi" w:hAnsiTheme="minorHAnsi"/>
                <w:vertAlign w:val="superscript"/>
                <w:lang w:eastAsia="en-US"/>
              </w:rPr>
              <w:t>1</w:t>
            </w:r>
            <w:r w:rsidR="00F468E2">
              <w:rPr>
                <w:rFonts w:asciiTheme="minorHAnsi" w:hAnsiTheme="minorHAnsi"/>
                <w:vertAlign w:val="superscript"/>
                <w:lang w:eastAsia="en-US"/>
              </w:rPr>
              <w:t>8</w:t>
            </w:r>
            <w:r w:rsidRPr="001569CA">
              <w:rPr>
                <w:rFonts w:asciiTheme="minorHAnsi" w:hAnsiTheme="minorHAnsi"/>
                <w:lang w:eastAsia="en-US"/>
              </w:rPr>
              <w:t>; oraz</w:t>
            </w:r>
          </w:p>
          <w:p w14:paraId="1EC36D02" w14:textId="77777777" w:rsidR="00921721" w:rsidRPr="001569CA" w:rsidRDefault="00921721" w:rsidP="00D5736B">
            <w:pPr>
              <w:pStyle w:val="anxnormal"/>
              <w:numPr>
                <w:ilvl w:val="0"/>
                <w:numId w:val="92"/>
              </w:numPr>
              <w:spacing w:after="60"/>
              <w:ind w:left="714" w:hanging="357"/>
              <w:rPr>
                <w:rFonts w:asciiTheme="minorHAnsi" w:hAnsiTheme="minorHAnsi"/>
                <w:lang w:eastAsia="en-US"/>
              </w:rPr>
            </w:pPr>
            <w:r w:rsidRPr="001569CA">
              <w:rPr>
                <w:rFonts w:asciiTheme="minorHAnsi" w:hAnsiTheme="minorHAnsi"/>
                <w:lang w:eastAsia="en-US"/>
              </w:rPr>
              <w:t>Pozostałe koszty: takie same koszty stałe, jak dla pozostałych pojazdów kategorii LV (0,</w:t>
            </w:r>
            <w:r>
              <w:rPr>
                <w:rFonts w:asciiTheme="minorHAnsi" w:hAnsiTheme="minorHAnsi"/>
                <w:lang w:eastAsia="en-US"/>
              </w:rPr>
              <w:t>8110</w:t>
            </w:r>
            <w:r w:rsidRPr="001569CA">
              <w:rPr>
                <w:rFonts w:asciiTheme="minorHAnsi" w:hAnsiTheme="minorHAnsi"/>
                <w:lang w:eastAsia="en-US"/>
              </w:rPr>
              <w:t xml:space="preserve"> PLN/poj-km).</w:t>
            </w:r>
          </w:p>
          <w:p w14:paraId="4A39A45E" w14:textId="77777777" w:rsidR="00921721" w:rsidRPr="00D4006A" w:rsidRDefault="00921721" w:rsidP="00880D09">
            <w:pPr>
              <w:pStyle w:val="anxnormal"/>
              <w:spacing w:after="120"/>
              <w:ind w:left="0"/>
              <w:rPr>
                <w:rFonts w:asciiTheme="minorHAnsi" w:hAnsiTheme="minorHAnsi"/>
                <w:lang w:eastAsia="en-US"/>
              </w:rPr>
            </w:pPr>
            <w:r w:rsidRPr="00D4006A">
              <w:rPr>
                <w:rFonts w:asciiTheme="minorHAnsi" w:hAnsiTheme="minorHAnsi"/>
                <w:lang w:eastAsia="en-US"/>
              </w:rPr>
              <w:t>Całkowite koszty VOC dla przeciętnego pojazdu elektrycznego kategorii LV wynoszące 0,888 PLN/</w:t>
            </w:r>
            <w:r>
              <w:rPr>
                <w:rFonts w:asciiTheme="minorHAnsi" w:hAnsiTheme="minorHAnsi"/>
                <w:lang w:eastAsia="en-US"/>
              </w:rPr>
              <w:t>poj-km dla płaskiego terenu i </w:t>
            </w:r>
            <w:r w:rsidRPr="00D4006A">
              <w:rPr>
                <w:rFonts w:asciiTheme="minorHAnsi" w:hAnsiTheme="minorHAnsi"/>
                <w:lang w:eastAsia="en-US"/>
              </w:rPr>
              <w:t>dobrej jakości nawierzchni (tzn. po budowie/</w:t>
            </w:r>
            <w:r>
              <w:rPr>
                <w:rFonts w:asciiTheme="minorHAnsi" w:hAnsiTheme="minorHAnsi"/>
                <w:lang w:eastAsia="en-US"/>
              </w:rPr>
              <w:t xml:space="preserve"> </w:t>
            </w:r>
            <w:r w:rsidRPr="00D4006A">
              <w:rPr>
                <w:rFonts w:asciiTheme="minorHAnsi" w:hAnsiTheme="minorHAnsi"/>
                <w:lang w:eastAsia="en-US"/>
              </w:rPr>
              <w:t>remoncie) w</w:t>
            </w:r>
            <w:r>
              <w:rPr>
                <w:rFonts w:asciiTheme="minorHAnsi" w:hAnsiTheme="minorHAnsi"/>
                <w:lang w:eastAsia="en-US"/>
              </w:rPr>
              <w:t> cenach z </w:t>
            </w:r>
            <w:r w:rsidRPr="00D4006A">
              <w:rPr>
                <w:rFonts w:asciiTheme="minorHAnsi" w:hAnsiTheme="minorHAnsi"/>
                <w:lang w:eastAsia="en-US"/>
              </w:rPr>
              <w:t>2021. Mnożniki związane z</w:t>
            </w:r>
            <w:r>
              <w:rPr>
                <w:rFonts w:asciiTheme="minorHAnsi" w:hAnsiTheme="minorHAnsi"/>
                <w:lang w:eastAsia="en-US"/>
              </w:rPr>
              <w:t> warunkami drogowymi i </w:t>
            </w:r>
            <w:r w:rsidRPr="00D4006A">
              <w:rPr>
                <w:rFonts w:asciiTheme="minorHAnsi" w:hAnsiTheme="minorHAnsi"/>
                <w:lang w:eastAsia="en-US"/>
              </w:rPr>
              <w:t>typem terenu dla benzyny / oleju napędowego mają również zastosowanie do pojazdów elektrycznych:</w:t>
            </w:r>
          </w:p>
          <w:p w14:paraId="20637E4C" w14:textId="77777777" w:rsidR="00921721" w:rsidRPr="00DF0989" w:rsidRDefault="00921721" w:rsidP="00880D09">
            <w:pPr>
              <w:pStyle w:val="anxnormal"/>
              <w:spacing w:after="120"/>
              <w:ind w:left="0"/>
              <w:rPr>
                <w:rFonts w:asciiTheme="minorHAnsi" w:hAnsiTheme="minorHAnsi"/>
                <w:lang w:eastAsia="en-US"/>
              </w:rPr>
            </w:pPr>
            <w:r w:rsidRPr="005A25C2">
              <w:rPr>
                <w:rFonts w:asciiTheme="minorHAnsi" w:hAnsiTheme="minorHAnsi"/>
                <w:lang w:eastAsia="en-US"/>
              </w:rPr>
              <w:t xml:space="preserve">Wskaźniki wzrostu kosztów </w:t>
            </w:r>
            <w:r>
              <w:rPr>
                <w:rFonts w:asciiTheme="minorHAnsi" w:hAnsiTheme="minorHAnsi"/>
                <w:lang w:eastAsia="en-US"/>
              </w:rPr>
              <w:t>ze </w:t>
            </w:r>
            <w:r w:rsidRPr="00983DF9">
              <w:rPr>
                <w:rFonts w:asciiTheme="minorHAnsi" w:hAnsiTheme="minorHAnsi"/>
                <w:lang w:eastAsia="en-US"/>
              </w:rPr>
              <w:t>względu na nachylenie drogi</w:t>
            </w:r>
            <w:r w:rsidRPr="00DF0989">
              <w:rPr>
                <w:rFonts w:asciiTheme="minorHAnsi" w:hAnsiTheme="minorHAnsi"/>
                <w:lang w:eastAsia="en-US"/>
              </w:rPr>
              <w:t xml:space="preserve"> </w:t>
            </w:r>
            <w:r w:rsidRPr="008A42F6">
              <w:rPr>
                <w:rFonts w:asciiTheme="minorHAnsi" w:hAnsiTheme="minorHAnsi"/>
                <w:lang w:eastAsia="en-US"/>
              </w:rPr>
              <w:t>dla pojazdów elektrycznych. Mnożniki te mają zastosowanie do łącznych VOC:</w:t>
            </w:r>
          </w:p>
          <w:tbl>
            <w:tblPr>
              <w:tblW w:w="3395" w:type="dxa"/>
              <w:tblLayout w:type="fixed"/>
              <w:tblLook w:val="04A0" w:firstRow="1" w:lastRow="0" w:firstColumn="1" w:lastColumn="0" w:noHBand="0" w:noVBand="1"/>
            </w:tblPr>
            <w:tblGrid>
              <w:gridCol w:w="1694"/>
              <w:gridCol w:w="850"/>
              <w:gridCol w:w="851"/>
            </w:tblGrid>
            <w:tr w:rsidR="00921721" w:rsidRPr="008E4306" w14:paraId="5A0DEB34"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3F0DC6A" w14:textId="77777777" w:rsidR="00921721" w:rsidRPr="00983DF9"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 xml:space="preserve">Rodzaj </w:t>
                  </w:r>
                  <w:r>
                    <w:rPr>
                      <w:rFonts w:asciiTheme="minorHAnsi" w:hAnsiTheme="minorHAnsi" w:cs="Arial"/>
                      <w:b/>
                      <w:bCs/>
                      <w:color w:val="FFFFFF"/>
                      <w:sz w:val="18"/>
                      <w:szCs w:val="18"/>
                    </w:rPr>
                    <w:t>terenu</w:t>
                  </w: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A4487D3" w14:textId="77777777" w:rsidR="00921721" w:rsidRPr="00983DF9" w:rsidRDefault="00921721" w:rsidP="00880D09">
                  <w:pPr>
                    <w:snapToGrid w:val="0"/>
                    <w:spacing w:before="20" w:after="20"/>
                    <w:jc w:val="center"/>
                    <w:rPr>
                      <w:rFonts w:asciiTheme="minorHAnsi" w:hAnsiTheme="minorHAnsi" w:cs="Arial"/>
                      <w:b/>
                      <w:bCs/>
                      <w:color w:val="FFFFFF"/>
                      <w:sz w:val="18"/>
                      <w:szCs w:val="18"/>
                    </w:rPr>
                  </w:pPr>
                  <w:r w:rsidRPr="00983DF9">
                    <w:rPr>
                      <w:rFonts w:asciiTheme="minorHAnsi" w:hAnsiTheme="minorHAnsi" w:cs="Arial"/>
                      <w:b/>
                      <w:bCs/>
                      <w:color w:val="FFFFFF"/>
                      <w:sz w:val="18"/>
                      <w:szCs w:val="18"/>
                    </w:rPr>
                    <w:t>LV</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21BA821" w14:textId="77777777" w:rsidR="00921721" w:rsidRPr="00983DF9" w:rsidRDefault="00921721" w:rsidP="00880D09">
                  <w:pPr>
                    <w:snapToGrid w:val="0"/>
                    <w:spacing w:before="20" w:after="20"/>
                    <w:jc w:val="center"/>
                    <w:rPr>
                      <w:rFonts w:asciiTheme="minorHAnsi" w:hAnsiTheme="minorHAnsi" w:cs="Arial"/>
                      <w:b/>
                      <w:bCs/>
                      <w:color w:val="FFFFFF"/>
                      <w:sz w:val="18"/>
                      <w:szCs w:val="18"/>
                    </w:rPr>
                  </w:pPr>
                  <w:r w:rsidRPr="00983DF9">
                    <w:rPr>
                      <w:rFonts w:asciiTheme="minorHAnsi" w:hAnsiTheme="minorHAnsi" w:cs="Arial"/>
                      <w:b/>
                      <w:bCs/>
                      <w:color w:val="FFFFFF"/>
                      <w:sz w:val="18"/>
                      <w:szCs w:val="18"/>
                    </w:rPr>
                    <w:t>HGV</w:t>
                  </w:r>
                </w:p>
              </w:tc>
            </w:tr>
            <w:tr w:rsidR="00921721" w:rsidRPr="008E4306" w14:paraId="0E5F05E8"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3051556" w14:textId="77777777" w:rsidR="00921721" w:rsidRPr="00983DF9" w:rsidRDefault="00921721" w:rsidP="00880D09">
                  <w:pPr>
                    <w:spacing w:before="20"/>
                    <w:jc w:val="center"/>
                    <w:rPr>
                      <w:rFonts w:asciiTheme="minorHAnsi" w:hAnsiTheme="minorHAnsi" w:cs="Calibri"/>
                      <w:color w:val="4F81BD" w:themeColor="accent1"/>
                      <w:sz w:val="18"/>
                      <w:szCs w:val="18"/>
                    </w:rPr>
                  </w:pPr>
                  <w:r>
                    <w:rPr>
                      <w:rFonts w:asciiTheme="minorHAnsi" w:hAnsiTheme="minorHAnsi" w:cs="Arial"/>
                      <w:color w:val="4F81BD" w:themeColor="accent1"/>
                      <w:sz w:val="18"/>
                      <w:szCs w:val="18"/>
                    </w:rPr>
                    <w:t>Płaski</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5107037"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2ADBE00"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r>
            <w:tr w:rsidR="00921721" w:rsidRPr="008E4306" w14:paraId="40B5FD9F"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E724B27" w14:textId="77777777" w:rsidR="00921721" w:rsidRPr="00983DF9"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Falisty</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1BA0803"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032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8D223D8"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200</w:t>
                  </w:r>
                </w:p>
              </w:tc>
            </w:tr>
          </w:tbl>
          <w:p w14:paraId="20CF82AC" w14:textId="77777777" w:rsidR="00921721" w:rsidRPr="00CA444D" w:rsidRDefault="00921721" w:rsidP="00880D09">
            <w:pPr>
              <w:spacing w:after="120"/>
              <w:ind w:right="170"/>
              <w:jc w:val="both"/>
              <w:rPr>
                <w:rFonts w:asciiTheme="minorHAnsi" w:hAnsiTheme="minorHAnsi" w:cs="Arial"/>
                <w:b/>
                <w:i/>
                <w:sz w:val="16"/>
                <w:szCs w:val="16"/>
              </w:rPr>
            </w:pPr>
            <w:r w:rsidRPr="00731E4E">
              <w:rPr>
                <w:rFonts w:asciiTheme="minorHAnsi" w:hAnsiTheme="minorHAnsi" w:cs="Arial"/>
                <w:b/>
                <w:i/>
                <w:sz w:val="16"/>
                <w:szCs w:val="16"/>
              </w:rPr>
              <w:t xml:space="preserve">Źródło: Opracowanie własne </w:t>
            </w:r>
            <w:r w:rsidRPr="00983DF9">
              <w:rPr>
                <w:rFonts w:asciiTheme="minorHAnsi" w:hAnsiTheme="minorHAnsi" w:cs="Arial"/>
                <w:b/>
                <w:i/>
                <w:sz w:val="16"/>
                <w:szCs w:val="16"/>
              </w:rPr>
              <w:t>CUPT-JASPERS.</w:t>
            </w:r>
          </w:p>
          <w:p w14:paraId="53D4C604" w14:textId="77777777" w:rsidR="00921721" w:rsidRDefault="00921721" w:rsidP="00880D09">
            <w:pPr>
              <w:jc w:val="both"/>
              <w:rPr>
                <w:rFonts w:asciiTheme="minorHAnsi" w:hAnsiTheme="minorHAnsi" w:cstheme="minorHAnsi"/>
                <w:sz w:val="20"/>
                <w:szCs w:val="20"/>
              </w:rPr>
            </w:pPr>
          </w:p>
          <w:p w14:paraId="24BD76E0" w14:textId="77777777" w:rsidR="00921721" w:rsidRDefault="00921721" w:rsidP="00880D09">
            <w:pPr>
              <w:jc w:val="both"/>
              <w:rPr>
                <w:rFonts w:asciiTheme="minorHAnsi" w:hAnsiTheme="minorHAnsi" w:cstheme="minorHAnsi"/>
                <w:sz w:val="20"/>
                <w:szCs w:val="20"/>
              </w:rPr>
            </w:pPr>
          </w:p>
          <w:p w14:paraId="138626AD" w14:textId="77777777" w:rsidR="00921721" w:rsidRDefault="00921721" w:rsidP="00880D09">
            <w:pPr>
              <w:jc w:val="both"/>
              <w:rPr>
                <w:rFonts w:asciiTheme="minorHAnsi" w:hAnsiTheme="minorHAnsi" w:cstheme="minorHAnsi"/>
                <w:sz w:val="20"/>
                <w:szCs w:val="20"/>
              </w:rPr>
            </w:pPr>
          </w:p>
          <w:p w14:paraId="1C867046" w14:textId="77777777" w:rsidR="00921721" w:rsidRPr="008E4306" w:rsidRDefault="00921721" w:rsidP="00880D09">
            <w:pPr>
              <w:spacing w:after="120"/>
              <w:jc w:val="both"/>
              <w:rPr>
                <w:rFonts w:asciiTheme="minorHAnsi" w:hAnsiTheme="minorHAnsi" w:cstheme="minorHAnsi"/>
                <w:sz w:val="20"/>
                <w:szCs w:val="20"/>
              </w:rPr>
            </w:pPr>
            <w:r w:rsidRPr="00E9465B">
              <w:rPr>
                <w:rFonts w:asciiTheme="minorHAnsi" w:hAnsiTheme="minorHAnsi" w:cstheme="minorHAnsi"/>
                <w:sz w:val="20"/>
                <w:szCs w:val="20"/>
              </w:rPr>
              <w:t>Wskaźniki wzrostu kosztów w zależności od stanu nawierzchni</w:t>
            </w:r>
            <w:r w:rsidRPr="00E9465B">
              <w:t xml:space="preserve"> </w:t>
            </w:r>
            <w:r w:rsidRPr="00E9465B">
              <w:rPr>
                <w:rFonts w:asciiTheme="minorHAnsi" w:hAnsiTheme="minorHAnsi" w:cstheme="minorHAnsi"/>
                <w:sz w:val="20"/>
                <w:szCs w:val="20"/>
              </w:rPr>
              <w:t>dla pojazdów elektrycznych i hybrydowych. Mnożniki te stosowane są do łącznych VOC:</w:t>
            </w:r>
          </w:p>
          <w:tbl>
            <w:tblPr>
              <w:tblW w:w="5040" w:type="dxa"/>
              <w:tblLayout w:type="fixed"/>
              <w:tblLook w:val="04A0" w:firstRow="1" w:lastRow="0" w:firstColumn="1" w:lastColumn="0" w:noHBand="0" w:noVBand="1"/>
            </w:tblPr>
            <w:tblGrid>
              <w:gridCol w:w="2515"/>
              <w:gridCol w:w="1262"/>
              <w:gridCol w:w="1263"/>
            </w:tblGrid>
            <w:tr w:rsidR="00921721" w:rsidRPr="00CF54F6" w14:paraId="68B084EC" w14:textId="77777777" w:rsidTr="00880D09">
              <w:trPr>
                <w:trHeight w:hRule="exact" w:val="252"/>
              </w:trPr>
              <w:tc>
                <w:tcPr>
                  <w:tcW w:w="251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C8DF476" w14:textId="77777777" w:rsidR="00921721" w:rsidRPr="00983DF9" w:rsidRDefault="00921721" w:rsidP="00880D09">
                  <w:pPr>
                    <w:snapToGrid w:val="0"/>
                    <w:spacing w:before="20" w:after="20"/>
                    <w:jc w:val="center"/>
                    <w:rPr>
                      <w:rFonts w:asciiTheme="minorHAnsi" w:hAnsiTheme="minorHAnsi" w:cs="Arial"/>
                      <w:b/>
                      <w:bCs/>
                      <w:color w:val="FFFFFF"/>
                      <w:sz w:val="18"/>
                      <w:szCs w:val="18"/>
                    </w:rPr>
                  </w:pPr>
                  <w:r>
                    <w:rPr>
                      <w:rFonts w:asciiTheme="minorHAnsi" w:hAnsiTheme="minorHAnsi" w:cs="Arial"/>
                      <w:b/>
                      <w:bCs/>
                      <w:color w:val="FFFFFF"/>
                      <w:sz w:val="18"/>
                      <w:szCs w:val="18"/>
                    </w:rPr>
                    <w:t>Stan nawierzchni</w:t>
                  </w:r>
                </w:p>
              </w:tc>
              <w:tc>
                <w:tcPr>
                  <w:tcW w:w="126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CE83434" w14:textId="77777777" w:rsidR="00921721" w:rsidRPr="00983DF9" w:rsidRDefault="00921721" w:rsidP="00880D09">
                  <w:pPr>
                    <w:snapToGrid w:val="0"/>
                    <w:spacing w:before="20" w:after="20"/>
                    <w:jc w:val="center"/>
                    <w:rPr>
                      <w:rFonts w:asciiTheme="minorHAnsi" w:hAnsiTheme="minorHAnsi" w:cs="Arial"/>
                      <w:b/>
                      <w:bCs/>
                      <w:color w:val="FFFFFF"/>
                      <w:sz w:val="18"/>
                      <w:szCs w:val="18"/>
                    </w:rPr>
                  </w:pPr>
                  <w:r w:rsidRPr="00983DF9">
                    <w:rPr>
                      <w:rFonts w:asciiTheme="minorHAnsi" w:hAnsiTheme="minorHAnsi" w:cs="Arial"/>
                      <w:b/>
                      <w:bCs/>
                      <w:color w:val="FFFFFF"/>
                      <w:sz w:val="18"/>
                      <w:szCs w:val="18"/>
                    </w:rPr>
                    <w:t>LV</w:t>
                  </w:r>
                </w:p>
              </w:tc>
              <w:tc>
                <w:tcPr>
                  <w:tcW w:w="126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3276092" w14:textId="77777777" w:rsidR="00921721" w:rsidRPr="00983DF9" w:rsidRDefault="00921721" w:rsidP="00880D09">
                  <w:pPr>
                    <w:snapToGrid w:val="0"/>
                    <w:spacing w:before="20" w:after="20"/>
                    <w:jc w:val="center"/>
                    <w:rPr>
                      <w:rFonts w:asciiTheme="minorHAnsi" w:hAnsiTheme="minorHAnsi" w:cs="Arial"/>
                      <w:b/>
                      <w:bCs/>
                      <w:color w:val="FFFFFF"/>
                      <w:sz w:val="18"/>
                      <w:szCs w:val="18"/>
                    </w:rPr>
                  </w:pPr>
                  <w:r w:rsidRPr="00983DF9">
                    <w:rPr>
                      <w:rFonts w:asciiTheme="minorHAnsi" w:hAnsiTheme="minorHAnsi" w:cs="Arial"/>
                      <w:b/>
                      <w:bCs/>
                      <w:color w:val="FFFFFF"/>
                      <w:sz w:val="18"/>
                      <w:szCs w:val="18"/>
                    </w:rPr>
                    <w:t>HGV</w:t>
                  </w:r>
                </w:p>
              </w:tc>
            </w:tr>
            <w:tr w:rsidR="00921721" w:rsidRPr="00CF54F6" w14:paraId="755CC845" w14:textId="77777777" w:rsidTr="00880D09">
              <w:trPr>
                <w:trHeight w:val="210"/>
              </w:trPr>
              <w:tc>
                <w:tcPr>
                  <w:tcW w:w="251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6E8414D" w14:textId="77777777" w:rsidR="00921721" w:rsidRPr="00202E2F"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Dobry (nawierzchnia po remoncie/</w:t>
                  </w:r>
                  <w:r>
                    <w:rPr>
                      <w:rFonts w:asciiTheme="minorHAnsi" w:hAnsiTheme="minorHAnsi" w:cs="Arial"/>
                      <w:color w:val="4F81BD" w:themeColor="accent1"/>
                      <w:sz w:val="18"/>
                      <w:szCs w:val="18"/>
                    </w:rPr>
                    <w:t xml:space="preserve"> </w:t>
                  </w:r>
                  <w:r w:rsidRPr="002C6855">
                    <w:rPr>
                      <w:rFonts w:asciiTheme="minorHAnsi" w:hAnsiTheme="minorHAnsi" w:cs="Arial"/>
                      <w:color w:val="4F81BD" w:themeColor="accent1"/>
                      <w:sz w:val="18"/>
                      <w:szCs w:val="18"/>
                    </w:rPr>
                    <w:t>budowie)</w:t>
                  </w:r>
                </w:p>
              </w:tc>
              <w:tc>
                <w:tcPr>
                  <w:tcW w:w="1262"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71E1292"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c>
                <w:tcPr>
                  <w:tcW w:w="1263"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7BB3E95"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r>
            <w:tr w:rsidR="00921721" w:rsidRPr="00CF54F6" w14:paraId="6AF66B0E" w14:textId="77777777" w:rsidTr="00880D09">
              <w:trPr>
                <w:trHeight w:val="210"/>
              </w:trPr>
              <w:tc>
                <w:tcPr>
                  <w:tcW w:w="251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37BFFB9" w14:textId="77777777" w:rsidR="00921721" w:rsidRPr="00202E2F" w:rsidRDefault="00921721" w:rsidP="00880D09">
                  <w:pPr>
                    <w:jc w:val="center"/>
                    <w:rPr>
                      <w:rFonts w:asciiTheme="minorHAnsi" w:hAnsiTheme="minorHAnsi"/>
                      <w:color w:val="4F81BD" w:themeColor="accent1"/>
                      <w:sz w:val="18"/>
                      <w:szCs w:val="18"/>
                    </w:rPr>
                  </w:pPr>
                  <w:r w:rsidRPr="002C6855">
                    <w:rPr>
                      <w:rFonts w:asciiTheme="minorHAnsi" w:hAnsiTheme="minorHAnsi" w:cs="Arial"/>
                      <w:color w:val="4F81BD" w:themeColor="accent1"/>
                      <w:sz w:val="18"/>
                      <w:szCs w:val="18"/>
                    </w:rPr>
                    <w:t>nawierzchnia zdegradowana</w:t>
                  </w:r>
                </w:p>
              </w:tc>
              <w:tc>
                <w:tcPr>
                  <w:tcW w:w="1262"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70E0B0A"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169</w:t>
                  </w:r>
                </w:p>
              </w:tc>
              <w:tc>
                <w:tcPr>
                  <w:tcW w:w="1263"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0CA4645"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188</w:t>
                  </w:r>
                </w:p>
              </w:tc>
            </w:tr>
          </w:tbl>
          <w:p w14:paraId="0A75D574" w14:textId="77777777" w:rsidR="00921721" w:rsidRPr="00CA444D" w:rsidRDefault="00921721" w:rsidP="00880D09">
            <w:pPr>
              <w:spacing w:after="120"/>
              <w:ind w:right="170"/>
              <w:jc w:val="both"/>
              <w:rPr>
                <w:rFonts w:asciiTheme="minorHAnsi" w:hAnsiTheme="minorHAnsi" w:cs="Arial"/>
                <w:b/>
                <w:i/>
                <w:sz w:val="16"/>
                <w:szCs w:val="16"/>
              </w:rPr>
            </w:pPr>
            <w:r w:rsidRPr="00731E4E">
              <w:rPr>
                <w:rFonts w:asciiTheme="minorHAnsi" w:hAnsiTheme="minorHAnsi" w:cs="Arial"/>
                <w:b/>
                <w:i/>
                <w:sz w:val="16"/>
                <w:szCs w:val="16"/>
              </w:rPr>
              <w:t xml:space="preserve">Źródło: Opracowanie własne </w:t>
            </w:r>
            <w:r w:rsidRPr="00983DF9">
              <w:rPr>
                <w:rFonts w:asciiTheme="minorHAnsi" w:hAnsiTheme="minorHAnsi" w:cs="Arial"/>
                <w:b/>
                <w:i/>
                <w:sz w:val="16"/>
                <w:szCs w:val="16"/>
              </w:rPr>
              <w:t xml:space="preserve">CUPT-JASPERS </w:t>
            </w:r>
            <w:r w:rsidRPr="00731E4E">
              <w:rPr>
                <w:rFonts w:asciiTheme="minorHAnsi" w:hAnsiTheme="minorHAnsi" w:cs="Arial"/>
                <w:b/>
                <w:i/>
                <w:sz w:val="16"/>
                <w:szCs w:val="16"/>
              </w:rPr>
              <w:t xml:space="preserve">na podstawie </w:t>
            </w:r>
            <w:r w:rsidRPr="00983DF9">
              <w:rPr>
                <w:rFonts w:asciiTheme="minorHAnsi" w:hAnsiTheme="minorHAnsi" w:cs="Arial"/>
                <w:b/>
                <w:i/>
                <w:sz w:val="16"/>
                <w:szCs w:val="16"/>
              </w:rPr>
              <w:t>Optimisation of Maintenance", OECD/ITF 2012.</w:t>
            </w:r>
          </w:p>
          <w:p w14:paraId="658A683A" w14:textId="77777777" w:rsidR="00921721" w:rsidRDefault="00921721" w:rsidP="00880D09">
            <w:pPr>
              <w:pStyle w:val="anxnormal"/>
              <w:ind w:left="0"/>
              <w:rPr>
                <w:rFonts w:asciiTheme="minorHAnsi" w:hAnsiTheme="minorHAnsi"/>
                <w:u w:val="single"/>
                <w:lang w:eastAsia="en-US"/>
              </w:rPr>
            </w:pPr>
          </w:p>
          <w:p w14:paraId="09CD75E8" w14:textId="77777777" w:rsidR="00921721" w:rsidRDefault="00921721" w:rsidP="00880D09">
            <w:pPr>
              <w:pStyle w:val="anxnormal"/>
              <w:ind w:left="0"/>
              <w:rPr>
                <w:rFonts w:asciiTheme="minorHAnsi" w:hAnsiTheme="minorHAnsi"/>
                <w:u w:val="single"/>
                <w:lang w:eastAsia="en-US"/>
              </w:rPr>
            </w:pPr>
            <w:r>
              <w:rPr>
                <w:rFonts w:asciiTheme="minorHAnsi" w:hAnsiTheme="minorHAnsi"/>
                <w:u w:val="single"/>
                <w:lang w:eastAsia="en-US"/>
              </w:rPr>
              <w:t>Pojazdy LV – skład floty</w:t>
            </w:r>
          </w:p>
          <w:p w14:paraId="2A30E9EC" w14:textId="77777777" w:rsidR="00921721" w:rsidRDefault="00921721" w:rsidP="00880D09">
            <w:pPr>
              <w:pStyle w:val="anxnormal"/>
              <w:ind w:left="0"/>
              <w:rPr>
                <w:rFonts w:asciiTheme="minorHAnsi" w:hAnsiTheme="minorHAnsi" w:cstheme="minorHAnsi"/>
                <w:color w:val="000000"/>
              </w:rPr>
            </w:pPr>
            <w:r w:rsidRPr="001569CA">
              <w:rPr>
                <w:rFonts w:asciiTheme="minorHAnsi" w:hAnsiTheme="minorHAnsi"/>
                <w:lang w:eastAsia="en-US"/>
              </w:rPr>
              <w:t xml:space="preserve">Jednostkowe koszty eksploatacji pojazdu oparte są na aktualnej strukturze floty uwzględniającej zużycie paliwa, która według szacunków – jak wspomniano </w:t>
            </w:r>
            <w:r>
              <w:rPr>
                <w:rFonts w:asciiTheme="minorHAnsi" w:hAnsiTheme="minorHAnsi"/>
                <w:lang w:eastAsia="en-US"/>
              </w:rPr>
              <w:t>–</w:t>
            </w:r>
            <w:r w:rsidRPr="001569CA">
              <w:rPr>
                <w:rFonts w:asciiTheme="minorHAnsi" w:hAnsiTheme="minorHAnsi"/>
                <w:lang w:eastAsia="en-US"/>
              </w:rPr>
              <w:t xml:space="preserve"> nie</w:t>
            </w:r>
            <w:r>
              <w:rPr>
                <w:rFonts w:asciiTheme="minorHAnsi" w:hAnsiTheme="minorHAnsi"/>
                <w:lang w:eastAsia="en-US"/>
              </w:rPr>
              <w:t> </w:t>
            </w:r>
            <w:r w:rsidRPr="001569CA">
              <w:rPr>
                <w:rFonts w:asciiTheme="minorHAnsi" w:hAnsiTheme="minorHAnsi"/>
                <w:lang w:eastAsia="en-US"/>
              </w:rPr>
              <w:t>ulegnie zmianie: benzyna (67</w:t>
            </w:r>
            <w:r>
              <w:rPr>
                <w:rFonts w:asciiTheme="minorHAnsi" w:hAnsiTheme="minorHAnsi"/>
                <w:lang w:eastAsia="en-US"/>
              </w:rPr>
              <w:t>,9%) i </w:t>
            </w:r>
            <w:r w:rsidRPr="001569CA">
              <w:rPr>
                <w:rFonts w:asciiTheme="minorHAnsi" w:hAnsiTheme="minorHAnsi"/>
                <w:lang w:eastAsia="en-US"/>
              </w:rPr>
              <w:t>olej napędowy (32</w:t>
            </w:r>
            <w:r>
              <w:rPr>
                <w:rFonts w:asciiTheme="minorHAnsi" w:hAnsiTheme="minorHAnsi"/>
                <w:lang w:eastAsia="en-US"/>
              </w:rPr>
              <w:t>,1%). Szczegółowy skład floty (z </w:t>
            </w:r>
            <w:r w:rsidRPr="001569CA">
              <w:rPr>
                <w:rFonts w:asciiTheme="minorHAnsi" w:hAnsiTheme="minorHAnsi"/>
                <w:lang w:eastAsia="en-US"/>
              </w:rPr>
              <w:t xml:space="preserve">uwzględnieniem wszystkich </w:t>
            </w:r>
            <w:r>
              <w:rPr>
                <w:rFonts w:asciiTheme="minorHAnsi" w:hAnsiTheme="minorHAnsi"/>
                <w:lang w:eastAsia="en-US"/>
              </w:rPr>
              <w:t>rodzajów paliwa stosowanych w </w:t>
            </w:r>
            <w:r w:rsidRPr="001569CA">
              <w:rPr>
                <w:rFonts w:asciiTheme="minorHAnsi" w:hAnsiTheme="minorHAnsi"/>
                <w:lang w:eastAsia="en-US"/>
              </w:rPr>
              <w:t>polskiej flocie pojazdów typu LV) przedstawiono poniżej wraz</w:t>
            </w:r>
            <w:r>
              <w:rPr>
                <w:rFonts w:asciiTheme="minorHAnsi" w:hAnsiTheme="minorHAnsi"/>
                <w:lang w:eastAsia="en-US"/>
              </w:rPr>
              <w:t xml:space="preserve"> z </w:t>
            </w:r>
            <w:r w:rsidRPr="001569CA">
              <w:rPr>
                <w:rFonts w:asciiTheme="minorHAnsi" w:hAnsiTheme="minorHAnsi"/>
                <w:lang w:eastAsia="en-US"/>
              </w:rPr>
              <w:t xml:space="preserve">odpowiednimi </w:t>
            </w:r>
            <w:r>
              <w:rPr>
                <w:rFonts w:asciiTheme="minorHAnsi" w:hAnsiTheme="minorHAnsi"/>
                <w:lang w:eastAsia="en-US"/>
              </w:rPr>
              <w:t>prognozami. Do celów obliczeń w </w:t>
            </w:r>
            <w:r w:rsidRPr="001569CA">
              <w:rPr>
                <w:rFonts w:asciiTheme="minorHAnsi" w:hAnsiTheme="minorHAnsi"/>
                <w:lang w:eastAsia="en-US"/>
              </w:rPr>
              <w:t>AKK zakłada się, że proponowa</w:t>
            </w:r>
            <w:r>
              <w:rPr>
                <w:rFonts w:asciiTheme="minorHAnsi" w:hAnsiTheme="minorHAnsi"/>
                <w:lang w:eastAsia="en-US"/>
              </w:rPr>
              <w:t>ne uproszczenie (tzn. benzyna i </w:t>
            </w:r>
            <w:r w:rsidRPr="001569CA">
              <w:rPr>
                <w:rFonts w:asciiTheme="minorHAnsi" w:hAnsiTheme="minorHAnsi"/>
                <w:lang w:eastAsia="en-US"/>
              </w:rPr>
              <w:t>olej napędowy</w:t>
            </w:r>
            <w:r>
              <w:rPr>
                <w:rFonts w:asciiTheme="minorHAnsi" w:hAnsiTheme="minorHAnsi"/>
                <w:lang w:eastAsia="en-US"/>
              </w:rPr>
              <w:t>, z udziałem jak przedstawiono powyżej</w:t>
            </w:r>
            <w:r w:rsidRPr="001569CA">
              <w:rPr>
                <w:rFonts w:asciiTheme="minorHAnsi" w:hAnsiTheme="minorHAnsi"/>
                <w:lang w:eastAsia="en-US"/>
              </w:rPr>
              <w:t>) jest wystarczające</w:t>
            </w:r>
            <w:r>
              <w:rPr>
                <w:rFonts w:asciiTheme="minorHAnsi" w:hAnsiTheme="minorHAnsi"/>
                <w:lang w:eastAsia="en-US"/>
              </w:rPr>
              <w:t xml:space="preserve"> </w:t>
            </w:r>
            <w:r>
              <w:rPr>
                <w:rFonts w:asciiTheme="minorHAnsi" w:hAnsiTheme="minorHAnsi" w:cstheme="minorHAnsi"/>
                <w:color w:val="000000"/>
              </w:rPr>
              <w:t>i </w:t>
            </w:r>
            <w:r w:rsidRPr="00EB4E7C">
              <w:rPr>
                <w:rFonts w:asciiTheme="minorHAnsi" w:hAnsiTheme="minorHAnsi" w:cstheme="minorHAnsi"/>
                <w:color w:val="000000"/>
              </w:rPr>
              <w:t xml:space="preserve">założono </w:t>
            </w:r>
            <w:r>
              <w:rPr>
                <w:rFonts w:asciiTheme="minorHAnsi" w:hAnsiTheme="minorHAnsi" w:cstheme="minorHAnsi"/>
                <w:color w:val="000000"/>
              </w:rPr>
              <w:t>na poziomie stałym w </w:t>
            </w:r>
            <w:r w:rsidRPr="00EB4E7C">
              <w:rPr>
                <w:rFonts w:asciiTheme="minorHAnsi" w:hAnsiTheme="minorHAnsi" w:cstheme="minorHAnsi"/>
                <w:color w:val="000000"/>
              </w:rPr>
              <w:t xml:space="preserve">przyszłości </w:t>
            </w:r>
            <w:r>
              <w:rPr>
                <w:rFonts w:asciiTheme="minorHAnsi" w:hAnsiTheme="minorHAnsi" w:cstheme="minorHAnsi"/>
                <w:color w:val="000000"/>
              </w:rPr>
              <w:t>dla LV z silnikami spa</w:t>
            </w:r>
            <w:r w:rsidRPr="00EB4E7C">
              <w:rPr>
                <w:rFonts w:asciiTheme="minorHAnsi" w:hAnsiTheme="minorHAnsi" w:cstheme="minorHAnsi"/>
                <w:color w:val="000000"/>
              </w:rPr>
              <w:t>linow</w:t>
            </w:r>
            <w:r>
              <w:rPr>
                <w:rFonts w:asciiTheme="minorHAnsi" w:hAnsiTheme="minorHAnsi" w:cstheme="minorHAnsi"/>
                <w:color w:val="000000"/>
              </w:rPr>
              <w:t>ymi.</w:t>
            </w:r>
          </w:p>
          <w:p w14:paraId="318AD5C2" w14:textId="77777777" w:rsidR="00921721" w:rsidRPr="001569CA" w:rsidRDefault="00921721" w:rsidP="00880D09">
            <w:pPr>
              <w:pStyle w:val="anxnormal"/>
              <w:ind w:left="0"/>
              <w:rPr>
                <w:rFonts w:asciiTheme="minorHAnsi" w:hAnsiTheme="minorHAnsi"/>
                <w:lang w:eastAsia="en-US"/>
              </w:rPr>
            </w:pPr>
          </w:p>
          <w:tbl>
            <w:tblPr>
              <w:tblW w:w="5673" w:type="dxa"/>
              <w:tblLayout w:type="fixed"/>
              <w:tblLook w:val="04A0" w:firstRow="1" w:lastRow="0" w:firstColumn="1" w:lastColumn="0" w:noHBand="0" w:noVBand="1"/>
            </w:tblPr>
            <w:tblGrid>
              <w:gridCol w:w="3779"/>
              <w:gridCol w:w="1894"/>
            </w:tblGrid>
            <w:tr w:rsidR="00921721" w:rsidRPr="00CF54F6" w14:paraId="3A24F935" w14:textId="77777777" w:rsidTr="00880D09">
              <w:trPr>
                <w:trHeight w:hRule="exact" w:val="673"/>
              </w:trPr>
              <w:tc>
                <w:tcPr>
                  <w:tcW w:w="3779" w:type="dxa"/>
                  <w:tcBorders>
                    <w:top w:val="single" w:sz="4" w:space="0" w:color="FFFFFF"/>
                    <w:left w:val="single" w:sz="4" w:space="0" w:color="FFFFFF"/>
                    <w:bottom w:val="single" w:sz="4" w:space="0" w:color="FFFFFF"/>
                    <w:right w:val="nil"/>
                  </w:tcBorders>
                  <w:shd w:val="clear" w:color="auto" w:fill="A6A6A6" w:themeFill="background1" w:themeFillShade="A6"/>
                  <w:hideMark/>
                </w:tcPr>
                <w:p w14:paraId="363730D8" w14:textId="77777777" w:rsidR="00921721" w:rsidRPr="00EB4E7C" w:rsidRDefault="00921721" w:rsidP="00880D09">
                  <w:pPr>
                    <w:snapToGrid w:val="0"/>
                    <w:spacing w:before="20" w:after="20"/>
                    <w:jc w:val="center"/>
                    <w:rPr>
                      <w:rFonts w:asciiTheme="minorHAnsi" w:hAnsiTheme="minorHAnsi" w:cs="Arial"/>
                      <w:b/>
                      <w:bCs/>
                      <w:color w:val="FFFFFF"/>
                      <w:sz w:val="18"/>
                      <w:szCs w:val="18"/>
                    </w:rPr>
                  </w:pPr>
                  <w:r w:rsidRPr="00EB4E7C">
                    <w:rPr>
                      <w:rFonts w:asciiTheme="minorHAnsi" w:hAnsiTheme="minorHAnsi" w:cs="Arial"/>
                      <w:b/>
                      <w:bCs/>
                      <w:color w:val="FFFFFF"/>
                      <w:sz w:val="18"/>
                      <w:szCs w:val="18"/>
                    </w:rPr>
                    <w:t>LV</w:t>
                  </w:r>
                </w:p>
                <w:p w14:paraId="7E599F3D" w14:textId="77777777" w:rsidR="00921721" w:rsidRPr="00202E2F" w:rsidRDefault="00921721" w:rsidP="00880D09">
                  <w:pPr>
                    <w:snapToGrid w:val="0"/>
                    <w:spacing w:before="20" w:after="20"/>
                    <w:jc w:val="center"/>
                    <w:rPr>
                      <w:rFonts w:asciiTheme="minorHAnsi" w:hAnsiTheme="minorHAnsi" w:cs="Arial"/>
                      <w:b/>
                      <w:bCs/>
                      <w:color w:val="FFFFFF"/>
                      <w:sz w:val="18"/>
                      <w:szCs w:val="18"/>
                    </w:rPr>
                  </w:pPr>
                  <w:r w:rsidRPr="00EB4E7C">
                    <w:rPr>
                      <w:rFonts w:asciiTheme="minorHAnsi" w:hAnsiTheme="minorHAnsi" w:cs="Arial"/>
                      <w:b/>
                      <w:bCs/>
                      <w:color w:val="FFFFFF"/>
                      <w:sz w:val="18"/>
                      <w:szCs w:val="18"/>
                    </w:rPr>
                    <w:t>Struktura floty uwzględniająca rodzaj paliwa</w:t>
                  </w:r>
                </w:p>
              </w:tc>
              <w:tc>
                <w:tcPr>
                  <w:tcW w:w="1894" w:type="dxa"/>
                  <w:tcBorders>
                    <w:top w:val="single" w:sz="4" w:space="0" w:color="FFFFFF"/>
                    <w:left w:val="single" w:sz="4" w:space="0" w:color="FFFFFF"/>
                    <w:bottom w:val="single" w:sz="4" w:space="0" w:color="FFFFFF"/>
                    <w:right w:val="nil"/>
                  </w:tcBorders>
                  <w:shd w:val="clear" w:color="auto" w:fill="A6A6A6" w:themeFill="background1" w:themeFillShade="A6"/>
                  <w:hideMark/>
                </w:tcPr>
                <w:p w14:paraId="4F3EE005" w14:textId="77777777" w:rsidR="00921721" w:rsidRPr="00202E2F" w:rsidRDefault="00921721" w:rsidP="00880D09">
                  <w:pPr>
                    <w:snapToGrid w:val="0"/>
                    <w:spacing w:before="20" w:after="20"/>
                    <w:jc w:val="center"/>
                    <w:rPr>
                      <w:rFonts w:asciiTheme="minorHAnsi" w:hAnsiTheme="minorHAnsi" w:cs="Arial"/>
                      <w:b/>
                      <w:bCs/>
                      <w:color w:val="FFFFFF"/>
                      <w:sz w:val="18"/>
                      <w:szCs w:val="18"/>
                    </w:rPr>
                  </w:pPr>
                  <w:r w:rsidRPr="00202E2F">
                    <w:rPr>
                      <w:rFonts w:asciiTheme="minorHAnsi" w:hAnsiTheme="minorHAnsi" w:cs="Arial"/>
                      <w:b/>
                      <w:bCs/>
                      <w:color w:val="FFFFFF"/>
                      <w:sz w:val="18"/>
                      <w:szCs w:val="18"/>
                    </w:rPr>
                    <w:t>koniec 2019 r.</w:t>
                  </w:r>
                </w:p>
              </w:tc>
            </w:tr>
            <w:tr w:rsidR="00921721" w:rsidRPr="00202E2F" w14:paraId="6D9F7AAA" w14:textId="77777777" w:rsidTr="00880D09">
              <w:trPr>
                <w:trHeight w:val="157"/>
              </w:trPr>
              <w:tc>
                <w:tcPr>
                  <w:tcW w:w="3779" w:type="dxa"/>
                  <w:tcBorders>
                    <w:top w:val="single" w:sz="4" w:space="0" w:color="FFFFFF"/>
                    <w:left w:val="single" w:sz="4" w:space="0" w:color="FFFFFF"/>
                    <w:bottom w:val="single" w:sz="4" w:space="0" w:color="FFFFFF"/>
                    <w:right w:val="nil"/>
                  </w:tcBorders>
                  <w:shd w:val="clear" w:color="auto" w:fill="DBE5F1" w:themeFill="accent1" w:themeFillTint="33"/>
                  <w:hideMark/>
                </w:tcPr>
                <w:p w14:paraId="3779347B"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Olej nap</w:t>
                  </w:r>
                  <w:r>
                    <w:rPr>
                      <w:rFonts w:asciiTheme="minorHAnsi" w:hAnsiTheme="minorHAnsi" w:cs="Arial"/>
                      <w:color w:val="4F81BD" w:themeColor="accent1"/>
                      <w:sz w:val="18"/>
                      <w:szCs w:val="18"/>
                    </w:rPr>
                    <w:t>ędowy</w:t>
                  </w:r>
                </w:p>
              </w:tc>
              <w:tc>
                <w:tcPr>
                  <w:tcW w:w="1894" w:type="dxa"/>
                  <w:tcBorders>
                    <w:top w:val="single" w:sz="4" w:space="0" w:color="FFFFFF"/>
                    <w:left w:val="single" w:sz="4" w:space="0" w:color="FFFFFF"/>
                    <w:bottom w:val="single" w:sz="4" w:space="0" w:color="FFFFFF"/>
                    <w:right w:val="nil"/>
                  </w:tcBorders>
                  <w:shd w:val="clear" w:color="auto" w:fill="DBE5F1" w:themeFill="accent1" w:themeFillTint="33"/>
                  <w:hideMark/>
                </w:tcPr>
                <w:p w14:paraId="3FDF1E70"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32</w:t>
                  </w:r>
                  <w:r>
                    <w:rPr>
                      <w:rFonts w:asciiTheme="minorHAnsi" w:hAnsiTheme="minorHAnsi" w:cs="Arial"/>
                      <w:color w:val="4F81BD" w:themeColor="accent1"/>
                      <w:sz w:val="18"/>
                      <w:szCs w:val="18"/>
                    </w:rPr>
                    <w:t>,</w:t>
                  </w:r>
                  <w:r w:rsidRPr="00202E2F">
                    <w:rPr>
                      <w:rFonts w:asciiTheme="minorHAnsi" w:hAnsiTheme="minorHAnsi" w:cs="Arial"/>
                      <w:color w:val="4F81BD" w:themeColor="accent1"/>
                      <w:sz w:val="18"/>
                      <w:szCs w:val="18"/>
                    </w:rPr>
                    <w:t>06%</w:t>
                  </w:r>
                </w:p>
              </w:tc>
            </w:tr>
            <w:tr w:rsidR="00921721" w:rsidRPr="00202E2F" w14:paraId="16164899" w14:textId="77777777" w:rsidTr="00880D09">
              <w:trPr>
                <w:trHeight w:val="271"/>
              </w:trPr>
              <w:tc>
                <w:tcPr>
                  <w:tcW w:w="3779" w:type="dxa"/>
                  <w:tcBorders>
                    <w:top w:val="single" w:sz="4" w:space="0" w:color="FFFFFF"/>
                    <w:left w:val="single" w:sz="4" w:space="0" w:color="FFFFFF"/>
                    <w:bottom w:val="single" w:sz="4" w:space="0" w:color="FFFFFF"/>
                    <w:right w:val="nil"/>
                  </w:tcBorders>
                  <w:shd w:val="clear" w:color="auto" w:fill="DBE5F1" w:themeFill="accent1" w:themeFillTint="33"/>
                  <w:hideMark/>
                </w:tcPr>
                <w:p w14:paraId="1A31ACA5"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CNG</w:t>
                  </w:r>
                </w:p>
              </w:tc>
              <w:tc>
                <w:tcPr>
                  <w:tcW w:w="1894" w:type="dxa"/>
                  <w:tcBorders>
                    <w:top w:val="single" w:sz="4" w:space="0" w:color="FFFFFF"/>
                    <w:left w:val="single" w:sz="4" w:space="0" w:color="FFFFFF"/>
                    <w:bottom w:val="single" w:sz="4" w:space="0" w:color="FFFFFF"/>
                    <w:right w:val="nil"/>
                  </w:tcBorders>
                  <w:shd w:val="clear" w:color="auto" w:fill="DBE5F1" w:themeFill="accent1" w:themeFillTint="33"/>
                  <w:hideMark/>
                </w:tcPr>
                <w:p w14:paraId="7EB8E42B"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02E2F">
                    <w:rPr>
                      <w:rFonts w:asciiTheme="minorHAnsi" w:hAnsiTheme="minorHAnsi" w:cs="Arial"/>
                      <w:color w:val="4F81BD" w:themeColor="accent1"/>
                      <w:sz w:val="18"/>
                      <w:szCs w:val="18"/>
                    </w:rPr>
                    <w:t>02%</w:t>
                  </w:r>
                </w:p>
              </w:tc>
            </w:tr>
            <w:tr w:rsidR="00921721" w:rsidRPr="00202E2F" w14:paraId="161A0860" w14:textId="77777777" w:rsidTr="00880D09">
              <w:trPr>
                <w:trHeight w:val="264"/>
              </w:trPr>
              <w:tc>
                <w:tcPr>
                  <w:tcW w:w="3779" w:type="dxa"/>
                  <w:tcBorders>
                    <w:top w:val="single" w:sz="4" w:space="0" w:color="FFFFFF"/>
                    <w:left w:val="single" w:sz="4" w:space="0" w:color="FFFFFF"/>
                    <w:bottom w:val="single" w:sz="4" w:space="0" w:color="FFFFFF"/>
                    <w:right w:val="nil"/>
                  </w:tcBorders>
                  <w:shd w:val="clear" w:color="auto" w:fill="DBE5F1" w:themeFill="accent1" w:themeFillTint="33"/>
                </w:tcPr>
                <w:p w14:paraId="6FEBDC89"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LPG</w:t>
                  </w:r>
                </w:p>
              </w:tc>
              <w:tc>
                <w:tcPr>
                  <w:tcW w:w="1894" w:type="dxa"/>
                  <w:tcBorders>
                    <w:top w:val="single" w:sz="4" w:space="0" w:color="FFFFFF"/>
                    <w:left w:val="single" w:sz="4" w:space="0" w:color="FFFFFF"/>
                    <w:bottom w:val="single" w:sz="4" w:space="0" w:color="FFFFFF"/>
                    <w:right w:val="nil"/>
                  </w:tcBorders>
                  <w:shd w:val="clear" w:color="auto" w:fill="DBE5F1" w:themeFill="accent1" w:themeFillTint="33"/>
                </w:tcPr>
                <w:p w14:paraId="4678747F"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14</w:t>
                  </w:r>
                  <w:r>
                    <w:rPr>
                      <w:rFonts w:asciiTheme="minorHAnsi" w:hAnsiTheme="minorHAnsi" w:cs="Arial"/>
                      <w:color w:val="4F81BD" w:themeColor="accent1"/>
                      <w:sz w:val="18"/>
                      <w:szCs w:val="18"/>
                    </w:rPr>
                    <w:t>,</w:t>
                  </w:r>
                  <w:r w:rsidRPr="00202E2F">
                    <w:rPr>
                      <w:rFonts w:asciiTheme="minorHAnsi" w:hAnsiTheme="minorHAnsi" w:cs="Arial"/>
                      <w:color w:val="4F81BD" w:themeColor="accent1"/>
                      <w:sz w:val="18"/>
                      <w:szCs w:val="18"/>
                    </w:rPr>
                    <w:t>00%</w:t>
                  </w:r>
                </w:p>
              </w:tc>
            </w:tr>
            <w:tr w:rsidR="00921721" w:rsidRPr="00202E2F" w14:paraId="27F2B00C" w14:textId="77777777" w:rsidTr="00880D09">
              <w:trPr>
                <w:trHeight w:val="258"/>
              </w:trPr>
              <w:tc>
                <w:tcPr>
                  <w:tcW w:w="3779" w:type="dxa"/>
                  <w:tcBorders>
                    <w:top w:val="single" w:sz="4" w:space="0" w:color="FFFFFF"/>
                    <w:left w:val="single" w:sz="4" w:space="0" w:color="FFFFFF"/>
                    <w:bottom w:val="single" w:sz="4" w:space="0" w:color="FFFFFF"/>
                    <w:right w:val="nil"/>
                  </w:tcBorders>
                  <w:shd w:val="clear" w:color="auto" w:fill="DBE5F1" w:themeFill="accent1" w:themeFillTint="33"/>
                </w:tcPr>
                <w:p w14:paraId="7FC0155A"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Benzyna</w:t>
                  </w:r>
                </w:p>
              </w:tc>
              <w:tc>
                <w:tcPr>
                  <w:tcW w:w="1894" w:type="dxa"/>
                  <w:tcBorders>
                    <w:top w:val="single" w:sz="4" w:space="0" w:color="FFFFFF"/>
                    <w:left w:val="single" w:sz="4" w:space="0" w:color="FFFFFF"/>
                    <w:bottom w:val="single" w:sz="4" w:space="0" w:color="FFFFFF"/>
                    <w:right w:val="nil"/>
                  </w:tcBorders>
                  <w:shd w:val="clear" w:color="auto" w:fill="DBE5F1" w:themeFill="accent1" w:themeFillTint="33"/>
                </w:tcPr>
                <w:p w14:paraId="07000CAB"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53</w:t>
                  </w:r>
                  <w:r>
                    <w:rPr>
                      <w:rFonts w:asciiTheme="minorHAnsi" w:hAnsiTheme="minorHAnsi" w:cs="Arial"/>
                      <w:color w:val="4F81BD" w:themeColor="accent1"/>
                      <w:sz w:val="18"/>
                      <w:szCs w:val="18"/>
                    </w:rPr>
                    <w:t>,</w:t>
                  </w:r>
                  <w:r w:rsidRPr="00202E2F">
                    <w:rPr>
                      <w:rFonts w:asciiTheme="minorHAnsi" w:hAnsiTheme="minorHAnsi" w:cs="Arial"/>
                      <w:color w:val="4F81BD" w:themeColor="accent1"/>
                      <w:sz w:val="18"/>
                      <w:szCs w:val="18"/>
                    </w:rPr>
                    <w:t>80%</w:t>
                  </w:r>
                </w:p>
              </w:tc>
            </w:tr>
            <w:tr w:rsidR="00921721" w:rsidRPr="00202E2F" w14:paraId="31FF12CE" w14:textId="77777777" w:rsidTr="00880D09">
              <w:trPr>
                <w:trHeight w:val="251"/>
              </w:trPr>
              <w:tc>
                <w:tcPr>
                  <w:tcW w:w="3779" w:type="dxa"/>
                  <w:tcBorders>
                    <w:top w:val="single" w:sz="4" w:space="0" w:color="FFFFFF"/>
                    <w:left w:val="single" w:sz="4" w:space="0" w:color="FFFFFF"/>
                    <w:bottom w:val="single" w:sz="4" w:space="0" w:color="FFFFFF"/>
                    <w:right w:val="nil"/>
                  </w:tcBorders>
                  <w:shd w:val="clear" w:color="auto" w:fill="DBE5F1" w:themeFill="accent1" w:themeFillTint="33"/>
                </w:tcPr>
                <w:p w14:paraId="2458917B"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Hybryda</w:t>
                  </w:r>
                </w:p>
              </w:tc>
              <w:tc>
                <w:tcPr>
                  <w:tcW w:w="1894" w:type="dxa"/>
                  <w:tcBorders>
                    <w:top w:val="single" w:sz="4" w:space="0" w:color="FFFFFF"/>
                    <w:left w:val="single" w:sz="4" w:space="0" w:color="FFFFFF"/>
                    <w:bottom w:val="single" w:sz="4" w:space="0" w:color="FFFFFF"/>
                    <w:right w:val="nil"/>
                  </w:tcBorders>
                  <w:shd w:val="clear" w:color="auto" w:fill="DBE5F1" w:themeFill="accent1" w:themeFillTint="33"/>
                </w:tcPr>
                <w:p w14:paraId="74D1DC58"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02E2F">
                    <w:rPr>
                      <w:rFonts w:asciiTheme="minorHAnsi" w:hAnsiTheme="minorHAnsi" w:cs="Arial"/>
                      <w:color w:val="4F81BD" w:themeColor="accent1"/>
                      <w:sz w:val="18"/>
                      <w:szCs w:val="18"/>
                    </w:rPr>
                    <w:t>11%</w:t>
                  </w:r>
                </w:p>
              </w:tc>
            </w:tr>
            <w:tr w:rsidR="00921721" w:rsidRPr="00202E2F" w14:paraId="26B8D2E6" w14:textId="77777777" w:rsidTr="00880D09">
              <w:trPr>
                <w:trHeight w:val="163"/>
              </w:trPr>
              <w:tc>
                <w:tcPr>
                  <w:tcW w:w="3779" w:type="dxa"/>
                  <w:tcBorders>
                    <w:top w:val="single" w:sz="4" w:space="0" w:color="FFFFFF"/>
                    <w:left w:val="single" w:sz="4" w:space="0" w:color="FFFFFF"/>
                    <w:bottom w:val="single" w:sz="4" w:space="0" w:color="FFFFFF"/>
                    <w:right w:val="nil"/>
                  </w:tcBorders>
                  <w:shd w:val="clear" w:color="auto" w:fill="DBE5F1" w:themeFill="accent1" w:themeFillTint="33"/>
                </w:tcPr>
                <w:p w14:paraId="218145F9"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Elektryczne</w:t>
                  </w:r>
                </w:p>
              </w:tc>
              <w:tc>
                <w:tcPr>
                  <w:tcW w:w="1894" w:type="dxa"/>
                  <w:tcBorders>
                    <w:top w:val="single" w:sz="4" w:space="0" w:color="FFFFFF"/>
                    <w:left w:val="single" w:sz="4" w:space="0" w:color="FFFFFF"/>
                    <w:bottom w:val="single" w:sz="4" w:space="0" w:color="FFFFFF"/>
                    <w:right w:val="nil"/>
                  </w:tcBorders>
                  <w:shd w:val="clear" w:color="auto" w:fill="DBE5F1" w:themeFill="accent1" w:themeFillTint="33"/>
                </w:tcPr>
                <w:p w14:paraId="776632D3" w14:textId="77777777" w:rsidR="00921721" w:rsidRPr="00202E2F" w:rsidRDefault="00921721" w:rsidP="00880D09">
                  <w:pPr>
                    <w:jc w:val="center"/>
                    <w:rPr>
                      <w:rFonts w:asciiTheme="minorHAnsi" w:hAnsiTheme="minorHAnsi" w:cs="Arial"/>
                      <w:color w:val="4F81BD" w:themeColor="accent1"/>
                      <w:sz w:val="18"/>
                      <w:szCs w:val="18"/>
                    </w:rPr>
                  </w:pPr>
                  <w:r w:rsidRPr="00202E2F">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202E2F">
                    <w:rPr>
                      <w:rFonts w:asciiTheme="minorHAnsi" w:hAnsiTheme="minorHAnsi" w:cs="Arial"/>
                      <w:color w:val="4F81BD" w:themeColor="accent1"/>
                      <w:sz w:val="18"/>
                      <w:szCs w:val="18"/>
                    </w:rPr>
                    <w:t>02%</w:t>
                  </w:r>
                </w:p>
              </w:tc>
            </w:tr>
          </w:tbl>
          <w:p w14:paraId="1B7F79FA" w14:textId="77777777" w:rsidR="00921721" w:rsidRPr="00796B54" w:rsidRDefault="00921721" w:rsidP="00880D09">
            <w:pPr>
              <w:pStyle w:val="anxnormal"/>
              <w:spacing w:before="0"/>
              <w:ind w:left="0"/>
              <w:rPr>
                <w:rFonts w:asciiTheme="minorHAnsi" w:hAnsiTheme="minorHAnsi"/>
                <w:b/>
                <w:bCs/>
                <w:i/>
                <w:iCs/>
                <w:sz w:val="16"/>
                <w:szCs w:val="16"/>
                <w:u w:val="single"/>
                <w:lang w:eastAsia="en-US"/>
              </w:rPr>
            </w:pPr>
            <w:r w:rsidRPr="001569CA">
              <w:rPr>
                <w:rFonts w:asciiTheme="minorHAnsi" w:hAnsiTheme="minorHAnsi"/>
                <w:b/>
                <w:bCs/>
                <w:i/>
                <w:iCs/>
                <w:sz w:val="16"/>
                <w:szCs w:val="16"/>
                <w:lang w:eastAsia="en-US"/>
              </w:rPr>
              <w:t>Źródło: „Tr</w:t>
            </w:r>
            <w:r>
              <w:rPr>
                <w:rFonts w:asciiTheme="minorHAnsi" w:hAnsiTheme="minorHAnsi"/>
                <w:b/>
                <w:bCs/>
                <w:i/>
                <w:iCs/>
                <w:sz w:val="16"/>
                <w:szCs w:val="16"/>
                <w:lang w:eastAsia="en-US"/>
              </w:rPr>
              <w:t>ansport – wyniki działalności w 2019 r.”, GUS, 2020 </w:t>
            </w:r>
            <w:r w:rsidRPr="001569CA">
              <w:rPr>
                <w:rFonts w:asciiTheme="minorHAnsi" w:hAnsiTheme="minorHAnsi"/>
                <w:b/>
                <w:bCs/>
                <w:i/>
                <w:iCs/>
                <w:sz w:val="16"/>
                <w:szCs w:val="16"/>
                <w:lang w:eastAsia="en-US"/>
              </w:rPr>
              <w:t>r</w:t>
            </w:r>
            <w:r w:rsidRPr="00921CD1">
              <w:rPr>
                <w:rFonts w:asciiTheme="minorHAnsi" w:hAnsiTheme="minorHAnsi"/>
                <w:b/>
                <w:bCs/>
                <w:i/>
                <w:iCs/>
                <w:sz w:val="16"/>
                <w:szCs w:val="16"/>
                <w:lang w:eastAsia="en-US"/>
              </w:rPr>
              <w:t>.</w:t>
            </w:r>
            <w:r w:rsidRPr="00921CD1">
              <w:rPr>
                <w:rFonts w:asciiTheme="minorHAnsi" w:hAnsiTheme="minorHAnsi"/>
                <w:b/>
                <w:i/>
                <w:sz w:val="16"/>
                <w:szCs w:val="16"/>
              </w:rPr>
              <w:t xml:space="preserve"> </w:t>
            </w:r>
            <w:r>
              <w:rPr>
                <w:rFonts w:asciiTheme="minorHAnsi" w:hAnsiTheme="minorHAnsi"/>
                <w:b/>
                <w:i/>
                <w:sz w:val="16"/>
                <w:szCs w:val="16"/>
              </w:rPr>
              <w:t xml:space="preserve">oraz prognozy dla </w:t>
            </w:r>
            <w:r w:rsidRPr="00983DF9">
              <w:rPr>
                <w:rFonts w:asciiTheme="minorHAnsi" w:hAnsiTheme="minorHAnsi"/>
                <w:b/>
                <w:i/>
                <w:sz w:val="16"/>
                <w:szCs w:val="16"/>
              </w:rPr>
              <w:t xml:space="preserve">2030 </w:t>
            </w:r>
            <w:r>
              <w:rPr>
                <w:rFonts w:asciiTheme="minorHAnsi" w:hAnsiTheme="minorHAnsi"/>
                <w:b/>
                <w:i/>
                <w:sz w:val="16"/>
                <w:szCs w:val="16"/>
              </w:rPr>
              <w:t>i </w:t>
            </w:r>
            <w:r w:rsidRPr="00983DF9">
              <w:rPr>
                <w:rFonts w:asciiTheme="minorHAnsi" w:hAnsiTheme="minorHAnsi"/>
                <w:b/>
                <w:i/>
                <w:sz w:val="16"/>
                <w:szCs w:val="16"/>
              </w:rPr>
              <w:t>2050: "Ścieżki redukcji emisji CO2 w</w:t>
            </w:r>
            <w:r>
              <w:rPr>
                <w:rFonts w:asciiTheme="minorHAnsi" w:hAnsiTheme="minorHAnsi"/>
                <w:b/>
                <w:i/>
                <w:sz w:val="16"/>
                <w:szCs w:val="16"/>
              </w:rPr>
              <w:t> sektorze transportu w Polsce w </w:t>
            </w:r>
            <w:r w:rsidRPr="00983DF9">
              <w:rPr>
                <w:rFonts w:asciiTheme="minorHAnsi" w:hAnsiTheme="minorHAnsi"/>
                <w:b/>
                <w:i/>
                <w:sz w:val="16"/>
                <w:szCs w:val="16"/>
              </w:rPr>
              <w:t>kontekście „Europejskiego Zielonego Ładu”" CAKE/KOBiZE</w:t>
            </w:r>
            <w:r>
              <w:rPr>
                <w:rFonts w:asciiTheme="minorHAnsi" w:hAnsiTheme="minorHAnsi"/>
                <w:b/>
                <w:i/>
                <w:sz w:val="16"/>
                <w:szCs w:val="16"/>
              </w:rPr>
              <w:t>, październik 2020</w:t>
            </w:r>
            <w:r w:rsidRPr="00983DF9">
              <w:rPr>
                <w:rFonts w:asciiTheme="minorHAnsi" w:hAnsiTheme="minorHAnsi"/>
                <w:b/>
                <w:i/>
                <w:sz w:val="16"/>
                <w:szCs w:val="16"/>
              </w:rPr>
              <w:t>.</w:t>
            </w:r>
          </w:p>
          <w:p w14:paraId="04773D0C" w14:textId="77777777" w:rsidR="00921721" w:rsidRDefault="00921721" w:rsidP="00880D09">
            <w:pPr>
              <w:pStyle w:val="anxnormal"/>
              <w:ind w:left="0"/>
              <w:rPr>
                <w:rFonts w:asciiTheme="minorHAnsi" w:hAnsiTheme="minorHAnsi"/>
                <w:lang w:eastAsia="en-US"/>
              </w:rPr>
            </w:pPr>
          </w:p>
          <w:p w14:paraId="6D6DA4F0" w14:textId="77777777" w:rsidR="00921721" w:rsidRDefault="00921721" w:rsidP="00880D09">
            <w:pPr>
              <w:pStyle w:val="anxnormal"/>
              <w:ind w:left="0"/>
              <w:rPr>
                <w:rFonts w:asciiTheme="minorHAnsi" w:hAnsiTheme="minorHAnsi"/>
                <w:lang w:eastAsia="en-US"/>
              </w:rPr>
            </w:pPr>
          </w:p>
          <w:p w14:paraId="225D7224" w14:textId="77777777" w:rsidR="00921721" w:rsidRDefault="00921721" w:rsidP="00880D09">
            <w:pPr>
              <w:pStyle w:val="anxnormal"/>
              <w:ind w:left="0"/>
              <w:rPr>
                <w:rFonts w:asciiTheme="minorHAnsi" w:hAnsiTheme="minorHAnsi"/>
                <w:lang w:eastAsia="en-US"/>
              </w:rPr>
            </w:pPr>
          </w:p>
          <w:p w14:paraId="75F098BB" w14:textId="77777777" w:rsidR="00921721" w:rsidRDefault="00921721" w:rsidP="00880D09">
            <w:pPr>
              <w:pStyle w:val="anxnormal"/>
              <w:ind w:left="0"/>
              <w:rPr>
                <w:rFonts w:asciiTheme="minorHAnsi" w:hAnsiTheme="minorHAnsi"/>
                <w:lang w:eastAsia="en-US"/>
              </w:rPr>
            </w:pPr>
          </w:p>
          <w:p w14:paraId="2A202CFB" w14:textId="77777777" w:rsidR="00921721" w:rsidRPr="001569CA" w:rsidRDefault="00921721" w:rsidP="00880D09">
            <w:pPr>
              <w:pStyle w:val="anxnormal"/>
              <w:ind w:left="0"/>
              <w:rPr>
                <w:rFonts w:asciiTheme="minorHAnsi" w:hAnsiTheme="minorHAnsi"/>
                <w:lang w:eastAsia="en-US"/>
              </w:rPr>
            </w:pPr>
            <w:r w:rsidRPr="001569CA">
              <w:rPr>
                <w:rFonts w:asciiTheme="minorHAnsi" w:hAnsiTheme="minorHAnsi"/>
                <w:lang w:eastAsia="en-US"/>
              </w:rPr>
              <w:t>Tabele poniżej przedstawiają szacunki na temat struktur</w:t>
            </w:r>
            <w:r>
              <w:rPr>
                <w:rFonts w:asciiTheme="minorHAnsi" w:hAnsiTheme="minorHAnsi"/>
                <w:lang w:eastAsia="en-US"/>
              </w:rPr>
              <w:t>y floty pojazdów kategorii LV w </w:t>
            </w:r>
            <w:r w:rsidRPr="001569CA">
              <w:rPr>
                <w:rFonts w:asciiTheme="minorHAnsi" w:hAnsiTheme="minorHAnsi"/>
                <w:lang w:eastAsia="en-US"/>
              </w:rPr>
              <w:t xml:space="preserve">przyszłości. Poniżej przedstawiono różne </w:t>
            </w:r>
            <w:r>
              <w:rPr>
                <w:rFonts w:asciiTheme="minorHAnsi" w:hAnsiTheme="minorHAnsi"/>
                <w:lang w:eastAsia="en-US"/>
              </w:rPr>
              <w:t>scenariusze oparte</w:t>
            </w:r>
            <w:r w:rsidRPr="001569CA" w:rsidDel="00FD0CAA">
              <w:rPr>
                <w:rFonts w:asciiTheme="minorHAnsi" w:hAnsiTheme="minorHAnsi"/>
                <w:lang w:eastAsia="en-US"/>
              </w:rPr>
              <w:t xml:space="preserve"> </w:t>
            </w:r>
            <w:r w:rsidRPr="001569CA">
              <w:rPr>
                <w:rFonts w:asciiTheme="minorHAnsi" w:hAnsiTheme="minorHAnsi"/>
                <w:lang w:eastAsia="en-US"/>
              </w:rPr>
              <w:t>na dokumencie</w:t>
            </w:r>
            <w:r>
              <w:rPr>
                <w:rFonts w:asciiTheme="minorHAnsi" w:hAnsiTheme="minorHAnsi"/>
                <w:lang w:eastAsia="en-US"/>
              </w:rPr>
              <w:t xml:space="preserve"> „Ścieżki redukcji emisji CO2 w sektorze transportu w Polsce w </w:t>
            </w:r>
            <w:r w:rsidRPr="001569CA">
              <w:rPr>
                <w:rFonts w:asciiTheme="minorHAnsi" w:hAnsiTheme="minorHAnsi"/>
                <w:lang w:eastAsia="en-US"/>
              </w:rPr>
              <w:t>kontekście „Europejskiego Zielone</w:t>
            </w:r>
            <w:r>
              <w:rPr>
                <w:rFonts w:asciiTheme="minorHAnsi" w:hAnsiTheme="minorHAnsi"/>
                <w:lang w:eastAsia="en-US"/>
              </w:rPr>
              <w:t>go Ładu””</w:t>
            </w:r>
            <w:r w:rsidRPr="001569CA">
              <w:rPr>
                <w:rFonts w:asciiTheme="minorHAnsi" w:hAnsiTheme="minorHAnsi"/>
                <w:lang w:eastAsia="en-US"/>
              </w:rPr>
              <w:t xml:space="preserve"> autorstwa CAKE (Centrum Analiz Klimatyczno-Energetycznych), październik 2020</w:t>
            </w:r>
            <w:r>
              <w:rPr>
                <w:rFonts w:asciiTheme="minorHAnsi" w:hAnsiTheme="minorHAnsi"/>
                <w:lang w:eastAsia="en-US"/>
              </w:rPr>
              <w:t> </w:t>
            </w:r>
            <w:r w:rsidRPr="001569CA">
              <w:rPr>
                <w:rFonts w:asciiTheme="minorHAnsi" w:hAnsiTheme="minorHAnsi"/>
                <w:lang w:eastAsia="en-US"/>
              </w:rPr>
              <w:t>r.:</w:t>
            </w:r>
          </w:p>
          <w:p w14:paraId="2F6A5427" w14:textId="77777777" w:rsidR="00921721" w:rsidRPr="00D04EFD" w:rsidRDefault="00921721" w:rsidP="00880D09">
            <w:pPr>
              <w:pStyle w:val="anxnormal"/>
              <w:ind w:left="0"/>
              <w:rPr>
                <w:rFonts w:asciiTheme="minorHAnsi" w:hAnsiTheme="minorHAnsi"/>
                <w:lang w:eastAsia="en-US"/>
              </w:rPr>
            </w:pPr>
            <w:r w:rsidRPr="00D04EFD">
              <w:rPr>
                <w:rFonts w:asciiTheme="minorHAnsi" w:hAnsiTheme="minorHAnsi"/>
                <w:lang w:eastAsia="en-US"/>
              </w:rPr>
              <w:t>Scenariusz bazowy</w:t>
            </w:r>
          </w:p>
          <w:tbl>
            <w:tblPr>
              <w:tblW w:w="3395" w:type="dxa"/>
              <w:tblLayout w:type="fixed"/>
              <w:tblLook w:val="04A0" w:firstRow="1" w:lastRow="0" w:firstColumn="1" w:lastColumn="0" w:noHBand="0" w:noVBand="1"/>
            </w:tblPr>
            <w:tblGrid>
              <w:gridCol w:w="1694"/>
              <w:gridCol w:w="850"/>
              <w:gridCol w:w="851"/>
            </w:tblGrid>
            <w:tr w:rsidR="00921721" w:rsidRPr="0040737B" w14:paraId="73690491"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1D2B3423"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1D7BDFA2" w14:textId="77777777" w:rsidR="00921721" w:rsidRPr="0040737B" w:rsidRDefault="00921721" w:rsidP="00880D09">
                  <w:pPr>
                    <w:snapToGrid w:val="0"/>
                    <w:spacing w:before="20" w:after="20"/>
                    <w:jc w:val="center"/>
                    <w:rPr>
                      <w:rFonts w:asciiTheme="minorHAnsi" w:hAnsiTheme="minorHAnsi" w:cs="Arial"/>
                      <w:b/>
                      <w:bCs/>
                      <w:color w:val="FFFFFF"/>
                      <w:sz w:val="18"/>
                      <w:szCs w:val="18"/>
                    </w:rPr>
                  </w:pPr>
                  <w:r w:rsidRPr="0040737B">
                    <w:rPr>
                      <w:rFonts w:asciiTheme="minorHAnsi" w:hAnsiTheme="minorHAnsi" w:cs="Arial"/>
                      <w:b/>
                      <w:bCs/>
                      <w:color w:val="FFFFFF"/>
                      <w:sz w:val="18"/>
                      <w:szCs w:val="18"/>
                    </w:rPr>
                    <w:t>w 2030</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343F172E" w14:textId="77777777" w:rsidR="00921721" w:rsidRPr="0040737B" w:rsidRDefault="00921721" w:rsidP="00880D09">
                  <w:pPr>
                    <w:snapToGrid w:val="0"/>
                    <w:spacing w:before="20" w:after="20"/>
                    <w:jc w:val="center"/>
                    <w:rPr>
                      <w:rFonts w:asciiTheme="minorHAnsi" w:hAnsiTheme="minorHAnsi" w:cs="Arial"/>
                      <w:b/>
                      <w:bCs/>
                      <w:color w:val="FFFFFF"/>
                      <w:sz w:val="18"/>
                      <w:szCs w:val="18"/>
                    </w:rPr>
                  </w:pPr>
                  <w:r w:rsidRPr="0040737B">
                    <w:rPr>
                      <w:rFonts w:asciiTheme="minorHAnsi" w:hAnsiTheme="minorHAnsi" w:cs="Arial"/>
                      <w:b/>
                      <w:bCs/>
                      <w:color w:val="FFFFFF"/>
                      <w:sz w:val="18"/>
                      <w:szCs w:val="18"/>
                    </w:rPr>
                    <w:t>w 2050</w:t>
                  </w:r>
                </w:p>
              </w:tc>
            </w:tr>
            <w:tr w:rsidR="00921721" w:rsidRPr="0040737B" w14:paraId="6F2B2A45"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EE12C1C"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Olej nap</w:t>
                  </w:r>
                  <w:r>
                    <w:rPr>
                      <w:rFonts w:asciiTheme="minorHAnsi" w:hAnsiTheme="minorHAnsi" w:cs="Arial"/>
                      <w:color w:val="4F81BD" w:themeColor="accent1"/>
                      <w:sz w:val="18"/>
                      <w:szCs w:val="18"/>
                    </w:rPr>
                    <w:t>ędowy</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F65E458"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27</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4%</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2F5EA52"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17</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3%</w:t>
                  </w:r>
                </w:p>
              </w:tc>
            </w:tr>
            <w:tr w:rsidR="00921721" w:rsidRPr="0040737B" w14:paraId="7645F704"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6019B24"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CNG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6A99A81"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1%</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3992C52"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9%</w:t>
                  </w:r>
                </w:p>
              </w:tc>
            </w:tr>
            <w:tr w:rsidR="00921721" w:rsidRPr="0040737B" w14:paraId="3A68CE04"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5223B40"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LPG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D480E8C"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12</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062D3EC"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9</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8%</w:t>
                  </w:r>
                </w:p>
              </w:tc>
            </w:tr>
            <w:tr w:rsidR="00921721" w:rsidRPr="0040737B" w14:paraId="2C853D2A"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1B43BA7"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Benzyna</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A616B74"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52</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5%</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6642FA8"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38</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9%</w:t>
                  </w:r>
                </w:p>
              </w:tc>
            </w:tr>
            <w:tr w:rsidR="00921721" w:rsidRPr="0040737B" w14:paraId="4BB3658E"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E8834C6"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Hybryda</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A5D5278"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3</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9%</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9318476"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9</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9%</w:t>
                  </w:r>
                </w:p>
              </w:tc>
            </w:tr>
            <w:tr w:rsidR="00921721" w:rsidRPr="0040737B" w14:paraId="0E05FC73"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C4BC563"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Elektryczne</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1E047C6"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3</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9%</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42E447B"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23</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2%</w:t>
                  </w:r>
                </w:p>
              </w:tc>
            </w:tr>
          </w:tbl>
          <w:p w14:paraId="16B2927C" w14:textId="77777777" w:rsidR="00921721" w:rsidRDefault="00921721" w:rsidP="00880D09">
            <w:pPr>
              <w:pStyle w:val="anxnormal"/>
              <w:ind w:left="0"/>
              <w:rPr>
                <w:rFonts w:asciiTheme="minorHAnsi" w:hAnsiTheme="minorHAnsi"/>
                <w:lang w:eastAsia="en-US"/>
              </w:rPr>
            </w:pPr>
          </w:p>
          <w:p w14:paraId="5BAA5631" w14:textId="77777777" w:rsidR="00921721" w:rsidRPr="00D04EFD" w:rsidRDefault="00921721" w:rsidP="00880D09">
            <w:pPr>
              <w:pStyle w:val="anxnormal"/>
              <w:ind w:left="0"/>
              <w:rPr>
                <w:rFonts w:asciiTheme="minorHAnsi" w:hAnsiTheme="minorHAnsi"/>
                <w:lang w:eastAsia="en-US"/>
              </w:rPr>
            </w:pPr>
            <w:r w:rsidRPr="00D04EFD">
              <w:rPr>
                <w:rFonts w:asciiTheme="minorHAnsi" w:hAnsiTheme="minorHAnsi"/>
                <w:lang w:eastAsia="en-US"/>
              </w:rPr>
              <w:t>Scenariusz ETSeq</w:t>
            </w:r>
          </w:p>
          <w:tbl>
            <w:tblPr>
              <w:tblW w:w="3395" w:type="dxa"/>
              <w:tblLayout w:type="fixed"/>
              <w:tblLook w:val="04A0" w:firstRow="1" w:lastRow="0" w:firstColumn="1" w:lastColumn="0" w:noHBand="0" w:noVBand="1"/>
            </w:tblPr>
            <w:tblGrid>
              <w:gridCol w:w="1694"/>
              <w:gridCol w:w="850"/>
              <w:gridCol w:w="851"/>
            </w:tblGrid>
            <w:tr w:rsidR="00921721" w:rsidRPr="0040737B" w14:paraId="661ED12D"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30B98A04"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58F08ABA" w14:textId="77777777" w:rsidR="00921721" w:rsidRPr="0040737B" w:rsidRDefault="00921721" w:rsidP="00880D09">
                  <w:pPr>
                    <w:snapToGrid w:val="0"/>
                    <w:spacing w:before="20" w:after="20"/>
                    <w:jc w:val="center"/>
                    <w:rPr>
                      <w:rFonts w:asciiTheme="minorHAnsi" w:hAnsiTheme="minorHAnsi" w:cs="Arial"/>
                      <w:b/>
                      <w:bCs/>
                      <w:color w:val="FFFFFF"/>
                      <w:sz w:val="18"/>
                      <w:szCs w:val="18"/>
                    </w:rPr>
                  </w:pPr>
                  <w:r w:rsidRPr="0040737B">
                    <w:rPr>
                      <w:rFonts w:asciiTheme="minorHAnsi" w:hAnsiTheme="minorHAnsi" w:cs="Arial"/>
                      <w:b/>
                      <w:bCs/>
                      <w:color w:val="FFFFFF"/>
                      <w:sz w:val="18"/>
                      <w:szCs w:val="18"/>
                    </w:rPr>
                    <w:t>w 2030</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1F06E228" w14:textId="77777777" w:rsidR="00921721" w:rsidRPr="0040737B" w:rsidRDefault="00921721" w:rsidP="00880D09">
                  <w:pPr>
                    <w:snapToGrid w:val="0"/>
                    <w:spacing w:before="20" w:after="20"/>
                    <w:jc w:val="center"/>
                    <w:rPr>
                      <w:rFonts w:asciiTheme="minorHAnsi" w:hAnsiTheme="minorHAnsi" w:cs="Arial"/>
                      <w:b/>
                      <w:bCs/>
                      <w:color w:val="FFFFFF"/>
                      <w:sz w:val="18"/>
                      <w:szCs w:val="18"/>
                    </w:rPr>
                  </w:pPr>
                  <w:r w:rsidRPr="0040737B">
                    <w:rPr>
                      <w:rFonts w:asciiTheme="minorHAnsi" w:hAnsiTheme="minorHAnsi" w:cs="Arial"/>
                      <w:b/>
                      <w:bCs/>
                      <w:color w:val="FFFFFF"/>
                      <w:sz w:val="18"/>
                      <w:szCs w:val="18"/>
                    </w:rPr>
                    <w:t>w 2050</w:t>
                  </w:r>
                </w:p>
              </w:tc>
            </w:tr>
            <w:tr w:rsidR="00921721" w:rsidRPr="0040737B" w14:paraId="5E27B6CA"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74B917A"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Olej nap</w:t>
                  </w:r>
                  <w:r>
                    <w:rPr>
                      <w:rFonts w:asciiTheme="minorHAnsi" w:hAnsiTheme="minorHAnsi" w:cs="Arial"/>
                      <w:color w:val="4F81BD" w:themeColor="accent1"/>
                      <w:sz w:val="18"/>
                      <w:szCs w:val="18"/>
                    </w:rPr>
                    <w:t>ędowy</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918BEE7"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26</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9%</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56065A2"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15</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4%</w:t>
                  </w:r>
                </w:p>
              </w:tc>
            </w:tr>
            <w:tr w:rsidR="00921721" w:rsidRPr="0040737B" w14:paraId="5F46B1CE"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49C5367"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CNG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C385F19"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9A52344"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9%</w:t>
                  </w:r>
                </w:p>
              </w:tc>
            </w:tr>
            <w:tr w:rsidR="00921721" w:rsidRPr="0040737B" w14:paraId="6FE692B0"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6201E54"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LPG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93844FA"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12</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0%</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EBAD0BC"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8</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7%</w:t>
                  </w:r>
                </w:p>
              </w:tc>
            </w:tr>
            <w:tr w:rsidR="00921721" w:rsidRPr="0040737B" w14:paraId="2EF9232C"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B965455"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Benzyna</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12E3E62"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52</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7%</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61C1907"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37</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1%</w:t>
                  </w:r>
                </w:p>
              </w:tc>
            </w:tr>
            <w:tr w:rsidR="00921721" w:rsidRPr="0040737B" w14:paraId="3A35510C"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6C70BC1"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Hybryda</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D1AAA81"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4</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0%</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30BE3F7"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9</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6%</w:t>
                  </w:r>
                </w:p>
              </w:tc>
            </w:tr>
            <w:tr w:rsidR="00921721" w:rsidRPr="0040737B" w14:paraId="6E9D8D8C"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A731CCA"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Elektryczne</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D244CA6"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4</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49D38ED"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28</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3%</w:t>
                  </w:r>
                </w:p>
              </w:tc>
            </w:tr>
          </w:tbl>
          <w:p w14:paraId="2D4C2F91" w14:textId="77777777" w:rsidR="00921721" w:rsidRDefault="00921721" w:rsidP="00880D09">
            <w:pPr>
              <w:pStyle w:val="anxnormal"/>
              <w:ind w:left="0"/>
              <w:rPr>
                <w:rFonts w:asciiTheme="minorHAnsi" w:hAnsiTheme="minorHAnsi"/>
                <w:lang w:eastAsia="en-US"/>
              </w:rPr>
            </w:pPr>
          </w:p>
          <w:p w14:paraId="5EC9A351" w14:textId="77777777" w:rsidR="00921721" w:rsidRPr="00D04EFD" w:rsidRDefault="00921721" w:rsidP="00880D09">
            <w:pPr>
              <w:pStyle w:val="anxnormal"/>
              <w:ind w:left="0"/>
              <w:rPr>
                <w:rFonts w:asciiTheme="minorHAnsi" w:hAnsiTheme="minorHAnsi"/>
                <w:lang w:eastAsia="en-US"/>
              </w:rPr>
            </w:pPr>
            <w:r w:rsidRPr="00D04EFD">
              <w:rPr>
                <w:rFonts w:asciiTheme="minorHAnsi" w:hAnsiTheme="minorHAnsi"/>
                <w:lang w:eastAsia="en-US"/>
              </w:rPr>
              <w:t>Scenariusz TechPro</w:t>
            </w:r>
          </w:p>
          <w:tbl>
            <w:tblPr>
              <w:tblW w:w="3395" w:type="dxa"/>
              <w:tblLayout w:type="fixed"/>
              <w:tblLook w:val="04A0" w:firstRow="1" w:lastRow="0" w:firstColumn="1" w:lastColumn="0" w:noHBand="0" w:noVBand="1"/>
            </w:tblPr>
            <w:tblGrid>
              <w:gridCol w:w="1694"/>
              <w:gridCol w:w="850"/>
              <w:gridCol w:w="851"/>
            </w:tblGrid>
            <w:tr w:rsidR="00921721" w:rsidRPr="0040737B" w14:paraId="44AFF0AC"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788B4BDD"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12EA5DA4" w14:textId="77777777" w:rsidR="00921721" w:rsidRPr="0040737B" w:rsidRDefault="00921721" w:rsidP="00880D09">
                  <w:pPr>
                    <w:snapToGrid w:val="0"/>
                    <w:spacing w:before="20" w:after="20"/>
                    <w:jc w:val="center"/>
                    <w:rPr>
                      <w:rFonts w:asciiTheme="minorHAnsi" w:hAnsiTheme="minorHAnsi" w:cs="Arial"/>
                      <w:b/>
                      <w:bCs/>
                      <w:color w:val="FFFFFF"/>
                      <w:sz w:val="18"/>
                      <w:szCs w:val="18"/>
                    </w:rPr>
                  </w:pPr>
                  <w:r w:rsidRPr="0040737B">
                    <w:rPr>
                      <w:rFonts w:asciiTheme="minorHAnsi" w:hAnsiTheme="minorHAnsi" w:cs="Arial"/>
                      <w:b/>
                      <w:bCs/>
                      <w:color w:val="FFFFFF"/>
                      <w:sz w:val="18"/>
                      <w:szCs w:val="18"/>
                    </w:rPr>
                    <w:t>w 2030</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441715E6" w14:textId="77777777" w:rsidR="00921721" w:rsidRPr="0040737B" w:rsidRDefault="00921721" w:rsidP="00880D09">
                  <w:pPr>
                    <w:snapToGrid w:val="0"/>
                    <w:spacing w:before="20" w:after="20"/>
                    <w:jc w:val="center"/>
                    <w:rPr>
                      <w:rFonts w:asciiTheme="minorHAnsi" w:hAnsiTheme="minorHAnsi" w:cs="Arial"/>
                      <w:b/>
                      <w:bCs/>
                      <w:color w:val="FFFFFF"/>
                      <w:sz w:val="18"/>
                      <w:szCs w:val="18"/>
                    </w:rPr>
                  </w:pPr>
                  <w:r w:rsidRPr="0040737B">
                    <w:rPr>
                      <w:rFonts w:asciiTheme="minorHAnsi" w:hAnsiTheme="minorHAnsi" w:cs="Arial"/>
                      <w:b/>
                      <w:bCs/>
                      <w:color w:val="FFFFFF"/>
                      <w:sz w:val="18"/>
                      <w:szCs w:val="18"/>
                    </w:rPr>
                    <w:t>w 2050</w:t>
                  </w:r>
                </w:p>
              </w:tc>
            </w:tr>
            <w:tr w:rsidR="00921721" w:rsidRPr="0040737B" w14:paraId="5D2C7CAB"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CB0C157"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Olej nap</w:t>
                  </w:r>
                  <w:r>
                    <w:rPr>
                      <w:rFonts w:asciiTheme="minorHAnsi" w:hAnsiTheme="minorHAnsi" w:cs="Arial"/>
                      <w:color w:val="4F81BD" w:themeColor="accent1"/>
                      <w:sz w:val="18"/>
                      <w:szCs w:val="18"/>
                    </w:rPr>
                    <w:t>ędowy</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3F5EBB1"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26</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5%</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C5FAAE8"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10</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5%</w:t>
                  </w:r>
                </w:p>
              </w:tc>
            </w:tr>
            <w:tr w:rsidR="00921721" w:rsidRPr="0040737B" w14:paraId="64FBC898"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EB785AA"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CNG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18F808F"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1%</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943B175"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6%</w:t>
                  </w:r>
                </w:p>
              </w:tc>
            </w:tr>
            <w:tr w:rsidR="00921721" w:rsidRPr="0040737B" w14:paraId="661660E4"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A4B490F"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LPG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53E961F"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11</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7%</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D11FCA6"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5</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8%</w:t>
                  </w:r>
                </w:p>
              </w:tc>
            </w:tr>
            <w:tr w:rsidR="00921721" w:rsidRPr="0040737B" w14:paraId="7C28CCA2"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38FFCF3"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Benzyna</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5E79BE4"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50</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1545AB5"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21</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8%</w:t>
                  </w:r>
                </w:p>
              </w:tc>
            </w:tr>
            <w:tr w:rsidR="00921721" w:rsidRPr="0040737B" w14:paraId="32EBF969"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43F5EDC"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Hybryda</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E26E913"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5</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4%</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5C85EDC"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12</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3%</w:t>
                  </w:r>
                </w:p>
              </w:tc>
            </w:tr>
            <w:tr w:rsidR="00921721" w:rsidRPr="0040737B" w14:paraId="575B8C04"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1CC02AB"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Elektryczne</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A8F2593"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6</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1%</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0A14EDE" w14:textId="77777777" w:rsidR="00921721" w:rsidRPr="0040737B" w:rsidRDefault="00921721" w:rsidP="00880D09">
                  <w:pPr>
                    <w:jc w:val="center"/>
                    <w:rPr>
                      <w:rFonts w:asciiTheme="minorHAnsi" w:hAnsiTheme="minorHAnsi" w:cs="Arial"/>
                      <w:color w:val="4F81BD" w:themeColor="accent1"/>
                      <w:sz w:val="18"/>
                      <w:szCs w:val="18"/>
                    </w:rPr>
                  </w:pPr>
                  <w:r w:rsidRPr="0040737B">
                    <w:rPr>
                      <w:rFonts w:asciiTheme="minorHAnsi" w:hAnsiTheme="minorHAnsi" w:cs="Arial"/>
                      <w:color w:val="4F81BD" w:themeColor="accent1"/>
                      <w:sz w:val="18"/>
                      <w:szCs w:val="18"/>
                    </w:rPr>
                    <w:t>49</w:t>
                  </w:r>
                  <w:r>
                    <w:rPr>
                      <w:rFonts w:asciiTheme="minorHAnsi" w:hAnsiTheme="minorHAnsi" w:cs="Arial"/>
                      <w:color w:val="4F81BD" w:themeColor="accent1"/>
                      <w:sz w:val="18"/>
                      <w:szCs w:val="18"/>
                    </w:rPr>
                    <w:t>,</w:t>
                  </w:r>
                  <w:r w:rsidRPr="0040737B">
                    <w:rPr>
                      <w:rFonts w:asciiTheme="minorHAnsi" w:hAnsiTheme="minorHAnsi" w:cs="Arial"/>
                      <w:color w:val="4F81BD" w:themeColor="accent1"/>
                      <w:sz w:val="18"/>
                      <w:szCs w:val="18"/>
                    </w:rPr>
                    <w:t>0%</w:t>
                  </w:r>
                </w:p>
              </w:tc>
            </w:tr>
          </w:tbl>
          <w:p w14:paraId="6E174879" w14:textId="77777777" w:rsidR="00921721" w:rsidRDefault="00921721" w:rsidP="00880D09">
            <w:pPr>
              <w:pStyle w:val="anxnormal"/>
              <w:ind w:left="0"/>
              <w:rPr>
                <w:rFonts w:asciiTheme="minorHAnsi" w:hAnsiTheme="minorHAnsi"/>
                <w:lang w:eastAsia="en-US"/>
              </w:rPr>
            </w:pPr>
          </w:p>
          <w:p w14:paraId="0E442DB1" w14:textId="77777777" w:rsidR="00921721" w:rsidRPr="00D04EFD" w:rsidRDefault="00921721" w:rsidP="00880D09">
            <w:pPr>
              <w:pStyle w:val="anxnormal"/>
              <w:ind w:left="0"/>
              <w:rPr>
                <w:rFonts w:asciiTheme="minorHAnsi" w:hAnsiTheme="minorHAnsi"/>
                <w:lang w:eastAsia="en-US"/>
              </w:rPr>
            </w:pPr>
            <w:r w:rsidRPr="00D04EFD">
              <w:rPr>
                <w:rFonts w:asciiTheme="minorHAnsi" w:hAnsiTheme="minorHAnsi"/>
                <w:lang w:eastAsia="en-US"/>
              </w:rPr>
              <w:t>Scenariusz ProETSeq</w:t>
            </w:r>
          </w:p>
          <w:tbl>
            <w:tblPr>
              <w:tblW w:w="3395" w:type="dxa"/>
              <w:tblLayout w:type="fixed"/>
              <w:tblLook w:val="04A0" w:firstRow="1" w:lastRow="0" w:firstColumn="1" w:lastColumn="0" w:noHBand="0" w:noVBand="1"/>
            </w:tblPr>
            <w:tblGrid>
              <w:gridCol w:w="1694"/>
              <w:gridCol w:w="850"/>
              <w:gridCol w:w="851"/>
            </w:tblGrid>
            <w:tr w:rsidR="00921721" w:rsidRPr="003B4E5A" w14:paraId="1E17F928"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689989C8" w14:textId="77777777" w:rsidR="00921721" w:rsidRPr="003B4E5A" w:rsidRDefault="00921721" w:rsidP="00880D09">
                  <w:pPr>
                    <w:snapToGrid w:val="0"/>
                    <w:spacing w:before="20" w:after="20"/>
                    <w:jc w:val="center"/>
                    <w:rPr>
                      <w:rFonts w:asciiTheme="minorHAnsi" w:hAnsiTheme="minorHAnsi" w:cs="Arial"/>
                      <w:b/>
                      <w:bCs/>
                      <w:color w:val="FFFFFF"/>
                      <w:sz w:val="18"/>
                      <w:szCs w:val="18"/>
                    </w:rPr>
                  </w:pP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6547BD7B" w14:textId="77777777" w:rsidR="00921721" w:rsidRPr="003B4E5A" w:rsidRDefault="00921721" w:rsidP="00880D09">
                  <w:pPr>
                    <w:snapToGrid w:val="0"/>
                    <w:spacing w:before="20" w:after="20"/>
                    <w:jc w:val="center"/>
                    <w:rPr>
                      <w:rFonts w:asciiTheme="minorHAnsi" w:hAnsiTheme="minorHAnsi" w:cs="Arial"/>
                      <w:b/>
                      <w:bCs/>
                      <w:color w:val="FFFFFF"/>
                      <w:sz w:val="18"/>
                      <w:szCs w:val="18"/>
                    </w:rPr>
                  </w:pPr>
                  <w:r w:rsidRPr="003B4E5A">
                    <w:rPr>
                      <w:rFonts w:asciiTheme="minorHAnsi" w:hAnsiTheme="minorHAnsi" w:cs="Arial"/>
                      <w:b/>
                      <w:bCs/>
                      <w:color w:val="FFFFFF"/>
                      <w:sz w:val="18"/>
                      <w:szCs w:val="18"/>
                    </w:rPr>
                    <w:t>w 2030</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0C3D133E" w14:textId="77777777" w:rsidR="00921721" w:rsidRPr="003B4E5A" w:rsidRDefault="00921721" w:rsidP="00880D09">
                  <w:pPr>
                    <w:snapToGrid w:val="0"/>
                    <w:spacing w:before="20" w:after="20"/>
                    <w:jc w:val="center"/>
                    <w:rPr>
                      <w:rFonts w:asciiTheme="minorHAnsi" w:hAnsiTheme="minorHAnsi" w:cs="Arial"/>
                      <w:b/>
                      <w:bCs/>
                      <w:color w:val="FFFFFF"/>
                      <w:sz w:val="18"/>
                      <w:szCs w:val="18"/>
                    </w:rPr>
                  </w:pPr>
                  <w:r w:rsidRPr="003B4E5A">
                    <w:rPr>
                      <w:rFonts w:asciiTheme="minorHAnsi" w:hAnsiTheme="minorHAnsi" w:cs="Arial"/>
                      <w:b/>
                      <w:bCs/>
                      <w:color w:val="FFFFFF"/>
                      <w:sz w:val="18"/>
                      <w:szCs w:val="18"/>
                    </w:rPr>
                    <w:t>w 2050</w:t>
                  </w:r>
                </w:p>
              </w:tc>
            </w:tr>
            <w:tr w:rsidR="00921721" w:rsidRPr="003B4E5A" w14:paraId="65FB91F5"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8BE3FE3"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Olej nap</w:t>
                  </w:r>
                  <w:r>
                    <w:rPr>
                      <w:rFonts w:asciiTheme="minorHAnsi" w:hAnsiTheme="minorHAnsi" w:cs="Arial"/>
                      <w:color w:val="4F81BD" w:themeColor="accent1"/>
                      <w:sz w:val="18"/>
                      <w:szCs w:val="18"/>
                    </w:rPr>
                    <w:t>ędowy</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5A59E76"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26</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1%</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DBCFB25"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9</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4%</w:t>
                  </w:r>
                </w:p>
              </w:tc>
            </w:tr>
            <w:tr w:rsidR="00921721" w:rsidRPr="003B4E5A" w14:paraId="3AED00C8"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F1B43D5"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CNG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4064ECB"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109AAE0"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6%</w:t>
                  </w:r>
                </w:p>
              </w:tc>
            </w:tr>
            <w:tr w:rsidR="00921721" w:rsidRPr="003B4E5A" w14:paraId="38F477C9"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143D558"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LPG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25C5EE6"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11</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6%</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CB14D6E"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5</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2%</w:t>
                  </w:r>
                </w:p>
              </w:tc>
            </w:tr>
            <w:tr w:rsidR="00921721" w:rsidRPr="003B4E5A" w14:paraId="13E1EE4F"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5A4398E"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Benzyna</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840C6C4"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50</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3%</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816204C"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20</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5%</w:t>
                  </w:r>
                </w:p>
              </w:tc>
            </w:tr>
            <w:tr w:rsidR="00921721" w:rsidRPr="003B4E5A" w14:paraId="3F10A89C"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D801959"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Hybryda</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6596492"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5</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E73E477"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10</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0%</w:t>
                  </w:r>
                </w:p>
              </w:tc>
            </w:tr>
            <w:tr w:rsidR="00921721" w:rsidRPr="003B4E5A" w14:paraId="5596CA13"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D213A6A"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Elektryczne</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ECAFB3A"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6</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6%</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C14D0B0" w14:textId="77777777" w:rsidR="00921721" w:rsidRPr="003B4E5A" w:rsidRDefault="00921721" w:rsidP="00880D09">
                  <w:pPr>
                    <w:jc w:val="center"/>
                    <w:rPr>
                      <w:rFonts w:asciiTheme="minorHAnsi" w:hAnsiTheme="minorHAnsi" w:cs="Arial"/>
                      <w:color w:val="4F81BD" w:themeColor="accent1"/>
                      <w:sz w:val="18"/>
                      <w:szCs w:val="18"/>
                    </w:rPr>
                  </w:pPr>
                  <w:r w:rsidRPr="003B4E5A">
                    <w:rPr>
                      <w:rFonts w:asciiTheme="minorHAnsi" w:hAnsiTheme="minorHAnsi" w:cs="Arial"/>
                      <w:color w:val="4F81BD" w:themeColor="accent1"/>
                      <w:sz w:val="18"/>
                      <w:szCs w:val="18"/>
                    </w:rPr>
                    <w:t>54</w:t>
                  </w:r>
                  <w:r>
                    <w:rPr>
                      <w:rFonts w:asciiTheme="minorHAnsi" w:hAnsiTheme="minorHAnsi" w:cs="Arial"/>
                      <w:color w:val="4F81BD" w:themeColor="accent1"/>
                      <w:sz w:val="18"/>
                      <w:szCs w:val="18"/>
                    </w:rPr>
                    <w:t>,</w:t>
                  </w:r>
                  <w:r w:rsidRPr="003B4E5A">
                    <w:rPr>
                      <w:rFonts w:asciiTheme="minorHAnsi" w:hAnsiTheme="minorHAnsi" w:cs="Arial"/>
                      <w:color w:val="4F81BD" w:themeColor="accent1"/>
                      <w:sz w:val="18"/>
                      <w:szCs w:val="18"/>
                    </w:rPr>
                    <w:t>3%</w:t>
                  </w:r>
                </w:p>
              </w:tc>
            </w:tr>
          </w:tbl>
          <w:p w14:paraId="14D32873" w14:textId="77777777" w:rsidR="00921721" w:rsidRPr="001569CA" w:rsidRDefault="00921721" w:rsidP="00880D09">
            <w:pPr>
              <w:pStyle w:val="anxnormal"/>
              <w:ind w:left="0"/>
              <w:rPr>
                <w:rFonts w:asciiTheme="minorHAnsi" w:hAnsiTheme="minorHAnsi"/>
                <w:lang w:eastAsia="en-US"/>
              </w:rPr>
            </w:pPr>
            <w:r>
              <w:rPr>
                <w:rFonts w:asciiTheme="minorHAnsi" w:hAnsiTheme="minorHAnsi"/>
                <w:lang w:eastAsia="en-US"/>
              </w:rPr>
              <w:t>W </w:t>
            </w:r>
            <w:r w:rsidRPr="001569CA">
              <w:rPr>
                <w:rFonts w:asciiTheme="minorHAnsi" w:hAnsiTheme="minorHAnsi"/>
                <w:lang w:eastAsia="en-US"/>
              </w:rPr>
              <w:t>celu uproszczenia obliczeń wykonywanych na potrzeby AKK dla projektów, proponuje się uwzględnienie uproszczone</w:t>
            </w:r>
            <w:r>
              <w:rPr>
                <w:rFonts w:asciiTheme="minorHAnsi" w:hAnsiTheme="minorHAnsi"/>
                <w:lang w:eastAsia="en-US"/>
              </w:rPr>
              <w:t>j</w:t>
            </w:r>
            <w:r w:rsidRPr="001569CA">
              <w:rPr>
                <w:rFonts w:asciiTheme="minorHAnsi" w:hAnsiTheme="minorHAnsi"/>
                <w:lang w:eastAsia="en-US"/>
              </w:rPr>
              <w:t xml:space="preserve"> ewolucji składu floty w</w:t>
            </w:r>
            <w:r>
              <w:rPr>
                <w:rFonts w:asciiTheme="minorHAnsi" w:hAnsiTheme="minorHAnsi"/>
                <w:lang w:eastAsia="en-US"/>
              </w:rPr>
              <w:t> </w:t>
            </w:r>
            <w:r w:rsidRPr="001569CA">
              <w:rPr>
                <w:rFonts w:asciiTheme="minorHAnsi" w:hAnsiTheme="minorHAnsi"/>
                <w:lang w:eastAsia="en-US"/>
              </w:rPr>
              <w:t xml:space="preserve">czasie przedstawione poniżej. Jest ona </w:t>
            </w:r>
            <w:r>
              <w:rPr>
                <w:rFonts w:asciiTheme="minorHAnsi" w:hAnsiTheme="minorHAnsi"/>
                <w:lang w:eastAsia="en-US"/>
              </w:rPr>
              <w:t>oparta na scenariuszu bazowym i </w:t>
            </w:r>
            <w:r w:rsidRPr="001569CA">
              <w:rPr>
                <w:rFonts w:asciiTheme="minorHAnsi" w:hAnsiTheme="minorHAnsi"/>
                <w:lang w:eastAsia="en-US"/>
              </w:rPr>
              <w:t>konsekwentnym zastosowaniu następujących założeń: pojazdy CNG/LPG mają osiągi po</w:t>
            </w:r>
            <w:r>
              <w:rPr>
                <w:rFonts w:asciiTheme="minorHAnsi" w:hAnsiTheme="minorHAnsi"/>
                <w:lang w:eastAsia="en-US"/>
              </w:rPr>
              <w:t>dobne do silników benzynowych i dlatego uwzględniono je w </w:t>
            </w:r>
            <w:r w:rsidRPr="001569CA">
              <w:rPr>
                <w:rFonts w:asciiTheme="minorHAnsi" w:hAnsiTheme="minorHAnsi"/>
                <w:lang w:eastAsia="en-US"/>
              </w:rPr>
              <w:t xml:space="preserve">ich ogólnym </w:t>
            </w:r>
            <w:r>
              <w:rPr>
                <w:rFonts w:asciiTheme="minorHAnsi" w:hAnsiTheme="minorHAnsi"/>
                <w:lang w:eastAsia="en-US"/>
              </w:rPr>
              <w:t>udziale; hybrydy uwzględniono w </w:t>
            </w:r>
            <w:r w:rsidRPr="001569CA">
              <w:rPr>
                <w:rFonts w:asciiTheme="minorHAnsi" w:hAnsiTheme="minorHAnsi"/>
                <w:lang w:eastAsia="en-US"/>
              </w:rPr>
              <w:t>udziale pojazdów elektrycznych. Oc</w:t>
            </w:r>
            <w:r>
              <w:rPr>
                <w:rFonts w:asciiTheme="minorHAnsi" w:hAnsiTheme="minorHAnsi"/>
                <w:lang w:eastAsia="en-US"/>
              </w:rPr>
              <w:t>zywiście, możliwe jest (i </w:t>
            </w:r>
            <w:r w:rsidRPr="001569CA">
              <w:rPr>
                <w:rFonts w:asciiTheme="minorHAnsi" w:hAnsiTheme="minorHAnsi"/>
                <w:lang w:eastAsia="en-US"/>
              </w:rPr>
              <w:t>może być zalecane) uwzględnienie szczegółowego składu floty, kiedy szczegółowym celem analizy jest zbadanie wpływu zmian floty.</w:t>
            </w:r>
          </w:p>
          <w:p w14:paraId="03C38CB0" w14:textId="77777777" w:rsidR="00921721" w:rsidRPr="00DF0989" w:rsidRDefault="00921721" w:rsidP="00880D09">
            <w:pPr>
              <w:pStyle w:val="anxnormal"/>
              <w:ind w:left="0"/>
              <w:rPr>
                <w:rFonts w:asciiTheme="minorHAnsi" w:hAnsiTheme="minorHAnsi"/>
                <w:lang w:eastAsia="en-US"/>
              </w:rPr>
            </w:pPr>
          </w:p>
          <w:p w14:paraId="7FF8E54B" w14:textId="77777777" w:rsidR="00921721" w:rsidRPr="00DF0989" w:rsidRDefault="00921721" w:rsidP="00880D09">
            <w:pPr>
              <w:pStyle w:val="anxnormal"/>
              <w:ind w:left="0"/>
              <w:rPr>
                <w:rFonts w:asciiTheme="minorHAnsi" w:hAnsiTheme="minorHAnsi"/>
                <w:lang w:eastAsia="en-US"/>
              </w:rPr>
            </w:pPr>
            <w:r w:rsidRPr="00DF0989">
              <w:rPr>
                <w:rFonts w:asciiTheme="minorHAnsi" w:hAnsiTheme="minorHAnsi"/>
                <w:lang w:eastAsia="en-US"/>
              </w:rPr>
              <w:t xml:space="preserve">Ogólna struktura floty pojazdów kategorii LV prognozowana dla celów AKK </w:t>
            </w:r>
          </w:p>
          <w:tbl>
            <w:tblPr>
              <w:tblW w:w="6519" w:type="dxa"/>
              <w:tblLayout w:type="fixed"/>
              <w:tblLook w:val="04A0" w:firstRow="1" w:lastRow="0" w:firstColumn="1" w:lastColumn="0" w:noHBand="0" w:noVBand="1"/>
            </w:tblPr>
            <w:tblGrid>
              <w:gridCol w:w="2602"/>
              <w:gridCol w:w="1305"/>
              <w:gridCol w:w="1306"/>
              <w:gridCol w:w="1306"/>
            </w:tblGrid>
            <w:tr w:rsidR="00921721" w:rsidRPr="00F354E0" w14:paraId="200E79F9" w14:textId="77777777" w:rsidTr="00880D09">
              <w:trPr>
                <w:trHeight w:hRule="exact" w:val="397"/>
              </w:trPr>
              <w:tc>
                <w:tcPr>
                  <w:tcW w:w="2602"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0A8178A4" w14:textId="77777777" w:rsidR="00921721" w:rsidRPr="0093235F" w:rsidRDefault="00921721" w:rsidP="00880D09">
                  <w:pPr>
                    <w:snapToGrid w:val="0"/>
                    <w:spacing w:before="20" w:after="20"/>
                    <w:rPr>
                      <w:rFonts w:asciiTheme="minorHAnsi" w:hAnsiTheme="minorHAnsi" w:cs="Arial"/>
                      <w:b/>
                      <w:bCs/>
                      <w:color w:val="FFFFFF"/>
                      <w:sz w:val="18"/>
                      <w:szCs w:val="18"/>
                    </w:rPr>
                  </w:pPr>
                  <w:r w:rsidRPr="0093235F">
                    <w:rPr>
                      <w:rFonts w:asciiTheme="minorHAnsi" w:hAnsiTheme="minorHAnsi" w:cs="Arial"/>
                      <w:b/>
                      <w:bCs/>
                      <w:color w:val="FFFFFF"/>
                      <w:sz w:val="18"/>
                      <w:szCs w:val="18"/>
                    </w:rPr>
                    <w:t>Rodzaj paliwa</w:t>
                  </w:r>
                </w:p>
              </w:tc>
              <w:tc>
                <w:tcPr>
                  <w:tcW w:w="1305"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23FDF1F0" w14:textId="77777777" w:rsidR="00921721" w:rsidRPr="0093235F" w:rsidRDefault="00921721" w:rsidP="00880D09">
                  <w:pPr>
                    <w:snapToGrid w:val="0"/>
                    <w:spacing w:before="20" w:after="20"/>
                    <w:jc w:val="center"/>
                    <w:rPr>
                      <w:rFonts w:asciiTheme="minorHAnsi" w:hAnsiTheme="minorHAnsi" w:cs="Arial"/>
                      <w:b/>
                      <w:bCs/>
                      <w:color w:val="FFFFFF"/>
                      <w:sz w:val="18"/>
                      <w:szCs w:val="18"/>
                    </w:rPr>
                  </w:pPr>
                  <w:r w:rsidRPr="0093235F">
                    <w:rPr>
                      <w:rFonts w:asciiTheme="minorHAnsi" w:hAnsiTheme="minorHAnsi" w:cs="Arial"/>
                      <w:b/>
                      <w:bCs/>
                      <w:color w:val="FFFFFF"/>
                      <w:sz w:val="18"/>
                      <w:szCs w:val="18"/>
                    </w:rPr>
                    <w:t>koniec 2019</w:t>
                  </w:r>
                </w:p>
              </w:tc>
              <w:tc>
                <w:tcPr>
                  <w:tcW w:w="1306"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60374D2B" w14:textId="77777777" w:rsidR="00921721" w:rsidRPr="0093235F" w:rsidRDefault="00921721" w:rsidP="00880D09">
                  <w:pPr>
                    <w:snapToGrid w:val="0"/>
                    <w:spacing w:before="20" w:after="20"/>
                    <w:jc w:val="center"/>
                    <w:rPr>
                      <w:rFonts w:asciiTheme="minorHAnsi" w:hAnsiTheme="minorHAnsi" w:cs="Arial"/>
                      <w:b/>
                      <w:bCs/>
                      <w:color w:val="FFFFFF"/>
                      <w:sz w:val="18"/>
                      <w:szCs w:val="18"/>
                    </w:rPr>
                  </w:pPr>
                  <w:r w:rsidRPr="0093235F">
                    <w:rPr>
                      <w:rFonts w:asciiTheme="minorHAnsi" w:hAnsiTheme="minorHAnsi" w:cs="Arial"/>
                      <w:b/>
                      <w:bCs/>
                      <w:color w:val="FFFFFF"/>
                      <w:sz w:val="18"/>
                      <w:szCs w:val="18"/>
                    </w:rPr>
                    <w:t>2030</w:t>
                  </w:r>
                </w:p>
              </w:tc>
              <w:tc>
                <w:tcPr>
                  <w:tcW w:w="1306" w:type="dxa"/>
                  <w:tcBorders>
                    <w:top w:val="single" w:sz="4" w:space="0" w:color="FFFFFF"/>
                    <w:left w:val="single" w:sz="4" w:space="0" w:color="FFFFFF"/>
                    <w:bottom w:val="single" w:sz="4" w:space="0" w:color="FFFFFF"/>
                    <w:right w:val="nil"/>
                  </w:tcBorders>
                  <w:shd w:val="clear" w:color="auto" w:fill="A6A6A6" w:themeFill="background1" w:themeFillShade="A6"/>
                </w:tcPr>
                <w:p w14:paraId="44984150" w14:textId="77777777" w:rsidR="00921721" w:rsidRPr="0093235F" w:rsidRDefault="00921721" w:rsidP="00880D09">
                  <w:pPr>
                    <w:snapToGrid w:val="0"/>
                    <w:spacing w:before="20" w:after="20"/>
                    <w:jc w:val="center"/>
                    <w:rPr>
                      <w:rFonts w:asciiTheme="minorHAnsi" w:hAnsiTheme="minorHAnsi" w:cs="Arial"/>
                      <w:b/>
                      <w:bCs/>
                      <w:color w:val="FFFFFF"/>
                      <w:sz w:val="18"/>
                      <w:szCs w:val="18"/>
                    </w:rPr>
                  </w:pPr>
                  <w:r w:rsidRPr="0093235F">
                    <w:rPr>
                      <w:rFonts w:asciiTheme="minorHAnsi" w:hAnsiTheme="minorHAnsi" w:cs="Arial"/>
                      <w:b/>
                      <w:bCs/>
                      <w:color w:val="FFFFFF"/>
                      <w:sz w:val="18"/>
                      <w:szCs w:val="18"/>
                    </w:rPr>
                    <w:t>2050</w:t>
                  </w:r>
                </w:p>
              </w:tc>
            </w:tr>
            <w:tr w:rsidR="00921721" w:rsidRPr="00F354E0" w14:paraId="7E381147" w14:textId="77777777" w:rsidTr="00880D09">
              <w:trPr>
                <w:trHeight w:val="330"/>
              </w:trPr>
              <w:tc>
                <w:tcPr>
                  <w:tcW w:w="2602"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66A0C1D" w14:textId="77777777" w:rsidR="00921721" w:rsidRPr="0093235F" w:rsidRDefault="00921721" w:rsidP="00880D09">
                  <w:pPr>
                    <w:rPr>
                      <w:rFonts w:asciiTheme="minorHAnsi" w:hAnsiTheme="minorHAnsi" w:cs="Arial"/>
                      <w:color w:val="4F81BD" w:themeColor="accent1"/>
                      <w:sz w:val="18"/>
                      <w:szCs w:val="18"/>
                    </w:rPr>
                  </w:pPr>
                  <w:r w:rsidRPr="0093235F">
                    <w:rPr>
                      <w:rFonts w:asciiTheme="minorHAnsi" w:hAnsiTheme="minorHAnsi" w:cs="Arial"/>
                      <w:color w:val="4F81BD" w:themeColor="accent1"/>
                      <w:sz w:val="18"/>
                      <w:szCs w:val="18"/>
                    </w:rPr>
                    <w:t>Spalinowe</w:t>
                  </w:r>
                </w:p>
              </w:tc>
              <w:tc>
                <w:tcPr>
                  <w:tcW w:w="1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D5F9964" w14:textId="77777777" w:rsidR="00921721" w:rsidRPr="0093235F" w:rsidRDefault="00921721" w:rsidP="00880D09">
                  <w:pPr>
                    <w:jc w:val="center"/>
                    <w:rPr>
                      <w:rFonts w:asciiTheme="minorHAnsi" w:hAnsiTheme="minorHAnsi" w:cs="Arial"/>
                      <w:color w:val="4F81BD" w:themeColor="accent1"/>
                      <w:sz w:val="18"/>
                      <w:szCs w:val="18"/>
                    </w:rPr>
                  </w:pPr>
                  <w:r w:rsidRPr="0093235F">
                    <w:rPr>
                      <w:rFonts w:asciiTheme="minorHAnsi" w:hAnsiTheme="minorHAnsi" w:cs="Arial"/>
                      <w:color w:val="4F81BD" w:themeColor="accent1"/>
                      <w:sz w:val="18"/>
                      <w:szCs w:val="18"/>
                    </w:rPr>
                    <w:t>100,00%</w:t>
                  </w:r>
                </w:p>
              </w:tc>
              <w:tc>
                <w:tcPr>
                  <w:tcW w:w="1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78C578A" w14:textId="77777777" w:rsidR="00921721" w:rsidRPr="0093235F" w:rsidRDefault="00921721" w:rsidP="00880D09">
                  <w:pPr>
                    <w:jc w:val="center"/>
                    <w:rPr>
                      <w:rFonts w:asciiTheme="minorHAnsi" w:hAnsiTheme="minorHAnsi" w:cs="Arial"/>
                      <w:color w:val="4F81BD" w:themeColor="accent1"/>
                      <w:sz w:val="18"/>
                      <w:szCs w:val="18"/>
                    </w:rPr>
                  </w:pPr>
                  <w:r w:rsidRPr="0093235F">
                    <w:rPr>
                      <w:rFonts w:asciiTheme="minorHAnsi" w:hAnsiTheme="minorHAnsi" w:cs="Arial"/>
                      <w:color w:val="4F81BD" w:themeColor="accent1"/>
                      <w:sz w:val="18"/>
                      <w:szCs w:val="18"/>
                    </w:rPr>
                    <w:t>92,20%</w:t>
                  </w:r>
                </w:p>
              </w:tc>
              <w:tc>
                <w:tcPr>
                  <w:tcW w:w="130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E07042D" w14:textId="77777777" w:rsidR="00921721" w:rsidRPr="0093235F" w:rsidRDefault="00921721" w:rsidP="00880D09">
                  <w:pPr>
                    <w:jc w:val="center"/>
                    <w:rPr>
                      <w:rFonts w:asciiTheme="minorHAnsi" w:hAnsiTheme="minorHAnsi" w:cs="Arial"/>
                      <w:color w:val="4F81BD" w:themeColor="accent1"/>
                      <w:sz w:val="18"/>
                      <w:szCs w:val="18"/>
                    </w:rPr>
                  </w:pPr>
                  <w:r w:rsidRPr="0093235F">
                    <w:rPr>
                      <w:rFonts w:asciiTheme="minorHAnsi" w:hAnsiTheme="minorHAnsi" w:cs="Arial"/>
                      <w:color w:val="4F81BD" w:themeColor="accent1"/>
                      <w:sz w:val="18"/>
                      <w:szCs w:val="18"/>
                    </w:rPr>
                    <w:t>66,90%</w:t>
                  </w:r>
                </w:p>
              </w:tc>
            </w:tr>
            <w:tr w:rsidR="00921721" w:rsidRPr="00F354E0" w14:paraId="1A94E37D" w14:textId="77777777" w:rsidTr="00880D09">
              <w:trPr>
                <w:trHeight w:val="330"/>
              </w:trPr>
              <w:tc>
                <w:tcPr>
                  <w:tcW w:w="2602"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7FBD651" w14:textId="77777777" w:rsidR="00921721" w:rsidRPr="0093235F" w:rsidRDefault="00921721" w:rsidP="00880D09">
                  <w:pPr>
                    <w:rPr>
                      <w:rFonts w:asciiTheme="minorHAnsi" w:hAnsiTheme="minorHAnsi" w:cs="Arial"/>
                      <w:color w:val="4F81BD" w:themeColor="accent1"/>
                      <w:sz w:val="18"/>
                      <w:szCs w:val="18"/>
                    </w:rPr>
                  </w:pPr>
                  <w:r w:rsidRPr="0093235F">
                    <w:rPr>
                      <w:rFonts w:asciiTheme="minorHAnsi" w:hAnsiTheme="minorHAnsi" w:cs="Arial"/>
                      <w:color w:val="4F81BD" w:themeColor="accent1"/>
                      <w:sz w:val="18"/>
                      <w:szCs w:val="18"/>
                    </w:rPr>
                    <w:t>Elektryczne</w:t>
                  </w:r>
                </w:p>
              </w:tc>
              <w:tc>
                <w:tcPr>
                  <w:tcW w:w="1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359AF47" w14:textId="77777777" w:rsidR="00921721" w:rsidRPr="0093235F" w:rsidRDefault="00921721" w:rsidP="00880D09">
                  <w:pPr>
                    <w:jc w:val="center"/>
                    <w:rPr>
                      <w:rFonts w:asciiTheme="minorHAnsi" w:hAnsiTheme="minorHAnsi" w:cs="Arial"/>
                      <w:color w:val="4F81BD" w:themeColor="accent1"/>
                      <w:sz w:val="18"/>
                      <w:szCs w:val="18"/>
                    </w:rPr>
                  </w:pPr>
                  <w:r w:rsidRPr="0093235F">
                    <w:rPr>
                      <w:rFonts w:asciiTheme="minorHAnsi" w:hAnsiTheme="minorHAnsi" w:cs="Arial"/>
                      <w:color w:val="4F81BD" w:themeColor="accent1"/>
                      <w:sz w:val="18"/>
                      <w:szCs w:val="18"/>
                    </w:rPr>
                    <w:t>0,00%</w:t>
                  </w:r>
                </w:p>
              </w:tc>
              <w:tc>
                <w:tcPr>
                  <w:tcW w:w="1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2A60611" w14:textId="77777777" w:rsidR="00921721" w:rsidRPr="0093235F" w:rsidRDefault="00921721" w:rsidP="00880D09">
                  <w:pPr>
                    <w:jc w:val="center"/>
                    <w:rPr>
                      <w:rFonts w:asciiTheme="minorHAnsi" w:hAnsiTheme="minorHAnsi" w:cs="Arial"/>
                      <w:color w:val="4F81BD" w:themeColor="accent1"/>
                      <w:sz w:val="18"/>
                      <w:szCs w:val="18"/>
                    </w:rPr>
                  </w:pPr>
                  <w:r w:rsidRPr="0093235F">
                    <w:rPr>
                      <w:rFonts w:asciiTheme="minorHAnsi" w:hAnsiTheme="minorHAnsi" w:cs="Arial"/>
                      <w:color w:val="4F81BD" w:themeColor="accent1"/>
                      <w:sz w:val="18"/>
                      <w:szCs w:val="18"/>
                    </w:rPr>
                    <w:t>7,80%</w:t>
                  </w:r>
                </w:p>
              </w:tc>
              <w:tc>
                <w:tcPr>
                  <w:tcW w:w="130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6439AC1" w14:textId="77777777" w:rsidR="00921721" w:rsidRPr="0093235F" w:rsidRDefault="00921721" w:rsidP="00880D09">
                  <w:pPr>
                    <w:jc w:val="center"/>
                    <w:rPr>
                      <w:rFonts w:asciiTheme="minorHAnsi" w:hAnsiTheme="minorHAnsi" w:cs="Arial"/>
                      <w:color w:val="4F81BD" w:themeColor="accent1"/>
                      <w:sz w:val="18"/>
                      <w:szCs w:val="18"/>
                    </w:rPr>
                  </w:pPr>
                  <w:r w:rsidRPr="0093235F">
                    <w:rPr>
                      <w:rFonts w:asciiTheme="minorHAnsi" w:hAnsiTheme="minorHAnsi" w:cs="Arial"/>
                      <w:color w:val="4F81BD" w:themeColor="accent1"/>
                      <w:sz w:val="18"/>
                      <w:szCs w:val="18"/>
                    </w:rPr>
                    <w:t>33,10%</w:t>
                  </w:r>
                </w:p>
              </w:tc>
            </w:tr>
          </w:tbl>
          <w:p w14:paraId="5CE7F22C" w14:textId="77777777" w:rsidR="00921721" w:rsidRPr="00F354E0" w:rsidRDefault="00921721" w:rsidP="00880D09">
            <w:pPr>
              <w:pStyle w:val="anxnormal"/>
              <w:ind w:left="0"/>
              <w:rPr>
                <w:rFonts w:asciiTheme="minorHAnsi" w:hAnsiTheme="minorHAnsi" w:cstheme="minorHAnsi"/>
                <w:b/>
                <w:i/>
                <w:lang w:eastAsia="en-US"/>
              </w:rPr>
            </w:pPr>
            <w:r w:rsidRPr="00F354E0">
              <w:rPr>
                <w:rStyle w:val="jlqj4b"/>
                <w:rFonts w:asciiTheme="minorHAnsi" w:hAnsiTheme="minorHAnsi" w:cstheme="minorHAnsi"/>
                <w:b/>
                <w:i/>
                <w:color w:val="000000"/>
              </w:rPr>
              <w:t>Powyższe prognozy dotyczące udziałów pojazdów elektrycznych należy zweryfikować w</w:t>
            </w:r>
            <w:r>
              <w:rPr>
                <w:rStyle w:val="jlqj4b"/>
                <w:rFonts w:asciiTheme="minorHAnsi" w:hAnsiTheme="minorHAnsi" w:cstheme="minorHAnsi"/>
                <w:b/>
                <w:i/>
                <w:color w:val="000000"/>
              </w:rPr>
              <w:t> </w:t>
            </w:r>
            <w:r w:rsidRPr="00F354E0">
              <w:rPr>
                <w:rStyle w:val="jlqj4b"/>
                <w:rFonts w:asciiTheme="minorHAnsi" w:hAnsiTheme="minorHAnsi" w:cstheme="minorHAnsi"/>
                <w:b/>
                <w:i/>
                <w:color w:val="000000"/>
              </w:rPr>
              <w:t>okresie programowania finansowego 2021-2027, gdy tylko dostępne będą aktualne i wiarygodne prognozy dla Polski.</w:t>
            </w:r>
          </w:p>
          <w:p w14:paraId="494271ED" w14:textId="77777777" w:rsidR="00921721" w:rsidRDefault="00921721" w:rsidP="00880D09">
            <w:pPr>
              <w:pStyle w:val="anxnormal"/>
              <w:ind w:left="0"/>
              <w:rPr>
                <w:rFonts w:asciiTheme="minorHAnsi" w:hAnsiTheme="minorHAnsi"/>
                <w:u w:val="single"/>
                <w:lang w:eastAsia="en-US"/>
              </w:rPr>
            </w:pPr>
          </w:p>
          <w:p w14:paraId="1519792D" w14:textId="77777777" w:rsidR="00921721" w:rsidRDefault="00921721" w:rsidP="00880D09">
            <w:pPr>
              <w:pStyle w:val="anxnormal"/>
              <w:ind w:left="0"/>
              <w:rPr>
                <w:rFonts w:asciiTheme="minorHAnsi" w:hAnsiTheme="minorHAnsi"/>
                <w:u w:val="single"/>
                <w:lang w:eastAsia="en-US"/>
              </w:rPr>
            </w:pPr>
            <w:r>
              <w:rPr>
                <w:rFonts w:asciiTheme="minorHAnsi" w:hAnsiTheme="minorHAnsi"/>
                <w:u w:val="single"/>
                <w:lang w:eastAsia="en-US"/>
              </w:rPr>
              <w:t>Pojazdy HGV – skład floty</w:t>
            </w:r>
          </w:p>
          <w:p w14:paraId="0D4A724A" w14:textId="77777777" w:rsidR="00921721" w:rsidRPr="001569CA" w:rsidRDefault="00921721" w:rsidP="00880D09">
            <w:pPr>
              <w:pStyle w:val="anxnormal"/>
              <w:ind w:left="0"/>
              <w:rPr>
                <w:rFonts w:asciiTheme="minorHAnsi" w:hAnsiTheme="minorHAnsi"/>
                <w:lang w:eastAsia="en-US"/>
              </w:rPr>
            </w:pPr>
            <w:r w:rsidRPr="001569CA">
              <w:rPr>
                <w:rFonts w:asciiTheme="minorHAnsi" w:hAnsiTheme="minorHAnsi"/>
                <w:lang w:eastAsia="en-US"/>
              </w:rPr>
              <w:t xml:space="preserve">Zakłada się, </w:t>
            </w:r>
            <w:r>
              <w:rPr>
                <w:rFonts w:asciiTheme="minorHAnsi" w:hAnsiTheme="minorHAnsi"/>
                <w:lang w:eastAsia="en-US"/>
              </w:rPr>
              <w:t>że</w:t>
            </w:r>
            <w:r w:rsidRPr="001569CA">
              <w:rPr>
                <w:rFonts w:asciiTheme="minorHAnsi" w:hAnsiTheme="minorHAnsi"/>
                <w:lang w:eastAsia="en-US"/>
              </w:rPr>
              <w:t xml:space="preserve"> struktura floty pojazdów kategorii HGV pozostanie w 1</w:t>
            </w:r>
            <w:r>
              <w:rPr>
                <w:rFonts w:asciiTheme="minorHAnsi" w:hAnsiTheme="minorHAnsi"/>
                <w:lang w:eastAsia="en-US"/>
              </w:rPr>
              <w:t>00% oparta na oleju napędowym w </w:t>
            </w:r>
            <w:r w:rsidRPr="001569CA">
              <w:rPr>
                <w:rFonts w:asciiTheme="minorHAnsi" w:hAnsiTheme="minorHAnsi"/>
                <w:lang w:eastAsia="en-US"/>
              </w:rPr>
              <w:t>okresie analizy.</w:t>
            </w:r>
          </w:p>
          <w:bookmarkEnd w:id="125"/>
          <w:p w14:paraId="7C0F4A89" w14:textId="77777777" w:rsidR="00921721" w:rsidRDefault="00921721" w:rsidP="00880D09">
            <w:pPr>
              <w:pStyle w:val="anxnormal"/>
              <w:ind w:left="0"/>
              <w:rPr>
                <w:rFonts w:asciiTheme="minorHAnsi" w:hAnsiTheme="minorHAnsi"/>
                <w:u w:val="single"/>
                <w:lang w:eastAsia="en-US"/>
              </w:rPr>
            </w:pPr>
          </w:p>
          <w:p w14:paraId="71AB58D0" w14:textId="77777777" w:rsidR="00921721" w:rsidRDefault="00921721" w:rsidP="00880D09">
            <w:pPr>
              <w:pStyle w:val="anxnormal"/>
              <w:ind w:left="0"/>
              <w:rPr>
                <w:rFonts w:asciiTheme="minorHAnsi" w:hAnsiTheme="minorHAnsi"/>
                <w:u w:val="single"/>
                <w:lang w:eastAsia="en-US"/>
              </w:rPr>
            </w:pPr>
          </w:p>
          <w:p w14:paraId="557B04E5" w14:textId="77777777" w:rsidR="00921721" w:rsidRPr="00731E4E" w:rsidRDefault="00921721" w:rsidP="00880D09">
            <w:pPr>
              <w:pStyle w:val="anxnormal"/>
              <w:ind w:left="0"/>
              <w:rPr>
                <w:rFonts w:asciiTheme="minorHAnsi" w:hAnsiTheme="minorHAnsi"/>
                <w:u w:val="single"/>
                <w:lang w:eastAsia="en-US"/>
              </w:rPr>
            </w:pPr>
            <w:r w:rsidRPr="00731E4E">
              <w:rPr>
                <w:rFonts w:asciiTheme="minorHAnsi" w:hAnsiTheme="minorHAnsi"/>
                <w:u w:val="single"/>
                <w:lang w:eastAsia="en-US"/>
              </w:rPr>
              <w:t>Zmienność kosztów jednostkowych</w:t>
            </w:r>
            <w:r>
              <w:rPr>
                <w:rFonts w:asciiTheme="minorHAnsi" w:hAnsiTheme="minorHAnsi"/>
                <w:u w:val="single"/>
                <w:lang w:eastAsia="en-US"/>
              </w:rPr>
              <w:t xml:space="preserve"> w </w:t>
            </w:r>
            <w:r w:rsidRPr="00731E4E">
              <w:rPr>
                <w:rFonts w:asciiTheme="minorHAnsi" w:hAnsiTheme="minorHAnsi"/>
                <w:u w:val="single"/>
                <w:lang w:eastAsia="en-US"/>
              </w:rPr>
              <w:t>czasie</w:t>
            </w:r>
          </w:p>
          <w:p w14:paraId="6B779D3B" w14:textId="77777777" w:rsidR="00921721" w:rsidRPr="00AD3A1D" w:rsidRDefault="00921721" w:rsidP="00880D09">
            <w:pPr>
              <w:pStyle w:val="anxnormal"/>
              <w:ind w:left="0"/>
              <w:rPr>
                <w:rFonts w:asciiTheme="minorHAnsi" w:hAnsiTheme="minorHAnsi"/>
                <w:lang w:eastAsia="en-US"/>
              </w:rPr>
            </w:pPr>
            <w:r w:rsidRPr="00731E4E">
              <w:rPr>
                <w:rFonts w:asciiTheme="minorHAnsi" w:hAnsiTheme="minorHAnsi"/>
                <w:lang w:eastAsia="en-US"/>
              </w:rPr>
              <w:t>Zakłada się brak realnego wzrostu jednostkowych kosztów eksploatacji pojazdów w</w:t>
            </w:r>
            <w:r>
              <w:rPr>
                <w:rFonts w:asciiTheme="minorHAnsi" w:hAnsiTheme="minorHAnsi"/>
                <w:lang w:eastAsia="en-US"/>
              </w:rPr>
              <w:t> </w:t>
            </w:r>
            <w:r w:rsidRPr="00731E4E">
              <w:rPr>
                <w:rFonts w:asciiTheme="minorHAnsi" w:hAnsiTheme="minorHAnsi"/>
                <w:lang w:eastAsia="en-US"/>
              </w:rPr>
              <w:t>czasie.</w:t>
            </w:r>
            <w:r w:rsidRPr="002C6855">
              <w:rPr>
                <w:rFonts w:asciiTheme="minorHAnsi" w:hAnsiTheme="minorHAnsi"/>
                <w:lang w:eastAsia="en-US"/>
              </w:rPr>
              <w:t xml:space="preserve"> </w:t>
            </w:r>
            <w:r w:rsidRPr="00B72029">
              <w:rPr>
                <w:rFonts w:asciiTheme="minorHAnsi" w:hAnsiTheme="minorHAnsi"/>
                <w:lang w:eastAsia="en-US"/>
              </w:rPr>
              <w:t>Należy jedynie uwzględnić indeksację nominalną wskaźnikiem polskiej inflacji CPI do poziomu cenowego właściwego dla roku bazowego, kiedy rok bazowy zmieni się z obecnie przyjętego (202</w:t>
            </w:r>
            <w:r>
              <w:rPr>
                <w:rFonts w:asciiTheme="minorHAnsi" w:hAnsiTheme="minorHAnsi"/>
                <w:lang w:eastAsia="en-US"/>
              </w:rPr>
              <w:t>1</w:t>
            </w:r>
            <w:r w:rsidRPr="00B72029">
              <w:rPr>
                <w:rFonts w:asciiTheme="minorHAnsi" w:hAnsiTheme="minorHAnsi"/>
                <w:lang w:eastAsia="en-US"/>
              </w:rPr>
              <w:t>) na późniejszy.</w:t>
            </w:r>
          </w:p>
          <w:p w14:paraId="66D7CAAE" w14:textId="77777777" w:rsidR="00921721" w:rsidRDefault="00921721" w:rsidP="00880D09">
            <w:pPr>
              <w:pStyle w:val="anxnormal"/>
              <w:ind w:left="0"/>
              <w:rPr>
                <w:rFonts w:asciiTheme="minorHAnsi" w:hAnsiTheme="minorHAnsi"/>
                <w:lang w:eastAsia="en-US"/>
              </w:rPr>
            </w:pPr>
          </w:p>
          <w:p w14:paraId="7F8764ED" w14:textId="77777777" w:rsidR="00921721" w:rsidRPr="00B72029" w:rsidRDefault="00921721" w:rsidP="00880D09">
            <w:pPr>
              <w:pStyle w:val="anxnormal"/>
              <w:ind w:left="0"/>
              <w:rPr>
                <w:rFonts w:asciiTheme="minorHAnsi" w:hAnsiTheme="minorHAnsi" w:cs="Arial-Narrow,Bold"/>
                <w:b/>
                <w:bCs/>
                <w:color w:val="4F81BD" w:themeColor="accent1"/>
                <w:sz w:val="23"/>
                <w:szCs w:val="23"/>
                <w:lang w:eastAsia="en-GB"/>
              </w:rPr>
            </w:pPr>
            <w:r w:rsidRPr="006854F1">
              <w:rPr>
                <w:rFonts w:asciiTheme="minorHAnsi" w:hAnsiTheme="minorHAnsi" w:cs="Arial-Narrow,Bold"/>
                <w:b/>
                <w:bCs/>
                <w:color w:val="4F81BD" w:themeColor="accent1"/>
                <w:sz w:val="23"/>
                <w:szCs w:val="23"/>
                <w:lang w:eastAsia="en-GB"/>
              </w:rPr>
              <w:t xml:space="preserve">5. </w:t>
            </w:r>
            <w:r w:rsidRPr="00B72029">
              <w:rPr>
                <w:rFonts w:asciiTheme="minorHAnsi" w:hAnsiTheme="minorHAnsi" w:cs="Arial-Narrow,Bold"/>
                <w:b/>
                <w:bCs/>
                <w:color w:val="4F81BD" w:themeColor="accent1"/>
                <w:sz w:val="23"/>
                <w:szCs w:val="23"/>
                <w:lang w:eastAsia="en-GB"/>
              </w:rPr>
              <w:t xml:space="preserve">Koszty wypadków drogowych </w:t>
            </w:r>
          </w:p>
          <w:p w14:paraId="0837D1A3" w14:textId="77777777" w:rsidR="00921721" w:rsidRPr="00731E4E" w:rsidRDefault="00921721" w:rsidP="00880D09">
            <w:pPr>
              <w:pStyle w:val="anxnormal"/>
              <w:spacing w:before="0"/>
              <w:ind w:left="0"/>
              <w:rPr>
                <w:rFonts w:asciiTheme="minorHAnsi" w:hAnsiTheme="minorHAnsi"/>
                <w:lang w:eastAsia="en-US"/>
              </w:rPr>
            </w:pPr>
            <w:r w:rsidRPr="00B72029">
              <w:rPr>
                <w:rFonts w:asciiTheme="minorHAnsi" w:hAnsiTheme="minorHAnsi"/>
                <w:lang w:eastAsia="en-US"/>
              </w:rPr>
              <w:t>Koszty jednostkowe zdarzeń drogowych (PLN/zdarzenie), ceny 202</w:t>
            </w:r>
            <w:r>
              <w:rPr>
                <w:rFonts w:asciiTheme="minorHAnsi" w:hAnsiTheme="minorHAnsi"/>
                <w:lang w:eastAsia="en-US"/>
              </w:rPr>
              <w:t xml:space="preserve">1 </w:t>
            </w:r>
          </w:p>
          <w:tbl>
            <w:tblPr>
              <w:tblW w:w="6553" w:type="dxa"/>
              <w:tblLayout w:type="fixed"/>
              <w:tblLook w:val="04A0" w:firstRow="1" w:lastRow="0" w:firstColumn="1" w:lastColumn="0" w:noHBand="0" w:noVBand="1"/>
            </w:tblPr>
            <w:tblGrid>
              <w:gridCol w:w="679"/>
              <w:gridCol w:w="1473"/>
              <w:gridCol w:w="1465"/>
              <w:gridCol w:w="1464"/>
              <w:gridCol w:w="1472"/>
            </w:tblGrid>
            <w:tr w:rsidR="00921721" w:rsidRPr="00CA444D" w14:paraId="3ABC8ED7" w14:textId="77777777" w:rsidTr="00880D09">
              <w:trPr>
                <w:trHeight w:hRule="exact" w:val="280"/>
              </w:trPr>
              <w:tc>
                <w:tcPr>
                  <w:tcW w:w="679"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071FF4D" w14:textId="77777777" w:rsidR="00921721" w:rsidRPr="00CA444D" w:rsidRDefault="00921721" w:rsidP="00880D09">
                  <w:pPr>
                    <w:snapToGrid w:val="0"/>
                    <w:spacing w:before="20" w:after="20"/>
                    <w:jc w:val="center"/>
                    <w:rPr>
                      <w:rFonts w:asciiTheme="minorHAnsi" w:hAnsiTheme="minorHAnsi" w:cs="Arial"/>
                      <w:b/>
                      <w:bCs/>
                      <w:color w:val="FFFFFF"/>
                      <w:sz w:val="14"/>
                      <w:szCs w:val="14"/>
                    </w:rPr>
                  </w:pPr>
                  <w:r w:rsidRPr="00CA444D">
                    <w:rPr>
                      <w:rFonts w:asciiTheme="minorHAnsi" w:hAnsiTheme="minorHAnsi" w:cs="Arial"/>
                      <w:b/>
                      <w:bCs/>
                      <w:color w:val="FFFFFF"/>
                      <w:sz w:val="14"/>
                      <w:szCs w:val="14"/>
                    </w:rPr>
                    <w:t>Rok</w:t>
                  </w:r>
                </w:p>
              </w:tc>
              <w:tc>
                <w:tcPr>
                  <w:tcW w:w="5874" w:type="dxa"/>
                  <w:gridSpan w:val="4"/>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05C29CE" w14:textId="77777777" w:rsidR="00921721" w:rsidRPr="00CA444D" w:rsidRDefault="00921721" w:rsidP="00880D09">
                  <w:pPr>
                    <w:snapToGrid w:val="0"/>
                    <w:spacing w:before="20" w:after="20"/>
                    <w:jc w:val="center"/>
                    <w:rPr>
                      <w:rFonts w:asciiTheme="minorHAnsi" w:hAnsiTheme="minorHAnsi" w:cs="Arial"/>
                      <w:b/>
                      <w:bCs/>
                      <w:color w:val="FFFFFF"/>
                      <w:sz w:val="14"/>
                      <w:szCs w:val="14"/>
                    </w:rPr>
                  </w:pPr>
                  <w:r w:rsidRPr="00CA444D">
                    <w:rPr>
                      <w:rFonts w:asciiTheme="minorHAnsi" w:hAnsiTheme="minorHAnsi" w:cs="Arial"/>
                      <w:b/>
                      <w:bCs/>
                      <w:color w:val="FFFFFF"/>
                      <w:sz w:val="14"/>
                      <w:szCs w:val="14"/>
                    </w:rPr>
                    <w:t>Koszty (PLN)</w:t>
                  </w:r>
                </w:p>
              </w:tc>
            </w:tr>
            <w:tr w:rsidR="00921721" w:rsidRPr="00CA444D" w14:paraId="2EC219A7" w14:textId="77777777" w:rsidTr="00880D09">
              <w:trPr>
                <w:trHeight w:hRule="exact" w:val="497"/>
              </w:trPr>
              <w:tc>
                <w:tcPr>
                  <w:tcW w:w="679"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EC0A120" w14:textId="77777777" w:rsidR="00921721" w:rsidRPr="00CA444D" w:rsidRDefault="00921721" w:rsidP="00880D09">
                  <w:pPr>
                    <w:jc w:val="center"/>
                    <w:rPr>
                      <w:rFonts w:asciiTheme="minorHAnsi" w:hAnsiTheme="minorHAnsi" w:cs="Arial"/>
                      <w:b/>
                      <w:bCs/>
                      <w:color w:val="FFFFFF"/>
                      <w:sz w:val="14"/>
                      <w:szCs w:val="14"/>
                    </w:rPr>
                  </w:pPr>
                </w:p>
              </w:tc>
              <w:tc>
                <w:tcPr>
                  <w:tcW w:w="147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EF22C5A" w14:textId="77777777" w:rsidR="00921721" w:rsidRPr="00CA444D" w:rsidRDefault="00921721" w:rsidP="00880D09">
                  <w:pPr>
                    <w:snapToGrid w:val="0"/>
                    <w:spacing w:before="20" w:after="20"/>
                    <w:jc w:val="center"/>
                    <w:rPr>
                      <w:rFonts w:asciiTheme="minorHAnsi" w:hAnsiTheme="minorHAnsi" w:cs="Arial"/>
                      <w:b/>
                      <w:bCs/>
                      <w:color w:val="FFFFFF"/>
                      <w:sz w:val="14"/>
                      <w:szCs w:val="14"/>
                    </w:rPr>
                  </w:pPr>
                  <w:r w:rsidRPr="00CA444D">
                    <w:rPr>
                      <w:rFonts w:asciiTheme="minorHAnsi" w:hAnsiTheme="minorHAnsi" w:cs="Arial"/>
                      <w:b/>
                      <w:bCs/>
                      <w:color w:val="FFFFFF"/>
                      <w:sz w:val="14"/>
                      <w:szCs w:val="14"/>
                    </w:rPr>
                    <w:t>Ofiar</w:t>
                  </w:r>
                  <w:r w:rsidRPr="00CA444D">
                    <w:rPr>
                      <w:rFonts w:asciiTheme="minorHAnsi" w:hAnsiTheme="minorHAnsi" w:cs="Arial"/>
                      <w:b/>
                      <w:bCs/>
                      <w:color w:val="FFFFFF"/>
                      <w:sz w:val="14"/>
                      <w:szCs w:val="14"/>
                    </w:rPr>
                    <w:br/>
                    <w:t>śmiertelnych</w:t>
                  </w:r>
                </w:p>
              </w:tc>
              <w:tc>
                <w:tcPr>
                  <w:tcW w:w="146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B9C6FE8" w14:textId="77777777" w:rsidR="00921721" w:rsidRPr="00CA444D" w:rsidRDefault="00921721" w:rsidP="00880D09">
                  <w:pPr>
                    <w:snapToGrid w:val="0"/>
                    <w:spacing w:before="20" w:after="20"/>
                    <w:jc w:val="center"/>
                    <w:rPr>
                      <w:rFonts w:asciiTheme="minorHAnsi" w:hAnsiTheme="minorHAnsi" w:cs="Arial"/>
                      <w:b/>
                      <w:bCs/>
                      <w:color w:val="FFFFFF"/>
                      <w:sz w:val="14"/>
                      <w:szCs w:val="14"/>
                    </w:rPr>
                  </w:pPr>
                  <w:r w:rsidRPr="00CA444D">
                    <w:rPr>
                      <w:rFonts w:asciiTheme="minorHAnsi" w:hAnsiTheme="minorHAnsi" w:cs="Arial"/>
                      <w:b/>
                      <w:bCs/>
                      <w:color w:val="FFFFFF"/>
                      <w:sz w:val="14"/>
                      <w:szCs w:val="14"/>
                    </w:rPr>
                    <w:t xml:space="preserve">Ciężko </w:t>
                  </w:r>
                  <w:r>
                    <w:rPr>
                      <w:rFonts w:asciiTheme="minorHAnsi" w:hAnsiTheme="minorHAnsi" w:cs="Arial"/>
                      <w:b/>
                      <w:bCs/>
                      <w:color w:val="FFFFFF"/>
                      <w:sz w:val="14"/>
                      <w:szCs w:val="14"/>
                    </w:rPr>
                    <w:t>r</w:t>
                  </w:r>
                  <w:r w:rsidRPr="00CA444D">
                    <w:rPr>
                      <w:rFonts w:asciiTheme="minorHAnsi" w:hAnsiTheme="minorHAnsi" w:cs="Arial"/>
                      <w:b/>
                      <w:bCs/>
                      <w:color w:val="FFFFFF"/>
                      <w:sz w:val="14"/>
                      <w:szCs w:val="14"/>
                    </w:rPr>
                    <w:t>annych</w:t>
                  </w:r>
                </w:p>
              </w:tc>
              <w:tc>
                <w:tcPr>
                  <w:tcW w:w="146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B7DF0D3" w14:textId="77777777" w:rsidR="00921721" w:rsidRPr="00CA444D" w:rsidRDefault="00921721" w:rsidP="00880D09">
                  <w:pPr>
                    <w:snapToGrid w:val="0"/>
                    <w:spacing w:before="20" w:after="20"/>
                    <w:jc w:val="center"/>
                    <w:rPr>
                      <w:rFonts w:asciiTheme="minorHAnsi" w:hAnsiTheme="minorHAnsi" w:cs="Arial"/>
                      <w:b/>
                      <w:bCs/>
                      <w:color w:val="FFFFFF"/>
                      <w:sz w:val="14"/>
                      <w:szCs w:val="14"/>
                    </w:rPr>
                  </w:pPr>
                  <w:r>
                    <w:rPr>
                      <w:rFonts w:asciiTheme="minorHAnsi" w:hAnsiTheme="minorHAnsi" w:cs="Arial"/>
                      <w:b/>
                      <w:bCs/>
                      <w:color w:val="FFFFFF"/>
                      <w:sz w:val="14"/>
                      <w:szCs w:val="14"/>
                    </w:rPr>
                    <w:t>Lekko r</w:t>
                  </w:r>
                  <w:r w:rsidRPr="00CA444D">
                    <w:rPr>
                      <w:rFonts w:asciiTheme="minorHAnsi" w:hAnsiTheme="minorHAnsi" w:cs="Arial"/>
                      <w:b/>
                      <w:bCs/>
                      <w:color w:val="FFFFFF"/>
                      <w:sz w:val="14"/>
                      <w:szCs w:val="14"/>
                    </w:rPr>
                    <w:t>annych</w:t>
                  </w:r>
                </w:p>
              </w:tc>
              <w:tc>
                <w:tcPr>
                  <w:tcW w:w="147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98C8473" w14:textId="77777777" w:rsidR="00921721" w:rsidRPr="00CA444D" w:rsidRDefault="00921721" w:rsidP="00880D09">
                  <w:pPr>
                    <w:snapToGrid w:val="0"/>
                    <w:spacing w:before="20" w:after="20"/>
                    <w:jc w:val="center"/>
                    <w:rPr>
                      <w:rFonts w:asciiTheme="minorHAnsi" w:hAnsiTheme="minorHAnsi" w:cs="Arial"/>
                      <w:b/>
                      <w:bCs/>
                      <w:color w:val="FFFFFF"/>
                      <w:sz w:val="14"/>
                      <w:szCs w:val="14"/>
                    </w:rPr>
                  </w:pPr>
                  <w:r w:rsidRPr="00CA444D">
                    <w:rPr>
                      <w:rFonts w:asciiTheme="minorHAnsi" w:hAnsiTheme="minorHAnsi" w:cs="Arial"/>
                      <w:b/>
                      <w:bCs/>
                      <w:color w:val="FFFFFF"/>
                      <w:sz w:val="14"/>
                      <w:szCs w:val="14"/>
                    </w:rPr>
                    <w:t>Straty materialne</w:t>
                  </w:r>
                </w:p>
              </w:tc>
            </w:tr>
            <w:tr w:rsidR="00921721" w:rsidRPr="00CA444D" w14:paraId="2F07D99A"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75EE864"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2021</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F064488"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572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886</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E7FE713"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559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367</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BD0C3A8"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805</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2EED255"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548</w:t>
                  </w:r>
                </w:p>
              </w:tc>
            </w:tr>
            <w:tr w:rsidR="00921721" w:rsidRPr="00CA444D" w14:paraId="5D122B9D"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B33B0CD"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2022</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91289BA" w14:textId="77777777" w:rsidR="00921721" w:rsidRPr="00CA444D" w:rsidRDefault="00921721" w:rsidP="00880D09">
                  <w:pPr>
                    <w:jc w:val="center"/>
                    <w:rPr>
                      <w:rFonts w:asciiTheme="minorHAnsi" w:hAnsiTheme="minorHAnsi" w:cs="Calibri"/>
                      <w:color w:val="4F81BD" w:themeColor="accent1"/>
                      <w:sz w:val="14"/>
                      <w:szCs w:val="14"/>
                      <w:lang w:eastAsia="en-GB"/>
                    </w:rPr>
                  </w:pPr>
                  <w:r w:rsidRPr="0082420E">
                    <w:rPr>
                      <w:rFonts w:asciiTheme="minorHAnsi" w:hAnsiTheme="minorHAnsi" w:cs="Arial"/>
                      <w:color w:val="4F81BD" w:themeColor="accent1"/>
                      <w:sz w:val="15"/>
                      <w:szCs w:val="15"/>
                    </w:rPr>
                    <w:t>2</w:t>
                  </w:r>
                  <w:r>
                    <w:rPr>
                      <w:rFonts w:asciiTheme="minorHAnsi" w:hAnsiTheme="minorHAnsi" w:cs="Arial"/>
                      <w:color w:val="4F81BD" w:themeColor="accent1"/>
                      <w:sz w:val="15"/>
                      <w:szCs w:val="15"/>
                    </w:rPr>
                    <w:t xml:space="preserve"> </w:t>
                  </w:r>
                  <w:r w:rsidRPr="0082420E">
                    <w:rPr>
                      <w:rFonts w:asciiTheme="minorHAnsi" w:hAnsiTheme="minorHAnsi" w:cs="Arial"/>
                      <w:color w:val="4F81BD" w:themeColor="accent1"/>
                      <w:sz w:val="15"/>
                      <w:szCs w:val="15"/>
                    </w:rPr>
                    <w:t>677</w:t>
                  </w:r>
                  <w:r>
                    <w:rPr>
                      <w:rFonts w:asciiTheme="minorHAnsi" w:hAnsiTheme="minorHAnsi" w:cs="Arial"/>
                      <w:color w:val="4F81BD" w:themeColor="accent1"/>
                      <w:sz w:val="15"/>
                      <w:szCs w:val="15"/>
                    </w:rPr>
                    <w:t xml:space="preserve"> </w:t>
                  </w:r>
                  <w:r w:rsidRPr="0082420E">
                    <w:rPr>
                      <w:rFonts w:asciiTheme="minorHAnsi" w:hAnsiTheme="minorHAnsi" w:cs="Arial"/>
                      <w:color w:val="4F81BD" w:themeColor="accent1"/>
                      <w:sz w:val="15"/>
                      <w:szCs w:val="15"/>
                    </w:rPr>
                    <w:t xml:space="preserve">571 </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73A9BEF"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704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190</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E7CE0DC"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912</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7CB4B3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221</w:t>
                  </w:r>
                </w:p>
              </w:tc>
            </w:tr>
            <w:tr w:rsidR="00921721" w:rsidRPr="00CA444D" w14:paraId="3A5CD96A"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D2018AE"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2023</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35F7B3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780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404</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107BD8F"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846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451</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0FFEE18"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983</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55DCBB6"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882</w:t>
                  </w:r>
                </w:p>
              </w:tc>
            </w:tr>
            <w:tr w:rsidR="00921721" w:rsidRPr="00CA444D" w14:paraId="2DE22686"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70D7840"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2024</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ACAE053"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867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500</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40CCF61"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966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940</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A7CA691"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737</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B0EB27C"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18442</w:t>
                  </w:r>
                </w:p>
              </w:tc>
            </w:tr>
            <w:tr w:rsidR="00921721" w:rsidRPr="00CA444D" w14:paraId="7635C56E"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7ECB6AC"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2025</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F28D614"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953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141</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CA97ED4"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085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417</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D736262"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461</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E921B7F"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993</w:t>
                  </w:r>
                </w:p>
              </w:tc>
            </w:tr>
            <w:tr w:rsidR="00921721" w:rsidRPr="00CA444D" w14:paraId="48803232"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7E3F531"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2026</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F41FF63"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041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779</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1EF67B6"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208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041</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86A766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246</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74E0E1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563</w:t>
                  </w:r>
                </w:p>
              </w:tc>
            </w:tr>
            <w:tr w:rsidR="00921721" w:rsidRPr="00CA444D" w14:paraId="48563C1B"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91282D3"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2027</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631D09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133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535</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01CE988"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334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977</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037DFBA"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093</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A8E8376"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153</w:t>
                  </w:r>
                </w:p>
              </w:tc>
            </w:tr>
            <w:tr w:rsidR="00921721" w:rsidRPr="00CA444D" w14:paraId="6F72D97F"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F4CB1CC"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2028</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C4DBEB8"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226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018</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D9A69FE"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462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920</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7E1043F"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955</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E6CCFF6"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748</w:t>
                  </w:r>
                </w:p>
              </w:tc>
            </w:tr>
            <w:tr w:rsidR="00921721" w:rsidRPr="00CA444D" w14:paraId="25704C38"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40EC1C4"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2029</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52C53F1"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319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126</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09D3949"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591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727</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AABA592"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830</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5FBBC37"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347</w:t>
                  </w:r>
                </w:p>
              </w:tc>
            </w:tr>
            <w:tr w:rsidR="00921721" w:rsidRPr="00CA444D" w14:paraId="6678F719"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028C9B2"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2030</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7CEAB33"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410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080</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E8A8ED4"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717</w:t>
                  </w:r>
                  <w:r w:rsidRPr="00AC34A6" w:rsidDel="001F00C4">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553</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49649E9"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661</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49E42E4"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932</w:t>
                  </w:r>
                </w:p>
              </w:tc>
            </w:tr>
            <w:tr w:rsidR="00921721" w:rsidRPr="00CA444D" w14:paraId="6E7F511A"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9AC64DB"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2031</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5A5F92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498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534</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B552875"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839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922</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CFE0D1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442</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949C7B6" w14:textId="77777777" w:rsidR="00921721" w:rsidRPr="00CA444D" w:rsidRDefault="00921721" w:rsidP="00880D09">
                  <w:pPr>
                    <w:jc w:val="center"/>
                    <w:rPr>
                      <w:rFonts w:asciiTheme="minorHAnsi" w:hAnsiTheme="minorHAnsi" w:cs="Calibri"/>
                      <w:color w:val="4F81BD" w:themeColor="accent1"/>
                      <w:sz w:val="14"/>
                      <w:szCs w:val="14"/>
                      <w:lang w:eastAsia="en-GB"/>
                    </w:rPr>
                  </w:pPr>
                  <w:r w:rsidRPr="00AC34A6">
                    <w:rPr>
                      <w:rFonts w:asciiTheme="minorHAnsi" w:hAnsiTheme="minorHAnsi" w:cs="Arial"/>
                      <w:color w:val="4F81BD" w:themeColor="accent1"/>
                      <w:sz w:val="15"/>
                      <w:szCs w:val="15"/>
                    </w:rPr>
                    <w:t>22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501</w:t>
                  </w:r>
                </w:p>
              </w:tc>
            </w:tr>
            <w:tr w:rsidR="00921721" w:rsidRPr="00CA444D" w14:paraId="721E6C66"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557574C"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2032</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2BCB409"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587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030</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C53844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962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348</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B075F4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224</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4E00B4E"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070</w:t>
                  </w:r>
                </w:p>
              </w:tc>
            </w:tr>
            <w:tr w:rsidR="00921721" w:rsidRPr="00CA444D" w14:paraId="2EC57111"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43186AF"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2033</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B08A457"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675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418</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595835C"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084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626</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3DD2D85"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004</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7284400"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639</w:t>
                  </w:r>
                </w:p>
              </w:tc>
            </w:tr>
            <w:tr w:rsidR="00921721" w:rsidRPr="00CA444D" w14:paraId="25EF56EF"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78F7470"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2034</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572CFAC"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763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539</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095AAF0"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206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534</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8CB8E88"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778</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427CCFA"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205</w:t>
                  </w:r>
                </w:p>
              </w:tc>
            </w:tr>
            <w:tr w:rsidR="00921721" w:rsidRPr="00CA444D" w14:paraId="1AC947F6"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9E6C692"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2035</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55CAE46"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851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223</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F968819"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327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837</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CF00AAA"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544</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FD5DE99"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769</w:t>
                  </w:r>
                </w:p>
              </w:tc>
            </w:tr>
            <w:tr w:rsidR="00921721" w:rsidRPr="00CA444D" w14:paraId="76FB2A90"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6DA5A92"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2036</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1D16156"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941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372</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901954"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452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550</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B287360"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359</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9DEE4C4"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349</w:t>
                  </w:r>
                </w:p>
              </w:tc>
            </w:tr>
            <w:tr w:rsidR="00921721" w:rsidRPr="00CA444D" w14:paraId="0C9E1574"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C9CBDCA"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2037</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429C261"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030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893</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112CE78"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576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395</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9879329"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81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161</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1253CE7"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925</w:t>
                  </w:r>
                </w:p>
              </w:tc>
            </w:tr>
            <w:tr w:rsidR="00921721" w:rsidRPr="00CA444D" w14:paraId="6C5554EE"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7A9CB13"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2038</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7E06544"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119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595</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699BD3B"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699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106</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2FD4239"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82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947</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E24A9E"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49</w:t>
                  </w:r>
                </w:p>
              </w:tc>
            </w:tr>
            <w:tr w:rsidR="00921721" w:rsidRPr="00CA444D" w14:paraId="5552778F"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0A81DE2"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2039</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C8F1E79"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207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281</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990EAB6"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820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412</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789318A"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84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713</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53E6AC7" w14:textId="77777777" w:rsidR="00921721" w:rsidRPr="00AA7E38"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059</w:t>
                  </w:r>
                </w:p>
                <w:p w14:paraId="06932080" w14:textId="77777777" w:rsidR="00921721" w:rsidRPr="00CA444D" w:rsidRDefault="00921721" w:rsidP="00880D09">
                  <w:pPr>
                    <w:jc w:val="center"/>
                    <w:rPr>
                      <w:rFonts w:asciiTheme="minorHAnsi" w:hAnsiTheme="minorHAnsi" w:cs="Calibri"/>
                      <w:color w:val="4F81BD" w:themeColor="accent1"/>
                      <w:sz w:val="14"/>
                      <w:szCs w:val="14"/>
                      <w:lang w:eastAsia="en-GB"/>
                    </w:rPr>
                  </w:pPr>
                </w:p>
              </w:tc>
            </w:tr>
            <w:tr w:rsidR="00921721" w:rsidRPr="00CA444D" w14:paraId="751A8430"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7C19778"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2040</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8DCAD5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293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747</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4F3894D"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940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031</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DE71183"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86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454</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4978D74" w14:textId="77777777" w:rsidR="00921721" w:rsidRPr="00B7124B"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615</w:t>
                  </w:r>
                </w:p>
              </w:tc>
            </w:tr>
            <w:tr w:rsidR="00921721" w:rsidRPr="00CA444D" w14:paraId="724CD4F1"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54E18C1"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2041</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0186C91"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378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813</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409E950"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057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713</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B489EF8"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88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167</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C076223"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162</w:t>
                  </w:r>
                </w:p>
              </w:tc>
            </w:tr>
            <w:tr w:rsidR="00921721" w:rsidRPr="00CA444D" w14:paraId="57CBBC30"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92280D"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2042</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A172FFF"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462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262</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6992919"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173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158</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CCA674C"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89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847</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BE97F76"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699</w:t>
                  </w:r>
                </w:p>
              </w:tc>
            </w:tr>
            <w:tr w:rsidR="00921721" w:rsidRPr="00CA444D" w14:paraId="711815E7"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DFF73F9"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2043</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C10FEF0"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543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934</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310EABF"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286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143</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B0A65A6"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91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491</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8EA56FE"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224</w:t>
                  </w:r>
                </w:p>
              </w:tc>
            </w:tr>
            <w:tr w:rsidR="00921721" w:rsidRPr="00CA444D" w14:paraId="7CC5F4E9"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40D31A2"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2044</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935F149"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627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288</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5766AC4"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401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456</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AEAB49A"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93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170</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91F31CA"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29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760</w:t>
                  </w:r>
                </w:p>
              </w:tc>
            </w:tr>
            <w:tr w:rsidR="00921721" w:rsidRPr="00CA444D" w14:paraId="235B2A78"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1518960"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2045</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0101618"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708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644</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42C77FA"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514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005</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90382D1"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94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808</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6BE7354"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284</w:t>
                  </w:r>
                </w:p>
              </w:tc>
            </w:tr>
            <w:tr w:rsidR="00921721" w:rsidRPr="00CA444D" w14:paraId="42A0DF88"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B7905F9" w14:textId="77777777" w:rsidR="00921721" w:rsidRPr="00CA444D" w:rsidRDefault="00921721" w:rsidP="00880D09">
                  <w:pPr>
                    <w:spacing w:before="20"/>
                    <w:jc w:val="center"/>
                    <w:rPr>
                      <w:rFonts w:asciiTheme="minorHAnsi" w:hAnsiTheme="minorHAnsi" w:cs="Arial"/>
                      <w:color w:val="4F81BD" w:themeColor="accent1"/>
                      <w:sz w:val="14"/>
                      <w:szCs w:val="14"/>
                    </w:rPr>
                  </w:pPr>
                  <w:r w:rsidRPr="00AA7E38">
                    <w:rPr>
                      <w:rFonts w:asciiTheme="minorHAnsi" w:hAnsiTheme="minorHAnsi" w:cs="Arial"/>
                      <w:color w:val="4F81BD" w:themeColor="accent1"/>
                      <w:sz w:val="15"/>
                      <w:szCs w:val="15"/>
                    </w:rPr>
                    <w:t>2046</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CE70D20"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787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825</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6EF8593"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623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546</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DE44978"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96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402</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9E35E2F"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793</w:t>
                  </w:r>
                </w:p>
              </w:tc>
            </w:tr>
            <w:tr w:rsidR="00921721" w:rsidRPr="00CA444D" w14:paraId="4A0E9FAB"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0AC2F90" w14:textId="77777777" w:rsidR="00921721" w:rsidRPr="00CA444D" w:rsidRDefault="00921721" w:rsidP="00880D09">
                  <w:pPr>
                    <w:spacing w:before="20"/>
                    <w:jc w:val="center"/>
                    <w:rPr>
                      <w:rFonts w:asciiTheme="minorHAnsi" w:hAnsiTheme="minorHAnsi" w:cs="Arial"/>
                      <w:color w:val="4F81BD" w:themeColor="accent1"/>
                      <w:sz w:val="14"/>
                      <w:szCs w:val="14"/>
                    </w:rPr>
                  </w:pPr>
                  <w:r w:rsidRPr="00F354E0">
                    <w:rPr>
                      <w:rFonts w:asciiTheme="minorHAnsi" w:hAnsiTheme="minorHAnsi" w:cs="Arial"/>
                      <w:color w:val="4F81BD" w:themeColor="accent1"/>
                      <w:sz w:val="15"/>
                      <w:szCs w:val="15"/>
                    </w:rPr>
                    <w:t>2047</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8A961E8"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868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505</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51DDCC4"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735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159</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5AB4317"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98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026</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63994CE"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312</w:t>
                  </w:r>
                </w:p>
              </w:tc>
            </w:tr>
            <w:tr w:rsidR="00921721" w:rsidRPr="00CA444D" w14:paraId="554B0D03"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E102E20" w14:textId="77777777" w:rsidR="00921721" w:rsidRPr="00CA444D" w:rsidRDefault="00921721" w:rsidP="00880D09">
                  <w:pPr>
                    <w:spacing w:before="20"/>
                    <w:jc w:val="center"/>
                    <w:rPr>
                      <w:rFonts w:asciiTheme="minorHAnsi" w:hAnsiTheme="minorHAnsi" w:cs="Arial"/>
                      <w:color w:val="4F81BD" w:themeColor="accent1"/>
                      <w:sz w:val="14"/>
                      <w:szCs w:val="14"/>
                    </w:rPr>
                  </w:pPr>
                  <w:r w:rsidRPr="00F354E0">
                    <w:rPr>
                      <w:rFonts w:asciiTheme="minorHAnsi" w:hAnsiTheme="minorHAnsi" w:cs="Arial"/>
                      <w:color w:val="4F81BD" w:themeColor="accent1"/>
                      <w:sz w:val="15"/>
                      <w:szCs w:val="15"/>
                    </w:rPr>
                    <w:t>2048</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DC654A5"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946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801</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CAA21AB"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843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476</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5DA9442"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99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603</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D767A9F"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815</w:t>
                  </w:r>
                </w:p>
              </w:tc>
            </w:tr>
            <w:tr w:rsidR="00921721" w:rsidRPr="00CA444D" w14:paraId="709DE3D2"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B3F1178" w14:textId="77777777" w:rsidR="00921721" w:rsidRPr="00CA444D" w:rsidRDefault="00921721" w:rsidP="00880D09">
                  <w:pPr>
                    <w:spacing w:before="20"/>
                    <w:jc w:val="center"/>
                    <w:rPr>
                      <w:rFonts w:asciiTheme="minorHAnsi" w:hAnsiTheme="minorHAnsi" w:cs="Arial"/>
                      <w:color w:val="4F81BD" w:themeColor="accent1"/>
                      <w:sz w:val="14"/>
                      <w:szCs w:val="14"/>
                    </w:rPr>
                  </w:pPr>
                  <w:r w:rsidRPr="00F354E0">
                    <w:rPr>
                      <w:rFonts w:asciiTheme="minorHAnsi" w:hAnsiTheme="minorHAnsi" w:cs="Arial"/>
                      <w:color w:val="4F81BD" w:themeColor="accent1"/>
                      <w:sz w:val="15"/>
                      <w:szCs w:val="15"/>
                    </w:rPr>
                    <w:t>2049</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D8DF937"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026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490</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A9E9DE7"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953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719</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21C888D"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101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207</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BAF56B2"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328</w:t>
                  </w:r>
                </w:p>
              </w:tc>
            </w:tr>
            <w:tr w:rsidR="00921721" w:rsidRPr="00CA444D" w14:paraId="275D8380"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439E479" w14:textId="77777777" w:rsidR="00921721" w:rsidRPr="00CA444D" w:rsidRDefault="00921721" w:rsidP="00880D09">
                  <w:pPr>
                    <w:jc w:val="center"/>
                    <w:rPr>
                      <w:rFonts w:asciiTheme="minorHAnsi" w:hAnsiTheme="minorHAnsi" w:cs="Calibri"/>
                      <w:color w:val="4F81BD" w:themeColor="accent1"/>
                      <w:sz w:val="14"/>
                      <w:szCs w:val="14"/>
                      <w:lang w:eastAsia="en-GB"/>
                    </w:rPr>
                  </w:pPr>
                  <w:r w:rsidRPr="00F354E0">
                    <w:rPr>
                      <w:rFonts w:asciiTheme="minorHAnsi" w:hAnsiTheme="minorHAnsi" w:cs="Arial"/>
                      <w:color w:val="4F81BD" w:themeColor="accent1"/>
                      <w:sz w:val="15"/>
                      <w:szCs w:val="15"/>
                    </w:rPr>
                    <w:t>2050</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BFEF974"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107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586</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FB4CEF4"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065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908</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6742B33"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102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840</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1AA2515" w14:textId="77777777" w:rsidR="00921721" w:rsidRPr="006805E9"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850</w:t>
                  </w:r>
                </w:p>
              </w:tc>
            </w:tr>
            <w:tr w:rsidR="00921721" w:rsidRPr="00CA444D" w14:paraId="64A96E2D"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98A9C7E"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2051</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5A26331"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185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972</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1C42B57"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174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348</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DBF6897"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104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419</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31C6DB4"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354</w:t>
                  </w:r>
                </w:p>
              </w:tc>
            </w:tr>
            <w:tr w:rsidR="00921721" w:rsidRPr="00CA444D" w14:paraId="6713EDE4"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2F4A1BE"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2052</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DEDD75C"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264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869</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86B9605"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283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495</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2674775"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106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007</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F2D4744"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33</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861</w:t>
                  </w:r>
                </w:p>
              </w:tc>
            </w:tr>
            <w:tr w:rsidR="00921721" w:rsidRPr="00CA444D" w14:paraId="0F43C175"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29A3D24"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2053</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2284479"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344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966</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DD7D138"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394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303</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B82141B"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107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620</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84A2394"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376</w:t>
                  </w:r>
                </w:p>
              </w:tc>
            </w:tr>
            <w:tr w:rsidR="00921721" w:rsidRPr="00CA444D" w14:paraId="6076EF2E"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5614D11"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2054</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0D65B6A"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426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282</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A7DF455"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506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797</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D134069"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109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257</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69AECAF"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899</w:t>
                  </w:r>
                </w:p>
              </w:tc>
            </w:tr>
            <w:tr w:rsidR="00921721" w:rsidRPr="00CA444D" w14:paraId="34668AF5"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DC2B058"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2055</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0F40ABE"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0</w:t>
                  </w:r>
                  <w:r w:rsidRPr="00AC34A6">
                    <w:rPr>
                      <w:rFonts w:asciiTheme="minorHAnsi" w:hAnsiTheme="minorHAnsi" w:cs="Arial"/>
                      <w:color w:val="4F81BD" w:themeColor="accent1"/>
                      <w:sz w:val="15"/>
                      <w:szCs w:val="15"/>
                    </w:rPr>
                    <w:t>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835</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D4CEEA4"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621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002</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B6BFEB1"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110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919</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916A28B"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430</w:t>
                  </w:r>
                </w:p>
              </w:tc>
            </w:tr>
            <w:tr w:rsidR="00921721" w:rsidRPr="00CA444D" w14:paraId="49207E0D"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CEDB863"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2056</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6C79093"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592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644</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1020C60"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736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945</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6A1A8D3"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112</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607</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2D67A5A"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969</w:t>
                  </w:r>
                </w:p>
              </w:tc>
            </w:tr>
            <w:tr w:rsidR="00921721" w:rsidRPr="00CA444D" w14:paraId="7FC2D686"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E908AC4"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2057</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A287D70"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677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729</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E60EB75"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854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651</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735C310"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114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320</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4893BAA"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516</w:t>
                  </w:r>
                </w:p>
              </w:tc>
            </w:tr>
            <w:tr w:rsidR="00921721" w:rsidRPr="00CA444D" w14:paraId="50531237"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0ACD6DA"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2058</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1BB52EC"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768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672</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A68E699"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980</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463</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56364A2"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116</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151</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11867CD"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101</w:t>
                  </w:r>
                </w:p>
              </w:tc>
            </w:tr>
            <w:tr w:rsidR="00921721" w:rsidRPr="00CA444D" w14:paraId="00B8B5F8"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DEEB3CE"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2059</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974A7EC"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861</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071</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B5AEA84"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108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290</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9E3A55E"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118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012</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D4BD1B4"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37</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696</w:t>
                  </w:r>
                </w:p>
              </w:tc>
            </w:tr>
            <w:tr w:rsidR="00921721" w:rsidRPr="00CA444D" w14:paraId="5735D7DE" w14:textId="77777777" w:rsidTr="00880D09">
              <w:trPr>
                <w:trHeight w:hRule="exact" w:val="261"/>
              </w:trPr>
              <w:tc>
                <w:tcPr>
                  <w:tcW w:w="67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9299AD3" w14:textId="77777777" w:rsidR="00921721" w:rsidRPr="00265281" w:rsidRDefault="00921721" w:rsidP="00880D09">
                  <w:pPr>
                    <w:jc w:val="center"/>
                    <w:rPr>
                      <w:rFonts w:asciiTheme="minorHAnsi" w:hAnsiTheme="minorHAnsi" w:cs="Arial"/>
                      <w:color w:val="4F81BD" w:themeColor="accent1"/>
                      <w:sz w:val="15"/>
                      <w:szCs w:val="15"/>
                    </w:rPr>
                  </w:pPr>
                  <w:r w:rsidRPr="00F354E0">
                    <w:rPr>
                      <w:rFonts w:asciiTheme="minorHAnsi" w:hAnsiTheme="minorHAnsi" w:cs="Arial"/>
                      <w:color w:val="4F81BD" w:themeColor="accent1"/>
                      <w:sz w:val="15"/>
                      <w:szCs w:val="15"/>
                    </w:rPr>
                    <w:t>2060</w:t>
                  </w:r>
                </w:p>
              </w:tc>
              <w:tc>
                <w:tcPr>
                  <w:tcW w:w="14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C255F2D"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5</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954</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951</w:t>
                  </w:r>
                </w:p>
              </w:tc>
              <w:tc>
                <w:tcPr>
                  <w:tcW w:w="146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0C13471"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238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165</w:t>
                  </w:r>
                </w:p>
              </w:tc>
              <w:tc>
                <w:tcPr>
                  <w:tcW w:w="146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F058687"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119</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902</w:t>
                  </w:r>
                </w:p>
              </w:tc>
              <w:tc>
                <w:tcPr>
                  <w:tcW w:w="147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206BAB8" w14:textId="77777777" w:rsidR="00921721" w:rsidRPr="00265281" w:rsidRDefault="00921721" w:rsidP="00880D09">
                  <w:pPr>
                    <w:jc w:val="center"/>
                    <w:rPr>
                      <w:rFonts w:asciiTheme="minorHAnsi" w:hAnsiTheme="minorHAnsi" w:cs="Arial"/>
                      <w:color w:val="4F81BD" w:themeColor="accent1"/>
                      <w:sz w:val="15"/>
                      <w:szCs w:val="15"/>
                    </w:rPr>
                  </w:pPr>
                  <w:r w:rsidRPr="00AC34A6">
                    <w:rPr>
                      <w:rFonts w:asciiTheme="minorHAnsi" w:hAnsiTheme="minorHAnsi" w:cs="Arial"/>
                      <w:color w:val="4F81BD" w:themeColor="accent1"/>
                      <w:sz w:val="15"/>
                      <w:szCs w:val="15"/>
                    </w:rPr>
                    <w:t>38</w:t>
                  </w:r>
                  <w:r>
                    <w:rPr>
                      <w:rFonts w:asciiTheme="minorHAnsi" w:hAnsiTheme="minorHAnsi" w:cs="Arial"/>
                      <w:color w:val="4F81BD" w:themeColor="accent1"/>
                      <w:sz w:val="15"/>
                      <w:szCs w:val="15"/>
                    </w:rPr>
                    <w:t xml:space="preserve"> </w:t>
                  </w:r>
                  <w:r w:rsidRPr="00AC34A6">
                    <w:rPr>
                      <w:rFonts w:asciiTheme="minorHAnsi" w:hAnsiTheme="minorHAnsi" w:cs="Arial"/>
                      <w:color w:val="4F81BD" w:themeColor="accent1"/>
                      <w:sz w:val="15"/>
                      <w:szCs w:val="15"/>
                    </w:rPr>
                    <w:t>299</w:t>
                  </w:r>
                </w:p>
              </w:tc>
            </w:tr>
          </w:tbl>
          <w:p w14:paraId="47A7543D" w14:textId="77777777" w:rsidR="00921721" w:rsidRPr="00731E4E" w:rsidRDefault="00921721" w:rsidP="00880D09">
            <w:pPr>
              <w:ind w:right="170"/>
              <w:jc w:val="both"/>
              <w:rPr>
                <w:rFonts w:asciiTheme="minorHAnsi" w:hAnsiTheme="minorHAnsi" w:cs="Arial"/>
                <w:b/>
                <w:i/>
                <w:sz w:val="16"/>
                <w:szCs w:val="16"/>
              </w:rPr>
            </w:pPr>
            <w:r w:rsidRPr="00731E4E">
              <w:rPr>
                <w:rFonts w:asciiTheme="minorHAnsi" w:hAnsiTheme="minorHAnsi" w:cs="Arial"/>
                <w:b/>
                <w:i/>
                <w:sz w:val="16"/>
                <w:szCs w:val="16"/>
              </w:rPr>
              <w:t>Źródło: opracowanie własne</w:t>
            </w:r>
            <w:r w:rsidRPr="008E4306">
              <w:rPr>
                <w:rFonts w:asciiTheme="minorHAnsi" w:hAnsiTheme="minorHAnsi" w:cs="Arial"/>
                <w:b/>
                <w:i/>
                <w:sz w:val="16"/>
                <w:szCs w:val="16"/>
              </w:rPr>
              <w:t xml:space="preserve"> CUPT-JASPERS </w:t>
            </w:r>
            <w:r>
              <w:rPr>
                <w:rFonts w:asciiTheme="minorHAnsi" w:hAnsiTheme="minorHAnsi" w:cs="Arial"/>
                <w:b/>
                <w:i/>
                <w:sz w:val="16"/>
                <w:szCs w:val="16"/>
              </w:rPr>
              <w:t>w oparciu o "Wycena kosztów wypadków i </w:t>
            </w:r>
            <w:r w:rsidRPr="008E4306">
              <w:rPr>
                <w:rFonts w:asciiTheme="minorHAnsi" w:hAnsiTheme="minorHAnsi" w:cs="Arial"/>
                <w:b/>
                <w:i/>
                <w:sz w:val="16"/>
                <w:szCs w:val="16"/>
              </w:rPr>
              <w:t>ko</w:t>
            </w:r>
            <w:r>
              <w:rPr>
                <w:rFonts w:asciiTheme="minorHAnsi" w:hAnsiTheme="minorHAnsi" w:cs="Arial"/>
                <w:b/>
                <w:i/>
                <w:sz w:val="16"/>
                <w:szCs w:val="16"/>
              </w:rPr>
              <w:t>lizji drogowych na sieci dróg w </w:t>
            </w:r>
            <w:r w:rsidRPr="008E4306">
              <w:rPr>
                <w:rFonts w:asciiTheme="minorHAnsi" w:hAnsiTheme="minorHAnsi" w:cs="Arial"/>
                <w:b/>
                <w:i/>
                <w:sz w:val="16"/>
                <w:szCs w:val="16"/>
              </w:rPr>
              <w:t>Polsce na koniec roku 2018, z</w:t>
            </w:r>
            <w:r>
              <w:rPr>
                <w:rFonts w:asciiTheme="minorHAnsi" w:hAnsiTheme="minorHAnsi" w:cs="Arial"/>
                <w:b/>
                <w:i/>
                <w:sz w:val="16"/>
                <w:szCs w:val="16"/>
              </w:rPr>
              <w:t> </w:t>
            </w:r>
            <w:r w:rsidRPr="008E4306">
              <w:rPr>
                <w:rFonts w:asciiTheme="minorHAnsi" w:hAnsiTheme="minorHAnsi" w:cs="Arial"/>
                <w:b/>
                <w:i/>
                <w:sz w:val="16"/>
                <w:szCs w:val="16"/>
              </w:rPr>
              <w:t>wyodrębnieniem średnich kosztów społeczno-ekonomicznych wypadków na transeuropejskiej sieci transportowej", Krajowa Rada Bezpieczeństwa Ruchu Drogowego, grudzień 20</w:t>
            </w:r>
            <w:r>
              <w:rPr>
                <w:rFonts w:asciiTheme="minorHAnsi" w:hAnsiTheme="minorHAnsi" w:cs="Arial"/>
                <w:b/>
                <w:i/>
                <w:sz w:val="16"/>
                <w:szCs w:val="16"/>
              </w:rPr>
              <w:t>19, Tabela 6.2, str. </w:t>
            </w:r>
            <w:r w:rsidRPr="008E4306">
              <w:rPr>
                <w:rFonts w:asciiTheme="minorHAnsi" w:hAnsiTheme="minorHAnsi" w:cs="Arial"/>
                <w:b/>
                <w:i/>
                <w:sz w:val="16"/>
                <w:szCs w:val="16"/>
              </w:rPr>
              <w:t>36</w:t>
            </w:r>
            <w:r>
              <w:rPr>
                <w:rFonts w:asciiTheme="minorHAnsi" w:hAnsiTheme="minorHAnsi" w:cs="Arial"/>
                <w:b/>
                <w:i/>
                <w:sz w:val="16"/>
                <w:szCs w:val="16"/>
              </w:rPr>
              <w:t>.</w:t>
            </w:r>
          </w:p>
          <w:p w14:paraId="79578AEA" w14:textId="77777777" w:rsidR="00921721" w:rsidRDefault="00921721" w:rsidP="00880D09">
            <w:pPr>
              <w:pStyle w:val="anxnormal"/>
              <w:ind w:left="0"/>
              <w:rPr>
                <w:rFonts w:asciiTheme="minorHAnsi" w:hAnsiTheme="minorHAnsi"/>
                <w:u w:val="single"/>
                <w:lang w:eastAsia="en-US"/>
              </w:rPr>
            </w:pPr>
          </w:p>
          <w:p w14:paraId="2E791C49" w14:textId="77777777" w:rsidR="00921721" w:rsidRPr="00731E4E" w:rsidRDefault="00921721" w:rsidP="00880D09">
            <w:pPr>
              <w:pStyle w:val="anxnormal"/>
              <w:ind w:left="0"/>
              <w:rPr>
                <w:rFonts w:asciiTheme="minorHAnsi" w:hAnsiTheme="minorHAnsi"/>
                <w:u w:val="single"/>
                <w:lang w:eastAsia="en-US"/>
              </w:rPr>
            </w:pPr>
            <w:r w:rsidRPr="00731E4E">
              <w:rPr>
                <w:rFonts w:asciiTheme="minorHAnsi" w:hAnsiTheme="minorHAnsi"/>
                <w:u w:val="single"/>
                <w:lang w:eastAsia="en-US"/>
              </w:rPr>
              <w:t>Zmienność kosztów jednostkowych</w:t>
            </w:r>
            <w:r>
              <w:rPr>
                <w:rFonts w:asciiTheme="minorHAnsi" w:hAnsiTheme="minorHAnsi"/>
                <w:u w:val="single"/>
                <w:lang w:eastAsia="en-US"/>
              </w:rPr>
              <w:t xml:space="preserve"> w </w:t>
            </w:r>
            <w:r w:rsidRPr="00731E4E">
              <w:rPr>
                <w:rFonts w:asciiTheme="minorHAnsi" w:hAnsiTheme="minorHAnsi"/>
                <w:u w:val="single"/>
                <w:lang w:eastAsia="en-US"/>
              </w:rPr>
              <w:t>czasie</w:t>
            </w:r>
          </w:p>
          <w:p w14:paraId="773ED7EF" w14:textId="77777777" w:rsidR="00921721" w:rsidRDefault="00921721" w:rsidP="00880D09">
            <w:pPr>
              <w:pStyle w:val="anxnormal"/>
              <w:ind w:left="0"/>
              <w:rPr>
                <w:rFonts w:asciiTheme="minorHAnsi" w:hAnsiTheme="minorHAnsi"/>
                <w:lang w:eastAsia="en-US"/>
              </w:rPr>
            </w:pPr>
            <w:r w:rsidRPr="00731E4E">
              <w:rPr>
                <w:rFonts w:asciiTheme="minorHAnsi" w:hAnsiTheme="minorHAnsi"/>
                <w:lang w:eastAsia="en-US"/>
              </w:rPr>
              <w:t>Prognoza zmiany jednostkowych kosztów wypadków drogowych</w:t>
            </w:r>
            <w:r>
              <w:rPr>
                <w:rFonts w:asciiTheme="minorHAnsi" w:hAnsiTheme="minorHAnsi"/>
                <w:lang w:eastAsia="en-US"/>
              </w:rPr>
              <w:t xml:space="preserve"> w </w:t>
            </w:r>
            <w:r w:rsidRPr="00731E4E">
              <w:rPr>
                <w:rFonts w:asciiTheme="minorHAnsi" w:hAnsiTheme="minorHAnsi"/>
                <w:lang w:eastAsia="en-US"/>
              </w:rPr>
              <w:t>czasie (w</w:t>
            </w:r>
            <w:r>
              <w:rPr>
                <w:rFonts w:asciiTheme="minorHAnsi" w:hAnsiTheme="minorHAnsi"/>
                <w:lang w:eastAsia="en-US"/>
              </w:rPr>
              <w:t> </w:t>
            </w:r>
            <w:r w:rsidRPr="00731E4E">
              <w:rPr>
                <w:rFonts w:asciiTheme="minorHAnsi" w:hAnsiTheme="minorHAnsi"/>
                <w:lang w:eastAsia="en-US"/>
              </w:rPr>
              <w:t xml:space="preserve">tabeli powyżej) jest </w:t>
            </w:r>
            <w:r w:rsidRPr="001C1044">
              <w:rPr>
                <w:rFonts w:asciiTheme="minorHAnsi" w:hAnsiTheme="minorHAnsi"/>
                <w:lang w:eastAsia="en-US"/>
              </w:rPr>
              <w:t>oparta o </w:t>
            </w:r>
            <w:r>
              <w:rPr>
                <w:rFonts w:asciiTheme="minorHAnsi" w:hAnsiTheme="minorHAnsi"/>
                <w:lang w:eastAsia="en-US"/>
              </w:rPr>
              <w:t>prognozowany wzrost PKB na 1 </w:t>
            </w:r>
            <w:r w:rsidRPr="002C6855">
              <w:rPr>
                <w:rFonts w:asciiTheme="minorHAnsi" w:hAnsiTheme="minorHAnsi"/>
                <w:lang w:eastAsia="en-US"/>
              </w:rPr>
              <w:t>mieszkańca</w:t>
            </w:r>
            <w:r>
              <w:rPr>
                <w:rFonts w:asciiTheme="minorHAnsi" w:hAnsiTheme="minorHAnsi"/>
                <w:lang w:eastAsia="en-US"/>
              </w:rPr>
              <w:t xml:space="preserve"> (wartości podane w punkcie </w:t>
            </w:r>
            <w:r w:rsidRPr="002C6855">
              <w:rPr>
                <w:rFonts w:asciiTheme="minorHAnsi" w:hAnsiTheme="minorHAnsi"/>
                <w:lang w:eastAsia="en-US"/>
              </w:rPr>
              <w:t>2)</w:t>
            </w:r>
            <w:r w:rsidRPr="001C1044">
              <w:rPr>
                <w:rFonts w:asciiTheme="minorHAnsi" w:hAnsiTheme="minorHAnsi"/>
                <w:lang w:eastAsia="en-US"/>
              </w:rPr>
              <w:t xml:space="preserve"> przy zastosowaniu współczynnika elastyczności 0</w:t>
            </w:r>
            <w:r>
              <w:rPr>
                <w:rFonts w:asciiTheme="minorHAnsi" w:hAnsiTheme="minorHAnsi"/>
                <w:lang w:eastAsia="en-US"/>
              </w:rPr>
              <w:t>,</w:t>
            </w:r>
            <w:r w:rsidRPr="001C1044">
              <w:rPr>
                <w:rFonts w:asciiTheme="minorHAnsi" w:hAnsiTheme="minorHAnsi"/>
                <w:lang w:eastAsia="en-US"/>
              </w:rPr>
              <w:t>8.</w:t>
            </w:r>
          </w:p>
          <w:p w14:paraId="40EEED9A" w14:textId="77777777" w:rsidR="00921721" w:rsidRDefault="00921721" w:rsidP="00880D09">
            <w:pPr>
              <w:pStyle w:val="anxnormal"/>
              <w:ind w:left="0"/>
              <w:rPr>
                <w:rFonts w:asciiTheme="minorHAnsi" w:hAnsiTheme="minorHAnsi"/>
                <w:lang w:eastAsia="en-US"/>
              </w:rPr>
            </w:pPr>
          </w:p>
          <w:p w14:paraId="291DF780" w14:textId="77777777" w:rsidR="00921721" w:rsidRDefault="00921721" w:rsidP="00880D09">
            <w:pPr>
              <w:pStyle w:val="anxnormal"/>
              <w:ind w:left="0"/>
              <w:rPr>
                <w:rFonts w:asciiTheme="minorHAnsi" w:hAnsiTheme="minorHAnsi"/>
                <w:lang w:eastAsia="en-US"/>
              </w:rPr>
            </w:pPr>
          </w:p>
          <w:p w14:paraId="7DACB912" w14:textId="77777777" w:rsidR="00921721" w:rsidRDefault="00921721" w:rsidP="00880D09">
            <w:pPr>
              <w:pStyle w:val="anxnormal"/>
              <w:ind w:left="0"/>
              <w:rPr>
                <w:rFonts w:asciiTheme="minorHAnsi" w:hAnsiTheme="minorHAnsi"/>
                <w:lang w:eastAsia="en-US"/>
              </w:rPr>
            </w:pPr>
          </w:p>
          <w:p w14:paraId="6644E3FE" w14:textId="77777777" w:rsidR="00921721" w:rsidRDefault="00921721" w:rsidP="00880D09">
            <w:pPr>
              <w:pStyle w:val="anxnormal"/>
              <w:ind w:left="0"/>
              <w:rPr>
                <w:rFonts w:asciiTheme="minorHAnsi" w:hAnsiTheme="minorHAnsi"/>
                <w:lang w:eastAsia="en-US"/>
              </w:rPr>
            </w:pPr>
          </w:p>
          <w:p w14:paraId="7BEB7C3C" w14:textId="77777777" w:rsidR="00921721" w:rsidRDefault="00921721" w:rsidP="00880D09">
            <w:pPr>
              <w:pStyle w:val="anxnormal"/>
              <w:ind w:left="0"/>
              <w:rPr>
                <w:rFonts w:asciiTheme="minorHAnsi" w:hAnsiTheme="minorHAnsi"/>
                <w:lang w:eastAsia="en-US"/>
              </w:rPr>
            </w:pPr>
          </w:p>
          <w:p w14:paraId="1409F865" w14:textId="77777777" w:rsidR="00921721" w:rsidRDefault="00921721" w:rsidP="00880D09">
            <w:pPr>
              <w:pStyle w:val="anxnormal"/>
              <w:ind w:left="0"/>
              <w:rPr>
                <w:rFonts w:asciiTheme="minorHAnsi" w:hAnsiTheme="minorHAnsi"/>
                <w:lang w:eastAsia="en-US"/>
              </w:rPr>
            </w:pPr>
          </w:p>
          <w:p w14:paraId="5D8AF210" w14:textId="77777777" w:rsidR="00921721" w:rsidRDefault="00921721" w:rsidP="00880D09">
            <w:pPr>
              <w:pStyle w:val="anxnormal"/>
              <w:ind w:left="0"/>
              <w:rPr>
                <w:rFonts w:asciiTheme="minorHAnsi" w:hAnsiTheme="minorHAnsi"/>
                <w:lang w:eastAsia="en-US"/>
              </w:rPr>
            </w:pPr>
          </w:p>
          <w:p w14:paraId="36753292" w14:textId="77777777" w:rsidR="00921721" w:rsidRPr="00CA444D" w:rsidRDefault="00921721" w:rsidP="00880D09">
            <w:pPr>
              <w:pStyle w:val="anxnormal"/>
              <w:ind w:left="0"/>
              <w:rPr>
                <w:rFonts w:asciiTheme="minorHAnsi" w:hAnsiTheme="minorHAnsi" w:cs="Arial-Narrow,Bold"/>
                <w:b/>
                <w:bCs/>
                <w:color w:val="4F81BD" w:themeColor="accent1"/>
                <w:sz w:val="23"/>
                <w:szCs w:val="23"/>
                <w:lang w:eastAsia="en-GB"/>
              </w:rPr>
            </w:pPr>
            <w:r w:rsidRPr="00CA444D">
              <w:rPr>
                <w:rFonts w:asciiTheme="minorHAnsi" w:hAnsiTheme="minorHAnsi" w:cs="Arial-Narrow,Bold"/>
                <w:b/>
                <w:bCs/>
                <w:color w:val="4F81BD" w:themeColor="accent1"/>
                <w:sz w:val="23"/>
                <w:szCs w:val="23"/>
                <w:lang w:eastAsia="en-GB"/>
              </w:rPr>
              <w:t>6. Koszty zanieczyszczeń powietrza</w:t>
            </w:r>
          </w:p>
          <w:p w14:paraId="4921CDF3" w14:textId="77777777" w:rsidR="00921721" w:rsidRDefault="00921721" w:rsidP="00880D09">
            <w:pPr>
              <w:pStyle w:val="anxnormal"/>
              <w:ind w:left="0"/>
              <w:rPr>
                <w:rFonts w:asciiTheme="minorHAnsi" w:hAnsiTheme="minorHAnsi"/>
                <w:lang w:eastAsia="en-US"/>
              </w:rPr>
            </w:pPr>
            <w:r w:rsidRPr="00731E4E">
              <w:rPr>
                <w:rFonts w:asciiTheme="minorHAnsi" w:hAnsiTheme="minorHAnsi"/>
                <w:lang w:eastAsia="en-US"/>
              </w:rPr>
              <w:t>Jednostkowe koszty ekonomiczne zanieczyszczeń powietrza</w:t>
            </w:r>
            <w:r>
              <w:rPr>
                <w:rFonts w:asciiTheme="minorHAnsi" w:hAnsiTheme="minorHAnsi"/>
                <w:lang w:eastAsia="en-US"/>
              </w:rPr>
              <w:t xml:space="preserve"> przez pojazdy drogowe</w:t>
            </w:r>
            <w:r w:rsidRPr="00731E4E">
              <w:rPr>
                <w:rFonts w:asciiTheme="minorHAnsi" w:hAnsiTheme="minorHAnsi"/>
                <w:lang w:eastAsia="en-US"/>
              </w:rPr>
              <w:t xml:space="preserve"> [PLN/poj-km], ceny </w:t>
            </w:r>
            <w:r>
              <w:rPr>
                <w:rFonts w:asciiTheme="minorHAnsi" w:hAnsiTheme="minorHAnsi"/>
                <w:lang w:eastAsia="en-US"/>
              </w:rPr>
              <w:t>2021</w:t>
            </w:r>
          </w:p>
          <w:tbl>
            <w:tblPr>
              <w:tblW w:w="6441" w:type="dxa"/>
              <w:tblLayout w:type="fixed"/>
              <w:tblLook w:val="04A0" w:firstRow="1" w:lastRow="0" w:firstColumn="1" w:lastColumn="0" w:noHBand="0" w:noVBand="1"/>
            </w:tblPr>
            <w:tblGrid>
              <w:gridCol w:w="2571"/>
              <w:gridCol w:w="1290"/>
              <w:gridCol w:w="1290"/>
              <w:gridCol w:w="1290"/>
            </w:tblGrid>
            <w:tr w:rsidR="00921721" w:rsidRPr="0037609A" w14:paraId="1D841C03" w14:textId="77777777" w:rsidTr="00880D09">
              <w:trPr>
                <w:trHeight w:hRule="exact" w:val="1128"/>
              </w:trPr>
              <w:tc>
                <w:tcPr>
                  <w:tcW w:w="257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0E6C4FC" w14:textId="77777777" w:rsidR="00921721" w:rsidRPr="00265281"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Jednostkowe koszty zanieczyszczeń powietrza –teren płaski (nawierzchnia po remoncie/</w:t>
                  </w:r>
                  <w:r>
                    <w:rPr>
                      <w:rFonts w:asciiTheme="minorHAnsi" w:hAnsiTheme="minorHAnsi" w:cs="Arial"/>
                      <w:b/>
                      <w:bCs/>
                      <w:color w:val="FFFFFF"/>
                      <w:sz w:val="18"/>
                      <w:szCs w:val="18"/>
                    </w:rPr>
                    <w:t xml:space="preserve"> </w:t>
                  </w:r>
                  <w:r w:rsidRPr="00731E4E">
                    <w:rPr>
                      <w:rFonts w:asciiTheme="minorHAnsi" w:hAnsiTheme="minorHAnsi" w:cs="Arial"/>
                      <w:b/>
                      <w:bCs/>
                      <w:color w:val="FFFFFF"/>
                      <w:sz w:val="18"/>
                      <w:szCs w:val="18"/>
                    </w:rPr>
                    <w:t>budowie</w:t>
                  </w:r>
                  <w:r w:rsidRPr="0037609A">
                    <w:rPr>
                      <w:rFonts w:asciiTheme="minorHAnsi" w:hAnsiTheme="minorHAnsi" w:cs="Arial"/>
                      <w:b/>
                      <w:bCs/>
                      <w:color w:val="FFFFFF"/>
                      <w:sz w:val="18"/>
                      <w:szCs w:val="18"/>
                    </w:rPr>
                    <w:t>  (</w:t>
                  </w:r>
                  <w:r w:rsidRPr="00265281">
                    <w:rPr>
                      <w:rFonts w:asciiTheme="minorHAnsi" w:hAnsiTheme="minorHAnsi" w:cs="Arial"/>
                      <w:b/>
                      <w:bCs/>
                      <w:color w:val="FFFFFF"/>
                      <w:sz w:val="18"/>
                      <w:szCs w:val="18"/>
                    </w:rPr>
                    <w:t>PLN/poj-km)</w:t>
                  </w:r>
                </w:p>
              </w:tc>
              <w:tc>
                <w:tcPr>
                  <w:tcW w:w="129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01FCBFE" w14:textId="77777777" w:rsidR="00921721" w:rsidRPr="0037609A" w:rsidRDefault="00921721" w:rsidP="00880D09">
                  <w:pPr>
                    <w:snapToGrid w:val="0"/>
                    <w:spacing w:before="20" w:after="20"/>
                    <w:jc w:val="center"/>
                    <w:rPr>
                      <w:rFonts w:asciiTheme="minorHAnsi" w:hAnsiTheme="minorHAnsi" w:cs="Arial"/>
                      <w:b/>
                      <w:bCs/>
                      <w:color w:val="FFFFFF"/>
                      <w:sz w:val="18"/>
                      <w:szCs w:val="18"/>
                    </w:rPr>
                  </w:pPr>
                  <w:r w:rsidRPr="0037609A">
                    <w:rPr>
                      <w:rFonts w:asciiTheme="minorHAnsi" w:hAnsiTheme="minorHAnsi" w:cs="Arial"/>
                      <w:b/>
                      <w:bCs/>
                      <w:color w:val="FFFFFF"/>
                      <w:sz w:val="18"/>
                      <w:szCs w:val="18"/>
                    </w:rPr>
                    <w:t>Drogi klasy</w:t>
                  </w:r>
                  <w:r>
                    <w:rPr>
                      <w:rFonts w:asciiTheme="minorHAnsi" w:hAnsiTheme="minorHAnsi" w:cs="Arial"/>
                      <w:b/>
                      <w:bCs/>
                      <w:color w:val="FFFFFF"/>
                      <w:sz w:val="18"/>
                      <w:szCs w:val="18"/>
                    </w:rPr>
                    <w:t xml:space="preserve"> </w:t>
                  </w:r>
                  <w:r w:rsidRPr="0037609A">
                    <w:rPr>
                      <w:rFonts w:asciiTheme="minorHAnsi" w:hAnsiTheme="minorHAnsi" w:cs="Arial"/>
                      <w:b/>
                      <w:bCs/>
                      <w:color w:val="FFFFFF"/>
                      <w:sz w:val="18"/>
                      <w:szCs w:val="18"/>
                    </w:rPr>
                    <w:t xml:space="preserve">A i S </w:t>
                  </w:r>
                </w:p>
              </w:tc>
              <w:tc>
                <w:tcPr>
                  <w:tcW w:w="1290"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7EE19DF2" w14:textId="77777777" w:rsidR="00921721" w:rsidRPr="0037609A" w:rsidRDefault="00921721" w:rsidP="00880D09">
                  <w:pPr>
                    <w:snapToGrid w:val="0"/>
                    <w:spacing w:before="20" w:after="20"/>
                    <w:jc w:val="center"/>
                    <w:rPr>
                      <w:rFonts w:asciiTheme="minorHAnsi" w:hAnsiTheme="minorHAnsi" w:cs="Arial"/>
                      <w:b/>
                      <w:bCs/>
                      <w:color w:val="FFFFFF"/>
                      <w:sz w:val="18"/>
                      <w:szCs w:val="18"/>
                    </w:rPr>
                  </w:pPr>
                  <w:r w:rsidRPr="0037609A">
                    <w:rPr>
                      <w:rFonts w:asciiTheme="minorHAnsi" w:hAnsiTheme="minorHAnsi" w:cs="Arial"/>
                      <w:b/>
                      <w:bCs/>
                      <w:color w:val="FFFFFF"/>
                      <w:sz w:val="18"/>
                      <w:szCs w:val="18"/>
                    </w:rPr>
                    <w:t>Drogi miejskie</w:t>
                  </w:r>
                  <w:r>
                    <w:rPr>
                      <w:rFonts w:asciiTheme="minorHAnsi" w:hAnsiTheme="minorHAnsi" w:cs="Arial"/>
                      <w:b/>
                      <w:bCs/>
                      <w:color w:val="FFFFFF"/>
                      <w:sz w:val="18"/>
                      <w:szCs w:val="18"/>
                    </w:rPr>
                    <w:t xml:space="preserve"> </w:t>
                  </w:r>
                  <w:r w:rsidRPr="0037609A">
                    <w:rPr>
                      <w:rFonts w:asciiTheme="minorHAnsi" w:hAnsiTheme="minorHAnsi" w:cs="Arial"/>
                      <w:b/>
                      <w:bCs/>
                      <w:color w:val="FFFFFF"/>
                      <w:sz w:val="18"/>
                      <w:szCs w:val="18"/>
                    </w:rPr>
                    <w:t>(inne niż A, S)</w:t>
                  </w:r>
                </w:p>
              </w:tc>
              <w:tc>
                <w:tcPr>
                  <w:tcW w:w="129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075427A" w14:textId="77777777" w:rsidR="00921721" w:rsidRPr="0037609A" w:rsidRDefault="00921721" w:rsidP="00880D09">
                  <w:pPr>
                    <w:snapToGrid w:val="0"/>
                    <w:spacing w:before="20" w:after="20"/>
                    <w:jc w:val="center"/>
                    <w:rPr>
                      <w:rFonts w:asciiTheme="minorHAnsi" w:hAnsiTheme="minorHAnsi" w:cs="Arial"/>
                      <w:b/>
                      <w:bCs/>
                      <w:color w:val="FFFFFF"/>
                      <w:sz w:val="18"/>
                      <w:szCs w:val="18"/>
                    </w:rPr>
                  </w:pPr>
                  <w:r w:rsidRPr="0037609A">
                    <w:rPr>
                      <w:rFonts w:asciiTheme="minorHAnsi" w:hAnsiTheme="minorHAnsi" w:cs="Arial"/>
                      <w:b/>
                      <w:bCs/>
                      <w:color w:val="FFFFFF"/>
                      <w:sz w:val="18"/>
                      <w:szCs w:val="18"/>
                    </w:rPr>
                    <w:t>Drogi za</w:t>
                  </w:r>
                  <w:r>
                    <w:rPr>
                      <w:rFonts w:asciiTheme="minorHAnsi" w:hAnsiTheme="minorHAnsi" w:cs="Arial"/>
                      <w:b/>
                      <w:bCs/>
                      <w:color w:val="FFFFFF"/>
                      <w:sz w:val="18"/>
                      <w:szCs w:val="18"/>
                    </w:rPr>
                    <w:t>m</w:t>
                  </w:r>
                  <w:r w:rsidRPr="0037609A">
                    <w:rPr>
                      <w:rFonts w:asciiTheme="minorHAnsi" w:hAnsiTheme="minorHAnsi" w:cs="Arial"/>
                      <w:b/>
                      <w:bCs/>
                      <w:color w:val="FFFFFF"/>
                      <w:sz w:val="18"/>
                      <w:szCs w:val="18"/>
                    </w:rPr>
                    <w:t>iejskie (inne niż A i S</w:t>
                  </w:r>
                  <w:r w:rsidRPr="002C6855">
                    <w:rPr>
                      <w:rFonts w:asciiTheme="minorHAnsi" w:hAnsiTheme="minorHAnsi" w:cs="Arial"/>
                      <w:b/>
                      <w:bCs/>
                      <w:color w:val="FFFFFF"/>
                      <w:sz w:val="18"/>
                      <w:szCs w:val="18"/>
                    </w:rPr>
                    <w:t>)</w:t>
                  </w:r>
                </w:p>
              </w:tc>
            </w:tr>
            <w:tr w:rsidR="00921721" w:rsidRPr="00115F68" w14:paraId="1FB2E6EA" w14:textId="77777777" w:rsidTr="00880D09">
              <w:trPr>
                <w:trHeight w:val="253"/>
              </w:trPr>
              <w:tc>
                <w:tcPr>
                  <w:tcW w:w="257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03362D3" w14:textId="77777777" w:rsidR="00921721" w:rsidRPr="00E544D2" w:rsidRDefault="00921721" w:rsidP="00880D09">
                  <w:pPr>
                    <w:spacing w:before="20"/>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 xml:space="preserve">LV </w:t>
                  </w:r>
                </w:p>
              </w:tc>
              <w:tc>
                <w:tcPr>
                  <w:tcW w:w="129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E631A48"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0,029</w:t>
                  </w:r>
                </w:p>
              </w:tc>
              <w:tc>
                <w:tcPr>
                  <w:tcW w:w="129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3AF43012" w14:textId="77777777" w:rsidR="00921721" w:rsidRPr="00E544D2" w:rsidRDefault="00921721" w:rsidP="00880D09">
                  <w:pPr>
                    <w:snapToGrid w:val="0"/>
                    <w:spacing w:before="20" w:after="20"/>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0,038</w:t>
                  </w:r>
                </w:p>
              </w:tc>
              <w:tc>
                <w:tcPr>
                  <w:tcW w:w="129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4E4FC61"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0,020</w:t>
                  </w:r>
                </w:p>
              </w:tc>
            </w:tr>
            <w:tr w:rsidR="00921721" w:rsidRPr="00115F68" w14:paraId="5DA37DB7" w14:textId="77777777" w:rsidTr="00880D09">
              <w:trPr>
                <w:trHeight w:val="253"/>
              </w:trPr>
              <w:tc>
                <w:tcPr>
                  <w:tcW w:w="257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D515209" w14:textId="77777777" w:rsidR="00921721" w:rsidRPr="00E544D2" w:rsidRDefault="00921721" w:rsidP="00880D09">
                  <w:pPr>
                    <w:spacing w:before="20"/>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 xml:space="preserve">HGV </w:t>
                  </w:r>
                </w:p>
              </w:tc>
              <w:tc>
                <w:tcPr>
                  <w:tcW w:w="129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3C4F17F"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0,203</w:t>
                  </w:r>
                </w:p>
              </w:tc>
              <w:tc>
                <w:tcPr>
                  <w:tcW w:w="129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57160E3" w14:textId="77777777" w:rsidR="00921721" w:rsidRPr="00E544D2" w:rsidRDefault="00921721" w:rsidP="00880D09">
                  <w:pPr>
                    <w:snapToGrid w:val="0"/>
                    <w:spacing w:before="20" w:after="20"/>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0,499</w:t>
                  </w:r>
                </w:p>
              </w:tc>
              <w:tc>
                <w:tcPr>
                  <w:tcW w:w="129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99ED6CD"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0,198</w:t>
                  </w:r>
                </w:p>
              </w:tc>
            </w:tr>
            <w:tr w:rsidR="00921721" w:rsidRPr="00115F68" w14:paraId="4B9E27AF" w14:textId="77777777" w:rsidTr="00880D09">
              <w:trPr>
                <w:trHeight w:val="253"/>
              </w:trPr>
              <w:tc>
                <w:tcPr>
                  <w:tcW w:w="257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41AD070" w14:textId="77777777" w:rsidR="00921721" w:rsidRPr="00E544D2" w:rsidRDefault="00921721" w:rsidP="00880D09">
                  <w:pPr>
                    <w:spacing w:before="20"/>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 xml:space="preserve">Elektryczne LV </w:t>
                  </w:r>
                </w:p>
              </w:tc>
              <w:tc>
                <w:tcPr>
                  <w:tcW w:w="129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3BB354C"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0,004</w:t>
                  </w:r>
                </w:p>
              </w:tc>
              <w:tc>
                <w:tcPr>
                  <w:tcW w:w="129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6FF891ED" w14:textId="77777777" w:rsidR="00921721" w:rsidRPr="00E544D2" w:rsidRDefault="00921721" w:rsidP="00880D09">
                  <w:pPr>
                    <w:snapToGrid w:val="0"/>
                    <w:spacing w:before="20" w:after="20"/>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0,003</w:t>
                  </w:r>
                </w:p>
              </w:tc>
              <w:tc>
                <w:tcPr>
                  <w:tcW w:w="129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E0331E7"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0,003</w:t>
                  </w:r>
                </w:p>
              </w:tc>
            </w:tr>
            <w:tr w:rsidR="00921721" w:rsidRPr="00115F68" w14:paraId="5C3EC3E9" w14:textId="77777777" w:rsidTr="00880D09">
              <w:trPr>
                <w:trHeight w:val="253"/>
              </w:trPr>
              <w:tc>
                <w:tcPr>
                  <w:tcW w:w="257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D654A55" w14:textId="77777777" w:rsidR="00921721" w:rsidRPr="00E544D2" w:rsidRDefault="00921721" w:rsidP="00880D09">
                  <w:pPr>
                    <w:spacing w:before="20"/>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 xml:space="preserve">Elektryczne autobusy </w:t>
                  </w:r>
                </w:p>
              </w:tc>
              <w:tc>
                <w:tcPr>
                  <w:tcW w:w="129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1E1459F"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0,007</w:t>
                  </w:r>
                </w:p>
              </w:tc>
              <w:tc>
                <w:tcPr>
                  <w:tcW w:w="129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3A3894B7" w14:textId="77777777" w:rsidR="00921721" w:rsidRPr="00E544D2" w:rsidRDefault="00921721" w:rsidP="00880D09">
                  <w:pPr>
                    <w:snapToGrid w:val="0"/>
                    <w:spacing w:before="20" w:after="20"/>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0,022</w:t>
                  </w:r>
                </w:p>
              </w:tc>
              <w:tc>
                <w:tcPr>
                  <w:tcW w:w="129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7AE13EA"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0,009</w:t>
                  </w:r>
                </w:p>
              </w:tc>
            </w:tr>
          </w:tbl>
          <w:p w14:paraId="6EEE9B8E" w14:textId="77777777" w:rsidR="00921721" w:rsidRPr="00E544D2" w:rsidRDefault="00921721" w:rsidP="00880D09">
            <w:pPr>
              <w:ind w:right="170"/>
              <w:jc w:val="both"/>
              <w:rPr>
                <w:rFonts w:asciiTheme="minorHAnsi" w:hAnsiTheme="minorHAnsi"/>
                <w:b/>
                <w:i/>
                <w:sz w:val="16"/>
                <w:szCs w:val="16"/>
              </w:rPr>
            </w:pPr>
            <w:r w:rsidRPr="00E544D2">
              <w:rPr>
                <w:rFonts w:asciiTheme="minorHAnsi" w:hAnsiTheme="minorHAnsi" w:cs="Arial"/>
                <w:b/>
                <w:i/>
                <w:sz w:val="16"/>
                <w:szCs w:val="16"/>
              </w:rPr>
              <w:t>Źródło: Opracowanie własne CUPT-JASPERS w oparciu o Handbook on the External Costs of Transport (January 2019).</w:t>
            </w:r>
          </w:p>
          <w:p w14:paraId="52D29597" w14:textId="77777777" w:rsidR="00921721" w:rsidRPr="00F4393F" w:rsidRDefault="00921721" w:rsidP="00880D09">
            <w:pPr>
              <w:pStyle w:val="anxnormal"/>
              <w:spacing w:after="120"/>
              <w:ind w:left="0"/>
              <w:rPr>
                <w:rFonts w:asciiTheme="minorHAnsi" w:hAnsiTheme="minorHAnsi"/>
                <w:lang w:eastAsia="en-US"/>
              </w:rPr>
            </w:pPr>
            <w:r>
              <w:rPr>
                <w:rFonts w:asciiTheme="minorHAnsi" w:hAnsiTheme="minorHAnsi"/>
                <w:lang w:eastAsia="en-US"/>
              </w:rPr>
              <w:t>Założenia co </w:t>
            </w:r>
            <w:r w:rsidRPr="001569CA">
              <w:rPr>
                <w:rFonts w:asciiTheme="minorHAnsi" w:hAnsiTheme="minorHAnsi"/>
                <w:lang w:eastAsia="en-US"/>
              </w:rPr>
              <w:t xml:space="preserve">do struktury floty </w:t>
            </w:r>
            <w:r>
              <w:rPr>
                <w:rFonts w:asciiTheme="minorHAnsi" w:hAnsiTheme="minorHAnsi"/>
                <w:lang w:eastAsia="en-US"/>
              </w:rPr>
              <w:t>(pod względem rodzajów stosowanego paliwa)</w:t>
            </w:r>
            <w:r w:rsidRPr="00983DF9">
              <w:rPr>
                <w:rFonts w:asciiTheme="minorHAnsi" w:hAnsiTheme="minorHAnsi"/>
                <w:lang w:eastAsia="en-US"/>
              </w:rPr>
              <w:t xml:space="preserve"> </w:t>
            </w:r>
            <w:r>
              <w:rPr>
                <w:rFonts w:asciiTheme="minorHAnsi" w:hAnsiTheme="minorHAnsi"/>
                <w:lang w:eastAsia="en-US"/>
              </w:rPr>
              <w:t xml:space="preserve">i jej ewolucji w czasie przyjęto takie same, </w:t>
            </w:r>
            <w:r w:rsidRPr="00983DF9">
              <w:rPr>
                <w:rFonts w:asciiTheme="minorHAnsi" w:hAnsiTheme="minorHAnsi"/>
                <w:lang w:eastAsia="en-US"/>
              </w:rPr>
              <w:t xml:space="preserve">jak </w:t>
            </w:r>
            <w:r>
              <w:rPr>
                <w:rFonts w:asciiTheme="minorHAnsi" w:hAnsiTheme="minorHAnsi"/>
                <w:lang w:eastAsia="en-US"/>
              </w:rPr>
              <w:t>dla obliczeń</w:t>
            </w:r>
            <w:r w:rsidRPr="00983DF9">
              <w:rPr>
                <w:rFonts w:asciiTheme="minorHAnsi" w:hAnsiTheme="minorHAnsi"/>
                <w:lang w:eastAsia="en-US"/>
              </w:rPr>
              <w:t xml:space="preserve"> kosztów eksploatacji (VOC).</w:t>
            </w:r>
            <w:r>
              <w:rPr>
                <w:rFonts w:asciiTheme="minorHAnsi" w:hAnsiTheme="minorHAnsi"/>
                <w:lang w:eastAsia="en-US"/>
              </w:rPr>
              <w:t xml:space="preserve"> </w:t>
            </w:r>
            <w:r w:rsidRPr="00B72029">
              <w:rPr>
                <w:rFonts w:asciiTheme="minorHAnsi" w:hAnsiTheme="minorHAnsi"/>
                <w:lang w:eastAsia="en-US"/>
              </w:rPr>
              <w:t>Dlatego te same założenia</w:t>
            </w:r>
            <w:r w:rsidRPr="00B72029" w:rsidDel="00F438F4">
              <w:rPr>
                <w:rFonts w:asciiTheme="minorHAnsi" w:hAnsiTheme="minorHAnsi"/>
                <w:lang w:eastAsia="en-US"/>
              </w:rPr>
              <w:t xml:space="preserve"> </w:t>
            </w:r>
            <w:r>
              <w:rPr>
                <w:rFonts w:asciiTheme="minorHAnsi" w:hAnsiTheme="minorHAnsi"/>
                <w:lang w:eastAsia="en-US"/>
              </w:rPr>
              <w:t>dotyczące ewolucji floty LV w </w:t>
            </w:r>
            <w:r w:rsidRPr="00B72029">
              <w:rPr>
                <w:rFonts w:asciiTheme="minorHAnsi" w:hAnsiTheme="minorHAnsi"/>
                <w:lang w:eastAsia="en-US"/>
              </w:rPr>
              <w:t>okresie analizy (według rodzajów stosowanego paliwa), należy zastosować do obliczeń kosztów zanieczyszczenia powietrza</w:t>
            </w:r>
            <w:r w:rsidRPr="00F4393F">
              <w:rPr>
                <w:rFonts w:asciiTheme="minorHAnsi" w:hAnsiTheme="minorHAnsi"/>
                <w:lang w:eastAsia="en-US"/>
              </w:rPr>
              <w:t>.</w:t>
            </w:r>
          </w:p>
          <w:p w14:paraId="73C19732" w14:textId="77777777" w:rsidR="00921721" w:rsidRDefault="00921721" w:rsidP="00880D09">
            <w:pPr>
              <w:pStyle w:val="anxnormal"/>
              <w:spacing w:after="120"/>
              <w:ind w:left="0"/>
              <w:rPr>
                <w:rFonts w:asciiTheme="minorHAnsi" w:hAnsiTheme="minorHAnsi"/>
                <w:lang w:eastAsia="en-US"/>
              </w:rPr>
            </w:pPr>
            <w:r w:rsidRPr="00731A1C">
              <w:rPr>
                <w:rFonts w:asciiTheme="minorHAnsi" w:hAnsiTheme="minorHAnsi"/>
                <w:lang w:eastAsia="en-US"/>
              </w:rPr>
              <w:t>Wpływ nachylenia drogi na emisje zanieczyszczeń powietrza przez pojazdy drogowe przyjęto na takim samym poziomie, jak wpływ na zużycie paliwa.</w:t>
            </w:r>
            <w:r>
              <w:rPr>
                <w:rFonts w:asciiTheme="minorHAnsi" w:hAnsiTheme="minorHAnsi"/>
                <w:lang w:eastAsia="en-US"/>
              </w:rPr>
              <w:t xml:space="preserve"> Przyjmuje się, że teren falisty zwiększa zużycie paliwa pojazdów lekkich o 15%. W przypadku HGV, odpowiedni współczynnik uzyskano w oparciu o zastosowane równania do wyliczania zużycia paliwa. </w:t>
            </w:r>
          </w:p>
          <w:p w14:paraId="64D25518" w14:textId="77777777" w:rsidR="00921721" w:rsidRDefault="00921721" w:rsidP="00880D09">
            <w:pPr>
              <w:pStyle w:val="anxnormal"/>
              <w:spacing w:after="120"/>
              <w:ind w:left="0"/>
              <w:rPr>
                <w:rFonts w:asciiTheme="minorHAnsi" w:hAnsiTheme="minorHAnsi"/>
                <w:lang w:eastAsia="en-US"/>
              </w:rPr>
            </w:pPr>
          </w:p>
          <w:p w14:paraId="74176457" w14:textId="77777777" w:rsidR="00921721" w:rsidRPr="00731E4E" w:rsidRDefault="00921721" w:rsidP="00880D09">
            <w:pPr>
              <w:pStyle w:val="anxnormal"/>
              <w:spacing w:after="120"/>
              <w:ind w:left="0"/>
              <w:rPr>
                <w:rFonts w:asciiTheme="minorHAnsi" w:hAnsiTheme="minorHAnsi"/>
                <w:lang w:eastAsia="en-US"/>
              </w:rPr>
            </w:pPr>
            <w:r w:rsidRPr="00731E4E">
              <w:rPr>
                <w:rFonts w:asciiTheme="minorHAnsi" w:hAnsiTheme="minorHAnsi"/>
                <w:lang w:eastAsia="en-US"/>
              </w:rPr>
              <w:t>Wskaźniki wzrostu kosztów ze względu na nachylenie drogi.</w:t>
            </w:r>
          </w:p>
          <w:tbl>
            <w:tblPr>
              <w:tblW w:w="3580" w:type="dxa"/>
              <w:tblLayout w:type="fixed"/>
              <w:tblLook w:val="04A0" w:firstRow="1" w:lastRow="0" w:firstColumn="1" w:lastColumn="0" w:noHBand="0" w:noVBand="1"/>
            </w:tblPr>
            <w:tblGrid>
              <w:gridCol w:w="1778"/>
              <w:gridCol w:w="901"/>
              <w:gridCol w:w="901"/>
            </w:tblGrid>
            <w:tr w:rsidR="00921721" w:rsidRPr="00731E4E" w14:paraId="14A755E2" w14:textId="77777777" w:rsidTr="00880D09">
              <w:trPr>
                <w:trHeight w:hRule="exact" w:val="309"/>
              </w:trPr>
              <w:tc>
                <w:tcPr>
                  <w:tcW w:w="177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07149A7"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 xml:space="preserve">Rodzaj </w:t>
                  </w:r>
                  <w:r>
                    <w:rPr>
                      <w:rFonts w:asciiTheme="minorHAnsi" w:hAnsiTheme="minorHAnsi" w:cs="Arial"/>
                      <w:b/>
                      <w:bCs/>
                      <w:color w:val="FFFFFF"/>
                      <w:sz w:val="18"/>
                      <w:szCs w:val="18"/>
                    </w:rPr>
                    <w:t>terenu</w:t>
                  </w:r>
                </w:p>
              </w:tc>
              <w:tc>
                <w:tcPr>
                  <w:tcW w:w="90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52362CF"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LV</w:t>
                  </w:r>
                </w:p>
              </w:tc>
              <w:tc>
                <w:tcPr>
                  <w:tcW w:w="90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992828E"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HGV</w:t>
                  </w:r>
                </w:p>
              </w:tc>
            </w:tr>
            <w:tr w:rsidR="00921721" w:rsidRPr="00731E4E" w14:paraId="44636C40" w14:textId="77777777" w:rsidTr="00880D09">
              <w:trPr>
                <w:trHeight w:val="258"/>
              </w:trPr>
              <w:tc>
                <w:tcPr>
                  <w:tcW w:w="17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2967FD6" w14:textId="77777777" w:rsidR="00921721" w:rsidRPr="00CA444D" w:rsidRDefault="00921721" w:rsidP="00880D09">
                  <w:pPr>
                    <w:spacing w:before="20"/>
                    <w:jc w:val="center"/>
                    <w:rPr>
                      <w:rFonts w:asciiTheme="minorHAnsi" w:hAnsiTheme="minorHAnsi" w:cs="Calibri"/>
                      <w:color w:val="4F81BD" w:themeColor="accent1"/>
                      <w:sz w:val="18"/>
                      <w:szCs w:val="18"/>
                    </w:rPr>
                  </w:pPr>
                  <w:r>
                    <w:rPr>
                      <w:rFonts w:asciiTheme="minorHAnsi" w:hAnsiTheme="minorHAnsi" w:cs="Arial"/>
                      <w:color w:val="4F81BD" w:themeColor="accent1"/>
                      <w:sz w:val="18"/>
                      <w:szCs w:val="18"/>
                    </w:rPr>
                    <w:t>Płaski</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2B3328D"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FA6FDCC"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r>
            <w:tr w:rsidR="00921721" w:rsidRPr="00731E4E" w14:paraId="6078B252" w14:textId="77777777" w:rsidTr="00880D09">
              <w:trPr>
                <w:trHeight w:val="258"/>
              </w:trPr>
              <w:tc>
                <w:tcPr>
                  <w:tcW w:w="17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53CB7E1" w14:textId="77777777" w:rsidR="00921721" w:rsidRPr="00CA444D" w:rsidRDefault="00921721" w:rsidP="00880D09">
                  <w:pPr>
                    <w:spacing w:before="20"/>
                    <w:jc w:val="center"/>
                    <w:rPr>
                      <w:rFonts w:asciiTheme="minorHAnsi" w:hAnsiTheme="minorHAnsi" w:cs="Arial"/>
                      <w:color w:val="4F81BD" w:themeColor="accent1"/>
                      <w:sz w:val="18"/>
                      <w:szCs w:val="18"/>
                    </w:rPr>
                  </w:pPr>
                  <w:r w:rsidRPr="00CA444D">
                    <w:rPr>
                      <w:rFonts w:asciiTheme="minorHAnsi" w:hAnsiTheme="minorHAnsi" w:cs="Arial"/>
                      <w:color w:val="4F81BD" w:themeColor="accent1"/>
                      <w:sz w:val="18"/>
                      <w:szCs w:val="18"/>
                    </w:rPr>
                    <w:t>Falist</w:t>
                  </w:r>
                  <w:r>
                    <w:rPr>
                      <w:rFonts w:asciiTheme="minorHAnsi" w:hAnsiTheme="minorHAnsi" w:cs="Arial"/>
                      <w:color w:val="4F81BD" w:themeColor="accent1"/>
                      <w:sz w:val="18"/>
                      <w:szCs w:val="18"/>
                    </w:rPr>
                    <w:t>y</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5670A67" w14:textId="77777777" w:rsidR="00921721" w:rsidRPr="002C6855" w:rsidRDefault="00921721" w:rsidP="00880D09">
                  <w:pPr>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 xml:space="preserve">1,150 </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D06FF31" w14:textId="77777777" w:rsidR="00921721" w:rsidRPr="002C6855" w:rsidRDefault="00921721" w:rsidP="00880D09">
                  <w:pPr>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 xml:space="preserve">1,697 </w:t>
                  </w:r>
                </w:p>
              </w:tc>
            </w:tr>
          </w:tbl>
          <w:p w14:paraId="115DE47C" w14:textId="77777777" w:rsidR="00921721" w:rsidRPr="00CA444D" w:rsidRDefault="00921721" w:rsidP="00880D09">
            <w:pPr>
              <w:spacing w:after="120"/>
              <w:ind w:right="170"/>
              <w:jc w:val="both"/>
              <w:rPr>
                <w:rFonts w:asciiTheme="minorHAnsi" w:hAnsiTheme="minorHAnsi" w:cs="Arial"/>
                <w:b/>
                <w:i/>
                <w:sz w:val="16"/>
                <w:szCs w:val="16"/>
              </w:rPr>
            </w:pPr>
            <w:r w:rsidRPr="00731E4E">
              <w:rPr>
                <w:rFonts w:asciiTheme="minorHAnsi" w:hAnsiTheme="minorHAnsi" w:cs="Arial"/>
                <w:b/>
                <w:i/>
                <w:sz w:val="16"/>
                <w:szCs w:val="16"/>
              </w:rPr>
              <w:t xml:space="preserve">Źródło: Opracowanie własne </w:t>
            </w:r>
            <w:r w:rsidRPr="00983DF9">
              <w:rPr>
                <w:rFonts w:asciiTheme="minorHAnsi" w:hAnsiTheme="minorHAnsi" w:cs="Arial"/>
                <w:b/>
                <w:i/>
                <w:sz w:val="16"/>
                <w:szCs w:val="16"/>
              </w:rPr>
              <w:t>CUPT-JASPERS.</w:t>
            </w:r>
          </w:p>
          <w:p w14:paraId="5A1323B7" w14:textId="77777777" w:rsidR="00921721" w:rsidRDefault="00921721" w:rsidP="00880D09">
            <w:pPr>
              <w:pStyle w:val="anxnormal"/>
              <w:spacing w:after="120"/>
              <w:ind w:left="0"/>
              <w:rPr>
                <w:rFonts w:asciiTheme="minorHAnsi" w:hAnsiTheme="minorHAnsi"/>
                <w:lang w:eastAsia="en-US"/>
              </w:rPr>
            </w:pPr>
          </w:p>
          <w:p w14:paraId="2B4E05F0" w14:textId="77777777" w:rsidR="00921721" w:rsidRDefault="00921721" w:rsidP="00880D09">
            <w:pPr>
              <w:pStyle w:val="anxnormal"/>
              <w:spacing w:after="120"/>
              <w:ind w:left="0"/>
              <w:rPr>
                <w:rFonts w:asciiTheme="minorHAnsi" w:hAnsiTheme="minorHAnsi"/>
                <w:lang w:eastAsia="en-US"/>
              </w:rPr>
            </w:pPr>
          </w:p>
          <w:p w14:paraId="6B469596" w14:textId="77777777" w:rsidR="00921721" w:rsidRDefault="00921721" w:rsidP="00880D09">
            <w:pPr>
              <w:pStyle w:val="anxnormal"/>
              <w:spacing w:after="120"/>
              <w:ind w:left="0"/>
              <w:rPr>
                <w:rFonts w:asciiTheme="minorHAnsi" w:hAnsiTheme="minorHAnsi"/>
                <w:lang w:eastAsia="en-US"/>
              </w:rPr>
            </w:pPr>
          </w:p>
          <w:p w14:paraId="0DE58DB0" w14:textId="77777777" w:rsidR="00921721" w:rsidRPr="00F4393F" w:rsidRDefault="00921721" w:rsidP="00880D09">
            <w:pPr>
              <w:pStyle w:val="anxnormal"/>
              <w:spacing w:after="120"/>
              <w:ind w:left="0"/>
              <w:rPr>
                <w:rFonts w:asciiTheme="minorHAnsi" w:hAnsiTheme="minorHAnsi"/>
                <w:lang w:eastAsia="en-US"/>
              </w:rPr>
            </w:pPr>
            <w:r>
              <w:rPr>
                <w:rFonts w:asciiTheme="minorHAnsi" w:hAnsiTheme="minorHAnsi"/>
                <w:lang w:eastAsia="en-US"/>
              </w:rPr>
              <w:t>Wskaźniki wzrostu kosztów w </w:t>
            </w:r>
            <w:r w:rsidRPr="00F4393F">
              <w:rPr>
                <w:rFonts w:asciiTheme="minorHAnsi" w:hAnsiTheme="minorHAnsi"/>
                <w:lang w:eastAsia="en-US"/>
              </w:rPr>
              <w:t>zależności od stanu nawierzchni</w:t>
            </w:r>
          </w:p>
          <w:tbl>
            <w:tblPr>
              <w:tblW w:w="6733" w:type="dxa"/>
              <w:tblLayout w:type="fixed"/>
              <w:tblLook w:val="04A0" w:firstRow="1" w:lastRow="0" w:firstColumn="1" w:lastColumn="0" w:noHBand="0" w:noVBand="1"/>
            </w:tblPr>
            <w:tblGrid>
              <w:gridCol w:w="3538"/>
              <w:gridCol w:w="1508"/>
              <w:gridCol w:w="1687"/>
            </w:tblGrid>
            <w:tr w:rsidR="00921721" w:rsidRPr="00CF54F6" w14:paraId="022FB705" w14:textId="77777777" w:rsidTr="00880D09">
              <w:trPr>
                <w:trHeight w:hRule="exact" w:val="261"/>
              </w:trPr>
              <w:tc>
                <w:tcPr>
                  <w:tcW w:w="353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A794585" w14:textId="77777777" w:rsidR="00921721" w:rsidRPr="008E4306" w:rsidRDefault="00921721" w:rsidP="00880D09">
                  <w:pPr>
                    <w:snapToGrid w:val="0"/>
                    <w:spacing w:before="20" w:after="20"/>
                    <w:jc w:val="center"/>
                    <w:rPr>
                      <w:rFonts w:asciiTheme="minorHAnsi" w:hAnsiTheme="minorHAnsi" w:cs="Arial"/>
                      <w:b/>
                      <w:bCs/>
                      <w:color w:val="FFFFFF"/>
                      <w:sz w:val="18"/>
                      <w:szCs w:val="18"/>
                    </w:rPr>
                  </w:pPr>
                  <w:r>
                    <w:rPr>
                      <w:rFonts w:asciiTheme="minorHAnsi" w:hAnsiTheme="minorHAnsi" w:cs="Arial"/>
                      <w:b/>
                      <w:bCs/>
                      <w:color w:val="FFFFFF"/>
                      <w:sz w:val="18"/>
                      <w:szCs w:val="18"/>
                    </w:rPr>
                    <w:t>Stan nawierzchni</w:t>
                  </w:r>
                </w:p>
              </w:tc>
              <w:tc>
                <w:tcPr>
                  <w:tcW w:w="150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96CDC14" w14:textId="77777777" w:rsidR="00921721" w:rsidRPr="008E4306" w:rsidRDefault="00921721" w:rsidP="00880D09">
                  <w:pPr>
                    <w:snapToGrid w:val="0"/>
                    <w:spacing w:before="20" w:after="20"/>
                    <w:jc w:val="center"/>
                    <w:rPr>
                      <w:rFonts w:asciiTheme="minorHAnsi" w:hAnsiTheme="minorHAnsi" w:cs="Arial"/>
                      <w:b/>
                      <w:bCs/>
                      <w:color w:val="FFFFFF"/>
                      <w:sz w:val="18"/>
                      <w:szCs w:val="18"/>
                    </w:rPr>
                  </w:pPr>
                  <w:r w:rsidRPr="008E4306">
                    <w:rPr>
                      <w:rFonts w:asciiTheme="minorHAnsi" w:hAnsiTheme="minorHAnsi" w:cs="Arial"/>
                      <w:b/>
                      <w:bCs/>
                      <w:color w:val="FFFFFF"/>
                      <w:sz w:val="18"/>
                      <w:szCs w:val="18"/>
                    </w:rPr>
                    <w:t>LV</w:t>
                  </w:r>
                </w:p>
              </w:tc>
              <w:tc>
                <w:tcPr>
                  <w:tcW w:w="1687"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043C029" w14:textId="77777777" w:rsidR="00921721" w:rsidRPr="008E4306" w:rsidRDefault="00921721" w:rsidP="00880D09">
                  <w:pPr>
                    <w:snapToGrid w:val="0"/>
                    <w:spacing w:before="20" w:after="20"/>
                    <w:jc w:val="center"/>
                    <w:rPr>
                      <w:rFonts w:asciiTheme="minorHAnsi" w:hAnsiTheme="minorHAnsi" w:cs="Arial"/>
                      <w:b/>
                      <w:bCs/>
                      <w:color w:val="FFFFFF"/>
                      <w:sz w:val="18"/>
                      <w:szCs w:val="18"/>
                    </w:rPr>
                  </w:pPr>
                  <w:r w:rsidRPr="008E4306">
                    <w:rPr>
                      <w:rFonts w:asciiTheme="minorHAnsi" w:hAnsiTheme="minorHAnsi" w:cs="Arial"/>
                      <w:b/>
                      <w:bCs/>
                      <w:color w:val="FFFFFF"/>
                      <w:sz w:val="18"/>
                      <w:szCs w:val="18"/>
                    </w:rPr>
                    <w:t>HGV</w:t>
                  </w:r>
                </w:p>
              </w:tc>
            </w:tr>
            <w:tr w:rsidR="00921721" w:rsidRPr="00CF54F6" w14:paraId="4D4B5B58" w14:textId="77777777" w:rsidTr="00880D09">
              <w:trPr>
                <w:trHeight w:hRule="exact" w:val="261"/>
              </w:trPr>
              <w:tc>
                <w:tcPr>
                  <w:tcW w:w="353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B8CF149"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Dobry (nawierzchnia po remoncie/</w:t>
                  </w:r>
                  <w:r>
                    <w:rPr>
                      <w:rFonts w:asciiTheme="minorHAnsi" w:hAnsiTheme="minorHAnsi" w:cs="Arial"/>
                      <w:color w:val="4F81BD" w:themeColor="accent1"/>
                      <w:sz w:val="18"/>
                      <w:szCs w:val="18"/>
                    </w:rPr>
                    <w:t xml:space="preserve"> </w:t>
                  </w:r>
                  <w:r w:rsidRPr="002C6855">
                    <w:rPr>
                      <w:rFonts w:asciiTheme="minorHAnsi" w:hAnsiTheme="minorHAnsi" w:cs="Arial"/>
                      <w:color w:val="4F81BD" w:themeColor="accent1"/>
                      <w:sz w:val="18"/>
                      <w:szCs w:val="18"/>
                    </w:rPr>
                    <w:t>budowie)</w:t>
                  </w:r>
                </w:p>
              </w:tc>
              <w:tc>
                <w:tcPr>
                  <w:tcW w:w="1508"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9117FBF"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c>
                <w:tcPr>
                  <w:tcW w:w="168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F5EA777"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r>
            <w:tr w:rsidR="00921721" w:rsidRPr="00CF54F6" w14:paraId="780462AA" w14:textId="77777777" w:rsidTr="00880D09">
              <w:trPr>
                <w:trHeight w:hRule="exact" w:val="261"/>
              </w:trPr>
              <w:tc>
                <w:tcPr>
                  <w:tcW w:w="353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EFC1403" w14:textId="77777777" w:rsidR="00921721" w:rsidRPr="002C6855" w:rsidRDefault="00921721" w:rsidP="00880D09">
                  <w:pPr>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N</w:t>
                  </w:r>
                  <w:r w:rsidRPr="002C6855">
                    <w:rPr>
                      <w:rFonts w:asciiTheme="minorHAnsi" w:hAnsiTheme="minorHAnsi" w:cs="Arial"/>
                      <w:color w:val="4F81BD" w:themeColor="accent1"/>
                      <w:sz w:val="18"/>
                      <w:szCs w:val="18"/>
                    </w:rPr>
                    <w:t>awierzchnia zdegradowana</w:t>
                  </w:r>
                </w:p>
              </w:tc>
              <w:tc>
                <w:tcPr>
                  <w:tcW w:w="1508"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7989727"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169</w:t>
                  </w:r>
                </w:p>
              </w:tc>
              <w:tc>
                <w:tcPr>
                  <w:tcW w:w="168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3EB6167"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188</w:t>
                  </w:r>
                </w:p>
              </w:tc>
            </w:tr>
          </w:tbl>
          <w:p w14:paraId="5B4A0114" w14:textId="77777777" w:rsidR="00921721" w:rsidRPr="00CA444D" w:rsidRDefault="00921721" w:rsidP="00880D09">
            <w:pPr>
              <w:spacing w:after="120"/>
              <w:ind w:right="170"/>
              <w:jc w:val="both"/>
              <w:rPr>
                <w:rFonts w:asciiTheme="minorHAnsi" w:hAnsiTheme="minorHAnsi" w:cs="Arial"/>
                <w:b/>
                <w:i/>
                <w:sz w:val="16"/>
                <w:szCs w:val="16"/>
              </w:rPr>
            </w:pPr>
            <w:r w:rsidRPr="00731E4E">
              <w:rPr>
                <w:rFonts w:asciiTheme="minorHAnsi" w:hAnsiTheme="minorHAnsi" w:cs="Arial"/>
                <w:b/>
                <w:i/>
                <w:sz w:val="16"/>
                <w:szCs w:val="16"/>
              </w:rPr>
              <w:t xml:space="preserve">Źródło: Opracowanie własne </w:t>
            </w:r>
            <w:r w:rsidRPr="00983DF9">
              <w:rPr>
                <w:rFonts w:asciiTheme="minorHAnsi" w:hAnsiTheme="minorHAnsi" w:cs="Arial"/>
                <w:b/>
                <w:i/>
                <w:sz w:val="16"/>
                <w:szCs w:val="16"/>
              </w:rPr>
              <w:t xml:space="preserve">CUPT-JASPERS </w:t>
            </w:r>
            <w:r>
              <w:rPr>
                <w:rFonts w:asciiTheme="minorHAnsi" w:hAnsiTheme="minorHAnsi" w:cs="Arial"/>
                <w:b/>
                <w:i/>
                <w:sz w:val="16"/>
                <w:szCs w:val="16"/>
              </w:rPr>
              <w:t>na </w:t>
            </w:r>
            <w:r w:rsidRPr="00731E4E">
              <w:rPr>
                <w:rFonts w:asciiTheme="minorHAnsi" w:hAnsiTheme="minorHAnsi" w:cs="Arial"/>
                <w:b/>
                <w:i/>
                <w:sz w:val="16"/>
                <w:szCs w:val="16"/>
              </w:rPr>
              <w:t xml:space="preserve">podstawie </w:t>
            </w:r>
            <w:r>
              <w:rPr>
                <w:rFonts w:asciiTheme="minorHAnsi" w:hAnsiTheme="minorHAnsi" w:cs="Arial"/>
                <w:b/>
                <w:i/>
                <w:sz w:val="16"/>
                <w:szCs w:val="16"/>
              </w:rPr>
              <w:t>„</w:t>
            </w:r>
            <w:r w:rsidRPr="00983DF9">
              <w:rPr>
                <w:rFonts w:asciiTheme="minorHAnsi" w:hAnsiTheme="minorHAnsi" w:cs="Arial"/>
                <w:b/>
                <w:i/>
                <w:sz w:val="16"/>
                <w:szCs w:val="16"/>
              </w:rPr>
              <w:t>Optimisation of Maintenance", OECD/ITF 2012.</w:t>
            </w:r>
          </w:p>
          <w:p w14:paraId="411836B4" w14:textId="77777777" w:rsidR="00921721" w:rsidRDefault="00921721" w:rsidP="00880D09">
            <w:pPr>
              <w:spacing w:before="120" w:after="120"/>
              <w:ind w:right="170"/>
              <w:jc w:val="both"/>
              <w:rPr>
                <w:rFonts w:asciiTheme="minorHAnsi" w:hAnsiTheme="minorHAnsi" w:cs="Arial"/>
                <w:snapToGrid w:val="0"/>
                <w:sz w:val="20"/>
                <w:szCs w:val="20"/>
                <w:u w:val="single"/>
                <w:lang w:eastAsia="en-US"/>
              </w:rPr>
            </w:pPr>
          </w:p>
          <w:p w14:paraId="58F77A72" w14:textId="77777777" w:rsidR="00921721" w:rsidRDefault="00921721" w:rsidP="00880D09">
            <w:pPr>
              <w:spacing w:before="120" w:after="120"/>
              <w:ind w:right="170"/>
              <w:jc w:val="both"/>
              <w:rPr>
                <w:rFonts w:asciiTheme="minorHAnsi" w:hAnsiTheme="minorHAnsi" w:cs="Arial"/>
                <w:snapToGrid w:val="0"/>
                <w:sz w:val="20"/>
                <w:szCs w:val="20"/>
                <w:u w:val="single"/>
                <w:lang w:eastAsia="en-US"/>
              </w:rPr>
            </w:pPr>
          </w:p>
          <w:p w14:paraId="29214633" w14:textId="77777777" w:rsidR="00921721" w:rsidRDefault="00921721" w:rsidP="00880D09">
            <w:pPr>
              <w:spacing w:before="120" w:after="120"/>
              <w:ind w:right="170"/>
              <w:jc w:val="both"/>
              <w:rPr>
                <w:rFonts w:asciiTheme="minorHAnsi" w:hAnsiTheme="minorHAnsi" w:cs="Arial"/>
                <w:snapToGrid w:val="0"/>
                <w:sz w:val="20"/>
                <w:szCs w:val="20"/>
                <w:u w:val="single"/>
                <w:lang w:eastAsia="en-US"/>
              </w:rPr>
            </w:pPr>
          </w:p>
          <w:p w14:paraId="7C8EE3BF" w14:textId="77777777" w:rsidR="00921721" w:rsidRDefault="00921721" w:rsidP="00880D09">
            <w:pPr>
              <w:spacing w:before="120" w:after="120"/>
              <w:ind w:right="170"/>
              <w:jc w:val="both"/>
              <w:rPr>
                <w:rFonts w:asciiTheme="minorHAnsi" w:hAnsiTheme="minorHAnsi" w:cs="Arial"/>
                <w:snapToGrid w:val="0"/>
                <w:sz w:val="20"/>
                <w:szCs w:val="20"/>
                <w:u w:val="single"/>
                <w:lang w:eastAsia="en-US"/>
              </w:rPr>
            </w:pPr>
            <w:r>
              <w:rPr>
                <w:rFonts w:asciiTheme="minorHAnsi" w:hAnsiTheme="minorHAnsi" w:cs="Arial"/>
                <w:snapToGrid w:val="0"/>
                <w:sz w:val="20"/>
                <w:szCs w:val="20"/>
                <w:u w:val="single"/>
                <w:lang w:eastAsia="en-US"/>
              </w:rPr>
              <w:t>T</w:t>
            </w:r>
            <w:r w:rsidRPr="002B7802">
              <w:rPr>
                <w:rFonts w:asciiTheme="minorHAnsi" w:hAnsiTheme="minorHAnsi" w:cs="Arial"/>
                <w:snapToGrid w:val="0"/>
                <w:sz w:val="20"/>
                <w:szCs w:val="20"/>
                <w:u w:val="single"/>
                <w:lang w:eastAsia="en-US"/>
              </w:rPr>
              <w:t>ransport kolejowy</w:t>
            </w:r>
          </w:p>
          <w:p w14:paraId="10C412B2" w14:textId="77777777" w:rsidR="00921721" w:rsidRDefault="00921721" w:rsidP="00880D09">
            <w:pPr>
              <w:spacing w:before="120" w:after="120"/>
              <w:ind w:right="170"/>
              <w:jc w:val="both"/>
              <w:rPr>
                <w:rFonts w:asciiTheme="minorHAnsi" w:hAnsiTheme="minorHAnsi" w:cs="Arial"/>
                <w:snapToGrid w:val="0"/>
                <w:sz w:val="20"/>
                <w:szCs w:val="20"/>
                <w:u w:val="single"/>
                <w:lang w:eastAsia="en-US"/>
              </w:rPr>
            </w:pPr>
            <w:r w:rsidRPr="002C6855">
              <w:rPr>
                <w:rFonts w:asciiTheme="minorHAnsi" w:hAnsiTheme="minorHAnsi" w:cs="Arial"/>
                <w:snapToGrid w:val="0"/>
                <w:sz w:val="20"/>
                <w:szCs w:val="20"/>
                <w:lang w:eastAsia="en-US"/>
              </w:rPr>
              <w:t>Krańcowe koszty jednostkowe zanieczyszczenia powietrza PLN/</w:t>
            </w:r>
            <w:r>
              <w:rPr>
                <w:rFonts w:asciiTheme="minorHAnsi" w:hAnsiTheme="minorHAnsi" w:cs="Arial"/>
                <w:snapToGrid w:val="0"/>
                <w:sz w:val="20"/>
                <w:szCs w:val="20"/>
                <w:lang w:eastAsia="en-US"/>
              </w:rPr>
              <w:t>poc-</w:t>
            </w:r>
            <w:r w:rsidRPr="002C6855">
              <w:rPr>
                <w:rFonts w:asciiTheme="minorHAnsi" w:hAnsiTheme="minorHAnsi" w:cs="Arial"/>
                <w:snapToGrid w:val="0"/>
                <w:sz w:val="20"/>
                <w:szCs w:val="20"/>
                <w:lang w:eastAsia="en-US"/>
              </w:rPr>
              <w:t>km, ceny 202</w:t>
            </w:r>
            <w:r>
              <w:rPr>
                <w:rFonts w:asciiTheme="minorHAnsi" w:hAnsiTheme="minorHAnsi" w:cs="Arial"/>
                <w:snapToGrid w:val="0"/>
                <w:sz w:val="20"/>
                <w:szCs w:val="20"/>
                <w:lang w:eastAsia="en-US"/>
              </w:rPr>
              <w:t>1</w:t>
            </w:r>
          </w:p>
          <w:tbl>
            <w:tblPr>
              <w:tblW w:w="6513" w:type="dxa"/>
              <w:tblLayout w:type="fixed"/>
              <w:tblLook w:val="04A0" w:firstRow="1" w:lastRow="0" w:firstColumn="1" w:lastColumn="0" w:noHBand="0" w:noVBand="1"/>
            </w:tblPr>
            <w:tblGrid>
              <w:gridCol w:w="1338"/>
              <w:gridCol w:w="1917"/>
              <w:gridCol w:w="1086"/>
              <w:gridCol w:w="1086"/>
              <w:gridCol w:w="1086"/>
            </w:tblGrid>
            <w:tr w:rsidR="00921721" w:rsidRPr="003E7EB2" w14:paraId="681C60E6" w14:textId="77777777" w:rsidTr="00880D09">
              <w:trPr>
                <w:trHeight w:hRule="exact" w:val="1119"/>
              </w:trPr>
              <w:tc>
                <w:tcPr>
                  <w:tcW w:w="133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D0DF754" w14:textId="77777777" w:rsidR="00921721"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 xml:space="preserve">Pociągi </w:t>
                  </w:r>
                </w:p>
                <w:p w14:paraId="2BD621FD"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pasa</w:t>
                  </w:r>
                  <w:r>
                    <w:rPr>
                      <w:rFonts w:asciiTheme="minorHAnsi" w:hAnsiTheme="minorHAnsi" w:cs="Arial"/>
                      <w:b/>
                      <w:bCs/>
                      <w:color w:val="FFFFFF"/>
                      <w:sz w:val="18"/>
                      <w:szCs w:val="18"/>
                    </w:rPr>
                    <w:t>ż</w:t>
                  </w:r>
                  <w:r w:rsidRPr="002C6855">
                    <w:rPr>
                      <w:rFonts w:asciiTheme="minorHAnsi" w:hAnsiTheme="minorHAnsi" w:cs="Arial"/>
                      <w:b/>
                      <w:bCs/>
                      <w:color w:val="FFFFFF"/>
                      <w:sz w:val="18"/>
                      <w:szCs w:val="18"/>
                    </w:rPr>
                    <w:t>erskie</w:t>
                  </w:r>
                </w:p>
                <w:p w14:paraId="50E2C3E5"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PLN/ poc-km</w:t>
                  </w:r>
                </w:p>
              </w:tc>
              <w:tc>
                <w:tcPr>
                  <w:tcW w:w="1917"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68211FE"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p>
              </w:tc>
              <w:tc>
                <w:tcPr>
                  <w:tcW w:w="1086"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66F90308" w14:textId="77777777" w:rsidR="00921721" w:rsidRPr="005C29AF" w:rsidRDefault="00921721" w:rsidP="00880D09">
                  <w:pPr>
                    <w:snapToGrid w:val="0"/>
                    <w:spacing w:before="20" w:after="20"/>
                    <w:jc w:val="center"/>
                    <w:rPr>
                      <w:rFonts w:asciiTheme="minorHAnsi" w:hAnsiTheme="minorHAnsi" w:cs="Arial"/>
                      <w:b/>
                      <w:bCs/>
                      <w:color w:val="FFFFFF"/>
                      <w:sz w:val="18"/>
                      <w:szCs w:val="18"/>
                    </w:rPr>
                  </w:pPr>
                  <w:r w:rsidRPr="005C29AF">
                    <w:rPr>
                      <w:rFonts w:asciiTheme="minorHAnsi" w:hAnsiTheme="minorHAnsi" w:cs="Arial"/>
                      <w:b/>
                      <w:bCs/>
                      <w:color w:val="FFFFFF"/>
                      <w:sz w:val="18"/>
                      <w:szCs w:val="18"/>
                    </w:rPr>
                    <w:t>Metropolia (*)</w:t>
                  </w:r>
                </w:p>
              </w:tc>
              <w:tc>
                <w:tcPr>
                  <w:tcW w:w="108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9F627DD" w14:textId="77777777" w:rsidR="00921721" w:rsidRPr="005C29AF" w:rsidRDefault="00921721" w:rsidP="00880D09">
                  <w:pPr>
                    <w:snapToGrid w:val="0"/>
                    <w:spacing w:before="20" w:after="20"/>
                    <w:jc w:val="center"/>
                    <w:rPr>
                      <w:rFonts w:asciiTheme="minorHAnsi" w:hAnsiTheme="minorHAnsi" w:cs="Arial"/>
                      <w:b/>
                      <w:bCs/>
                      <w:color w:val="FFFFFF"/>
                      <w:sz w:val="18"/>
                      <w:szCs w:val="18"/>
                    </w:rPr>
                  </w:pPr>
                  <w:r w:rsidRPr="005C29AF">
                    <w:rPr>
                      <w:rFonts w:asciiTheme="minorHAnsi" w:hAnsiTheme="minorHAnsi" w:cs="Arial"/>
                      <w:b/>
                      <w:bCs/>
                      <w:color w:val="FFFFFF"/>
                      <w:sz w:val="18"/>
                      <w:szCs w:val="18"/>
                    </w:rPr>
                    <w:t xml:space="preserve">Obszar </w:t>
                  </w:r>
                  <w:r w:rsidRPr="005C29AF">
                    <w:rPr>
                      <w:rFonts w:asciiTheme="minorHAnsi" w:hAnsiTheme="minorHAnsi" w:cs="Arial"/>
                      <w:b/>
                      <w:bCs/>
                      <w:color w:val="FFFFFF"/>
                      <w:sz w:val="18"/>
                      <w:szCs w:val="18"/>
                    </w:rPr>
                    <w:br/>
                    <w:t>miejski</w:t>
                  </w:r>
                </w:p>
              </w:tc>
              <w:tc>
                <w:tcPr>
                  <w:tcW w:w="1086"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736440F1" w14:textId="77777777" w:rsidR="00921721" w:rsidRPr="005C29AF" w:rsidRDefault="00921721" w:rsidP="00880D09">
                  <w:pPr>
                    <w:snapToGrid w:val="0"/>
                    <w:spacing w:before="20" w:after="20"/>
                    <w:jc w:val="center"/>
                    <w:rPr>
                      <w:rFonts w:asciiTheme="minorHAnsi" w:hAnsiTheme="minorHAnsi" w:cs="Arial"/>
                      <w:b/>
                      <w:bCs/>
                      <w:color w:val="FFFFFF"/>
                      <w:sz w:val="18"/>
                      <w:szCs w:val="18"/>
                    </w:rPr>
                  </w:pPr>
                  <w:r w:rsidRPr="005C29AF">
                    <w:rPr>
                      <w:rFonts w:asciiTheme="minorHAnsi" w:hAnsiTheme="minorHAnsi" w:cs="Arial"/>
                      <w:b/>
                      <w:bCs/>
                      <w:color w:val="FFFFFF"/>
                      <w:sz w:val="18"/>
                      <w:szCs w:val="18"/>
                    </w:rPr>
                    <w:t xml:space="preserve">Obszar </w:t>
                  </w:r>
                  <w:r w:rsidRPr="005C29AF">
                    <w:rPr>
                      <w:rFonts w:asciiTheme="minorHAnsi" w:hAnsiTheme="minorHAnsi" w:cs="Arial"/>
                      <w:b/>
                      <w:bCs/>
                      <w:color w:val="FFFFFF"/>
                      <w:sz w:val="18"/>
                      <w:szCs w:val="18"/>
                    </w:rPr>
                    <w:br/>
                    <w:t>zamiejski</w:t>
                  </w:r>
                </w:p>
              </w:tc>
            </w:tr>
            <w:tr w:rsidR="00921721" w:rsidRPr="006856C6" w14:paraId="5DD7C97C" w14:textId="77777777" w:rsidTr="00880D09">
              <w:trPr>
                <w:trHeight w:val="250"/>
              </w:trPr>
              <w:tc>
                <w:tcPr>
                  <w:tcW w:w="1338" w:type="dxa"/>
                  <w:vMerge w:val="restart"/>
                  <w:tcBorders>
                    <w:top w:val="single" w:sz="4" w:space="0" w:color="FFFFFF"/>
                    <w:left w:val="single" w:sz="4" w:space="0" w:color="FFFFFF"/>
                    <w:right w:val="nil"/>
                  </w:tcBorders>
                  <w:shd w:val="clear" w:color="auto" w:fill="DBE5F1" w:themeFill="accent1" w:themeFillTint="33"/>
                  <w:vAlign w:val="center"/>
                </w:tcPr>
                <w:p w14:paraId="23BE416E"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Elektryczne</w:t>
                  </w:r>
                </w:p>
              </w:tc>
              <w:tc>
                <w:tcPr>
                  <w:tcW w:w="191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4E0E5B0"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Dużych prędkości</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2D86AC7"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38525F7"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tcPr>
                <w:p w14:paraId="360E4E1F" w14:textId="77777777" w:rsidR="00921721" w:rsidRPr="005C29AF" w:rsidRDefault="00921721" w:rsidP="00880D09">
                  <w:pPr>
                    <w:spacing w:before="20"/>
                    <w:jc w:val="center"/>
                    <w:rPr>
                      <w:rFonts w:asciiTheme="minorHAnsi" w:hAnsiTheme="minorHAnsi" w:cs="Arial"/>
                      <w:color w:val="4F81BD" w:themeColor="accent1"/>
                      <w:sz w:val="18"/>
                      <w:szCs w:val="18"/>
                    </w:rPr>
                  </w:pPr>
                </w:p>
              </w:tc>
            </w:tr>
            <w:tr w:rsidR="00921721" w:rsidRPr="006856C6" w14:paraId="1BFD9FD9" w14:textId="77777777" w:rsidTr="00880D09">
              <w:trPr>
                <w:trHeight w:val="250"/>
              </w:trPr>
              <w:tc>
                <w:tcPr>
                  <w:tcW w:w="1338" w:type="dxa"/>
                  <w:vMerge/>
                  <w:tcBorders>
                    <w:left w:val="single" w:sz="4" w:space="0" w:color="FFFFFF"/>
                    <w:right w:val="nil"/>
                  </w:tcBorders>
                  <w:shd w:val="clear" w:color="auto" w:fill="DBE5F1" w:themeFill="accent1" w:themeFillTint="33"/>
                  <w:vAlign w:val="center"/>
                </w:tcPr>
                <w:p w14:paraId="3A598C2A" w14:textId="77777777" w:rsidR="00921721" w:rsidRPr="003E7EB2" w:rsidRDefault="00921721" w:rsidP="00880D09">
                  <w:pPr>
                    <w:jc w:val="center"/>
                    <w:rPr>
                      <w:rFonts w:ascii="Calibri" w:hAnsi="Calibri" w:cs="Calibri"/>
                      <w:color w:val="000000"/>
                      <w:sz w:val="18"/>
                      <w:szCs w:val="18"/>
                    </w:rPr>
                  </w:pPr>
                </w:p>
              </w:tc>
              <w:tc>
                <w:tcPr>
                  <w:tcW w:w="191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862F33D"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Międzyaglomeracyjne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271A25AE"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010</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tcPr>
                <w:p w14:paraId="312458BB"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010</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tcPr>
                <w:p w14:paraId="5A6CD393"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010</w:t>
                  </w:r>
                </w:p>
              </w:tc>
            </w:tr>
            <w:tr w:rsidR="00921721" w:rsidRPr="006856C6" w14:paraId="090626F5" w14:textId="77777777" w:rsidTr="00880D09">
              <w:trPr>
                <w:trHeight w:val="250"/>
              </w:trPr>
              <w:tc>
                <w:tcPr>
                  <w:tcW w:w="1338" w:type="dxa"/>
                  <w:vMerge/>
                  <w:tcBorders>
                    <w:left w:val="single" w:sz="4" w:space="0" w:color="FFFFFF"/>
                    <w:right w:val="nil"/>
                  </w:tcBorders>
                  <w:shd w:val="clear" w:color="auto" w:fill="DBE5F1" w:themeFill="accent1" w:themeFillTint="33"/>
                  <w:vAlign w:val="center"/>
                </w:tcPr>
                <w:p w14:paraId="6BE9FB75" w14:textId="77777777" w:rsidR="00921721" w:rsidRPr="003E7EB2" w:rsidRDefault="00921721" w:rsidP="00880D09">
                  <w:pPr>
                    <w:jc w:val="center"/>
                    <w:rPr>
                      <w:rFonts w:ascii="Calibri" w:hAnsi="Calibri" w:cs="Calibri"/>
                      <w:color w:val="000000"/>
                      <w:sz w:val="18"/>
                      <w:szCs w:val="18"/>
                    </w:rPr>
                  </w:pPr>
                </w:p>
              </w:tc>
              <w:tc>
                <w:tcPr>
                  <w:tcW w:w="191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A60971E"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Regionalne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369204AF" w14:textId="77777777" w:rsidR="00921721" w:rsidRPr="005C29AF" w:rsidRDefault="00921721" w:rsidP="00880D09">
                  <w:pPr>
                    <w:spacing w:before="20"/>
                    <w:jc w:val="center"/>
                    <w:rPr>
                      <w:rFonts w:asciiTheme="minorHAnsi" w:hAnsiTheme="minorHAnsi" w:cs="Arial"/>
                      <w:color w:val="4F81BD" w:themeColor="accent1"/>
                      <w:sz w:val="18"/>
                      <w:szCs w:val="18"/>
                    </w:rPr>
                  </w:pPr>
                  <w:r w:rsidRPr="00117A7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117A79">
                    <w:rPr>
                      <w:rFonts w:asciiTheme="minorHAnsi" w:hAnsiTheme="minorHAnsi" w:cs="Arial"/>
                      <w:color w:val="4F81BD" w:themeColor="accent1"/>
                      <w:sz w:val="18"/>
                      <w:szCs w:val="18"/>
                      <w:lang w:val="en-GB"/>
                    </w:rPr>
                    <w:t>016</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tcPr>
                <w:p w14:paraId="1ACA7C8D" w14:textId="77777777" w:rsidR="00921721" w:rsidRPr="005C29AF" w:rsidRDefault="00921721" w:rsidP="00880D09">
                  <w:pPr>
                    <w:spacing w:before="20"/>
                    <w:jc w:val="center"/>
                    <w:rPr>
                      <w:rFonts w:asciiTheme="minorHAnsi" w:hAnsiTheme="minorHAnsi" w:cs="Arial"/>
                      <w:color w:val="4F81BD" w:themeColor="accent1"/>
                      <w:sz w:val="18"/>
                      <w:szCs w:val="18"/>
                    </w:rPr>
                  </w:pPr>
                  <w:r w:rsidRPr="00117A7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117A79">
                    <w:rPr>
                      <w:rFonts w:asciiTheme="minorHAnsi" w:hAnsiTheme="minorHAnsi" w:cs="Arial"/>
                      <w:color w:val="4F81BD" w:themeColor="accent1"/>
                      <w:sz w:val="18"/>
                      <w:szCs w:val="18"/>
                      <w:lang w:val="en-GB"/>
                    </w:rPr>
                    <w:t>016</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tcPr>
                <w:p w14:paraId="6518F1EE" w14:textId="77777777" w:rsidR="00921721" w:rsidRPr="005C29AF" w:rsidRDefault="00921721" w:rsidP="00880D09">
                  <w:pPr>
                    <w:spacing w:before="20"/>
                    <w:jc w:val="center"/>
                    <w:rPr>
                      <w:rFonts w:asciiTheme="minorHAnsi" w:hAnsiTheme="minorHAnsi" w:cs="Arial"/>
                      <w:color w:val="4F81BD" w:themeColor="accent1"/>
                      <w:sz w:val="18"/>
                      <w:szCs w:val="18"/>
                    </w:rPr>
                  </w:pPr>
                  <w:r w:rsidRPr="00117A7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117A79">
                    <w:rPr>
                      <w:rFonts w:asciiTheme="minorHAnsi" w:hAnsiTheme="minorHAnsi" w:cs="Arial"/>
                      <w:color w:val="4F81BD" w:themeColor="accent1"/>
                      <w:sz w:val="18"/>
                      <w:szCs w:val="18"/>
                      <w:lang w:val="en-GB"/>
                    </w:rPr>
                    <w:t>016</w:t>
                  </w:r>
                </w:p>
              </w:tc>
            </w:tr>
            <w:tr w:rsidR="00921721" w:rsidRPr="003E7EB2" w14:paraId="46E7357A" w14:textId="77777777" w:rsidTr="00880D09">
              <w:trPr>
                <w:trHeight w:val="250"/>
              </w:trPr>
              <w:tc>
                <w:tcPr>
                  <w:tcW w:w="1338" w:type="dxa"/>
                  <w:vMerge w:val="restart"/>
                  <w:tcBorders>
                    <w:top w:val="single" w:sz="4" w:space="0" w:color="FFFFFF"/>
                    <w:left w:val="single" w:sz="4" w:space="0" w:color="FFFFFF"/>
                    <w:right w:val="nil"/>
                  </w:tcBorders>
                  <w:shd w:val="clear" w:color="auto" w:fill="DBE5F1" w:themeFill="accent1" w:themeFillTint="33"/>
                  <w:vAlign w:val="center"/>
                </w:tcPr>
                <w:p w14:paraId="4C114345" w14:textId="77777777" w:rsidR="00921721" w:rsidRPr="003E7EB2" w:rsidRDefault="00921721" w:rsidP="00880D09">
                  <w:pPr>
                    <w:spacing w:before="20"/>
                    <w:jc w:val="center"/>
                    <w:rPr>
                      <w:rFonts w:ascii="Calibri" w:hAnsi="Calibri" w:cs="Calibri"/>
                      <w:color w:val="000000"/>
                      <w:sz w:val="18"/>
                      <w:szCs w:val="18"/>
                    </w:rPr>
                  </w:pPr>
                  <w:r w:rsidRPr="005C29AF">
                    <w:rPr>
                      <w:rFonts w:asciiTheme="minorHAnsi" w:hAnsiTheme="minorHAnsi" w:cs="Arial"/>
                      <w:color w:val="4F81BD" w:themeColor="accent1"/>
                      <w:sz w:val="18"/>
                      <w:szCs w:val="18"/>
                    </w:rPr>
                    <w:t>Diesel</w:t>
                  </w:r>
                </w:p>
              </w:tc>
              <w:tc>
                <w:tcPr>
                  <w:tcW w:w="191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D4E85BB"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Międzyaglomeracyjne (EGR/SRC)</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586D44B4"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3</w:t>
                  </w:r>
                  <w:r>
                    <w:rPr>
                      <w:rFonts w:asciiTheme="minorHAnsi" w:hAnsiTheme="minorHAnsi" w:cs="Arial"/>
                      <w:color w:val="4F81BD" w:themeColor="accent1"/>
                      <w:sz w:val="18"/>
                      <w:szCs w:val="18"/>
                      <w:lang w:val="en-GB"/>
                    </w:rPr>
                    <w:t>42</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tcPr>
                <w:p w14:paraId="72F18B33"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89</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tcPr>
                <w:p w14:paraId="37760D41"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6</w:t>
                  </w:r>
                  <w:r>
                    <w:rPr>
                      <w:rFonts w:asciiTheme="minorHAnsi" w:hAnsiTheme="minorHAnsi" w:cs="Arial"/>
                      <w:color w:val="4F81BD" w:themeColor="accent1"/>
                      <w:sz w:val="18"/>
                      <w:szCs w:val="18"/>
                      <w:lang w:val="en-GB"/>
                    </w:rPr>
                    <w:t>59</w:t>
                  </w:r>
                </w:p>
              </w:tc>
            </w:tr>
            <w:tr w:rsidR="00921721" w:rsidRPr="003E7EB2" w14:paraId="30DDEC1F" w14:textId="77777777" w:rsidTr="00880D09">
              <w:trPr>
                <w:trHeight w:val="250"/>
              </w:trPr>
              <w:tc>
                <w:tcPr>
                  <w:tcW w:w="1338" w:type="dxa"/>
                  <w:vMerge/>
                  <w:tcBorders>
                    <w:left w:val="single" w:sz="4" w:space="0" w:color="FFFFFF"/>
                    <w:right w:val="nil"/>
                  </w:tcBorders>
                  <w:shd w:val="clear" w:color="auto" w:fill="DBE5F1" w:themeFill="accent1" w:themeFillTint="33"/>
                  <w:vAlign w:val="center"/>
                </w:tcPr>
                <w:p w14:paraId="2EFB725F" w14:textId="77777777" w:rsidR="00921721" w:rsidRPr="003E7EB2" w:rsidRDefault="00921721" w:rsidP="00880D09">
                  <w:pPr>
                    <w:jc w:val="center"/>
                    <w:rPr>
                      <w:rFonts w:ascii="Calibri" w:hAnsi="Calibri" w:cs="Calibri"/>
                      <w:color w:val="000000"/>
                      <w:sz w:val="18"/>
                      <w:szCs w:val="18"/>
                    </w:rPr>
                  </w:pPr>
                </w:p>
              </w:tc>
              <w:tc>
                <w:tcPr>
                  <w:tcW w:w="191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F5F734F"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Międzyaglomeracyjne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0BD7A4E0"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2</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19</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ADCCC8F"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9</w:t>
                  </w:r>
                  <w:r>
                    <w:rPr>
                      <w:rFonts w:asciiTheme="minorHAnsi" w:hAnsiTheme="minorHAnsi" w:cs="Arial"/>
                      <w:color w:val="4F81BD" w:themeColor="accent1"/>
                      <w:sz w:val="18"/>
                      <w:szCs w:val="18"/>
                      <w:lang w:val="en-GB"/>
                    </w:rPr>
                    <w:t>36</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3A08A14"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16</w:t>
                  </w:r>
                  <w:r>
                    <w:rPr>
                      <w:rFonts w:asciiTheme="minorHAnsi" w:hAnsiTheme="minorHAnsi" w:cs="Arial"/>
                      <w:color w:val="4F81BD" w:themeColor="accent1"/>
                      <w:sz w:val="18"/>
                      <w:szCs w:val="18"/>
                      <w:lang w:val="en-GB"/>
                    </w:rPr>
                    <w:t>1</w:t>
                  </w:r>
                </w:p>
              </w:tc>
            </w:tr>
            <w:tr w:rsidR="00921721" w:rsidRPr="003E7EB2" w14:paraId="1E575EFE" w14:textId="77777777" w:rsidTr="00880D09">
              <w:trPr>
                <w:trHeight w:val="250"/>
              </w:trPr>
              <w:tc>
                <w:tcPr>
                  <w:tcW w:w="1338" w:type="dxa"/>
                  <w:vMerge/>
                  <w:tcBorders>
                    <w:left w:val="single" w:sz="4" w:space="0" w:color="FFFFFF"/>
                    <w:right w:val="nil"/>
                  </w:tcBorders>
                  <w:shd w:val="clear" w:color="auto" w:fill="DBE5F1" w:themeFill="accent1" w:themeFillTint="33"/>
                  <w:vAlign w:val="center"/>
                </w:tcPr>
                <w:p w14:paraId="4CB82658" w14:textId="77777777" w:rsidR="00921721" w:rsidRPr="003E7EB2" w:rsidRDefault="00921721" w:rsidP="00880D09">
                  <w:pPr>
                    <w:jc w:val="center"/>
                    <w:rPr>
                      <w:rFonts w:ascii="Calibri" w:hAnsi="Calibri" w:cs="Calibri"/>
                      <w:color w:val="000000"/>
                      <w:sz w:val="18"/>
                      <w:szCs w:val="18"/>
                    </w:rPr>
                  </w:pPr>
                </w:p>
              </w:tc>
              <w:tc>
                <w:tcPr>
                  <w:tcW w:w="191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FA3E9F1"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Regionalne (EGR/SRC)</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E529293"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5</w:t>
                  </w:r>
                  <w:r>
                    <w:rPr>
                      <w:rFonts w:asciiTheme="minorHAnsi" w:hAnsiTheme="minorHAnsi" w:cs="Arial"/>
                      <w:color w:val="4F81BD" w:themeColor="accent1"/>
                      <w:sz w:val="18"/>
                      <w:szCs w:val="18"/>
                      <w:lang w:val="en-GB"/>
                    </w:rPr>
                    <w:t>57</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0CDEAF2"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,194</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6BAFBB7"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7</w:t>
                  </w:r>
                  <w:r>
                    <w:rPr>
                      <w:rFonts w:asciiTheme="minorHAnsi" w:hAnsiTheme="minorHAnsi" w:cs="Arial"/>
                      <w:color w:val="4F81BD" w:themeColor="accent1"/>
                      <w:sz w:val="18"/>
                      <w:szCs w:val="18"/>
                      <w:lang w:val="en-GB"/>
                    </w:rPr>
                    <w:t>28</w:t>
                  </w:r>
                </w:p>
              </w:tc>
            </w:tr>
            <w:tr w:rsidR="00921721" w:rsidRPr="003E7EB2" w14:paraId="13B222E1" w14:textId="77777777" w:rsidTr="00880D09">
              <w:trPr>
                <w:trHeight w:val="250"/>
              </w:trPr>
              <w:tc>
                <w:tcPr>
                  <w:tcW w:w="1338" w:type="dxa"/>
                  <w:vMerge/>
                  <w:tcBorders>
                    <w:left w:val="single" w:sz="4" w:space="0" w:color="FFFFFF"/>
                    <w:bottom w:val="single" w:sz="4" w:space="0" w:color="FFFFFF"/>
                    <w:right w:val="nil"/>
                  </w:tcBorders>
                  <w:shd w:val="clear" w:color="auto" w:fill="DBE5F1" w:themeFill="accent1" w:themeFillTint="33"/>
                  <w:vAlign w:val="center"/>
                </w:tcPr>
                <w:p w14:paraId="18E40301" w14:textId="77777777" w:rsidR="00921721" w:rsidRPr="003E7EB2" w:rsidRDefault="00921721" w:rsidP="00880D09">
                  <w:pPr>
                    <w:jc w:val="center"/>
                    <w:rPr>
                      <w:rFonts w:ascii="Calibri" w:hAnsi="Calibri" w:cs="Calibri"/>
                      <w:color w:val="000000"/>
                      <w:sz w:val="18"/>
                      <w:szCs w:val="18"/>
                    </w:rPr>
                  </w:pPr>
                </w:p>
              </w:tc>
              <w:tc>
                <w:tcPr>
                  <w:tcW w:w="191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E53F0D6"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Regionalne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754B39C6"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2</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55</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tcPr>
                <w:p w14:paraId="61F460D5"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2</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36</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tcPr>
                <w:p w14:paraId="7733A79D"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w:t>
                  </w:r>
                  <w:r w:rsidRPr="00B72029">
                    <w:rPr>
                      <w:rFonts w:asciiTheme="minorHAnsi" w:hAnsiTheme="minorHAnsi" w:cs="Arial"/>
                      <w:color w:val="4F81BD" w:themeColor="accent1"/>
                      <w:sz w:val="18"/>
                      <w:szCs w:val="18"/>
                      <w:lang w:val="en-GB"/>
                    </w:rPr>
                    <w:t>2</w:t>
                  </w:r>
                  <w:r>
                    <w:rPr>
                      <w:rFonts w:asciiTheme="minorHAnsi" w:hAnsiTheme="minorHAnsi" w:cs="Arial"/>
                      <w:color w:val="4F81BD" w:themeColor="accent1"/>
                      <w:sz w:val="18"/>
                      <w:szCs w:val="18"/>
                      <w:lang w:val="en-GB"/>
                    </w:rPr>
                    <w:t>28</w:t>
                  </w:r>
                </w:p>
              </w:tc>
            </w:tr>
          </w:tbl>
          <w:p w14:paraId="33F0DA7F" w14:textId="77777777" w:rsidR="00921721" w:rsidRDefault="00921721" w:rsidP="00880D09">
            <w:pPr>
              <w:spacing w:before="120" w:after="120"/>
              <w:ind w:right="170"/>
              <w:jc w:val="both"/>
              <w:rPr>
                <w:rFonts w:asciiTheme="minorHAnsi" w:hAnsiTheme="minorHAnsi" w:cs="Arial"/>
                <w:b/>
                <w:i/>
                <w:sz w:val="16"/>
                <w:szCs w:val="16"/>
              </w:rPr>
            </w:pPr>
          </w:p>
          <w:p w14:paraId="39FAFBED" w14:textId="77777777" w:rsidR="00921721" w:rsidRDefault="00921721" w:rsidP="00880D09">
            <w:pPr>
              <w:spacing w:before="120" w:after="120"/>
              <w:ind w:right="170"/>
              <w:jc w:val="both"/>
              <w:rPr>
                <w:rFonts w:asciiTheme="minorHAnsi" w:hAnsiTheme="minorHAnsi" w:cs="Arial"/>
                <w:b/>
                <w:i/>
                <w:sz w:val="16"/>
                <w:szCs w:val="16"/>
              </w:rPr>
            </w:pPr>
          </w:p>
          <w:p w14:paraId="6C9F7901" w14:textId="77777777" w:rsidR="00921721" w:rsidRDefault="00921721" w:rsidP="00880D09">
            <w:pPr>
              <w:spacing w:before="120" w:after="120"/>
              <w:ind w:right="170"/>
              <w:jc w:val="both"/>
              <w:rPr>
                <w:rFonts w:asciiTheme="minorHAnsi" w:hAnsiTheme="minorHAnsi" w:cs="Arial"/>
                <w:b/>
                <w:i/>
                <w:sz w:val="16"/>
                <w:szCs w:val="16"/>
              </w:rPr>
            </w:pPr>
          </w:p>
          <w:p w14:paraId="3CF20743" w14:textId="77777777" w:rsidR="00921721" w:rsidRDefault="00921721" w:rsidP="00880D09">
            <w:pPr>
              <w:spacing w:before="120" w:after="120"/>
              <w:ind w:right="170"/>
              <w:jc w:val="both"/>
              <w:rPr>
                <w:rFonts w:asciiTheme="minorHAnsi" w:hAnsiTheme="minorHAnsi" w:cs="Arial"/>
                <w:b/>
                <w:i/>
                <w:sz w:val="16"/>
                <w:szCs w:val="16"/>
              </w:rPr>
            </w:pPr>
          </w:p>
          <w:p w14:paraId="2C0D5E65" w14:textId="77777777" w:rsidR="00921721" w:rsidRDefault="00921721" w:rsidP="00880D09">
            <w:pPr>
              <w:spacing w:before="120" w:after="120"/>
              <w:ind w:right="170"/>
              <w:jc w:val="both"/>
              <w:rPr>
                <w:rFonts w:asciiTheme="minorHAnsi" w:hAnsiTheme="minorHAnsi" w:cs="Arial"/>
                <w:b/>
                <w:i/>
                <w:sz w:val="16"/>
                <w:szCs w:val="16"/>
              </w:rPr>
            </w:pPr>
          </w:p>
          <w:p w14:paraId="17EB265B" w14:textId="77777777" w:rsidR="00921721" w:rsidRPr="005C29AF" w:rsidRDefault="00921721" w:rsidP="00880D09">
            <w:pPr>
              <w:spacing w:before="120" w:after="120"/>
              <w:ind w:right="170"/>
              <w:jc w:val="both"/>
              <w:rPr>
                <w:rFonts w:asciiTheme="minorHAnsi" w:hAnsiTheme="minorHAnsi" w:cs="Arial"/>
                <w:b/>
                <w:i/>
                <w:sz w:val="16"/>
                <w:szCs w:val="16"/>
              </w:rPr>
            </w:pPr>
          </w:p>
          <w:tbl>
            <w:tblPr>
              <w:tblW w:w="6510" w:type="dxa"/>
              <w:tblLayout w:type="fixed"/>
              <w:tblLook w:val="04A0" w:firstRow="1" w:lastRow="0" w:firstColumn="1" w:lastColumn="0" w:noHBand="0" w:noVBand="1"/>
            </w:tblPr>
            <w:tblGrid>
              <w:gridCol w:w="1337"/>
              <w:gridCol w:w="1915"/>
              <w:gridCol w:w="1086"/>
              <w:gridCol w:w="1086"/>
              <w:gridCol w:w="1086"/>
            </w:tblGrid>
            <w:tr w:rsidR="00921721" w:rsidRPr="002B7802" w14:paraId="3870A40D" w14:textId="77777777" w:rsidTr="00880D09">
              <w:trPr>
                <w:trHeight w:hRule="exact" w:val="828"/>
              </w:trPr>
              <w:tc>
                <w:tcPr>
                  <w:tcW w:w="1337"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32B267C" w14:textId="77777777" w:rsidR="00921721" w:rsidRDefault="00921721" w:rsidP="00880D09">
                  <w:pPr>
                    <w:snapToGrid w:val="0"/>
                    <w:spacing w:before="20" w:after="20"/>
                    <w:jc w:val="center"/>
                    <w:rPr>
                      <w:rFonts w:asciiTheme="minorHAnsi" w:hAnsiTheme="minorHAnsi" w:cs="Arial"/>
                      <w:b/>
                      <w:bCs/>
                      <w:color w:val="FFFFFF"/>
                      <w:sz w:val="18"/>
                      <w:szCs w:val="18"/>
                    </w:rPr>
                  </w:pPr>
                  <w:r w:rsidRPr="002B7802">
                    <w:rPr>
                      <w:rFonts w:asciiTheme="minorHAnsi" w:hAnsiTheme="minorHAnsi" w:cs="Arial"/>
                      <w:b/>
                      <w:bCs/>
                      <w:color w:val="FFFFFF"/>
                      <w:sz w:val="18"/>
                      <w:szCs w:val="18"/>
                    </w:rPr>
                    <w:t xml:space="preserve">Pociągi </w:t>
                  </w:r>
                </w:p>
                <w:p w14:paraId="19702A15" w14:textId="77777777" w:rsidR="00921721" w:rsidRDefault="00921721" w:rsidP="00880D09">
                  <w:pPr>
                    <w:snapToGrid w:val="0"/>
                    <w:spacing w:before="20" w:after="20"/>
                    <w:jc w:val="center"/>
                    <w:rPr>
                      <w:rFonts w:asciiTheme="minorHAnsi" w:hAnsiTheme="minorHAnsi" w:cs="Arial"/>
                      <w:b/>
                      <w:bCs/>
                      <w:color w:val="FFFFFF"/>
                      <w:sz w:val="18"/>
                      <w:szCs w:val="18"/>
                    </w:rPr>
                  </w:pPr>
                  <w:r w:rsidRPr="002B7802">
                    <w:rPr>
                      <w:rFonts w:asciiTheme="minorHAnsi" w:hAnsiTheme="minorHAnsi" w:cs="Arial"/>
                      <w:b/>
                      <w:bCs/>
                      <w:color w:val="FFFFFF"/>
                      <w:sz w:val="18"/>
                      <w:szCs w:val="18"/>
                    </w:rPr>
                    <w:t>towarowe</w:t>
                  </w:r>
                </w:p>
                <w:p w14:paraId="7F0B2298" w14:textId="77777777" w:rsidR="00921721" w:rsidRPr="002B7802" w:rsidRDefault="00921721" w:rsidP="00880D09">
                  <w:pPr>
                    <w:snapToGrid w:val="0"/>
                    <w:spacing w:before="20" w:after="20"/>
                    <w:jc w:val="center"/>
                    <w:rPr>
                      <w:rFonts w:asciiTheme="minorHAnsi" w:hAnsiTheme="minorHAnsi" w:cs="Arial"/>
                      <w:b/>
                      <w:bCs/>
                      <w:color w:val="FFFFFF"/>
                      <w:sz w:val="18"/>
                      <w:szCs w:val="18"/>
                    </w:rPr>
                  </w:pPr>
                  <w:r w:rsidRPr="002B7802">
                    <w:rPr>
                      <w:rFonts w:asciiTheme="minorHAnsi" w:hAnsiTheme="minorHAnsi" w:cs="Arial"/>
                      <w:b/>
                      <w:bCs/>
                      <w:color w:val="FFFFFF"/>
                      <w:sz w:val="18"/>
                      <w:szCs w:val="18"/>
                    </w:rPr>
                    <w:t>PLN/ poc-km</w:t>
                  </w:r>
                </w:p>
              </w:tc>
              <w:tc>
                <w:tcPr>
                  <w:tcW w:w="191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93B1F8C" w14:textId="77777777" w:rsidR="00921721" w:rsidRPr="002B7802" w:rsidRDefault="00921721" w:rsidP="00880D09">
                  <w:pPr>
                    <w:snapToGrid w:val="0"/>
                    <w:spacing w:before="20" w:after="20"/>
                    <w:jc w:val="center"/>
                    <w:rPr>
                      <w:rFonts w:asciiTheme="minorHAnsi" w:hAnsiTheme="minorHAnsi" w:cs="Arial"/>
                      <w:b/>
                      <w:bCs/>
                      <w:color w:val="FFFFFF"/>
                      <w:sz w:val="18"/>
                      <w:szCs w:val="18"/>
                    </w:rPr>
                  </w:pPr>
                </w:p>
              </w:tc>
              <w:tc>
                <w:tcPr>
                  <w:tcW w:w="1086"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1C36214B" w14:textId="77777777" w:rsidR="00921721" w:rsidRPr="002B7802" w:rsidRDefault="00921721" w:rsidP="00880D09">
                  <w:pPr>
                    <w:snapToGrid w:val="0"/>
                    <w:spacing w:before="20" w:after="20"/>
                    <w:jc w:val="center"/>
                    <w:rPr>
                      <w:rFonts w:asciiTheme="minorHAnsi" w:hAnsiTheme="minorHAnsi" w:cs="Arial"/>
                      <w:b/>
                      <w:bCs/>
                      <w:color w:val="FFFFFF"/>
                      <w:sz w:val="18"/>
                      <w:szCs w:val="18"/>
                    </w:rPr>
                  </w:pPr>
                  <w:r w:rsidRPr="002B7802">
                    <w:rPr>
                      <w:rFonts w:asciiTheme="minorHAnsi" w:hAnsiTheme="minorHAnsi" w:cs="Arial"/>
                      <w:b/>
                      <w:bCs/>
                      <w:color w:val="FFFFFF"/>
                      <w:sz w:val="18"/>
                      <w:szCs w:val="18"/>
                    </w:rPr>
                    <w:t>Metropolia (*)</w:t>
                  </w:r>
                </w:p>
              </w:tc>
              <w:tc>
                <w:tcPr>
                  <w:tcW w:w="108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3A7EF25" w14:textId="77777777" w:rsidR="00921721" w:rsidRPr="002B7802" w:rsidRDefault="00921721" w:rsidP="00880D09">
                  <w:pPr>
                    <w:snapToGrid w:val="0"/>
                    <w:spacing w:before="20" w:after="20"/>
                    <w:jc w:val="center"/>
                    <w:rPr>
                      <w:rFonts w:asciiTheme="minorHAnsi" w:hAnsiTheme="minorHAnsi" w:cs="Arial"/>
                      <w:b/>
                      <w:bCs/>
                      <w:color w:val="FFFFFF"/>
                      <w:sz w:val="18"/>
                      <w:szCs w:val="18"/>
                    </w:rPr>
                  </w:pPr>
                  <w:r w:rsidRPr="002B7802">
                    <w:rPr>
                      <w:rFonts w:asciiTheme="minorHAnsi" w:hAnsiTheme="minorHAnsi" w:cs="Arial"/>
                      <w:b/>
                      <w:bCs/>
                      <w:color w:val="FFFFFF"/>
                      <w:sz w:val="18"/>
                      <w:szCs w:val="18"/>
                    </w:rPr>
                    <w:t xml:space="preserve">Obszar </w:t>
                  </w:r>
                  <w:r w:rsidRPr="002B7802">
                    <w:rPr>
                      <w:rFonts w:asciiTheme="minorHAnsi" w:hAnsiTheme="minorHAnsi" w:cs="Arial"/>
                      <w:b/>
                      <w:bCs/>
                      <w:color w:val="FFFFFF"/>
                      <w:sz w:val="18"/>
                      <w:szCs w:val="18"/>
                    </w:rPr>
                    <w:br/>
                    <w:t>miejski</w:t>
                  </w:r>
                </w:p>
              </w:tc>
              <w:tc>
                <w:tcPr>
                  <w:tcW w:w="1086"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3C8E416C" w14:textId="77777777" w:rsidR="00921721" w:rsidRPr="002B7802" w:rsidRDefault="00921721" w:rsidP="00880D09">
                  <w:pPr>
                    <w:snapToGrid w:val="0"/>
                    <w:spacing w:before="20" w:after="20"/>
                    <w:jc w:val="center"/>
                    <w:rPr>
                      <w:rFonts w:asciiTheme="minorHAnsi" w:hAnsiTheme="minorHAnsi" w:cs="Arial"/>
                      <w:b/>
                      <w:bCs/>
                      <w:color w:val="FFFFFF"/>
                      <w:sz w:val="18"/>
                      <w:szCs w:val="18"/>
                    </w:rPr>
                  </w:pPr>
                  <w:r w:rsidRPr="002B7802">
                    <w:rPr>
                      <w:rFonts w:asciiTheme="minorHAnsi" w:hAnsiTheme="minorHAnsi" w:cs="Arial"/>
                      <w:b/>
                      <w:bCs/>
                      <w:color w:val="FFFFFF"/>
                      <w:sz w:val="18"/>
                      <w:szCs w:val="18"/>
                    </w:rPr>
                    <w:t xml:space="preserve">Obszar </w:t>
                  </w:r>
                  <w:r w:rsidRPr="002B7802">
                    <w:rPr>
                      <w:rFonts w:asciiTheme="minorHAnsi" w:hAnsiTheme="minorHAnsi" w:cs="Arial"/>
                      <w:b/>
                      <w:bCs/>
                      <w:color w:val="FFFFFF"/>
                      <w:sz w:val="18"/>
                      <w:szCs w:val="18"/>
                    </w:rPr>
                    <w:br/>
                    <w:t>zamiejski</w:t>
                  </w:r>
                </w:p>
              </w:tc>
            </w:tr>
            <w:tr w:rsidR="00921721" w:rsidRPr="006856C6" w14:paraId="14B7D5D3" w14:textId="77777777" w:rsidTr="00880D09">
              <w:trPr>
                <w:trHeight w:val="185"/>
              </w:trPr>
              <w:tc>
                <w:tcPr>
                  <w:tcW w:w="1337" w:type="dxa"/>
                  <w:vMerge w:val="restart"/>
                  <w:tcBorders>
                    <w:top w:val="single" w:sz="4" w:space="0" w:color="FFFFFF"/>
                    <w:left w:val="single" w:sz="4" w:space="0" w:color="FFFFFF"/>
                    <w:right w:val="nil"/>
                  </w:tcBorders>
                  <w:shd w:val="clear" w:color="auto" w:fill="DBE5F1" w:themeFill="accent1" w:themeFillTint="33"/>
                  <w:vAlign w:val="center"/>
                </w:tcPr>
                <w:p w14:paraId="54525C11" w14:textId="77777777" w:rsidR="00921721" w:rsidRPr="002B7802" w:rsidRDefault="00921721" w:rsidP="00880D09">
                  <w:pPr>
                    <w:spacing w:before="20"/>
                    <w:jc w:val="center"/>
                    <w:rPr>
                      <w:rFonts w:asciiTheme="minorHAnsi" w:hAnsiTheme="minorHAnsi" w:cs="Arial"/>
                      <w:color w:val="4F81BD" w:themeColor="accent1"/>
                      <w:sz w:val="18"/>
                      <w:szCs w:val="18"/>
                    </w:rPr>
                  </w:pPr>
                  <w:r w:rsidRPr="002B7802">
                    <w:rPr>
                      <w:rFonts w:asciiTheme="minorHAnsi" w:hAnsiTheme="minorHAnsi" w:cs="Arial"/>
                      <w:color w:val="4F81BD" w:themeColor="accent1"/>
                      <w:sz w:val="18"/>
                      <w:szCs w:val="18"/>
                    </w:rPr>
                    <w:t>Elektryczne</w:t>
                  </w: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6A2CDBE"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Krótkie kontenerowe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EBBDC7F"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019</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806D252"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019</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8BF79FD"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019</w:t>
                  </w:r>
                </w:p>
              </w:tc>
            </w:tr>
            <w:tr w:rsidR="00921721" w:rsidRPr="006856C6" w14:paraId="70A60904" w14:textId="77777777" w:rsidTr="00880D09">
              <w:trPr>
                <w:trHeight w:val="185"/>
              </w:trPr>
              <w:tc>
                <w:tcPr>
                  <w:tcW w:w="1337" w:type="dxa"/>
                  <w:vMerge/>
                  <w:tcBorders>
                    <w:left w:val="single" w:sz="4" w:space="0" w:color="FFFFFF"/>
                    <w:right w:val="nil"/>
                  </w:tcBorders>
                  <w:shd w:val="clear" w:color="auto" w:fill="DBE5F1" w:themeFill="accent1" w:themeFillTint="33"/>
                  <w:vAlign w:val="center"/>
                </w:tcPr>
                <w:p w14:paraId="6B92BD3E" w14:textId="77777777" w:rsidR="00921721" w:rsidRPr="003E7EB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772D933"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Krótkie masowe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0C03661A"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02</w:t>
                  </w:r>
                  <w:r>
                    <w:rPr>
                      <w:rFonts w:asciiTheme="minorHAnsi" w:hAnsiTheme="minorHAnsi" w:cs="Arial"/>
                      <w:color w:val="4F81BD" w:themeColor="accent1"/>
                      <w:sz w:val="18"/>
                      <w:szCs w:val="18"/>
                    </w:rPr>
                    <w:t>8</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970AE90"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02</w:t>
                  </w:r>
                  <w:r>
                    <w:rPr>
                      <w:rFonts w:asciiTheme="minorHAnsi" w:hAnsiTheme="minorHAnsi" w:cs="Arial"/>
                      <w:color w:val="4F81BD" w:themeColor="accent1"/>
                      <w:sz w:val="18"/>
                      <w:szCs w:val="18"/>
                    </w:rPr>
                    <w:t>8</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2E5B036"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02</w:t>
                  </w:r>
                  <w:r>
                    <w:rPr>
                      <w:rFonts w:asciiTheme="minorHAnsi" w:hAnsiTheme="minorHAnsi" w:cs="Arial"/>
                      <w:color w:val="4F81BD" w:themeColor="accent1"/>
                      <w:sz w:val="18"/>
                      <w:szCs w:val="18"/>
                    </w:rPr>
                    <w:t>8</w:t>
                  </w:r>
                </w:p>
              </w:tc>
            </w:tr>
            <w:tr w:rsidR="00921721" w:rsidRPr="006856C6" w14:paraId="7AD1887F" w14:textId="77777777" w:rsidTr="00880D09">
              <w:trPr>
                <w:trHeight w:val="185"/>
              </w:trPr>
              <w:tc>
                <w:tcPr>
                  <w:tcW w:w="1337" w:type="dxa"/>
                  <w:vMerge/>
                  <w:tcBorders>
                    <w:left w:val="single" w:sz="4" w:space="0" w:color="FFFFFF"/>
                    <w:right w:val="nil"/>
                  </w:tcBorders>
                  <w:shd w:val="clear" w:color="auto" w:fill="DBE5F1" w:themeFill="accent1" w:themeFillTint="33"/>
                  <w:vAlign w:val="center"/>
                </w:tcPr>
                <w:p w14:paraId="2CB4D2F8" w14:textId="77777777" w:rsidR="00921721" w:rsidRPr="003E7EB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00E38F4"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Długie kontenerowe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2CABBFB5"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053</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3E65F24"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053</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7DCC07E"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053</w:t>
                  </w:r>
                </w:p>
              </w:tc>
            </w:tr>
            <w:tr w:rsidR="00921721" w:rsidRPr="006856C6" w14:paraId="727B73E1" w14:textId="77777777" w:rsidTr="00880D09">
              <w:trPr>
                <w:trHeight w:val="185"/>
              </w:trPr>
              <w:tc>
                <w:tcPr>
                  <w:tcW w:w="1337" w:type="dxa"/>
                  <w:vMerge/>
                  <w:tcBorders>
                    <w:left w:val="single" w:sz="4" w:space="0" w:color="FFFFFF"/>
                    <w:right w:val="nil"/>
                  </w:tcBorders>
                  <w:shd w:val="clear" w:color="auto" w:fill="DBE5F1" w:themeFill="accent1" w:themeFillTint="33"/>
                  <w:vAlign w:val="center"/>
                </w:tcPr>
                <w:p w14:paraId="536E7176" w14:textId="77777777" w:rsidR="00921721" w:rsidRPr="003E7EB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F03A97D"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Długie masowe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A89F048"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06</w:t>
                  </w:r>
                  <w:r>
                    <w:rPr>
                      <w:rFonts w:asciiTheme="minorHAnsi" w:hAnsiTheme="minorHAnsi" w:cs="Arial"/>
                      <w:color w:val="4F81BD" w:themeColor="accent1"/>
                      <w:sz w:val="18"/>
                      <w:szCs w:val="18"/>
                    </w:rPr>
                    <w:t>0</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8D3EC1E"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06</w:t>
                  </w:r>
                  <w:r>
                    <w:rPr>
                      <w:rFonts w:asciiTheme="minorHAnsi" w:hAnsiTheme="minorHAnsi" w:cs="Arial"/>
                      <w:color w:val="4F81BD" w:themeColor="accent1"/>
                      <w:sz w:val="18"/>
                      <w:szCs w:val="18"/>
                    </w:rPr>
                    <w:t>0</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51645AA"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06</w:t>
                  </w:r>
                  <w:r>
                    <w:rPr>
                      <w:rFonts w:asciiTheme="minorHAnsi" w:hAnsiTheme="minorHAnsi" w:cs="Arial"/>
                      <w:color w:val="4F81BD" w:themeColor="accent1"/>
                      <w:sz w:val="18"/>
                      <w:szCs w:val="18"/>
                    </w:rPr>
                    <w:t>0</w:t>
                  </w:r>
                </w:p>
              </w:tc>
            </w:tr>
            <w:tr w:rsidR="00921721" w:rsidRPr="002B7802" w14:paraId="2EA964F9" w14:textId="77777777" w:rsidTr="00880D09">
              <w:trPr>
                <w:trHeight w:val="185"/>
              </w:trPr>
              <w:tc>
                <w:tcPr>
                  <w:tcW w:w="1337" w:type="dxa"/>
                  <w:vMerge w:val="restart"/>
                  <w:tcBorders>
                    <w:top w:val="single" w:sz="4" w:space="0" w:color="FFFFFF"/>
                    <w:left w:val="single" w:sz="4" w:space="0" w:color="FFFFFF"/>
                    <w:right w:val="nil"/>
                  </w:tcBorders>
                  <w:shd w:val="clear" w:color="auto" w:fill="DBE5F1" w:themeFill="accent1" w:themeFillTint="33"/>
                  <w:vAlign w:val="center"/>
                </w:tcPr>
                <w:p w14:paraId="051978F3" w14:textId="77777777" w:rsidR="00921721" w:rsidRPr="003E7EB2" w:rsidRDefault="00921721" w:rsidP="00880D09">
                  <w:pPr>
                    <w:jc w:val="center"/>
                    <w:rPr>
                      <w:rFonts w:ascii="Calibri" w:hAnsi="Calibri" w:cs="Calibri"/>
                      <w:color w:val="000000"/>
                      <w:sz w:val="18"/>
                      <w:szCs w:val="18"/>
                    </w:rPr>
                  </w:pPr>
                  <w:r w:rsidRPr="002B7802">
                    <w:rPr>
                      <w:rFonts w:asciiTheme="minorHAnsi" w:hAnsiTheme="minorHAnsi" w:cs="Arial"/>
                      <w:color w:val="4F81BD" w:themeColor="accent1"/>
                      <w:sz w:val="18"/>
                      <w:szCs w:val="18"/>
                    </w:rPr>
                    <w:t>Diesel</w:t>
                  </w: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D41BFA5"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Krótkie kontenerowe (EGR/SRC)</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1E61EDB7"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6</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8</w:t>
                  </w:r>
                  <w:r>
                    <w:rPr>
                      <w:rFonts w:asciiTheme="minorHAnsi" w:hAnsiTheme="minorHAnsi" w:cs="Arial"/>
                      <w:color w:val="4F81BD" w:themeColor="accent1"/>
                      <w:sz w:val="18"/>
                      <w:szCs w:val="18"/>
                    </w:rPr>
                    <w:t>29</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DE957FA"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5</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9</w:t>
                  </w:r>
                  <w:r>
                    <w:rPr>
                      <w:rFonts w:asciiTheme="minorHAnsi" w:hAnsiTheme="minorHAnsi" w:cs="Arial"/>
                      <w:color w:val="4F81BD" w:themeColor="accent1"/>
                      <w:sz w:val="18"/>
                      <w:szCs w:val="18"/>
                    </w:rPr>
                    <w:t>25</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BE0EB22"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3</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5</w:t>
                  </w:r>
                  <w:r>
                    <w:rPr>
                      <w:rFonts w:asciiTheme="minorHAnsi" w:hAnsiTheme="minorHAnsi" w:cs="Arial"/>
                      <w:color w:val="4F81BD" w:themeColor="accent1"/>
                      <w:sz w:val="18"/>
                      <w:szCs w:val="18"/>
                    </w:rPr>
                    <w:t>24</w:t>
                  </w:r>
                </w:p>
              </w:tc>
            </w:tr>
            <w:tr w:rsidR="00921721" w:rsidRPr="002B7802" w14:paraId="3C9531B7" w14:textId="77777777" w:rsidTr="00880D09">
              <w:trPr>
                <w:trHeight w:val="185"/>
              </w:trPr>
              <w:tc>
                <w:tcPr>
                  <w:tcW w:w="1337" w:type="dxa"/>
                  <w:vMerge/>
                  <w:tcBorders>
                    <w:left w:val="single" w:sz="4" w:space="0" w:color="FFFFFF"/>
                    <w:right w:val="nil"/>
                  </w:tcBorders>
                  <w:shd w:val="clear" w:color="auto" w:fill="DBE5F1" w:themeFill="accent1" w:themeFillTint="33"/>
                  <w:vAlign w:val="center"/>
                </w:tcPr>
                <w:p w14:paraId="33937468" w14:textId="77777777" w:rsidR="00921721" w:rsidRPr="002B780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AE58C5A"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Krótkie kontenerowe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134638FB" w14:textId="77777777" w:rsidR="00921721" w:rsidRPr="005C29A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14,964</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804B853"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12</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2</w:t>
                  </w:r>
                  <w:r>
                    <w:rPr>
                      <w:rFonts w:asciiTheme="minorHAnsi" w:hAnsiTheme="minorHAnsi" w:cs="Arial"/>
                      <w:color w:val="4F81BD" w:themeColor="accent1"/>
                      <w:sz w:val="18"/>
                      <w:szCs w:val="18"/>
                    </w:rPr>
                    <w:t>24</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81FF20A"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7</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2</w:t>
                  </w:r>
                  <w:r>
                    <w:rPr>
                      <w:rFonts w:asciiTheme="minorHAnsi" w:hAnsiTheme="minorHAnsi" w:cs="Arial"/>
                      <w:color w:val="4F81BD" w:themeColor="accent1"/>
                      <w:sz w:val="18"/>
                      <w:szCs w:val="18"/>
                    </w:rPr>
                    <w:t>30</w:t>
                  </w:r>
                </w:p>
              </w:tc>
            </w:tr>
            <w:tr w:rsidR="00921721" w:rsidRPr="002B7802" w14:paraId="64E00A74" w14:textId="77777777" w:rsidTr="00880D09">
              <w:trPr>
                <w:trHeight w:val="185"/>
              </w:trPr>
              <w:tc>
                <w:tcPr>
                  <w:tcW w:w="1337" w:type="dxa"/>
                  <w:vMerge/>
                  <w:tcBorders>
                    <w:left w:val="single" w:sz="4" w:space="0" w:color="FFFFFF"/>
                    <w:right w:val="nil"/>
                  </w:tcBorders>
                  <w:shd w:val="clear" w:color="auto" w:fill="DBE5F1" w:themeFill="accent1" w:themeFillTint="33"/>
                  <w:vAlign w:val="center"/>
                </w:tcPr>
                <w:p w14:paraId="42A10947" w14:textId="77777777" w:rsidR="00921721" w:rsidRPr="003E7EB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6EDD3CB"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Krótkie masowe (EGR/SRC)</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CE2D4E8"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6</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8</w:t>
                  </w:r>
                  <w:r>
                    <w:rPr>
                      <w:rFonts w:asciiTheme="minorHAnsi" w:hAnsiTheme="minorHAnsi" w:cs="Arial"/>
                      <w:color w:val="4F81BD" w:themeColor="accent1"/>
                      <w:sz w:val="18"/>
                      <w:szCs w:val="18"/>
                    </w:rPr>
                    <w:t>45</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50EB109"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5</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9</w:t>
                  </w:r>
                  <w:r>
                    <w:rPr>
                      <w:rFonts w:asciiTheme="minorHAnsi" w:hAnsiTheme="minorHAnsi" w:cs="Arial"/>
                      <w:color w:val="4F81BD" w:themeColor="accent1"/>
                      <w:sz w:val="18"/>
                      <w:szCs w:val="18"/>
                    </w:rPr>
                    <w:t>41</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FAA5733"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3</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5</w:t>
                  </w:r>
                  <w:r>
                    <w:rPr>
                      <w:rFonts w:asciiTheme="minorHAnsi" w:hAnsiTheme="minorHAnsi" w:cs="Arial"/>
                      <w:color w:val="4F81BD" w:themeColor="accent1"/>
                      <w:sz w:val="18"/>
                      <w:szCs w:val="18"/>
                    </w:rPr>
                    <w:t>39</w:t>
                  </w:r>
                </w:p>
              </w:tc>
            </w:tr>
            <w:tr w:rsidR="00921721" w:rsidRPr="002B7802" w14:paraId="33AF0EDF" w14:textId="77777777" w:rsidTr="00880D09">
              <w:trPr>
                <w:trHeight w:val="185"/>
              </w:trPr>
              <w:tc>
                <w:tcPr>
                  <w:tcW w:w="1337" w:type="dxa"/>
                  <w:vMerge/>
                  <w:tcBorders>
                    <w:left w:val="single" w:sz="4" w:space="0" w:color="FFFFFF"/>
                    <w:right w:val="nil"/>
                  </w:tcBorders>
                  <w:shd w:val="clear" w:color="auto" w:fill="DBE5F1" w:themeFill="accent1" w:themeFillTint="33"/>
                  <w:vAlign w:val="center"/>
                </w:tcPr>
                <w:p w14:paraId="01FDF68F" w14:textId="77777777" w:rsidR="00921721" w:rsidRPr="003E7EB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6E88D71"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Krótkie masowe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2286D217" w14:textId="77777777" w:rsidR="00921721" w:rsidRPr="005C29A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14,980</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9368301"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12</w:t>
                  </w:r>
                  <w:r>
                    <w:rPr>
                      <w:rFonts w:asciiTheme="minorHAnsi" w:hAnsiTheme="minorHAnsi" w:cs="Arial"/>
                      <w:color w:val="4F81BD" w:themeColor="accent1"/>
                      <w:sz w:val="18"/>
                      <w:szCs w:val="18"/>
                    </w:rPr>
                    <w:t>,240</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B4C92F8"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7</w:t>
                  </w:r>
                  <w:r>
                    <w:rPr>
                      <w:rFonts w:asciiTheme="minorHAnsi" w:hAnsiTheme="minorHAnsi" w:cs="Arial"/>
                      <w:color w:val="4F81BD" w:themeColor="accent1"/>
                      <w:sz w:val="18"/>
                      <w:szCs w:val="18"/>
                    </w:rPr>
                    <w:t>,</w:t>
                  </w:r>
                  <w:r w:rsidRPr="00B72029">
                    <w:rPr>
                      <w:rFonts w:asciiTheme="minorHAnsi" w:hAnsiTheme="minorHAnsi" w:cs="Arial"/>
                      <w:color w:val="4F81BD" w:themeColor="accent1"/>
                      <w:sz w:val="18"/>
                      <w:szCs w:val="18"/>
                    </w:rPr>
                    <w:t>2</w:t>
                  </w:r>
                  <w:r>
                    <w:rPr>
                      <w:rFonts w:asciiTheme="minorHAnsi" w:hAnsiTheme="minorHAnsi" w:cs="Arial"/>
                      <w:color w:val="4F81BD" w:themeColor="accent1"/>
                      <w:sz w:val="18"/>
                      <w:szCs w:val="18"/>
                    </w:rPr>
                    <w:t>46</w:t>
                  </w:r>
                </w:p>
              </w:tc>
            </w:tr>
            <w:tr w:rsidR="00921721" w:rsidRPr="002B7802" w14:paraId="6545CE6A" w14:textId="77777777" w:rsidTr="00880D09">
              <w:trPr>
                <w:trHeight w:val="185"/>
              </w:trPr>
              <w:tc>
                <w:tcPr>
                  <w:tcW w:w="1337" w:type="dxa"/>
                  <w:vMerge/>
                  <w:tcBorders>
                    <w:left w:val="single" w:sz="4" w:space="0" w:color="FFFFFF"/>
                    <w:right w:val="nil"/>
                  </w:tcBorders>
                  <w:shd w:val="clear" w:color="auto" w:fill="DBE5F1" w:themeFill="accent1" w:themeFillTint="33"/>
                  <w:vAlign w:val="center"/>
                </w:tcPr>
                <w:p w14:paraId="5DDA49E1" w14:textId="77777777" w:rsidR="00921721" w:rsidRPr="003E7EB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A511C29"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Długie kontenerowe (EGR/SRC)</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34B223C4"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6</w:t>
                  </w:r>
                  <w:r>
                    <w:rPr>
                      <w:rFonts w:asciiTheme="minorHAnsi" w:hAnsiTheme="minorHAnsi" w:cs="Arial"/>
                      <w:color w:val="4F81BD" w:themeColor="accent1"/>
                      <w:sz w:val="18"/>
                      <w:szCs w:val="18"/>
                    </w:rPr>
                    <w:t>,886</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112EBFF" w14:textId="77777777" w:rsidR="00921721" w:rsidRPr="005C29A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5,982</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DF46EA7"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3</w:t>
                  </w:r>
                  <w:r>
                    <w:rPr>
                      <w:rFonts w:asciiTheme="minorHAnsi" w:hAnsiTheme="minorHAnsi" w:cs="Arial"/>
                      <w:color w:val="4F81BD" w:themeColor="accent1"/>
                      <w:sz w:val="18"/>
                      <w:szCs w:val="18"/>
                    </w:rPr>
                    <w:t>,581</w:t>
                  </w:r>
                </w:p>
              </w:tc>
            </w:tr>
            <w:tr w:rsidR="00921721" w:rsidRPr="002B7802" w14:paraId="6AB78A42" w14:textId="77777777" w:rsidTr="00880D09">
              <w:trPr>
                <w:trHeight w:val="185"/>
              </w:trPr>
              <w:tc>
                <w:tcPr>
                  <w:tcW w:w="1337" w:type="dxa"/>
                  <w:vMerge/>
                  <w:tcBorders>
                    <w:left w:val="single" w:sz="4" w:space="0" w:color="FFFFFF"/>
                    <w:right w:val="nil"/>
                  </w:tcBorders>
                  <w:shd w:val="clear" w:color="auto" w:fill="DBE5F1" w:themeFill="accent1" w:themeFillTint="33"/>
                  <w:vAlign w:val="center"/>
                </w:tcPr>
                <w:p w14:paraId="420C98DE" w14:textId="77777777" w:rsidR="00921721" w:rsidRPr="002B780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85146C0"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Długie kontenerowe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6114263D"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15</w:t>
                  </w:r>
                  <w:r>
                    <w:rPr>
                      <w:rFonts w:asciiTheme="minorHAnsi" w:hAnsiTheme="minorHAnsi" w:cs="Arial"/>
                      <w:color w:val="4F81BD" w:themeColor="accent1"/>
                      <w:sz w:val="18"/>
                      <w:szCs w:val="18"/>
                    </w:rPr>
                    <w:t>,021</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D0BE0FA"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12</w:t>
                  </w:r>
                  <w:r>
                    <w:rPr>
                      <w:rFonts w:asciiTheme="minorHAnsi" w:hAnsiTheme="minorHAnsi" w:cs="Arial"/>
                      <w:color w:val="4F81BD" w:themeColor="accent1"/>
                      <w:sz w:val="18"/>
                      <w:szCs w:val="18"/>
                    </w:rPr>
                    <w:t>,281</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BC2C976"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7</w:t>
                  </w:r>
                  <w:r>
                    <w:rPr>
                      <w:rFonts w:asciiTheme="minorHAnsi" w:hAnsiTheme="minorHAnsi" w:cs="Arial"/>
                      <w:color w:val="4F81BD" w:themeColor="accent1"/>
                      <w:sz w:val="18"/>
                      <w:szCs w:val="18"/>
                    </w:rPr>
                    <w:t>,287</w:t>
                  </w:r>
                </w:p>
              </w:tc>
            </w:tr>
            <w:tr w:rsidR="00921721" w:rsidRPr="002B7802" w14:paraId="78317EE4" w14:textId="77777777" w:rsidTr="00880D09">
              <w:trPr>
                <w:trHeight w:val="185"/>
              </w:trPr>
              <w:tc>
                <w:tcPr>
                  <w:tcW w:w="1337" w:type="dxa"/>
                  <w:vMerge/>
                  <w:tcBorders>
                    <w:left w:val="single" w:sz="4" w:space="0" w:color="FFFFFF"/>
                    <w:right w:val="nil"/>
                  </w:tcBorders>
                  <w:shd w:val="clear" w:color="auto" w:fill="DBE5F1" w:themeFill="accent1" w:themeFillTint="33"/>
                  <w:vAlign w:val="center"/>
                </w:tcPr>
                <w:p w14:paraId="1E3FF061" w14:textId="77777777" w:rsidR="00921721" w:rsidRPr="003E7EB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5F56A05"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Długie masowe (EGR/SRC)</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02F0FED0" w14:textId="77777777" w:rsidR="00921721" w:rsidRPr="005C29AF"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6,899</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26C1F7E" w14:textId="77777777" w:rsidR="00921721" w:rsidRPr="005C29AF"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5,995</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9010BE1" w14:textId="77777777" w:rsidR="00921721" w:rsidRPr="005C29AF"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3,593</w:t>
                  </w:r>
                </w:p>
              </w:tc>
            </w:tr>
            <w:tr w:rsidR="00921721" w:rsidRPr="002B7802" w14:paraId="5129D0DB" w14:textId="77777777" w:rsidTr="00880D09">
              <w:trPr>
                <w:trHeight w:val="185"/>
              </w:trPr>
              <w:tc>
                <w:tcPr>
                  <w:tcW w:w="1337" w:type="dxa"/>
                  <w:vMerge/>
                  <w:tcBorders>
                    <w:left w:val="single" w:sz="4" w:space="0" w:color="FFFFFF"/>
                    <w:bottom w:val="single" w:sz="4" w:space="0" w:color="FFFFFF"/>
                    <w:right w:val="nil"/>
                  </w:tcBorders>
                  <w:shd w:val="clear" w:color="auto" w:fill="DBE5F1" w:themeFill="accent1" w:themeFillTint="33"/>
                  <w:vAlign w:val="center"/>
                </w:tcPr>
                <w:p w14:paraId="1DDDEDF6" w14:textId="77777777" w:rsidR="00921721" w:rsidRPr="002B7802" w:rsidRDefault="00921721" w:rsidP="00880D09">
                  <w:pPr>
                    <w:jc w:val="center"/>
                    <w:rPr>
                      <w:rFonts w:ascii="Calibri" w:hAnsi="Calibri" w:cs="Calibri"/>
                      <w:color w:val="000000"/>
                      <w:sz w:val="18"/>
                      <w:szCs w:val="18"/>
                    </w:rPr>
                  </w:pPr>
                </w:p>
              </w:tc>
              <w:tc>
                <w:tcPr>
                  <w:tcW w:w="191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5FEB707"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Długie masowe</w:t>
                  </w:r>
                </w:p>
              </w:tc>
              <w:tc>
                <w:tcPr>
                  <w:tcW w:w="108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77C07E60" w14:textId="77777777" w:rsidR="00921721" w:rsidRPr="005C29AF"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15,033</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EBD2C3A" w14:textId="77777777" w:rsidR="00921721" w:rsidRPr="005C29AF"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12,294</w:t>
                  </w:r>
                </w:p>
              </w:tc>
              <w:tc>
                <w:tcPr>
                  <w:tcW w:w="108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A567095" w14:textId="77777777" w:rsidR="00921721" w:rsidRPr="005C29AF"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7,300</w:t>
                  </w:r>
                </w:p>
              </w:tc>
            </w:tr>
          </w:tbl>
          <w:p w14:paraId="4C3E3B66" w14:textId="77777777" w:rsidR="00921721" w:rsidRDefault="00921721" w:rsidP="00880D09">
            <w:pPr>
              <w:ind w:right="170"/>
              <w:jc w:val="both"/>
              <w:rPr>
                <w:rFonts w:asciiTheme="minorHAnsi" w:hAnsiTheme="minorHAnsi" w:cs="Arial"/>
                <w:b/>
                <w:i/>
                <w:sz w:val="16"/>
                <w:szCs w:val="16"/>
              </w:rPr>
            </w:pPr>
            <w:r w:rsidRPr="00DF0989">
              <w:rPr>
                <w:rFonts w:asciiTheme="minorHAnsi" w:hAnsiTheme="minorHAnsi" w:cs="Arial"/>
                <w:b/>
                <w:i/>
                <w:sz w:val="16"/>
                <w:szCs w:val="16"/>
              </w:rPr>
              <w:t>Źródło:</w:t>
            </w:r>
            <w:r w:rsidRPr="00DF0989">
              <w:t xml:space="preserve"> </w:t>
            </w:r>
            <w:r w:rsidRPr="00DF0989">
              <w:rPr>
                <w:rFonts w:asciiTheme="minorHAnsi" w:hAnsiTheme="minorHAnsi" w:cs="Arial"/>
                <w:b/>
                <w:i/>
                <w:sz w:val="16"/>
                <w:szCs w:val="16"/>
              </w:rPr>
              <w:t xml:space="preserve">Obliczenia własne na podstawie Handbook on the External Costs of Transport (January 2019). </w:t>
            </w:r>
          </w:p>
          <w:p w14:paraId="0A7989BB" w14:textId="77777777" w:rsidR="00921721" w:rsidRPr="002C6855" w:rsidRDefault="00921721" w:rsidP="00880D09">
            <w:pPr>
              <w:ind w:right="170"/>
              <w:jc w:val="both"/>
              <w:rPr>
                <w:rFonts w:asciiTheme="minorHAnsi" w:hAnsiTheme="minorHAnsi" w:cs="Arial"/>
                <w:snapToGrid w:val="0"/>
                <w:sz w:val="20"/>
                <w:szCs w:val="20"/>
                <w:lang w:eastAsia="en-US"/>
              </w:rPr>
            </w:pPr>
            <w:r w:rsidRPr="003E7EB2">
              <w:rPr>
                <w:rFonts w:asciiTheme="minorHAnsi" w:hAnsiTheme="minorHAnsi" w:cs="Arial"/>
                <w:b/>
                <w:i/>
                <w:sz w:val="16"/>
                <w:szCs w:val="16"/>
              </w:rPr>
              <w:t>(*)</w:t>
            </w:r>
            <w:r>
              <w:rPr>
                <w:rFonts w:asciiTheme="minorHAnsi" w:hAnsiTheme="minorHAnsi" w:cs="Arial"/>
                <w:b/>
                <w:i/>
                <w:sz w:val="16"/>
                <w:szCs w:val="16"/>
              </w:rPr>
              <w:t> </w:t>
            </w:r>
            <w:r w:rsidRPr="003E7EB2">
              <w:rPr>
                <w:rFonts w:asciiTheme="minorHAnsi" w:hAnsiTheme="minorHAnsi" w:cs="Arial"/>
                <w:b/>
                <w:i/>
                <w:sz w:val="16"/>
                <w:szCs w:val="16"/>
              </w:rPr>
              <w:t>Obszar metropolitalny: miasto lub aglomeracja o</w:t>
            </w:r>
            <w:r>
              <w:rPr>
                <w:rFonts w:asciiTheme="minorHAnsi" w:hAnsiTheme="minorHAnsi" w:cs="Arial"/>
                <w:b/>
                <w:i/>
                <w:sz w:val="16"/>
                <w:szCs w:val="16"/>
              </w:rPr>
              <w:t> </w:t>
            </w:r>
            <w:r w:rsidRPr="003E7EB2">
              <w:rPr>
                <w:rFonts w:asciiTheme="minorHAnsi" w:hAnsiTheme="minorHAnsi" w:cs="Arial"/>
                <w:b/>
                <w:i/>
                <w:sz w:val="16"/>
                <w:szCs w:val="16"/>
              </w:rPr>
              <w:t xml:space="preserve">liczbie </w:t>
            </w:r>
            <w:r>
              <w:rPr>
                <w:rFonts w:asciiTheme="minorHAnsi" w:hAnsiTheme="minorHAnsi" w:cs="Arial"/>
                <w:b/>
                <w:i/>
                <w:sz w:val="16"/>
                <w:szCs w:val="16"/>
              </w:rPr>
              <w:t>mieszkańców przekraczającej 0,5 </w:t>
            </w:r>
            <w:r w:rsidRPr="003E7EB2">
              <w:rPr>
                <w:rFonts w:asciiTheme="minorHAnsi" w:hAnsiTheme="minorHAnsi" w:cs="Arial"/>
                <w:b/>
                <w:i/>
                <w:sz w:val="16"/>
                <w:szCs w:val="16"/>
              </w:rPr>
              <w:t>miliona (definicja według Handbook on the External Costs of Transport, EC, January 2019)</w:t>
            </w:r>
          </w:p>
          <w:p w14:paraId="73A57DF5" w14:textId="77777777" w:rsidR="00921721" w:rsidRPr="003D4863" w:rsidRDefault="00921721" w:rsidP="00880D09">
            <w:pPr>
              <w:spacing w:after="120"/>
              <w:ind w:right="170"/>
              <w:jc w:val="both"/>
              <w:rPr>
                <w:rFonts w:asciiTheme="minorHAnsi" w:hAnsiTheme="minorHAnsi" w:cs="Arial"/>
                <w:b/>
                <w:i/>
                <w:sz w:val="16"/>
                <w:szCs w:val="16"/>
              </w:rPr>
            </w:pPr>
          </w:p>
          <w:p w14:paraId="2EDE1498" w14:textId="77777777" w:rsidR="00921721" w:rsidRPr="00614799" w:rsidRDefault="00921721" w:rsidP="00880D09">
            <w:pPr>
              <w:pStyle w:val="anxnormal"/>
              <w:spacing w:after="120"/>
              <w:ind w:left="0"/>
              <w:rPr>
                <w:rFonts w:asciiTheme="minorHAnsi" w:hAnsiTheme="minorHAnsi"/>
                <w:lang w:eastAsia="en-US"/>
              </w:rPr>
            </w:pPr>
          </w:p>
          <w:p w14:paraId="18C8D6F9" w14:textId="77777777" w:rsidR="00921721" w:rsidRPr="00731E4E" w:rsidRDefault="00921721" w:rsidP="00880D09">
            <w:pPr>
              <w:pStyle w:val="anxnormal"/>
              <w:ind w:left="0"/>
              <w:rPr>
                <w:rFonts w:asciiTheme="minorHAnsi" w:hAnsiTheme="minorHAnsi"/>
                <w:u w:val="single"/>
                <w:lang w:eastAsia="en-US"/>
              </w:rPr>
            </w:pPr>
            <w:r w:rsidRPr="00731E4E">
              <w:rPr>
                <w:rFonts w:asciiTheme="minorHAnsi" w:hAnsiTheme="minorHAnsi"/>
                <w:u w:val="single"/>
                <w:lang w:eastAsia="en-US"/>
              </w:rPr>
              <w:t>Zmienność kosztów jednostkowych</w:t>
            </w:r>
            <w:r>
              <w:rPr>
                <w:rFonts w:asciiTheme="minorHAnsi" w:hAnsiTheme="minorHAnsi"/>
                <w:u w:val="single"/>
                <w:lang w:eastAsia="en-US"/>
              </w:rPr>
              <w:t xml:space="preserve"> w </w:t>
            </w:r>
            <w:r w:rsidRPr="00731E4E">
              <w:rPr>
                <w:rFonts w:asciiTheme="minorHAnsi" w:hAnsiTheme="minorHAnsi"/>
                <w:u w:val="single"/>
                <w:lang w:eastAsia="en-US"/>
              </w:rPr>
              <w:t>czasie</w:t>
            </w:r>
          </w:p>
          <w:p w14:paraId="6BEBDA6F" w14:textId="77777777" w:rsidR="00921721" w:rsidRPr="00731E4E" w:rsidRDefault="00921721" w:rsidP="00880D09">
            <w:pPr>
              <w:pStyle w:val="anxnormal"/>
              <w:ind w:left="0"/>
              <w:rPr>
                <w:rFonts w:asciiTheme="minorHAnsi" w:hAnsiTheme="minorHAnsi"/>
                <w:lang w:eastAsia="en-US"/>
              </w:rPr>
            </w:pPr>
            <w:r w:rsidRPr="00942EC3">
              <w:rPr>
                <w:rFonts w:asciiTheme="minorHAnsi" w:hAnsiTheme="minorHAnsi"/>
                <w:lang w:eastAsia="en-US"/>
              </w:rPr>
              <w:t xml:space="preserve">Prognoza zmiany jednostkowych kosztów zanieczyszczeń powietrza w czasie (do wyliczenia) powinna </w:t>
            </w:r>
            <w:r w:rsidRPr="00557E09">
              <w:rPr>
                <w:rFonts w:asciiTheme="minorHAnsi" w:hAnsiTheme="minorHAnsi"/>
                <w:lang w:eastAsia="en-US"/>
              </w:rPr>
              <w:t>być oparta</w:t>
            </w:r>
            <w:r>
              <w:rPr>
                <w:rFonts w:asciiTheme="minorHAnsi" w:hAnsiTheme="minorHAnsi"/>
                <w:lang w:eastAsia="en-US"/>
              </w:rPr>
              <w:t xml:space="preserve"> o prognozowany wzrost PKB na 1 </w:t>
            </w:r>
            <w:r w:rsidRPr="00557E09">
              <w:rPr>
                <w:rFonts w:asciiTheme="minorHAnsi" w:hAnsiTheme="minorHAnsi"/>
                <w:lang w:eastAsia="en-US"/>
              </w:rPr>
              <w:t>mieszk</w:t>
            </w:r>
            <w:r>
              <w:rPr>
                <w:rFonts w:asciiTheme="minorHAnsi" w:hAnsiTheme="minorHAnsi"/>
                <w:lang w:eastAsia="en-US"/>
              </w:rPr>
              <w:t>ańca (wartości podane w punkcie </w:t>
            </w:r>
            <w:r w:rsidRPr="00557E09">
              <w:rPr>
                <w:rFonts w:asciiTheme="minorHAnsi" w:hAnsiTheme="minorHAnsi"/>
                <w:lang w:eastAsia="en-US"/>
              </w:rPr>
              <w:t>2) przy</w:t>
            </w:r>
            <w:r w:rsidRPr="00942EC3">
              <w:rPr>
                <w:rFonts w:asciiTheme="minorHAnsi" w:hAnsiTheme="minorHAnsi"/>
                <w:lang w:eastAsia="en-US"/>
              </w:rPr>
              <w:t xml:space="preserve"> zastosowaniu współczynnika elastyczności 0,8.</w:t>
            </w:r>
          </w:p>
          <w:p w14:paraId="5227B535" w14:textId="77777777" w:rsidR="00921721" w:rsidRDefault="00921721" w:rsidP="00880D09">
            <w:pPr>
              <w:pStyle w:val="anxnormal"/>
              <w:ind w:left="0"/>
              <w:rPr>
                <w:rFonts w:asciiTheme="minorHAnsi" w:hAnsiTheme="minorHAnsi"/>
                <w:lang w:eastAsia="en-US"/>
              </w:rPr>
            </w:pPr>
          </w:p>
          <w:p w14:paraId="585F86D9" w14:textId="77777777" w:rsidR="00921721" w:rsidRDefault="00921721" w:rsidP="00880D09">
            <w:pPr>
              <w:pStyle w:val="anxnormal"/>
              <w:ind w:left="0"/>
              <w:rPr>
                <w:rFonts w:asciiTheme="minorHAnsi" w:hAnsiTheme="minorHAnsi"/>
                <w:lang w:eastAsia="en-US"/>
              </w:rPr>
            </w:pPr>
          </w:p>
          <w:p w14:paraId="63C50F71" w14:textId="77777777" w:rsidR="00921721" w:rsidRDefault="00921721" w:rsidP="00880D09">
            <w:pPr>
              <w:pStyle w:val="anxnormal"/>
              <w:ind w:left="0"/>
              <w:rPr>
                <w:rFonts w:asciiTheme="minorHAnsi" w:hAnsiTheme="minorHAnsi"/>
                <w:lang w:eastAsia="en-US"/>
              </w:rPr>
            </w:pPr>
          </w:p>
          <w:p w14:paraId="19EE4F60" w14:textId="77777777" w:rsidR="00921721" w:rsidRDefault="00921721" w:rsidP="00880D09">
            <w:pPr>
              <w:pStyle w:val="anxnormal"/>
              <w:ind w:left="0"/>
              <w:rPr>
                <w:rFonts w:asciiTheme="minorHAnsi" w:hAnsiTheme="minorHAnsi"/>
                <w:lang w:eastAsia="en-US"/>
              </w:rPr>
            </w:pPr>
          </w:p>
          <w:p w14:paraId="6667C9E0" w14:textId="77777777" w:rsidR="00921721" w:rsidRDefault="00921721" w:rsidP="00880D09">
            <w:pPr>
              <w:pStyle w:val="anxnormal"/>
              <w:ind w:left="0"/>
              <w:rPr>
                <w:rFonts w:asciiTheme="minorHAnsi" w:hAnsiTheme="minorHAnsi"/>
                <w:lang w:eastAsia="en-US"/>
              </w:rPr>
            </w:pPr>
          </w:p>
          <w:p w14:paraId="36B87276" w14:textId="77777777" w:rsidR="00921721" w:rsidRPr="00F20E10" w:rsidRDefault="00921721" w:rsidP="00880D09">
            <w:pPr>
              <w:pStyle w:val="anxnormal"/>
              <w:ind w:left="0"/>
              <w:rPr>
                <w:rFonts w:asciiTheme="minorHAnsi" w:hAnsiTheme="minorHAnsi" w:cs="Arial-Narrow,Bold"/>
                <w:b/>
                <w:bCs/>
                <w:color w:val="4F81BD" w:themeColor="accent1"/>
                <w:sz w:val="23"/>
                <w:szCs w:val="23"/>
                <w:lang w:eastAsia="en-GB"/>
              </w:rPr>
            </w:pPr>
            <w:r w:rsidRPr="00F20E10">
              <w:rPr>
                <w:rFonts w:asciiTheme="minorHAnsi" w:hAnsiTheme="minorHAnsi" w:cs="Arial-Narrow,Bold"/>
                <w:b/>
                <w:bCs/>
                <w:color w:val="4F81BD" w:themeColor="accent1"/>
                <w:sz w:val="23"/>
                <w:szCs w:val="23"/>
                <w:lang w:eastAsia="en-GB"/>
              </w:rPr>
              <w:t>7. Koszty zmian klimat</w:t>
            </w:r>
            <w:r>
              <w:rPr>
                <w:rFonts w:asciiTheme="minorHAnsi" w:hAnsiTheme="minorHAnsi" w:cs="Arial-Narrow,Bold"/>
                <w:b/>
                <w:bCs/>
                <w:color w:val="4F81BD" w:themeColor="accent1"/>
                <w:sz w:val="23"/>
                <w:szCs w:val="23"/>
                <w:lang w:eastAsia="en-GB"/>
              </w:rPr>
              <w:t>u</w:t>
            </w:r>
          </w:p>
          <w:p w14:paraId="5D0BFBC5" w14:textId="77777777" w:rsidR="00921721" w:rsidRDefault="00921721" w:rsidP="00880D09">
            <w:pPr>
              <w:pStyle w:val="anxnormal"/>
              <w:spacing w:after="120"/>
              <w:ind w:left="0"/>
              <w:rPr>
                <w:rFonts w:asciiTheme="minorHAnsi" w:hAnsiTheme="minorHAnsi"/>
                <w:lang w:eastAsia="en-US"/>
              </w:rPr>
            </w:pPr>
            <w:bookmarkStart w:id="126" w:name="_Hlk69476678"/>
            <w:r>
              <w:rPr>
                <w:rFonts w:asciiTheme="minorHAnsi" w:hAnsiTheme="minorHAnsi"/>
                <w:lang w:eastAsia="en-US"/>
              </w:rPr>
              <w:t xml:space="preserve">W poniższych tabelach przedstawiono współczynniki emisji dla pojazdów kategorii LV i HGV </w:t>
            </w:r>
            <w:r>
              <w:rPr>
                <w:rFonts w:asciiTheme="minorHAnsi" w:hAnsiTheme="minorHAnsi" w:cstheme="minorHAnsi"/>
                <w:lang w:eastAsia="en-US"/>
              </w:rPr>
              <w:t xml:space="preserve">w obecnie przyjętym roku bazowym (2021). </w:t>
            </w:r>
            <w:r>
              <w:rPr>
                <w:rFonts w:asciiTheme="minorHAnsi" w:hAnsiTheme="minorHAnsi"/>
                <w:lang w:eastAsia="en-US"/>
              </w:rPr>
              <w:t>Z</w:t>
            </w:r>
            <w:r w:rsidRPr="001569CA">
              <w:rPr>
                <w:rFonts w:asciiTheme="minorHAnsi" w:hAnsiTheme="minorHAnsi"/>
                <w:lang w:eastAsia="en-US"/>
              </w:rPr>
              <w:t>ałożenia co</w:t>
            </w:r>
            <w:r>
              <w:rPr>
                <w:rFonts w:asciiTheme="minorHAnsi" w:hAnsiTheme="minorHAnsi"/>
                <w:lang w:eastAsia="en-US"/>
              </w:rPr>
              <w:t> </w:t>
            </w:r>
            <w:r w:rsidRPr="001569CA">
              <w:rPr>
                <w:rFonts w:asciiTheme="minorHAnsi" w:hAnsiTheme="minorHAnsi"/>
                <w:lang w:eastAsia="en-US"/>
              </w:rPr>
              <w:t xml:space="preserve">do struktury floty </w:t>
            </w:r>
            <w:r>
              <w:rPr>
                <w:rFonts w:asciiTheme="minorHAnsi" w:hAnsiTheme="minorHAnsi"/>
                <w:lang w:eastAsia="en-US"/>
              </w:rPr>
              <w:t xml:space="preserve">(pod względem rodzajów stosowanego </w:t>
            </w:r>
            <w:r w:rsidRPr="001569CA">
              <w:rPr>
                <w:rFonts w:asciiTheme="minorHAnsi" w:hAnsiTheme="minorHAnsi"/>
                <w:lang w:eastAsia="en-US"/>
              </w:rPr>
              <w:t>paliwa</w:t>
            </w:r>
            <w:r>
              <w:rPr>
                <w:rFonts w:asciiTheme="minorHAnsi" w:hAnsiTheme="minorHAnsi"/>
                <w:lang w:eastAsia="en-US"/>
              </w:rPr>
              <w:t>)</w:t>
            </w:r>
            <w:r w:rsidRPr="00983DF9">
              <w:rPr>
                <w:rFonts w:asciiTheme="minorHAnsi" w:hAnsiTheme="minorHAnsi"/>
                <w:lang w:eastAsia="en-US"/>
              </w:rPr>
              <w:t xml:space="preserve"> </w:t>
            </w:r>
            <w:r>
              <w:rPr>
                <w:rFonts w:asciiTheme="minorHAnsi" w:hAnsiTheme="minorHAnsi"/>
                <w:lang w:eastAsia="en-US"/>
              </w:rPr>
              <w:t xml:space="preserve">i jej ewolucji w czasie przyjęto takie same, </w:t>
            </w:r>
            <w:r w:rsidRPr="00983DF9">
              <w:rPr>
                <w:rFonts w:asciiTheme="minorHAnsi" w:hAnsiTheme="minorHAnsi"/>
                <w:lang w:eastAsia="en-US"/>
              </w:rPr>
              <w:t xml:space="preserve">jak </w:t>
            </w:r>
            <w:r>
              <w:rPr>
                <w:rFonts w:asciiTheme="minorHAnsi" w:hAnsiTheme="minorHAnsi"/>
                <w:lang w:eastAsia="en-US"/>
              </w:rPr>
              <w:t>dla obliczeń kosztów eksploatacji i zanieczyszczenia powietrza.</w:t>
            </w:r>
          </w:p>
          <w:p w14:paraId="2FC6ABC7" w14:textId="77777777" w:rsidR="00921721" w:rsidRDefault="00921721" w:rsidP="00880D09">
            <w:pPr>
              <w:pStyle w:val="anxnormal"/>
              <w:spacing w:after="120"/>
              <w:ind w:left="0"/>
              <w:rPr>
                <w:rFonts w:asciiTheme="minorHAnsi" w:hAnsiTheme="minorHAnsi"/>
                <w:lang w:eastAsia="en-US"/>
              </w:rPr>
            </w:pPr>
            <w:r>
              <w:rPr>
                <w:rFonts w:asciiTheme="minorHAnsi" w:hAnsiTheme="minorHAnsi"/>
                <w:lang w:eastAsia="en-US"/>
              </w:rPr>
              <w:t>Współczynniki emisji w poniższej tabeli przedstawiono dla terenu płaskiego i nawierzchni w </w:t>
            </w:r>
            <w:r w:rsidRPr="00F4393F">
              <w:rPr>
                <w:rFonts w:asciiTheme="minorHAnsi" w:hAnsiTheme="minorHAnsi"/>
                <w:lang w:eastAsia="en-US"/>
              </w:rPr>
              <w:t>dobrym stanie (tzn. po budowie/remoncie) oraz drogi</w:t>
            </w:r>
            <w:r>
              <w:rPr>
                <w:rFonts w:asciiTheme="minorHAnsi" w:hAnsiTheme="minorHAnsi"/>
                <w:lang w:eastAsia="en-US"/>
              </w:rPr>
              <w:t xml:space="preserve"> o </w:t>
            </w:r>
            <w:r w:rsidRPr="00F4393F">
              <w:rPr>
                <w:rFonts w:asciiTheme="minorHAnsi" w:hAnsiTheme="minorHAnsi"/>
                <w:lang w:eastAsia="en-US"/>
              </w:rPr>
              <w:t>nawierzchni zdegradowanej. Podano r</w:t>
            </w:r>
            <w:r>
              <w:rPr>
                <w:rFonts w:asciiTheme="minorHAnsi" w:hAnsiTheme="minorHAnsi"/>
                <w:lang w:eastAsia="en-US"/>
              </w:rPr>
              <w:t>ównież współczynniki związane z </w:t>
            </w:r>
            <w:r w:rsidRPr="00F4393F">
              <w:rPr>
                <w:rFonts w:asciiTheme="minorHAnsi" w:hAnsiTheme="minorHAnsi"/>
                <w:lang w:eastAsia="en-US"/>
              </w:rPr>
              <w:t xml:space="preserve">wpływem </w:t>
            </w:r>
            <w:r>
              <w:rPr>
                <w:rFonts w:asciiTheme="minorHAnsi" w:hAnsiTheme="minorHAnsi"/>
                <w:lang w:eastAsia="en-US"/>
              </w:rPr>
              <w:t xml:space="preserve">nachylenia podłużnego </w:t>
            </w:r>
            <w:r w:rsidRPr="00F4393F">
              <w:rPr>
                <w:rFonts w:asciiTheme="minorHAnsi" w:hAnsiTheme="minorHAnsi"/>
                <w:lang w:eastAsia="en-US"/>
              </w:rPr>
              <w:t>drogi.</w:t>
            </w:r>
          </w:p>
          <w:p w14:paraId="73B8CAC1" w14:textId="77777777" w:rsidR="00921721" w:rsidRPr="00457ADB" w:rsidRDefault="00921721" w:rsidP="00880D09">
            <w:pPr>
              <w:jc w:val="both"/>
              <w:rPr>
                <w:rFonts w:asciiTheme="minorHAnsi" w:hAnsiTheme="minorHAnsi"/>
                <w:color w:val="000000"/>
                <w:sz w:val="20"/>
                <w:szCs w:val="20"/>
                <w:lang w:eastAsia="en-GB"/>
              </w:rPr>
            </w:pPr>
            <w:r w:rsidRPr="00457ADB">
              <w:rPr>
                <w:rFonts w:asciiTheme="minorHAnsi" w:hAnsiTheme="minorHAnsi"/>
                <w:color w:val="000000"/>
                <w:sz w:val="20"/>
                <w:szCs w:val="20"/>
                <w:lang w:eastAsia="en-GB"/>
              </w:rPr>
              <w:t>Emisje gazów cieplarnianych innych niż dwutlenek węgla CO</w:t>
            </w:r>
            <w:r w:rsidRPr="006E0836">
              <w:rPr>
                <w:rFonts w:asciiTheme="minorHAnsi" w:hAnsiTheme="minorHAnsi"/>
                <w:sz w:val="20"/>
                <w:szCs w:val="20"/>
                <w:vertAlign w:val="subscript"/>
              </w:rPr>
              <w:t>2</w:t>
            </w:r>
            <w:r w:rsidRPr="00457ADB">
              <w:rPr>
                <w:rFonts w:asciiTheme="minorHAnsi" w:hAnsiTheme="minorHAnsi"/>
                <w:color w:val="000000"/>
                <w:sz w:val="20"/>
                <w:szCs w:val="20"/>
                <w:lang w:eastAsia="en-GB"/>
              </w:rPr>
              <w:t xml:space="preserve"> (tj. metan CH</w:t>
            </w:r>
            <w:r w:rsidRPr="006E0836">
              <w:rPr>
                <w:rFonts w:asciiTheme="minorHAnsi" w:hAnsiTheme="minorHAnsi"/>
                <w:sz w:val="20"/>
                <w:szCs w:val="20"/>
                <w:vertAlign w:val="subscript"/>
              </w:rPr>
              <w:t>4</w:t>
            </w:r>
            <w:r w:rsidRPr="006E0836">
              <w:rPr>
                <w:rFonts w:asciiTheme="minorHAnsi" w:hAnsiTheme="minorHAnsi"/>
                <w:sz w:val="20"/>
                <w:szCs w:val="20"/>
              </w:rPr>
              <w:t xml:space="preserve"> </w:t>
            </w:r>
            <w:r>
              <w:rPr>
                <w:rFonts w:asciiTheme="minorHAnsi" w:hAnsiTheme="minorHAnsi"/>
                <w:color w:val="000000"/>
                <w:sz w:val="20"/>
                <w:szCs w:val="20"/>
                <w:lang w:eastAsia="en-GB"/>
              </w:rPr>
              <w:t>i </w:t>
            </w:r>
            <w:r w:rsidRPr="00457ADB">
              <w:rPr>
                <w:rFonts w:asciiTheme="minorHAnsi" w:hAnsiTheme="minorHAnsi"/>
                <w:color w:val="000000"/>
                <w:sz w:val="20"/>
                <w:szCs w:val="20"/>
                <w:lang w:eastAsia="en-GB"/>
              </w:rPr>
              <w:t>podtlenek azotu N</w:t>
            </w:r>
            <w:r w:rsidRPr="006E0836">
              <w:rPr>
                <w:rFonts w:asciiTheme="minorHAnsi" w:hAnsiTheme="minorHAnsi"/>
                <w:sz w:val="20"/>
                <w:szCs w:val="20"/>
                <w:vertAlign w:val="subscript"/>
              </w:rPr>
              <w:t>2</w:t>
            </w:r>
            <w:r>
              <w:rPr>
                <w:rFonts w:asciiTheme="minorHAnsi" w:hAnsiTheme="minorHAnsi"/>
                <w:color w:val="000000"/>
                <w:sz w:val="20"/>
                <w:szCs w:val="20"/>
                <w:lang w:eastAsia="en-GB"/>
              </w:rPr>
              <w:t>O) nie </w:t>
            </w:r>
            <w:r w:rsidRPr="00457ADB">
              <w:rPr>
                <w:rFonts w:asciiTheme="minorHAnsi" w:hAnsiTheme="minorHAnsi"/>
                <w:color w:val="000000"/>
                <w:sz w:val="20"/>
                <w:szCs w:val="20"/>
                <w:lang w:eastAsia="en-GB"/>
              </w:rPr>
              <w:t xml:space="preserve">są uwzględnione. </w:t>
            </w:r>
            <w:r>
              <w:rPr>
                <w:rFonts w:asciiTheme="minorHAnsi" w:hAnsiTheme="minorHAnsi"/>
                <w:color w:val="000000"/>
                <w:sz w:val="20"/>
                <w:szCs w:val="20"/>
                <w:lang w:eastAsia="en-GB"/>
              </w:rPr>
              <w:t>Jest to zgodne z Metodologiami</w:t>
            </w:r>
            <w:r w:rsidRPr="00457ADB">
              <w:rPr>
                <w:rFonts w:asciiTheme="minorHAnsi" w:hAnsiTheme="minorHAnsi"/>
                <w:color w:val="000000"/>
                <w:sz w:val="20"/>
                <w:szCs w:val="20"/>
                <w:lang w:eastAsia="en-GB"/>
              </w:rPr>
              <w:t xml:space="preserve"> </w:t>
            </w:r>
            <w:r>
              <w:rPr>
                <w:rFonts w:asciiTheme="minorHAnsi" w:hAnsiTheme="minorHAnsi"/>
                <w:color w:val="000000"/>
                <w:sz w:val="20"/>
                <w:szCs w:val="20"/>
                <w:lang w:eastAsia="en-GB"/>
              </w:rPr>
              <w:t>Obliczania Śladu Węglowego P</w:t>
            </w:r>
            <w:r w:rsidRPr="00457ADB">
              <w:rPr>
                <w:rFonts w:asciiTheme="minorHAnsi" w:hAnsiTheme="minorHAnsi"/>
                <w:color w:val="000000"/>
                <w:sz w:val="20"/>
                <w:szCs w:val="20"/>
                <w:lang w:eastAsia="en-GB"/>
              </w:rPr>
              <w:t>rojektu</w:t>
            </w:r>
            <w:r>
              <w:rPr>
                <w:rFonts w:asciiTheme="minorHAnsi" w:hAnsiTheme="minorHAnsi"/>
                <w:color w:val="000000"/>
                <w:sz w:val="20"/>
                <w:szCs w:val="20"/>
                <w:lang w:eastAsia="en-GB"/>
              </w:rPr>
              <w:t xml:space="preserve"> autorstwa EBI, wersja 11.1, lipiec 2020 </w:t>
            </w:r>
            <w:r w:rsidRPr="00457ADB">
              <w:rPr>
                <w:rFonts w:asciiTheme="minorHAnsi" w:hAnsiTheme="minorHAnsi"/>
                <w:color w:val="000000"/>
                <w:sz w:val="20"/>
                <w:szCs w:val="20"/>
                <w:lang w:eastAsia="en-GB"/>
              </w:rPr>
              <w:t>r. (Patrz Tabela A1.3 na stronie</w:t>
            </w:r>
            <w:r>
              <w:rPr>
                <w:rFonts w:asciiTheme="minorHAnsi" w:hAnsiTheme="minorHAnsi"/>
                <w:color w:val="000000"/>
                <w:sz w:val="20"/>
                <w:szCs w:val="20"/>
                <w:lang w:eastAsia="en-GB"/>
              </w:rPr>
              <w:t> </w:t>
            </w:r>
            <w:r w:rsidRPr="00457ADB">
              <w:rPr>
                <w:rFonts w:asciiTheme="minorHAnsi" w:hAnsiTheme="minorHAnsi"/>
                <w:color w:val="000000"/>
                <w:sz w:val="20"/>
                <w:szCs w:val="20"/>
                <w:lang w:eastAsia="en-GB"/>
              </w:rPr>
              <w:t>30): „Wpływ gazów cieplarnianych innych niż CO</w:t>
            </w:r>
            <w:r w:rsidRPr="006E0836">
              <w:rPr>
                <w:rFonts w:asciiTheme="minorHAnsi" w:hAnsiTheme="minorHAnsi"/>
                <w:sz w:val="20"/>
                <w:szCs w:val="20"/>
                <w:vertAlign w:val="subscript"/>
              </w:rPr>
              <w:t>2</w:t>
            </w:r>
            <w:r w:rsidRPr="006E0836">
              <w:rPr>
                <w:rFonts w:asciiTheme="minorHAnsi" w:hAnsiTheme="minorHAnsi"/>
                <w:sz w:val="20"/>
                <w:szCs w:val="20"/>
              </w:rPr>
              <w:t xml:space="preserve"> </w:t>
            </w:r>
            <w:r w:rsidRPr="00457ADB">
              <w:rPr>
                <w:rFonts w:asciiTheme="minorHAnsi" w:hAnsiTheme="minorHAnsi"/>
                <w:color w:val="000000"/>
                <w:sz w:val="20"/>
                <w:szCs w:val="20"/>
                <w:lang w:eastAsia="en-GB"/>
              </w:rPr>
              <w:t>jest nieistotny. Do celów obliczeniowych poniższe współczynniki można uznać za CO</w:t>
            </w:r>
            <w:r w:rsidRPr="006E0836">
              <w:rPr>
                <w:rFonts w:asciiTheme="minorHAnsi" w:hAnsiTheme="minorHAnsi"/>
                <w:sz w:val="20"/>
                <w:szCs w:val="20"/>
                <w:vertAlign w:val="subscript"/>
              </w:rPr>
              <w:t>2</w:t>
            </w:r>
            <w:r w:rsidRPr="00457ADB">
              <w:rPr>
                <w:rFonts w:asciiTheme="minorHAnsi" w:hAnsiTheme="minorHAnsi"/>
                <w:color w:val="000000"/>
                <w:sz w:val="20"/>
                <w:szCs w:val="20"/>
                <w:lang w:eastAsia="en-GB"/>
              </w:rPr>
              <w:t xml:space="preserve">e.” </w:t>
            </w:r>
          </w:p>
          <w:bookmarkEnd w:id="126"/>
          <w:p w14:paraId="30E21331" w14:textId="77777777" w:rsidR="00921721" w:rsidRDefault="00921721" w:rsidP="00880D09">
            <w:pPr>
              <w:pStyle w:val="anxnormal"/>
              <w:spacing w:after="120"/>
              <w:ind w:left="0"/>
              <w:rPr>
                <w:rFonts w:asciiTheme="minorHAnsi" w:hAnsiTheme="minorHAnsi"/>
                <w:lang w:eastAsia="en-US"/>
              </w:rPr>
            </w:pPr>
          </w:p>
          <w:p w14:paraId="6C07121E" w14:textId="77777777" w:rsidR="00921721" w:rsidRPr="00731E4E" w:rsidRDefault="00921721" w:rsidP="00880D09">
            <w:pPr>
              <w:pStyle w:val="anxnormal"/>
              <w:spacing w:after="120"/>
              <w:ind w:left="0"/>
              <w:rPr>
                <w:rFonts w:asciiTheme="minorHAnsi" w:hAnsiTheme="minorHAnsi"/>
                <w:lang w:eastAsia="en-US"/>
              </w:rPr>
            </w:pPr>
            <w:r w:rsidRPr="00731E4E">
              <w:rPr>
                <w:rFonts w:asciiTheme="minorHAnsi" w:hAnsiTheme="minorHAnsi"/>
                <w:lang w:eastAsia="en-US"/>
              </w:rPr>
              <w:t xml:space="preserve">Jednostkowe współczynniki emisji </w:t>
            </w:r>
            <w:r>
              <w:rPr>
                <w:rFonts w:asciiTheme="minorHAnsi" w:hAnsiTheme="minorHAnsi"/>
                <w:lang w:eastAsia="en-US"/>
              </w:rPr>
              <w:t>gazów cieplarnianych</w:t>
            </w:r>
            <w:r w:rsidRPr="00731E4E">
              <w:rPr>
                <w:rFonts w:asciiTheme="minorHAnsi" w:hAnsiTheme="minorHAnsi"/>
                <w:lang w:eastAsia="en-US"/>
              </w:rPr>
              <w:t xml:space="preserve"> [</w:t>
            </w:r>
            <w:r>
              <w:rPr>
                <w:rFonts w:asciiTheme="minorHAnsi" w:hAnsiTheme="minorHAnsi"/>
                <w:lang w:eastAsia="en-US"/>
              </w:rPr>
              <w:t>g</w:t>
            </w:r>
            <w:r w:rsidRPr="00731E4E">
              <w:rPr>
                <w:rFonts w:asciiTheme="minorHAnsi" w:hAnsiTheme="minorHAnsi"/>
                <w:lang w:eastAsia="en-US"/>
              </w:rPr>
              <w:t>CO</w:t>
            </w:r>
            <w:r w:rsidRPr="003B7A23">
              <w:rPr>
                <w:rFonts w:asciiTheme="minorHAnsi" w:hAnsiTheme="minorHAnsi"/>
                <w:vertAlign w:val="subscript"/>
                <w:lang w:eastAsia="en-US"/>
              </w:rPr>
              <w:t>2</w:t>
            </w:r>
            <w:r>
              <w:rPr>
                <w:rFonts w:asciiTheme="minorHAnsi" w:hAnsiTheme="minorHAnsi"/>
                <w:lang w:eastAsia="en-US"/>
              </w:rPr>
              <w:t>e</w:t>
            </w:r>
            <w:r w:rsidRPr="00731E4E">
              <w:rPr>
                <w:rFonts w:asciiTheme="minorHAnsi" w:hAnsiTheme="minorHAnsi"/>
                <w:lang w:eastAsia="en-US"/>
              </w:rPr>
              <w:t>/poj-km]</w:t>
            </w:r>
          </w:p>
          <w:tbl>
            <w:tblPr>
              <w:tblW w:w="6776" w:type="dxa"/>
              <w:tblLayout w:type="fixed"/>
              <w:tblLook w:val="04A0" w:firstRow="1" w:lastRow="0" w:firstColumn="1" w:lastColumn="0" w:noHBand="0" w:noVBand="1"/>
            </w:tblPr>
            <w:tblGrid>
              <w:gridCol w:w="2165"/>
              <w:gridCol w:w="2305"/>
              <w:gridCol w:w="2306"/>
            </w:tblGrid>
            <w:tr w:rsidR="00921721" w:rsidRPr="00731E4E" w14:paraId="6209D3A3" w14:textId="77777777" w:rsidTr="00880D09">
              <w:trPr>
                <w:trHeight w:hRule="exact" w:val="874"/>
              </w:trPr>
              <w:tc>
                <w:tcPr>
                  <w:tcW w:w="2165"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64F0880"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Prędkość</w:t>
                  </w:r>
                </w:p>
                <w:p w14:paraId="0105FD3B"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podróży</w:t>
                  </w:r>
                </w:p>
                <w:p w14:paraId="5DD07508"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(km/godz.)</w:t>
                  </w:r>
                </w:p>
              </w:tc>
              <w:tc>
                <w:tcPr>
                  <w:tcW w:w="4611"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126A161"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 xml:space="preserve">Jednostkowe współczynniki emisji </w:t>
                  </w:r>
                  <w:r>
                    <w:rPr>
                      <w:rFonts w:asciiTheme="minorHAnsi" w:hAnsiTheme="minorHAnsi" w:cs="Arial"/>
                      <w:b/>
                      <w:bCs/>
                      <w:color w:val="FFFFFF"/>
                      <w:sz w:val="18"/>
                      <w:szCs w:val="18"/>
                    </w:rPr>
                    <w:t>gazów cieplarnianych</w:t>
                  </w:r>
                  <w:r w:rsidRPr="00731E4E">
                    <w:rPr>
                      <w:rFonts w:asciiTheme="minorHAnsi" w:hAnsiTheme="minorHAnsi" w:cs="Arial"/>
                      <w:b/>
                      <w:bCs/>
                      <w:color w:val="FFFFFF"/>
                      <w:sz w:val="18"/>
                      <w:szCs w:val="18"/>
                    </w:rPr>
                    <w:t xml:space="preserve"> – </w:t>
                  </w:r>
                  <w:r>
                    <w:rPr>
                      <w:rFonts w:asciiTheme="minorHAnsi" w:hAnsiTheme="minorHAnsi" w:cs="Arial"/>
                      <w:b/>
                      <w:bCs/>
                      <w:color w:val="FFFFFF"/>
                      <w:sz w:val="18"/>
                      <w:szCs w:val="18"/>
                    </w:rPr>
                    <w:t>g</w:t>
                  </w:r>
                  <w:r w:rsidRPr="00731E4E">
                    <w:rPr>
                      <w:rFonts w:asciiTheme="minorHAnsi" w:hAnsiTheme="minorHAnsi" w:cs="Arial"/>
                      <w:b/>
                      <w:bCs/>
                      <w:color w:val="FFFFFF"/>
                      <w:sz w:val="18"/>
                      <w:szCs w:val="18"/>
                    </w:rPr>
                    <w:t>CO</w:t>
                  </w:r>
                  <w:r w:rsidRPr="003B7A23">
                    <w:rPr>
                      <w:rFonts w:asciiTheme="minorHAnsi" w:hAnsiTheme="minorHAnsi" w:cs="Arial"/>
                      <w:b/>
                      <w:bCs/>
                      <w:color w:val="FFFFFF"/>
                      <w:sz w:val="18"/>
                      <w:szCs w:val="18"/>
                      <w:vertAlign w:val="subscript"/>
                    </w:rPr>
                    <w:t>2</w:t>
                  </w:r>
                  <w:r>
                    <w:rPr>
                      <w:rFonts w:asciiTheme="minorHAnsi" w:hAnsiTheme="minorHAnsi" w:cs="Arial"/>
                      <w:b/>
                      <w:bCs/>
                      <w:color w:val="FFFFFF"/>
                      <w:sz w:val="18"/>
                      <w:szCs w:val="18"/>
                    </w:rPr>
                    <w:t>e</w:t>
                  </w:r>
                  <w:r w:rsidRPr="00731E4E">
                    <w:rPr>
                      <w:rFonts w:asciiTheme="minorHAnsi" w:hAnsiTheme="minorHAnsi" w:cs="Arial"/>
                      <w:b/>
                      <w:bCs/>
                      <w:color w:val="FFFFFF"/>
                      <w:sz w:val="18"/>
                      <w:szCs w:val="18"/>
                    </w:rPr>
                    <w:t>/poj-km – teren płaski (nawierzchnia po remoncie/budowie)</w:t>
                  </w:r>
                </w:p>
              </w:tc>
            </w:tr>
            <w:tr w:rsidR="00921721" w:rsidRPr="00407779" w14:paraId="43C0A3C6" w14:textId="77777777" w:rsidTr="00880D09">
              <w:trPr>
                <w:trHeight w:hRule="exact" w:val="318"/>
              </w:trPr>
              <w:tc>
                <w:tcPr>
                  <w:tcW w:w="2165"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E090668" w14:textId="77777777" w:rsidR="00921721" w:rsidRPr="00731E4E" w:rsidRDefault="00921721" w:rsidP="00880D09">
                  <w:pPr>
                    <w:jc w:val="center"/>
                    <w:rPr>
                      <w:rFonts w:asciiTheme="minorHAnsi" w:hAnsiTheme="minorHAnsi" w:cs="Arial"/>
                      <w:b/>
                      <w:bCs/>
                      <w:color w:val="FFFFFF"/>
                      <w:sz w:val="18"/>
                      <w:szCs w:val="18"/>
                    </w:rPr>
                  </w:pPr>
                </w:p>
              </w:tc>
              <w:tc>
                <w:tcPr>
                  <w:tcW w:w="230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B4796BA" w14:textId="77777777" w:rsidR="00921721" w:rsidRPr="00E544D2" w:rsidRDefault="00921721" w:rsidP="00880D09">
                  <w:pPr>
                    <w:snapToGrid w:val="0"/>
                    <w:spacing w:before="20" w:after="20"/>
                    <w:jc w:val="center"/>
                    <w:rPr>
                      <w:rFonts w:asciiTheme="minorHAnsi" w:hAnsiTheme="minorHAnsi" w:cs="Arial"/>
                      <w:b/>
                      <w:bCs/>
                      <w:color w:val="FFFFFF"/>
                      <w:sz w:val="18"/>
                      <w:szCs w:val="18"/>
                    </w:rPr>
                  </w:pPr>
                  <w:r w:rsidRPr="00D1371C">
                    <w:rPr>
                      <w:rFonts w:asciiTheme="minorHAnsi" w:hAnsiTheme="minorHAnsi" w:cs="Arial"/>
                      <w:b/>
                      <w:bCs/>
                      <w:color w:val="FFFFFF"/>
                      <w:sz w:val="18"/>
                      <w:szCs w:val="18"/>
                    </w:rPr>
                    <w:t>LV</w:t>
                  </w:r>
                </w:p>
              </w:tc>
              <w:tc>
                <w:tcPr>
                  <w:tcW w:w="230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46E3A54" w14:textId="77777777" w:rsidR="00921721" w:rsidRPr="00E544D2" w:rsidRDefault="00921721" w:rsidP="00880D09">
                  <w:pPr>
                    <w:snapToGrid w:val="0"/>
                    <w:spacing w:before="20" w:after="20"/>
                    <w:jc w:val="center"/>
                    <w:rPr>
                      <w:rFonts w:asciiTheme="minorHAnsi" w:hAnsiTheme="minorHAnsi" w:cs="Arial"/>
                      <w:b/>
                      <w:bCs/>
                      <w:color w:val="FFFFFF"/>
                      <w:sz w:val="18"/>
                      <w:szCs w:val="18"/>
                    </w:rPr>
                  </w:pPr>
                  <w:r w:rsidRPr="00E544D2">
                    <w:rPr>
                      <w:rFonts w:asciiTheme="minorHAnsi" w:hAnsiTheme="minorHAnsi" w:cs="Arial"/>
                      <w:b/>
                      <w:bCs/>
                      <w:color w:val="FFFFFF"/>
                      <w:sz w:val="18"/>
                      <w:szCs w:val="18"/>
                    </w:rPr>
                    <w:t>HGV</w:t>
                  </w:r>
                </w:p>
              </w:tc>
            </w:tr>
            <w:tr w:rsidR="00921721" w:rsidRPr="00407779" w14:paraId="7554DEC3"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057B520"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0-10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FCC706E"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651,652</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10203B3"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1 639,612</w:t>
                  </w:r>
                </w:p>
              </w:tc>
            </w:tr>
            <w:tr w:rsidR="00921721" w:rsidRPr="00407779" w14:paraId="008398B6"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3F2DF0B"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11-20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7637ABF"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412,720</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E68AB62"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913,172</w:t>
                  </w:r>
                </w:p>
              </w:tc>
            </w:tr>
            <w:tr w:rsidR="00921721" w:rsidRPr="00407779" w14:paraId="74FD6AAC"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38623E1"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21-30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C1B5D8F"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314,458</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0E10EB1"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694,518</w:t>
                  </w:r>
                </w:p>
              </w:tc>
            </w:tr>
            <w:tr w:rsidR="00921721" w:rsidRPr="00407779" w14:paraId="4C6FF086"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8F2488A"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31-40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1D599F1"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255,386</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A7F9B27"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583,520</w:t>
                  </w:r>
                </w:p>
              </w:tc>
            </w:tr>
            <w:tr w:rsidR="00921721" w:rsidRPr="00407779" w14:paraId="3736BA06"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D6B17D9"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41-50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07ED180"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216,347</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C37E41A"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522,589</w:t>
                  </w:r>
                </w:p>
              </w:tc>
            </w:tr>
            <w:tr w:rsidR="00921721" w:rsidRPr="00407779" w14:paraId="7197DE23"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98B4654"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51-60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F15EFA9"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190,278</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7981CDC"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490,176</w:t>
                  </w:r>
                </w:p>
              </w:tc>
            </w:tr>
            <w:tr w:rsidR="00921721" w:rsidRPr="00407779" w14:paraId="7940EA2D"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A31EA16"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61-70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7EE341F"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173,753</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85252D8"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474,974</w:t>
                  </w:r>
                </w:p>
              </w:tc>
            </w:tr>
            <w:tr w:rsidR="00921721" w:rsidRPr="00407779" w14:paraId="49661561"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A64CC04"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71-80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7F37F1C"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164,830</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3601DD9"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470,831</w:t>
                  </w:r>
                </w:p>
              </w:tc>
            </w:tr>
            <w:tr w:rsidR="00921721" w:rsidRPr="00407779" w14:paraId="46CA2569"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C4EF457"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81-90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C00A019"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162,284</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F0AA78A"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475,455</w:t>
                  </w:r>
                </w:p>
              </w:tc>
            </w:tr>
            <w:tr w:rsidR="00921721" w:rsidRPr="00407779" w14:paraId="49D1D532"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40A0389"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91-100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F36892C"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165,287</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A390DC4"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493,092</w:t>
                  </w:r>
                </w:p>
              </w:tc>
            </w:tr>
            <w:tr w:rsidR="00921721" w:rsidRPr="00407779" w14:paraId="3419719E"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1ECB376"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101-110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0AD769B"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173,245</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9ABEFC0"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567,589</w:t>
                  </w:r>
                </w:p>
              </w:tc>
            </w:tr>
            <w:tr w:rsidR="00921721" w:rsidRPr="00407779" w14:paraId="566AAD2D"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F287E35"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111-120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F7E9FDA"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185,712</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7C75DEB"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642,086</w:t>
                  </w:r>
                </w:p>
              </w:tc>
            </w:tr>
            <w:tr w:rsidR="00921721" w:rsidRPr="00407779" w14:paraId="0D829205"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5828903"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121-130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BCF26FD"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202,344</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51764CB"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716,583</w:t>
                  </w:r>
                </w:p>
              </w:tc>
            </w:tr>
            <w:tr w:rsidR="00921721" w:rsidRPr="00407779" w14:paraId="240A13E4" w14:textId="77777777" w:rsidTr="00880D09">
              <w:trPr>
                <w:trHeight w:val="265"/>
              </w:trPr>
              <w:tc>
                <w:tcPr>
                  <w:tcW w:w="216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5288E39"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131-140</w:t>
                  </w:r>
                </w:p>
              </w:tc>
              <w:tc>
                <w:tcPr>
                  <w:tcW w:w="230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FE51AB0"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222,868</w:t>
                  </w:r>
                </w:p>
              </w:tc>
              <w:tc>
                <w:tcPr>
                  <w:tcW w:w="230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33DC70C"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791,080</w:t>
                  </w:r>
                </w:p>
              </w:tc>
            </w:tr>
          </w:tbl>
          <w:p w14:paraId="31A9E779" w14:textId="77777777" w:rsidR="00921721" w:rsidRPr="00E544D2" w:rsidRDefault="00921721" w:rsidP="00880D09">
            <w:pPr>
              <w:ind w:right="170"/>
              <w:jc w:val="both"/>
              <w:rPr>
                <w:rFonts w:asciiTheme="minorHAnsi" w:hAnsiTheme="minorHAnsi" w:cs="Arial"/>
                <w:b/>
                <w:i/>
                <w:sz w:val="16"/>
                <w:szCs w:val="16"/>
              </w:rPr>
            </w:pPr>
            <w:r w:rsidRPr="00D1371C">
              <w:rPr>
                <w:rFonts w:asciiTheme="minorHAnsi" w:hAnsiTheme="minorHAnsi" w:cs="Arial"/>
                <w:b/>
                <w:i/>
                <w:sz w:val="16"/>
                <w:szCs w:val="16"/>
              </w:rPr>
              <w:t xml:space="preserve">Źródło: Opracowanie własne CUPT-JASPERS na podstawie VOC fuel consumption and EMEP/EEA air pollutant emission inventory guidebook, 2019, with </w:t>
            </w:r>
            <w:r w:rsidRPr="00E544D2">
              <w:rPr>
                <w:rFonts w:asciiTheme="minorHAnsi" w:hAnsiTheme="minorHAnsi" w:cs="Arial"/>
                <w:b/>
                <w:i/>
                <w:sz w:val="16"/>
                <w:szCs w:val="16"/>
              </w:rPr>
              <w:t>1.A.3.b.i-iv Road Transport Appendix 4 Emission Factors 2019 (Sept. 2020).</w:t>
            </w:r>
          </w:p>
          <w:p w14:paraId="5E21D809" w14:textId="77777777" w:rsidR="00921721" w:rsidRPr="00E544D2" w:rsidRDefault="00921721" w:rsidP="00880D09">
            <w:pPr>
              <w:ind w:right="170"/>
              <w:jc w:val="both"/>
              <w:rPr>
                <w:rFonts w:asciiTheme="minorHAnsi" w:hAnsiTheme="minorHAnsi" w:cs="Arial"/>
                <w:b/>
                <w:i/>
                <w:sz w:val="16"/>
                <w:szCs w:val="16"/>
              </w:rPr>
            </w:pPr>
          </w:p>
          <w:tbl>
            <w:tblPr>
              <w:tblW w:w="6274" w:type="dxa"/>
              <w:tblLayout w:type="fixed"/>
              <w:tblLook w:val="04A0" w:firstRow="1" w:lastRow="0" w:firstColumn="1" w:lastColumn="0" w:noHBand="0" w:noVBand="1"/>
            </w:tblPr>
            <w:tblGrid>
              <w:gridCol w:w="2004"/>
              <w:gridCol w:w="2135"/>
              <w:gridCol w:w="2135"/>
            </w:tblGrid>
            <w:tr w:rsidR="00921721" w:rsidRPr="00731E4E" w14:paraId="5C32F34B" w14:textId="77777777" w:rsidTr="00880D09">
              <w:trPr>
                <w:trHeight w:hRule="exact" w:val="1072"/>
              </w:trPr>
              <w:tc>
                <w:tcPr>
                  <w:tcW w:w="2004"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369AB42"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Prędkość</w:t>
                  </w:r>
                </w:p>
                <w:p w14:paraId="17DBE296"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podróży</w:t>
                  </w:r>
                </w:p>
                <w:p w14:paraId="699065A3"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(km/godz.)</w:t>
                  </w:r>
                </w:p>
              </w:tc>
              <w:tc>
                <w:tcPr>
                  <w:tcW w:w="4270"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398138D"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Jednostko</w:t>
                  </w:r>
                  <w:r>
                    <w:rPr>
                      <w:rFonts w:asciiTheme="minorHAnsi" w:hAnsiTheme="minorHAnsi" w:cs="Arial"/>
                      <w:b/>
                      <w:bCs/>
                      <w:color w:val="FFFFFF"/>
                      <w:sz w:val="18"/>
                      <w:szCs w:val="18"/>
                    </w:rPr>
                    <w:t xml:space="preserve">we </w:t>
                  </w:r>
                  <w:r w:rsidRPr="00731E4E">
                    <w:rPr>
                      <w:rFonts w:asciiTheme="minorHAnsi" w:hAnsiTheme="minorHAnsi" w:cs="Arial"/>
                      <w:b/>
                      <w:bCs/>
                      <w:color w:val="FFFFFF"/>
                      <w:sz w:val="18"/>
                      <w:szCs w:val="18"/>
                    </w:rPr>
                    <w:t xml:space="preserve">współczynniki emisji </w:t>
                  </w:r>
                  <w:r>
                    <w:rPr>
                      <w:rFonts w:asciiTheme="minorHAnsi" w:hAnsiTheme="minorHAnsi" w:cs="Arial"/>
                      <w:b/>
                      <w:bCs/>
                      <w:color w:val="FFFFFF"/>
                      <w:sz w:val="18"/>
                      <w:szCs w:val="18"/>
                    </w:rPr>
                    <w:t xml:space="preserve">gazów cieplarnianych </w:t>
                  </w:r>
                  <w:r w:rsidRPr="00731E4E">
                    <w:rPr>
                      <w:rFonts w:asciiTheme="minorHAnsi" w:hAnsiTheme="minorHAnsi" w:cs="Arial"/>
                      <w:b/>
                      <w:bCs/>
                      <w:color w:val="FFFFFF"/>
                      <w:sz w:val="18"/>
                      <w:szCs w:val="18"/>
                    </w:rPr>
                    <w:t xml:space="preserve">– </w:t>
                  </w:r>
                  <w:r>
                    <w:rPr>
                      <w:rFonts w:asciiTheme="minorHAnsi" w:hAnsiTheme="minorHAnsi" w:cs="Arial"/>
                      <w:b/>
                      <w:bCs/>
                      <w:color w:val="FFFFFF"/>
                      <w:sz w:val="18"/>
                      <w:szCs w:val="18"/>
                    </w:rPr>
                    <w:t>g</w:t>
                  </w:r>
                  <w:r w:rsidRPr="00731E4E">
                    <w:rPr>
                      <w:rFonts w:asciiTheme="minorHAnsi" w:hAnsiTheme="minorHAnsi" w:cs="Arial"/>
                      <w:b/>
                      <w:bCs/>
                      <w:color w:val="FFFFFF"/>
                      <w:sz w:val="18"/>
                      <w:szCs w:val="18"/>
                    </w:rPr>
                    <w:t>CO</w:t>
                  </w:r>
                  <w:r w:rsidRPr="003B7A23">
                    <w:rPr>
                      <w:rFonts w:asciiTheme="minorHAnsi" w:hAnsiTheme="minorHAnsi" w:cs="Arial"/>
                      <w:b/>
                      <w:bCs/>
                      <w:color w:val="FFFFFF"/>
                      <w:sz w:val="18"/>
                      <w:szCs w:val="18"/>
                      <w:vertAlign w:val="subscript"/>
                    </w:rPr>
                    <w:t>2</w:t>
                  </w:r>
                  <w:r>
                    <w:rPr>
                      <w:rFonts w:asciiTheme="minorHAnsi" w:hAnsiTheme="minorHAnsi" w:cs="Arial"/>
                      <w:b/>
                      <w:bCs/>
                      <w:color w:val="FFFFFF"/>
                      <w:sz w:val="18"/>
                      <w:szCs w:val="18"/>
                    </w:rPr>
                    <w:t>e</w:t>
                  </w:r>
                  <w:r w:rsidRPr="00731E4E">
                    <w:rPr>
                      <w:rFonts w:asciiTheme="minorHAnsi" w:hAnsiTheme="minorHAnsi" w:cs="Arial"/>
                      <w:b/>
                      <w:bCs/>
                      <w:color w:val="FFFFFF"/>
                      <w:sz w:val="18"/>
                      <w:szCs w:val="18"/>
                    </w:rPr>
                    <w:t xml:space="preserve">/poj-km </w:t>
                  </w:r>
                  <w:r>
                    <w:rPr>
                      <w:rFonts w:asciiTheme="minorHAnsi" w:hAnsiTheme="minorHAnsi" w:cs="Arial"/>
                      <w:b/>
                      <w:bCs/>
                      <w:color w:val="FFFFFF"/>
                      <w:sz w:val="18"/>
                      <w:szCs w:val="18"/>
                    </w:rPr>
                    <w:t>–</w:t>
                  </w:r>
                  <w:r w:rsidRPr="00731E4E">
                    <w:rPr>
                      <w:rFonts w:asciiTheme="minorHAnsi" w:hAnsiTheme="minorHAnsi" w:cs="Arial"/>
                      <w:b/>
                      <w:bCs/>
                      <w:color w:val="FFFFFF"/>
                      <w:sz w:val="18"/>
                      <w:szCs w:val="18"/>
                    </w:rPr>
                    <w:t xml:space="preserve"> teren płaski (nawierzchnia zdegradowana)</w:t>
                  </w:r>
                </w:p>
              </w:tc>
            </w:tr>
            <w:tr w:rsidR="00921721" w:rsidRPr="00407779" w14:paraId="1D54CCA2" w14:textId="77777777" w:rsidTr="00880D09">
              <w:trPr>
                <w:trHeight w:hRule="exact" w:val="310"/>
              </w:trPr>
              <w:tc>
                <w:tcPr>
                  <w:tcW w:w="2004"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9AC73BE" w14:textId="77777777" w:rsidR="00921721" w:rsidRPr="00731E4E" w:rsidRDefault="00921721" w:rsidP="00880D09">
                  <w:pPr>
                    <w:jc w:val="center"/>
                    <w:rPr>
                      <w:rFonts w:asciiTheme="minorHAnsi" w:hAnsiTheme="minorHAnsi" w:cs="Arial"/>
                      <w:b/>
                      <w:bCs/>
                      <w:color w:val="FFFFFF"/>
                      <w:sz w:val="18"/>
                      <w:szCs w:val="18"/>
                    </w:rPr>
                  </w:pPr>
                </w:p>
              </w:tc>
              <w:tc>
                <w:tcPr>
                  <w:tcW w:w="213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7E0FE4A" w14:textId="77777777" w:rsidR="00921721" w:rsidRPr="00E544D2" w:rsidRDefault="00921721" w:rsidP="00880D09">
                  <w:pPr>
                    <w:snapToGrid w:val="0"/>
                    <w:jc w:val="center"/>
                    <w:rPr>
                      <w:rFonts w:asciiTheme="minorHAnsi" w:hAnsiTheme="minorHAnsi" w:cs="Arial"/>
                      <w:b/>
                      <w:bCs/>
                      <w:color w:val="FFFFFF"/>
                      <w:sz w:val="18"/>
                      <w:szCs w:val="18"/>
                      <w:highlight w:val="magenta"/>
                    </w:rPr>
                  </w:pPr>
                  <w:r w:rsidRPr="00D1371C">
                    <w:rPr>
                      <w:rFonts w:asciiTheme="minorHAnsi" w:hAnsiTheme="minorHAnsi" w:cs="Arial"/>
                      <w:b/>
                      <w:bCs/>
                      <w:color w:val="FFFFFF"/>
                      <w:sz w:val="18"/>
                      <w:szCs w:val="18"/>
                    </w:rPr>
                    <w:t>LV</w:t>
                  </w:r>
                </w:p>
              </w:tc>
              <w:tc>
                <w:tcPr>
                  <w:tcW w:w="213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D88348C" w14:textId="77777777" w:rsidR="00921721" w:rsidRPr="00E544D2" w:rsidRDefault="00921721" w:rsidP="00880D09">
                  <w:pPr>
                    <w:snapToGrid w:val="0"/>
                    <w:jc w:val="center"/>
                    <w:rPr>
                      <w:rFonts w:asciiTheme="minorHAnsi" w:hAnsiTheme="minorHAnsi" w:cs="Arial"/>
                      <w:b/>
                      <w:bCs/>
                      <w:color w:val="FFFFFF"/>
                      <w:sz w:val="18"/>
                      <w:szCs w:val="18"/>
                    </w:rPr>
                  </w:pPr>
                  <w:r w:rsidRPr="00E544D2">
                    <w:rPr>
                      <w:rFonts w:asciiTheme="minorHAnsi" w:hAnsiTheme="minorHAnsi" w:cs="Arial"/>
                      <w:b/>
                      <w:bCs/>
                      <w:color w:val="FFFFFF"/>
                      <w:sz w:val="18"/>
                      <w:szCs w:val="18"/>
                    </w:rPr>
                    <w:t>HGV</w:t>
                  </w:r>
                </w:p>
              </w:tc>
            </w:tr>
            <w:tr w:rsidR="00921721" w:rsidRPr="00407779" w14:paraId="471B3631"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93B1A5F"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0-10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B6F9F34"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724,963</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43B6EED"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1 844,563</w:t>
                  </w:r>
                </w:p>
              </w:tc>
            </w:tr>
            <w:tr w:rsidR="00921721" w:rsidRPr="00407779" w14:paraId="5AFB6825"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9FAC333"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11-20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41F6DB8"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459,151</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4C0FECA"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1 027,319</w:t>
                  </w:r>
                </w:p>
              </w:tc>
            </w:tr>
            <w:tr w:rsidR="00921721" w:rsidRPr="00407779" w14:paraId="2B6CB0A0"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9D72855"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21-30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E333D5D"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349,835</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EC5F5A0"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781,333</w:t>
                  </w:r>
                </w:p>
              </w:tc>
            </w:tr>
            <w:tr w:rsidR="00921721" w:rsidRPr="00407779" w14:paraId="11858764"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3C0B821"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31-40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36480D7"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284,117</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1AF6A16"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656,460</w:t>
                  </w:r>
                </w:p>
              </w:tc>
            </w:tr>
            <w:tr w:rsidR="00921721" w:rsidRPr="00407779" w14:paraId="5C0CBFD1"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AA7C00C"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41-50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07F7975"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240,686</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56342F6"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587,913</w:t>
                  </w:r>
                </w:p>
              </w:tc>
            </w:tr>
            <w:tr w:rsidR="00921721" w:rsidRPr="00407779" w14:paraId="27A15AEC"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02796B4"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51-60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9CD792B"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215,252</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AAE312D"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561,660</w:t>
                  </w:r>
                </w:p>
              </w:tc>
            </w:tr>
            <w:tr w:rsidR="00921721" w:rsidRPr="00407779" w14:paraId="1CBAF956"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429E5D3"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61-70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662C48B"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199,816</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61AC9C3"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554,136</w:t>
                  </w:r>
                </w:p>
              </w:tc>
            </w:tr>
            <w:tr w:rsidR="00921721" w:rsidRPr="00407779" w14:paraId="7BE4ED4E"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BFC1442"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71-80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0A214C6"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192,645</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503BFE2"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559,112</w:t>
                  </w:r>
                </w:p>
              </w:tc>
            </w:tr>
            <w:tr w:rsidR="00921721" w:rsidRPr="00407779" w14:paraId="0C7C56A1"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870CFFC"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81-90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AE7B9C2"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192,713</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6CE1EB1"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574,509</w:t>
                  </w:r>
                </w:p>
              </w:tc>
            </w:tr>
            <w:tr w:rsidR="00921721" w:rsidRPr="00407779" w14:paraId="3ABB2345"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914084D"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91-100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08F3316"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199,378</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0A7A6EB"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606,092</w:t>
                  </w:r>
                </w:p>
              </w:tc>
            </w:tr>
            <w:tr w:rsidR="00921721" w:rsidRPr="00407779" w14:paraId="39D005DC"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844D3C0"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101-110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37C4F35"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212,225</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2F771A8"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709,486</w:t>
                  </w:r>
                </w:p>
              </w:tc>
            </w:tr>
            <w:tr w:rsidR="00921721" w:rsidRPr="00407779" w14:paraId="071BAE93" w14:textId="77777777" w:rsidTr="00880D09">
              <w:trPr>
                <w:trHeight w:val="111"/>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C7D9BDD"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111-120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9D17068"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227,497</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2D2412F"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802,608</w:t>
                  </w:r>
                </w:p>
              </w:tc>
            </w:tr>
            <w:tr w:rsidR="00921721" w:rsidRPr="00407779" w14:paraId="13103CF0" w14:textId="77777777" w:rsidTr="00880D09">
              <w:trPr>
                <w:trHeight w:val="114"/>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C04F2AD"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121-130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4DEB64E"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247,871</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F04B7EA"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895,729</w:t>
                  </w:r>
                </w:p>
              </w:tc>
            </w:tr>
            <w:tr w:rsidR="00921721" w:rsidRPr="00407779" w14:paraId="26494C55" w14:textId="77777777" w:rsidTr="00880D09">
              <w:trPr>
                <w:trHeight w:val="258"/>
              </w:trPr>
              <w:tc>
                <w:tcPr>
                  <w:tcW w:w="200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0FE8E1D" w14:textId="77777777" w:rsidR="00921721" w:rsidRPr="00E544D2" w:rsidRDefault="00921721" w:rsidP="00880D09">
                  <w:pPr>
                    <w:jc w:val="center"/>
                    <w:rPr>
                      <w:rFonts w:asciiTheme="minorHAnsi" w:hAnsiTheme="minorHAnsi" w:cs="Arial"/>
                      <w:color w:val="4F81BD" w:themeColor="accent1"/>
                      <w:sz w:val="18"/>
                      <w:szCs w:val="18"/>
                    </w:rPr>
                  </w:pPr>
                  <w:r w:rsidRPr="00D1371C">
                    <w:rPr>
                      <w:rFonts w:asciiTheme="minorHAnsi" w:hAnsiTheme="minorHAnsi" w:cs="Arial"/>
                      <w:color w:val="4F81BD" w:themeColor="accent1"/>
                      <w:sz w:val="18"/>
                      <w:szCs w:val="18"/>
                    </w:rPr>
                    <w:t>131-140</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09EE0F3"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273,013</w:t>
                  </w:r>
                </w:p>
              </w:tc>
              <w:tc>
                <w:tcPr>
                  <w:tcW w:w="2135"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A28B235" w14:textId="77777777" w:rsidR="00921721" w:rsidRPr="00E544D2" w:rsidRDefault="00921721" w:rsidP="00880D09">
                  <w:pPr>
                    <w:jc w:val="center"/>
                    <w:rPr>
                      <w:rFonts w:asciiTheme="minorHAnsi" w:hAnsiTheme="minorHAnsi" w:cs="Arial"/>
                      <w:color w:val="4F81BD" w:themeColor="accent1"/>
                      <w:sz w:val="18"/>
                      <w:szCs w:val="18"/>
                    </w:rPr>
                  </w:pPr>
                  <w:r w:rsidRPr="00E544D2">
                    <w:rPr>
                      <w:rFonts w:asciiTheme="minorHAnsi" w:hAnsiTheme="minorHAnsi" w:cs="Arial"/>
                      <w:color w:val="4F81BD" w:themeColor="accent1"/>
                      <w:sz w:val="18"/>
                      <w:szCs w:val="18"/>
                    </w:rPr>
                    <w:t>988,850</w:t>
                  </w:r>
                </w:p>
              </w:tc>
            </w:tr>
          </w:tbl>
          <w:p w14:paraId="650231BE" w14:textId="77777777" w:rsidR="00921721" w:rsidRPr="00E544D2" w:rsidRDefault="00921721" w:rsidP="00880D09">
            <w:pPr>
              <w:spacing w:after="120"/>
              <w:ind w:right="170"/>
              <w:rPr>
                <w:rFonts w:asciiTheme="minorHAnsi" w:hAnsiTheme="minorHAnsi" w:cs="Arial"/>
                <w:b/>
                <w:i/>
                <w:sz w:val="16"/>
                <w:szCs w:val="16"/>
              </w:rPr>
            </w:pPr>
            <w:r w:rsidRPr="00D1371C">
              <w:rPr>
                <w:rFonts w:asciiTheme="minorHAnsi" w:hAnsiTheme="minorHAnsi" w:cs="Arial"/>
                <w:b/>
                <w:i/>
                <w:sz w:val="16"/>
                <w:szCs w:val="16"/>
              </w:rPr>
              <w:t xml:space="preserve">Źródło: Opracowanie własne CUPT-JASPERS na podstawie VOC fuel consumption and EMEP/EEA air pollutant emission inventory guidebook, 2019, with 1.A.3.b.i-iv Road Transport Appendix 4 Emission Factors 2019 </w:t>
            </w:r>
            <w:r w:rsidRPr="00E544D2">
              <w:rPr>
                <w:rFonts w:asciiTheme="minorHAnsi" w:hAnsiTheme="minorHAnsi" w:cs="Arial"/>
                <w:b/>
                <w:i/>
                <w:sz w:val="16"/>
                <w:szCs w:val="16"/>
              </w:rPr>
              <w:t>(Sept. 2020).</w:t>
            </w:r>
          </w:p>
          <w:p w14:paraId="203B3033" w14:textId="77777777" w:rsidR="00921721" w:rsidRDefault="00921721" w:rsidP="00880D09">
            <w:pPr>
              <w:pStyle w:val="anxnormal"/>
              <w:spacing w:after="120"/>
              <w:ind w:left="0"/>
              <w:rPr>
                <w:rFonts w:asciiTheme="minorHAnsi" w:hAnsiTheme="minorHAnsi"/>
                <w:lang w:eastAsia="en-US"/>
              </w:rPr>
            </w:pPr>
          </w:p>
          <w:p w14:paraId="19B4D6C4" w14:textId="77777777" w:rsidR="00921721" w:rsidRDefault="00921721" w:rsidP="00880D09">
            <w:pPr>
              <w:pStyle w:val="anxnormal"/>
              <w:spacing w:after="120"/>
              <w:ind w:left="0"/>
              <w:rPr>
                <w:rFonts w:asciiTheme="minorHAnsi" w:hAnsiTheme="minorHAnsi"/>
                <w:lang w:eastAsia="en-US"/>
              </w:rPr>
            </w:pPr>
            <w:r w:rsidRPr="00731A1C">
              <w:rPr>
                <w:rFonts w:asciiTheme="minorHAnsi" w:hAnsiTheme="minorHAnsi"/>
                <w:lang w:eastAsia="en-US"/>
              </w:rPr>
              <w:t xml:space="preserve">Wpływ nachylenia drogi na emisje </w:t>
            </w:r>
            <w:r>
              <w:rPr>
                <w:rFonts w:asciiTheme="minorHAnsi" w:hAnsiTheme="minorHAnsi"/>
                <w:lang w:eastAsia="en-US"/>
              </w:rPr>
              <w:t xml:space="preserve">gazów cieplarnianych </w:t>
            </w:r>
            <w:r w:rsidRPr="00731A1C">
              <w:rPr>
                <w:rFonts w:asciiTheme="minorHAnsi" w:hAnsiTheme="minorHAnsi"/>
                <w:lang w:eastAsia="en-US"/>
              </w:rPr>
              <w:t>przez pojazdy drogowe przyjęto na takim samym poziomie, jak wpływ na zużycie paliwa.</w:t>
            </w:r>
            <w:r>
              <w:rPr>
                <w:rFonts w:asciiTheme="minorHAnsi" w:hAnsiTheme="minorHAnsi"/>
                <w:lang w:eastAsia="en-US"/>
              </w:rPr>
              <w:t xml:space="preserve"> Przyjmuje się, że teren falisty zwiększa zużycie paliwa pojazdów lekkich o 15%. W przypadku HGV, odpowiedni współczynnik uzyskano w oparciu o zastosowane równania do wyliczania zużycia paliwa. </w:t>
            </w:r>
          </w:p>
          <w:p w14:paraId="499FE68F" w14:textId="77777777" w:rsidR="00921721" w:rsidRPr="00731E4E" w:rsidRDefault="00921721" w:rsidP="00880D09">
            <w:pPr>
              <w:pStyle w:val="anxnormal"/>
              <w:spacing w:after="120"/>
              <w:ind w:left="0"/>
              <w:jc w:val="left"/>
              <w:rPr>
                <w:rFonts w:asciiTheme="minorHAnsi" w:hAnsiTheme="minorHAnsi"/>
                <w:lang w:eastAsia="en-US"/>
              </w:rPr>
            </w:pPr>
            <w:r w:rsidRPr="00731E4E">
              <w:rPr>
                <w:rFonts w:asciiTheme="minorHAnsi" w:hAnsiTheme="minorHAnsi"/>
                <w:lang w:eastAsia="en-US"/>
              </w:rPr>
              <w:t>Wskaźniki wzrostu ze względu na nachylenie drogi.</w:t>
            </w:r>
          </w:p>
          <w:tbl>
            <w:tblPr>
              <w:tblW w:w="3580" w:type="dxa"/>
              <w:tblLayout w:type="fixed"/>
              <w:tblLook w:val="04A0" w:firstRow="1" w:lastRow="0" w:firstColumn="1" w:lastColumn="0" w:noHBand="0" w:noVBand="1"/>
            </w:tblPr>
            <w:tblGrid>
              <w:gridCol w:w="1778"/>
              <w:gridCol w:w="901"/>
              <w:gridCol w:w="901"/>
            </w:tblGrid>
            <w:tr w:rsidR="00921721" w:rsidRPr="00731E4E" w14:paraId="54F95680" w14:textId="77777777" w:rsidTr="00880D09">
              <w:trPr>
                <w:trHeight w:hRule="exact" w:val="309"/>
              </w:trPr>
              <w:tc>
                <w:tcPr>
                  <w:tcW w:w="177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65CCF1F"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 xml:space="preserve">Rodzaj </w:t>
                  </w:r>
                  <w:r>
                    <w:rPr>
                      <w:rFonts w:asciiTheme="minorHAnsi" w:hAnsiTheme="minorHAnsi" w:cs="Arial"/>
                      <w:b/>
                      <w:bCs/>
                      <w:color w:val="FFFFFF"/>
                      <w:sz w:val="18"/>
                      <w:szCs w:val="18"/>
                    </w:rPr>
                    <w:t>terenu</w:t>
                  </w:r>
                </w:p>
              </w:tc>
              <w:tc>
                <w:tcPr>
                  <w:tcW w:w="90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182A392"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LV</w:t>
                  </w:r>
                </w:p>
              </w:tc>
              <w:tc>
                <w:tcPr>
                  <w:tcW w:w="90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BC9BA36"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HGV</w:t>
                  </w:r>
                </w:p>
              </w:tc>
            </w:tr>
            <w:tr w:rsidR="00921721" w:rsidRPr="00731E4E" w14:paraId="7F32D0FF" w14:textId="77777777" w:rsidTr="00880D09">
              <w:trPr>
                <w:trHeight w:val="258"/>
              </w:trPr>
              <w:tc>
                <w:tcPr>
                  <w:tcW w:w="17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C784A45" w14:textId="77777777" w:rsidR="00921721" w:rsidRPr="00CA444D" w:rsidRDefault="00921721" w:rsidP="00880D09">
                  <w:pPr>
                    <w:spacing w:before="20"/>
                    <w:jc w:val="center"/>
                    <w:rPr>
                      <w:rFonts w:asciiTheme="minorHAnsi" w:hAnsiTheme="minorHAnsi" w:cs="Calibri"/>
                      <w:color w:val="4F81BD" w:themeColor="accent1"/>
                      <w:sz w:val="18"/>
                      <w:szCs w:val="18"/>
                    </w:rPr>
                  </w:pPr>
                  <w:r>
                    <w:rPr>
                      <w:rFonts w:asciiTheme="minorHAnsi" w:hAnsiTheme="minorHAnsi" w:cs="Arial"/>
                      <w:color w:val="4F81BD" w:themeColor="accent1"/>
                      <w:sz w:val="18"/>
                      <w:szCs w:val="18"/>
                    </w:rPr>
                    <w:t>Płaski</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DC63274" w14:textId="77777777" w:rsidR="00921721" w:rsidRPr="00CA444D"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78A4982" w14:textId="77777777" w:rsidR="00921721" w:rsidRPr="00CA444D"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r>
            <w:tr w:rsidR="00921721" w:rsidRPr="00731E4E" w14:paraId="1D75CBD2" w14:textId="77777777" w:rsidTr="00880D09">
              <w:trPr>
                <w:trHeight w:val="258"/>
              </w:trPr>
              <w:tc>
                <w:tcPr>
                  <w:tcW w:w="17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B88BF7F" w14:textId="77777777" w:rsidR="00921721" w:rsidRPr="00CA444D" w:rsidRDefault="00921721" w:rsidP="00880D09">
                  <w:pPr>
                    <w:spacing w:before="20"/>
                    <w:jc w:val="center"/>
                    <w:rPr>
                      <w:rFonts w:asciiTheme="minorHAnsi" w:hAnsiTheme="minorHAnsi" w:cs="Arial"/>
                      <w:color w:val="4F81BD" w:themeColor="accent1"/>
                      <w:sz w:val="18"/>
                      <w:szCs w:val="18"/>
                    </w:rPr>
                  </w:pPr>
                  <w:r w:rsidRPr="00CA444D">
                    <w:rPr>
                      <w:rFonts w:asciiTheme="minorHAnsi" w:hAnsiTheme="minorHAnsi" w:cs="Arial"/>
                      <w:color w:val="4F81BD" w:themeColor="accent1"/>
                      <w:sz w:val="18"/>
                      <w:szCs w:val="18"/>
                    </w:rPr>
                    <w:t>Falist</w:t>
                  </w:r>
                  <w:r>
                    <w:rPr>
                      <w:rFonts w:asciiTheme="minorHAnsi" w:hAnsiTheme="minorHAnsi" w:cs="Arial"/>
                      <w:color w:val="4F81BD" w:themeColor="accent1"/>
                      <w:sz w:val="18"/>
                      <w:szCs w:val="18"/>
                    </w:rPr>
                    <w:t>y</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8274487" w14:textId="77777777" w:rsidR="00921721" w:rsidRPr="00CA444D" w:rsidRDefault="00921721" w:rsidP="00880D09">
                  <w:pPr>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 xml:space="preserve">1,150 </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57CBD46" w14:textId="77777777" w:rsidR="00921721" w:rsidRPr="00CA444D" w:rsidRDefault="00921721" w:rsidP="00880D09">
                  <w:pPr>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 xml:space="preserve">1,697 </w:t>
                  </w:r>
                </w:p>
              </w:tc>
            </w:tr>
          </w:tbl>
          <w:p w14:paraId="4B190344" w14:textId="77777777" w:rsidR="00921721" w:rsidRPr="00637253" w:rsidRDefault="00921721" w:rsidP="00880D09">
            <w:pPr>
              <w:spacing w:after="120"/>
              <w:ind w:right="170"/>
              <w:jc w:val="both"/>
              <w:rPr>
                <w:rFonts w:asciiTheme="minorHAnsi" w:hAnsiTheme="minorHAnsi" w:cs="Arial"/>
                <w:b/>
                <w:i/>
                <w:sz w:val="16"/>
                <w:szCs w:val="16"/>
              </w:rPr>
            </w:pPr>
            <w:r w:rsidRPr="00637253">
              <w:rPr>
                <w:rFonts w:asciiTheme="minorHAnsi" w:hAnsiTheme="minorHAnsi" w:cs="Arial"/>
                <w:b/>
                <w:i/>
                <w:sz w:val="16"/>
                <w:szCs w:val="16"/>
              </w:rPr>
              <w:t>Źródło: Opracowanie własne CUPT-JASPERS na podstawie obliczeń VOC.</w:t>
            </w:r>
          </w:p>
          <w:p w14:paraId="199F2897" w14:textId="77777777" w:rsidR="00921721" w:rsidRDefault="00921721" w:rsidP="00880D09">
            <w:pPr>
              <w:spacing w:after="120"/>
              <w:ind w:right="170"/>
              <w:rPr>
                <w:rFonts w:asciiTheme="minorHAnsi" w:hAnsiTheme="minorHAnsi" w:cs="Arial"/>
                <w:sz w:val="20"/>
                <w:szCs w:val="20"/>
                <w:u w:val="single"/>
              </w:rPr>
            </w:pPr>
          </w:p>
          <w:p w14:paraId="09E4D704" w14:textId="77777777" w:rsidR="00921721" w:rsidRPr="00374624" w:rsidRDefault="00921721" w:rsidP="00880D09">
            <w:pPr>
              <w:spacing w:after="120"/>
              <w:ind w:right="170"/>
              <w:rPr>
                <w:rFonts w:asciiTheme="minorHAnsi" w:hAnsiTheme="minorHAnsi" w:cs="Arial"/>
                <w:sz w:val="20"/>
                <w:szCs w:val="20"/>
                <w:u w:val="single"/>
              </w:rPr>
            </w:pPr>
            <w:r w:rsidRPr="00374624">
              <w:rPr>
                <w:rFonts w:asciiTheme="minorHAnsi" w:hAnsiTheme="minorHAnsi" w:cs="Arial"/>
                <w:sz w:val="20"/>
                <w:szCs w:val="20"/>
                <w:u w:val="single"/>
              </w:rPr>
              <w:t>Pojazdy elektryczne kategorii LV – współczynniki emisji gazów cieplarnianych</w:t>
            </w:r>
          </w:p>
          <w:p w14:paraId="2B1963BC" w14:textId="77777777" w:rsidR="00921721" w:rsidRDefault="00921721" w:rsidP="00880D09">
            <w:pPr>
              <w:spacing w:after="120"/>
              <w:ind w:right="170"/>
              <w:jc w:val="both"/>
              <w:rPr>
                <w:rFonts w:asciiTheme="minorHAnsi" w:hAnsiTheme="minorHAnsi" w:cs="Arial"/>
                <w:sz w:val="20"/>
                <w:szCs w:val="20"/>
              </w:rPr>
            </w:pPr>
            <w:r>
              <w:rPr>
                <w:rFonts w:asciiTheme="minorHAnsi" w:hAnsiTheme="minorHAnsi" w:cs="Arial"/>
                <w:sz w:val="20"/>
                <w:szCs w:val="20"/>
              </w:rPr>
              <w:t>Ponieważ przewidywany jest stały wzrost udziału pojazdów elektrycznych w polskiej flocie drogowej, musi on znaleźć odzwierciedlenie w odpowiednich współczynnikach emisji gazów cieplarnianych.</w:t>
            </w:r>
          </w:p>
          <w:p w14:paraId="0813EE61" w14:textId="46EE1491" w:rsidR="00921721" w:rsidRPr="00A92581" w:rsidRDefault="00921721" w:rsidP="00880D09">
            <w:pPr>
              <w:spacing w:after="120"/>
              <w:ind w:right="170"/>
              <w:jc w:val="both"/>
              <w:rPr>
                <w:rFonts w:asciiTheme="minorHAnsi" w:hAnsiTheme="minorHAnsi" w:cs="Arial"/>
                <w:sz w:val="20"/>
                <w:szCs w:val="20"/>
              </w:rPr>
            </w:pPr>
            <w:r>
              <w:rPr>
                <w:rFonts w:asciiTheme="minorHAnsi" w:hAnsiTheme="minorHAnsi" w:cs="Arial"/>
                <w:sz w:val="20"/>
                <w:szCs w:val="20"/>
              </w:rPr>
              <w:t xml:space="preserve">Współczynnik emisji gazów cieplarnianych dla energii elektrycznej z krajowej sieci elektroenergetycznej w roku 2019 wynosił </w:t>
            </w:r>
            <w:r w:rsidRPr="00A4635D">
              <w:rPr>
                <w:rFonts w:asciiTheme="minorHAnsi" w:hAnsiTheme="minorHAnsi" w:cs="Arial"/>
                <w:sz w:val="20"/>
                <w:szCs w:val="20"/>
              </w:rPr>
              <w:t>719 gCO</w:t>
            </w:r>
            <w:r w:rsidRPr="00A4635D">
              <w:rPr>
                <w:rFonts w:asciiTheme="minorHAnsi" w:hAnsiTheme="minorHAnsi" w:cs="Arial"/>
                <w:sz w:val="20"/>
                <w:szCs w:val="20"/>
                <w:vertAlign w:val="subscript"/>
              </w:rPr>
              <w:t>2</w:t>
            </w:r>
            <w:r w:rsidRPr="00A4635D">
              <w:rPr>
                <w:rFonts w:asciiTheme="minorHAnsi" w:hAnsiTheme="minorHAnsi" w:cs="Arial"/>
                <w:sz w:val="20"/>
                <w:szCs w:val="20"/>
              </w:rPr>
              <w:t>/kWh</w:t>
            </w:r>
            <w:r w:rsidR="00CE7FE6">
              <w:rPr>
                <w:rFonts w:asciiTheme="minorHAnsi" w:hAnsiTheme="minorHAnsi" w:cs="Arial"/>
                <w:sz w:val="20"/>
                <w:szCs w:val="20"/>
                <w:vertAlign w:val="superscript"/>
              </w:rPr>
              <w:t>1</w:t>
            </w:r>
            <w:r w:rsidR="00DD0E5A">
              <w:rPr>
                <w:rFonts w:asciiTheme="minorHAnsi" w:hAnsiTheme="minorHAnsi" w:cs="Arial"/>
                <w:sz w:val="20"/>
                <w:szCs w:val="20"/>
                <w:vertAlign w:val="superscript"/>
              </w:rPr>
              <w:t>9</w:t>
            </w:r>
            <w:r>
              <w:rPr>
                <w:rFonts w:asciiTheme="minorHAnsi" w:hAnsiTheme="minorHAnsi" w:cs="Arial"/>
                <w:sz w:val="20"/>
                <w:szCs w:val="20"/>
              </w:rPr>
              <w:t xml:space="preserve">. Na podstawie tej wartości wyjściowej obliczony został współczynnik dla aktualnego roku bazowego (2021) na poziomie </w:t>
            </w:r>
            <w:r w:rsidRPr="00A4635D">
              <w:rPr>
                <w:rFonts w:asciiTheme="minorHAnsi" w:hAnsiTheme="minorHAnsi" w:cs="Arial"/>
                <w:b/>
                <w:sz w:val="20"/>
                <w:szCs w:val="20"/>
              </w:rPr>
              <w:t>668,68 gCO</w:t>
            </w:r>
            <w:r w:rsidRPr="00A4635D">
              <w:rPr>
                <w:rFonts w:asciiTheme="minorHAnsi" w:hAnsiTheme="minorHAnsi" w:cs="Arial"/>
                <w:b/>
                <w:sz w:val="20"/>
                <w:szCs w:val="20"/>
                <w:vertAlign w:val="subscript"/>
              </w:rPr>
              <w:t>2</w:t>
            </w:r>
            <w:r w:rsidRPr="00A4635D">
              <w:rPr>
                <w:rFonts w:asciiTheme="minorHAnsi" w:hAnsiTheme="minorHAnsi" w:cs="Arial"/>
                <w:b/>
                <w:sz w:val="20"/>
                <w:szCs w:val="20"/>
              </w:rPr>
              <w:t>/kWh</w:t>
            </w:r>
            <w:r>
              <w:rPr>
                <w:rFonts w:asciiTheme="minorHAnsi" w:hAnsiTheme="minorHAnsi" w:cs="Arial"/>
                <w:sz w:val="20"/>
                <w:szCs w:val="20"/>
              </w:rPr>
              <w:t>, z uwzględnieniem następujących założeń przyjętych jako stosowne uproszczenie: [1] udziału sieciowej energii elektrycznej wytworzonej z węgla kamiennego i brunatnego w roku 2019</w:t>
            </w:r>
            <w:r w:rsidR="00DD0E5A">
              <w:rPr>
                <w:rFonts w:asciiTheme="minorHAnsi" w:hAnsiTheme="minorHAnsi" w:cs="Arial"/>
                <w:sz w:val="20"/>
                <w:szCs w:val="20"/>
                <w:vertAlign w:val="superscript"/>
              </w:rPr>
              <w:t>20</w:t>
            </w:r>
            <w:r>
              <w:rPr>
                <w:rFonts w:asciiTheme="minorHAnsi" w:hAnsiTheme="minorHAnsi" w:cs="Arial"/>
                <w:sz w:val="20"/>
                <w:szCs w:val="20"/>
              </w:rPr>
              <w:t>, [2] oszacowanej elastyczności emisji gazów cieplarnianych związanych z sieciową energią elektryczną względem zmian udziału węgla kamiennego i brunatnego w strukturze paliwowej energetyki w Polsce, oraz [3] prognozy udziału węgla kamiennego i brunatnego w strukturze paliwowej energetyki w Polsce</w:t>
            </w:r>
            <w:r w:rsidDel="001A1BBB">
              <w:rPr>
                <w:rFonts w:asciiTheme="minorHAnsi" w:hAnsiTheme="minorHAnsi" w:cs="Arial"/>
                <w:sz w:val="20"/>
                <w:szCs w:val="20"/>
              </w:rPr>
              <w:t xml:space="preserve"> </w:t>
            </w:r>
            <w:r>
              <w:rPr>
                <w:rFonts w:asciiTheme="minorHAnsi" w:hAnsiTheme="minorHAnsi" w:cs="Arial"/>
                <w:sz w:val="20"/>
                <w:szCs w:val="20"/>
              </w:rPr>
              <w:t>zgodnie z Polityką energetyczną Polski do roku 2040</w:t>
            </w:r>
            <w:r w:rsidR="001D3DF3">
              <w:rPr>
                <w:rFonts w:asciiTheme="minorHAnsi" w:hAnsiTheme="minorHAnsi" w:cs="Arial"/>
                <w:sz w:val="20"/>
                <w:szCs w:val="20"/>
                <w:vertAlign w:val="superscript"/>
              </w:rPr>
              <w:t>2</w:t>
            </w:r>
            <w:r w:rsidR="00DD0E5A">
              <w:rPr>
                <w:rFonts w:asciiTheme="minorHAnsi" w:hAnsiTheme="minorHAnsi" w:cs="Arial"/>
                <w:sz w:val="20"/>
                <w:szCs w:val="20"/>
                <w:vertAlign w:val="superscript"/>
              </w:rPr>
              <w:t>1</w:t>
            </w:r>
            <w:r>
              <w:rPr>
                <w:rFonts w:asciiTheme="minorHAnsi" w:hAnsiTheme="minorHAnsi" w:cs="Arial"/>
                <w:sz w:val="20"/>
                <w:szCs w:val="20"/>
              </w:rPr>
              <w:t xml:space="preserve">. </w:t>
            </w:r>
          </w:p>
          <w:p w14:paraId="7FACB2DC" w14:textId="77777777" w:rsidR="00921721" w:rsidRDefault="00921721" w:rsidP="00880D09">
            <w:pPr>
              <w:spacing w:after="120"/>
              <w:ind w:right="170"/>
              <w:jc w:val="both"/>
              <w:rPr>
                <w:rFonts w:asciiTheme="minorHAnsi" w:hAnsiTheme="minorHAnsi" w:cs="Arial"/>
                <w:sz w:val="20"/>
                <w:szCs w:val="20"/>
              </w:rPr>
            </w:pPr>
            <w:r>
              <w:rPr>
                <w:rFonts w:asciiTheme="minorHAnsi" w:hAnsiTheme="minorHAnsi" w:cs="Arial"/>
                <w:sz w:val="20"/>
                <w:szCs w:val="20"/>
              </w:rPr>
              <w:t xml:space="preserve">Proponowany współczynnik emisji dla przeciętnego elektrycznego pojazdu kategorii LV w roku 2021 wynosi </w:t>
            </w:r>
            <w:r w:rsidRPr="00041C91">
              <w:rPr>
                <w:rFonts w:asciiTheme="minorHAnsi" w:hAnsiTheme="minorHAnsi" w:cs="Arial"/>
                <w:b/>
                <w:sz w:val="20"/>
                <w:szCs w:val="20"/>
              </w:rPr>
              <w:t xml:space="preserve">156,03 </w:t>
            </w:r>
            <w:r w:rsidRPr="00EA5DA5">
              <w:rPr>
                <w:rFonts w:asciiTheme="minorHAnsi" w:hAnsiTheme="minorHAnsi" w:cs="Arial"/>
                <w:b/>
                <w:sz w:val="20"/>
                <w:szCs w:val="20"/>
              </w:rPr>
              <w:t>gCO</w:t>
            </w:r>
            <w:r w:rsidRPr="00EA5DA5">
              <w:rPr>
                <w:rFonts w:asciiTheme="minorHAnsi" w:hAnsiTheme="minorHAnsi" w:cs="Arial"/>
                <w:b/>
                <w:sz w:val="20"/>
                <w:szCs w:val="20"/>
                <w:vertAlign w:val="subscript"/>
              </w:rPr>
              <w:t>2</w:t>
            </w:r>
            <w:r w:rsidRPr="00F13EAB">
              <w:rPr>
                <w:rFonts w:asciiTheme="minorHAnsi" w:hAnsiTheme="minorHAnsi" w:cs="Arial"/>
                <w:b/>
                <w:sz w:val="20"/>
                <w:szCs w:val="20"/>
              </w:rPr>
              <w:t>e</w:t>
            </w:r>
            <w:r>
              <w:rPr>
                <w:rFonts w:asciiTheme="minorHAnsi" w:hAnsiTheme="minorHAnsi" w:cs="Arial"/>
                <w:b/>
                <w:sz w:val="20"/>
                <w:szCs w:val="20"/>
              </w:rPr>
              <w:t>/poj</w:t>
            </w:r>
            <w:r w:rsidRPr="00EA5DA5">
              <w:rPr>
                <w:rFonts w:asciiTheme="minorHAnsi" w:hAnsiTheme="minorHAnsi" w:cs="Arial"/>
                <w:b/>
                <w:sz w:val="20"/>
                <w:szCs w:val="20"/>
              </w:rPr>
              <w:t>-km</w:t>
            </w:r>
            <w:r>
              <w:rPr>
                <w:rFonts w:asciiTheme="minorHAnsi" w:hAnsiTheme="minorHAnsi" w:cs="Arial"/>
                <w:sz w:val="20"/>
                <w:szCs w:val="20"/>
              </w:rPr>
              <w:t>. Jak w przypadku innych typów pojazdów, dotyczy to płaskiego terenu i dobrej nawierzchni drogi (tzn. po budowie/ remoncie). Współczynniki związane z wpływem nachylenia podłużnego drogi i stanu nawierzchni podane dla innych typów pojazdów mogą być również zastosowane do pojazdów elektrycznych.</w:t>
            </w:r>
          </w:p>
          <w:p w14:paraId="1F56A7E5" w14:textId="77777777" w:rsidR="00921721" w:rsidRPr="00731E4E" w:rsidRDefault="00921721" w:rsidP="00880D09">
            <w:pPr>
              <w:pStyle w:val="anxnormal"/>
              <w:spacing w:after="120"/>
              <w:ind w:left="0"/>
              <w:rPr>
                <w:rFonts w:asciiTheme="minorHAnsi" w:hAnsiTheme="minorHAnsi"/>
                <w:lang w:eastAsia="en-US"/>
              </w:rPr>
            </w:pPr>
            <w:r w:rsidRPr="00731E4E">
              <w:rPr>
                <w:rFonts w:asciiTheme="minorHAnsi" w:hAnsiTheme="minorHAnsi"/>
                <w:lang w:eastAsia="en-US"/>
              </w:rPr>
              <w:t>Wskaźniki wzrostu kosztów ze względu na nachylenie drogi.</w:t>
            </w:r>
          </w:p>
          <w:tbl>
            <w:tblPr>
              <w:tblW w:w="4106" w:type="dxa"/>
              <w:tblLayout w:type="fixed"/>
              <w:tblLook w:val="04A0" w:firstRow="1" w:lastRow="0" w:firstColumn="1" w:lastColumn="0" w:noHBand="0" w:noVBand="1"/>
            </w:tblPr>
            <w:tblGrid>
              <w:gridCol w:w="1696"/>
              <w:gridCol w:w="850"/>
              <w:gridCol w:w="1560"/>
            </w:tblGrid>
            <w:tr w:rsidR="00921721" w:rsidRPr="00731E4E" w14:paraId="63AA523C" w14:textId="77777777" w:rsidTr="00880D09">
              <w:trPr>
                <w:trHeight w:hRule="exact" w:val="309"/>
              </w:trPr>
              <w:tc>
                <w:tcPr>
                  <w:tcW w:w="169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A73CD56"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 xml:space="preserve">Rodzaj </w:t>
                  </w:r>
                  <w:r>
                    <w:rPr>
                      <w:rFonts w:asciiTheme="minorHAnsi" w:hAnsiTheme="minorHAnsi" w:cs="Arial"/>
                      <w:b/>
                      <w:bCs/>
                      <w:color w:val="FFFFFF"/>
                      <w:sz w:val="18"/>
                      <w:szCs w:val="18"/>
                    </w:rPr>
                    <w:t>terenu</w:t>
                  </w: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7995195"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LV</w:t>
                  </w:r>
                </w:p>
              </w:tc>
              <w:tc>
                <w:tcPr>
                  <w:tcW w:w="156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FDB85D7" w14:textId="77777777" w:rsidR="00921721" w:rsidRPr="00731E4E" w:rsidRDefault="00921721" w:rsidP="00880D09">
                  <w:pPr>
                    <w:snapToGrid w:val="0"/>
                    <w:spacing w:before="20" w:after="20"/>
                    <w:jc w:val="center"/>
                    <w:rPr>
                      <w:rFonts w:asciiTheme="minorHAnsi" w:hAnsiTheme="minorHAnsi" w:cs="Arial"/>
                      <w:b/>
                      <w:bCs/>
                      <w:color w:val="FFFFFF"/>
                      <w:sz w:val="18"/>
                      <w:szCs w:val="18"/>
                    </w:rPr>
                  </w:pPr>
                  <w:r>
                    <w:rPr>
                      <w:rFonts w:asciiTheme="minorHAnsi" w:hAnsiTheme="minorHAnsi" w:cs="Arial"/>
                      <w:b/>
                      <w:bCs/>
                      <w:color w:val="FFFFFF"/>
                      <w:sz w:val="18"/>
                      <w:szCs w:val="18"/>
                    </w:rPr>
                    <w:t xml:space="preserve">Autobus elektr. </w:t>
                  </w:r>
                </w:p>
              </w:tc>
            </w:tr>
            <w:tr w:rsidR="00921721" w:rsidRPr="00731E4E" w14:paraId="4D62D8FB" w14:textId="77777777" w:rsidTr="00880D09">
              <w:trPr>
                <w:trHeight w:val="258"/>
              </w:trPr>
              <w:tc>
                <w:tcPr>
                  <w:tcW w:w="169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821AC6E" w14:textId="77777777" w:rsidR="00921721" w:rsidRPr="00CA444D" w:rsidRDefault="00921721" w:rsidP="00880D09">
                  <w:pPr>
                    <w:spacing w:before="20"/>
                    <w:jc w:val="center"/>
                    <w:rPr>
                      <w:rFonts w:asciiTheme="minorHAnsi" w:hAnsiTheme="minorHAnsi" w:cs="Calibri"/>
                      <w:color w:val="4F81BD" w:themeColor="accent1"/>
                      <w:sz w:val="18"/>
                      <w:szCs w:val="18"/>
                    </w:rPr>
                  </w:pPr>
                  <w:r>
                    <w:rPr>
                      <w:rFonts w:asciiTheme="minorHAnsi" w:hAnsiTheme="minorHAnsi" w:cs="Arial"/>
                      <w:color w:val="4F81BD" w:themeColor="accent1"/>
                      <w:sz w:val="18"/>
                      <w:szCs w:val="18"/>
                    </w:rPr>
                    <w:t>Płaski</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EE0A943" w14:textId="77777777" w:rsidR="00921721" w:rsidRPr="00CA444D" w:rsidRDefault="00921721" w:rsidP="00880D09">
                  <w:pPr>
                    <w:spacing w:before="20"/>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c>
                <w:tcPr>
                  <w:tcW w:w="156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BCA5D1C" w14:textId="77777777" w:rsidR="00921721" w:rsidRPr="00CA444D" w:rsidRDefault="00921721" w:rsidP="00880D09">
                  <w:pPr>
                    <w:spacing w:before="20"/>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r>
            <w:tr w:rsidR="00921721" w:rsidRPr="00731E4E" w14:paraId="5AE501B4" w14:textId="77777777" w:rsidTr="00880D09">
              <w:trPr>
                <w:trHeight w:val="258"/>
              </w:trPr>
              <w:tc>
                <w:tcPr>
                  <w:tcW w:w="169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42AFEE8" w14:textId="77777777" w:rsidR="00921721" w:rsidRPr="00CA444D" w:rsidRDefault="00921721" w:rsidP="00880D09">
                  <w:pPr>
                    <w:spacing w:before="20"/>
                    <w:jc w:val="center"/>
                    <w:rPr>
                      <w:rFonts w:asciiTheme="minorHAnsi" w:hAnsiTheme="minorHAnsi" w:cs="Arial"/>
                      <w:color w:val="4F81BD" w:themeColor="accent1"/>
                      <w:sz w:val="18"/>
                      <w:szCs w:val="18"/>
                    </w:rPr>
                  </w:pPr>
                  <w:r w:rsidRPr="00CA444D">
                    <w:rPr>
                      <w:rFonts w:asciiTheme="minorHAnsi" w:hAnsiTheme="minorHAnsi" w:cs="Arial"/>
                      <w:color w:val="4F81BD" w:themeColor="accent1"/>
                      <w:sz w:val="18"/>
                      <w:szCs w:val="18"/>
                    </w:rPr>
                    <w:t>Falist</w:t>
                  </w:r>
                  <w:r>
                    <w:rPr>
                      <w:rFonts w:asciiTheme="minorHAnsi" w:hAnsiTheme="minorHAnsi" w:cs="Arial"/>
                      <w:color w:val="4F81BD" w:themeColor="accent1"/>
                      <w:sz w:val="18"/>
                      <w:szCs w:val="18"/>
                    </w:rPr>
                    <w:t>y</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081EF6F" w14:textId="77777777" w:rsidR="00921721" w:rsidRPr="00CA444D"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 xml:space="preserve">1,150 </w:t>
                  </w:r>
                </w:p>
              </w:tc>
              <w:tc>
                <w:tcPr>
                  <w:tcW w:w="156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3CB5767" w14:textId="77777777" w:rsidR="00921721" w:rsidRPr="00CA444D"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 xml:space="preserve">1,697 </w:t>
                  </w:r>
                </w:p>
              </w:tc>
            </w:tr>
          </w:tbl>
          <w:p w14:paraId="1E7F36D3" w14:textId="77777777" w:rsidR="00921721" w:rsidRDefault="00921721" w:rsidP="00880D09">
            <w:pPr>
              <w:rPr>
                <w:rFonts w:asciiTheme="minorHAnsi" w:hAnsiTheme="minorHAnsi" w:cstheme="minorHAnsi"/>
                <w:sz w:val="20"/>
                <w:szCs w:val="20"/>
              </w:rPr>
            </w:pPr>
          </w:p>
          <w:p w14:paraId="11670DBA" w14:textId="77777777" w:rsidR="00921721" w:rsidRPr="008E4306" w:rsidRDefault="00921721" w:rsidP="00880D09">
            <w:pPr>
              <w:rPr>
                <w:rFonts w:asciiTheme="minorHAnsi" w:hAnsiTheme="minorHAnsi" w:cstheme="minorHAnsi"/>
                <w:sz w:val="20"/>
                <w:szCs w:val="20"/>
              </w:rPr>
            </w:pPr>
            <w:r w:rsidRPr="008E4306">
              <w:rPr>
                <w:rFonts w:asciiTheme="minorHAnsi" w:hAnsiTheme="minorHAnsi" w:cstheme="minorHAnsi"/>
                <w:sz w:val="20"/>
                <w:szCs w:val="20"/>
              </w:rPr>
              <w:t xml:space="preserve">Wskaźniki </w:t>
            </w:r>
            <w:r>
              <w:rPr>
                <w:rFonts w:asciiTheme="minorHAnsi" w:hAnsiTheme="minorHAnsi" w:cstheme="minorHAnsi"/>
                <w:sz w:val="20"/>
                <w:szCs w:val="20"/>
              </w:rPr>
              <w:t>wzrostu</w:t>
            </w:r>
            <w:r w:rsidRPr="008E4306">
              <w:rPr>
                <w:rFonts w:asciiTheme="minorHAnsi" w:hAnsiTheme="minorHAnsi" w:cstheme="minorHAnsi"/>
                <w:sz w:val="20"/>
                <w:szCs w:val="20"/>
              </w:rPr>
              <w:t xml:space="preserve"> kosztów w zależności od </w:t>
            </w:r>
            <w:r>
              <w:rPr>
                <w:rFonts w:asciiTheme="minorHAnsi" w:hAnsiTheme="minorHAnsi" w:cstheme="minorHAnsi"/>
                <w:sz w:val="20"/>
                <w:szCs w:val="20"/>
              </w:rPr>
              <w:t>stanu nawierzchni</w:t>
            </w:r>
          </w:p>
          <w:tbl>
            <w:tblPr>
              <w:tblW w:w="5633" w:type="dxa"/>
              <w:tblLayout w:type="fixed"/>
              <w:tblLook w:val="04A0" w:firstRow="1" w:lastRow="0" w:firstColumn="1" w:lastColumn="0" w:noHBand="0" w:noVBand="1"/>
            </w:tblPr>
            <w:tblGrid>
              <w:gridCol w:w="2324"/>
              <w:gridCol w:w="1166"/>
              <w:gridCol w:w="2143"/>
            </w:tblGrid>
            <w:tr w:rsidR="00921721" w:rsidRPr="00CF54F6" w14:paraId="26C7EF78" w14:textId="77777777" w:rsidTr="00921721">
              <w:trPr>
                <w:trHeight w:hRule="exact" w:val="516"/>
              </w:trPr>
              <w:tc>
                <w:tcPr>
                  <w:tcW w:w="232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9866094" w14:textId="77777777" w:rsidR="00921721" w:rsidRPr="008E4306" w:rsidRDefault="00921721" w:rsidP="00880D09">
                  <w:pPr>
                    <w:snapToGrid w:val="0"/>
                    <w:spacing w:before="20" w:after="20"/>
                    <w:jc w:val="center"/>
                    <w:rPr>
                      <w:rFonts w:asciiTheme="minorHAnsi" w:hAnsiTheme="minorHAnsi" w:cs="Arial"/>
                      <w:b/>
                      <w:bCs/>
                      <w:color w:val="FFFFFF"/>
                      <w:sz w:val="18"/>
                      <w:szCs w:val="18"/>
                    </w:rPr>
                  </w:pPr>
                  <w:r>
                    <w:rPr>
                      <w:rFonts w:asciiTheme="minorHAnsi" w:hAnsiTheme="minorHAnsi" w:cs="Arial"/>
                      <w:b/>
                      <w:bCs/>
                      <w:color w:val="FFFFFF"/>
                      <w:sz w:val="18"/>
                      <w:szCs w:val="18"/>
                    </w:rPr>
                    <w:t>Stan nawierzchni</w:t>
                  </w:r>
                </w:p>
              </w:tc>
              <w:tc>
                <w:tcPr>
                  <w:tcW w:w="116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333D698" w14:textId="77777777" w:rsidR="00921721" w:rsidRPr="008E4306" w:rsidRDefault="00921721" w:rsidP="00880D09">
                  <w:pPr>
                    <w:snapToGrid w:val="0"/>
                    <w:spacing w:before="20" w:after="20"/>
                    <w:jc w:val="center"/>
                    <w:rPr>
                      <w:rFonts w:asciiTheme="minorHAnsi" w:hAnsiTheme="minorHAnsi" w:cs="Arial"/>
                      <w:b/>
                      <w:bCs/>
                      <w:color w:val="FFFFFF"/>
                      <w:sz w:val="18"/>
                      <w:szCs w:val="18"/>
                    </w:rPr>
                  </w:pPr>
                  <w:r w:rsidRPr="008E4306">
                    <w:rPr>
                      <w:rFonts w:asciiTheme="minorHAnsi" w:hAnsiTheme="minorHAnsi" w:cs="Arial"/>
                      <w:b/>
                      <w:bCs/>
                      <w:color w:val="FFFFFF"/>
                      <w:sz w:val="18"/>
                      <w:szCs w:val="18"/>
                    </w:rPr>
                    <w:t>LV</w:t>
                  </w:r>
                </w:p>
              </w:tc>
              <w:tc>
                <w:tcPr>
                  <w:tcW w:w="214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6BC7457" w14:textId="77777777" w:rsidR="00921721" w:rsidRPr="008E4306" w:rsidRDefault="00921721" w:rsidP="00880D09">
                  <w:pPr>
                    <w:snapToGrid w:val="0"/>
                    <w:spacing w:before="20" w:after="20"/>
                    <w:jc w:val="center"/>
                    <w:rPr>
                      <w:rFonts w:asciiTheme="minorHAnsi" w:hAnsiTheme="minorHAnsi" w:cs="Arial"/>
                      <w:b/>
                      <w:bCs/>
                      <w:color w:val="FFFFFF"/>
                      <w:sz w:val="18"/>
                      <w:szCs w:val="18"/>
                    </w:rPr>
                  </w:pPr>
                  <w:r>
                    <w:rPr>
                      <w:rFonts w:asciiTheme="minorHAnsi" w:hAnsiTheme="minorHAnsi" w:cs="Arial"/>
                      <w:b/>
                      <w:bCs/>
                      <w:color w:val="FFFFFF"/>
                      <w:sz w:val="18"/>
                      <w:szCs w:val="18"/>
                    </w:rPr>
                    <w:t xml:space="preserve">Autobus elektr. </w:t>
                  </w:r>
                </w:p>
              </w:tc>
            </w:tr>
            <w:tr w:rsidR="00921721" w:rsidRPr="00CF54F6" w14:paraId="52D40AB0" w14:textId="77777777" w:rsidTr="00921721">
              <w:trPr>
                <w:trHeight w:val="431"/>
              </w:trPr>
              <w:tc>
                <w:tcPr>
                  <w:tcW w:w="232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F3A9B78" w14:textId="77777777" w:rsidR="00921721" w:rsidRPr="002F209F" w:rsidRDefault="00921721" w:rsidP="00880D09">
                  <w:pPr>
                    <w:spacing w:before="20"/>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 xml:space="preserve">Dobry (nawierzchnia po </w:t>
                  </w:r>
                  <w:r w:rsidRPr="00387FFD">
                    <w:rPr>
                      <w:rFonts w:asciiTheme="minorHAnsi" w:hAnsiTheme="minorHAnsi" w:cs="Arial"/>
                      <w:color w:val="4F81BD" w:themeColor="accent1"/>
                      <w:sz w:val="18"/>
                      <w:szCs w:val="18"/>
                    </w:rPr>
                    <w:t>remoncie</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/budowie</w:t>
                  </w:r>
                </w:p>
              </w:tc>
              <w:tc>
                <w:tcPr>
                  <w:tcW w:w="116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66B325E"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c>
                <w:tcPr>
                  <w:tcW w:w="2143"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9782FF1" w14:textId="77777777" w:rsidR="00921721" w:rsidRPr="00983DF9"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000</w:t>
                  </w:r>
                </w:p>
              </w:tc>
            </w:tr>
            <w:tr w:rsidR="00921721" w:rsidRPr="00CF54F6" w14:paraId="08A263D1" w14:textId="77777777" w:rsidTr="00921721">
              <w:trPr>
                <w:trHeight w:val="431"/>
              </w:trPr>
              <w:tc>
                <w:tcPr>
                  <w:tcW w:w="232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BAAEF7C" w14:textId="77777777" w:rsidR="00921721" w:rsidRPr="002C6855" w:rsidRDefault="00921721" w:rsidP="00880D09">
                  <w:pPr>
                    <w:pStyle w:val="anxnormal"/>
                    <w:ind w:left="0"/>
                    <w:rPr>
                      <w:rFonts w:asciiTheme="minorHAnsi" w:hAnsiTheme="minorHAnsi"/>
                      <w:snapToGrid/>
                      <w:color w:val="4F81BD" w:themeColor="accent1"/>
                      <w:sz w:val="18"/>
                      <w:szCs w:val="18"/>
                    </w:rPr>
                  </w:pPr>
                  <w:r w:rsidRPr="002C6855">
                    <w:rPr>
                      <w:rFonts w:asciiTheme="minorHAnsi" w:hAnsiTheme="minorHAnsi"/>
                      <w:snapToGrid/>
                      <w:color w:val="4F81BD" w:themeColor="accent1"/>
                      <w:sz w:val="18"/>
                      <w:szCs w:val="18"/>
                    </w:rPr>
                    <w:t>nawierzchnia zdegradowana</w:t>
                  </w:r>
                </w:p>
              </w:tc>
              <w:tc>
                <w:tcPr>
                  <w:tcW w:w="116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7B230F3" w14:textId="77777777" w:rsidR="00921721" w:rsidRPr="008E4306"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169</w:t>
                  </w:r>
                </w:p>
              </w:tc>
              <w:tc>
                <w:tcPr>
                  <w:tcW w:w="2143"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A0CD05D" w14:textId="77777777" w:rsidR="00921721" w:rsidRPr="008E4306"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188</w:t>
                  </w:r>
                </w:p>
              </w:tc>
            </w:tr>
          </w:tbl>
          <w:p w14:paraId="58DC0F35" w14:textId="77777777" w:rsidR="00921721" w:rsidRPr="00CA444D" w:rsidRDefault="00921721" w:rsidP="00880D09">
            <w:pPr>
              <w:spacing w:before="120" w:after="120"/>
              <w:ind w:right="170"/>
              <w:jc w:val="both"/>
              <w:rPr>
                <w:rFonts w:asciiTheme="minorHAnsi" w:hAnsiTheme="minorHAnsi" w:cs="Arial"/>
                <w:b/>
                <w:i/>
                <w:sz w:val="16"/>
                <w:szCs w:val="16"/>
              </w:rPr>
            </w:pPr>
            <w:r w:rsidRPr="00731E4E">
              <w:rPr>
                <w:rFonts w:asciiTheme="minorHAnsi" w:hAnsiTheme="minorHAnsi" w:cs="Arial"/>
                <w:b/>
                <w:i/>
                <w:sz w:val="16"/>
                <w:szCs w:val="16"/>
              </w:rPr>
              <w:t xml:space="preserve">Źródło: Opracowanie własne </w:t>
            </w:r>
            <w:r w:rsidRPr="00983DF9">
              <w:rPr>
                <w:rFonts w:asciiTheme="minorHAnsi" w:hAnsiTheme="minorHAnsi" w:cs="Arial"/>
                <w:b/>
                <w:i/>
                <w:sz w:val="16"/>
                <w:szCs w:val="16"/>
              </w:rPr>
              <w:t xml:space="preserve">CUPT-JASPERS </w:t>
            </w:r>
            <w:r w:rsidRPr="00731E4E">
              <w:rPr>
                <w:rFonts w:asciiTheme="minorHAnsi" w:hAnsiTheme="minorHAnsi" w:cs="Arial"/>
                <w:b/>
                <w:i/>
                <w:sz w:val="16"/>
                <w:szCs w:val="16"/>
              </w:rPr>
              <w:t xml:space="preserve">na podstawie </w:t>
            </w:r>
            <w:r w:rsidRPr="00983DF9">
              <w:rPr>
                <w:rFonts w:asciiTheme="minorHAnsi" w:hAnsiTheme="minorHAnsi" w:cs="Arial"/>
                <w:b/>
                <w:i/>
                <w:sz w:val="16"/>
                <w:szCs w:val="16"/>
              </w:rPr>
              <w:t>Optimisation of Maintenance", OECD/ITF 2012.</w:t>
            </w:r>
          </w:p>
          <w:p w14:paraId="0D404CA2" w14:textId="77777777" w:rsidR="00921721" w:rsidRPr="00063577" w:rsidRDefault="00921721" w:rsidP="00880D09">
            <w:pPr>
              <w:pStyle w:val="anxnormal"/>
              <w:ind w:left="0"/>
              <w:rPr>
                <w:rFonts w:asciiTheme="minorHAnsi" w:hAnsiTheme="minorHAnsi"/>
                <w:lang w:eastAsia="en-US"/>
              </w:rPr>
            </w:pPr>
            <w:r>
              <w:rPr>
                <w:rFonts w:asciiTheme="minorHAnsi" w:hAnsiTheme="minorHAnsi"/>
              </w:rPr>
              <w:t>W poniższej tabeli przedstawiono obszerniejszy zbiór współczynników emisji dla poszczególnych typów pojazdów elektrycznych w roku 2021:</w:t>
            </w:r>
            <w:r w:rsidRPr="00063577">
              <w:rPr>
                <w:rFonts w:asciiTheme="minorHAnsi" w:hAnsiTheme="minorHAnsi"/>
                <w:lang w:eastAsia="en-US"/>
              </w:rPr>
              <w:t xml:space="preserve"> </w:t>
            </w:r>
          </w:p>
          <w:tbl>
            <w:tblPr>
              <w:tblW w:w="6612" w:type="dxa"/>
              <w:tblLayout w:type="fixed"/>
              <w:tblLook w:val="04A0" w:firstRow="1" w:lastRow="0" w:firstColumn="1" w:lastColumn="0" w:noHBand="0" w:noVBand="1"/>
            </w:tblPr>
            <w:tblGrid>
              <w:gridCol w:w="2805"/>
              <w:gridCol w:w="1269"/>
              <w:gridCol w:w="1269"/>
              <w:gridCol w:w="1269"/>
            </w:tblGrid>
            <w:tr w:rsidR="00921721" w:rsidRPr="00063577" w14:paraId="67842EF6" w14:textId="77777777" w:rsidTr="00773CE0">
              <w:trPr>
                <w:trHeight w:hRule="exact" w:val="1081"/>
              </w:trPr>
              <w:tc>
                <w:tcPr>
                  <w:tcW w:w="280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6C8974C" w14:textId="77777777" w:rsidR="00921721" w:rsidRPr="00584547" w:rsidRDefault="00921721" w:rsidP="00880D09">
                  <w:pPr>
                    <w:snapToGrid w:val="0"/>
                    <w:spacing w:before="20" w:after="20"/>
                    <w:jc w:val="center"/>
                    <w:rPr>
                      <w:rFonts w:asciiTheme="minorHAnsi" w:hAnsiTheme="minorHAnsi" w:cs="Arial"/>
                      <w:b/>
                      <w:bCs/>
                      <w:color w:val="FFFFFF"/>
                      <w:sz w:val="18"/>
                      <w:szCs w:val="18"/>
                    </w:rPr>
                  </w:pPr>
                  <w:r w:rsidRPr="00584547">
                    <w:rPr>
                      <w:rFonts w:asciiTheme="minorHAnsi" w:hAnsiTheme="minorHAnsi" w:cs="Arial"/>
                      <w:b/>
                      <w:bCs/>
                      <w:color w:val="FFFFFF"/>
                      <w:sz w:val="18"/>
                      <w:szCs w:val="18"/>
                    </w:rPr>
                    <w:t xml:space="preserve">Pojazdy drogowe, </w:t>
                  </w:r>
                  <w:r w:rsidRPr="00584547">
                    <w:rPr>
                      <w:rFonts w:asciiTheme="minorHAnsi" w:hAnsiTheme="minorHAnsi" w:cs="Arial"/>
                      <w:b/>
                      <w:bCs/>
                      <w:color w:val="FFFFFF"/>
                      <w:sz w:val="18"/>
                      <w:szCs w:val="18"/>
                    </w:rPr>
                    <w:br/>
                    <w:t>elektryczne i hybrydowe-elektryczne:</w:t>
                  </w:r>
                </w:p>
              </w:tc>
              <w:tc>
                <w:tcPr>
                  <w:tcW w:w="1269"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08614483" w14:textId="77777777" w:rsidR="00921721" w:rsidRPr="00584547" w:rsidRDefault="00921721" w:rsidP="00880D09">
                  <w:pPr>
                    <w:snapToGrid w:val="0"/>
                    <w:spacing w:before="20" w:after="20"/>
                    <w:jc w:val="center"/>
                    <w:rPr>
                      <w:rFonts w:asciiTheme="minorHAnsi" w:hAnsiTheme="minorHAnsi" w:cs="Arial"/>
                      <w:b/>
                      <w:bCs/>
                      <w:color w:val="FFFFFF"/>
                      <w:sz w:val="18"/>
                      <w:szCs w:val="18"/>
                    </w:rPr>
                  </w:pPr>
                </w:p>
              </w:tc>
              <w:tc>
                <w:tcPr>
                  <w:tcW w:w="1269"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tcPr>
                <w:p w14:paraId="168DF97C" w14:textId="77777777" w:rsidR="00921721" w:rsidRPr="00584547" w:rsidRDefault="00921721" w:rsidP="00773CE0">
                  <w:pPr>
                    <w:snapToGrid w:val="0"/>
                    <w:spacing w:before="20" w:after="20"/>
                    <w:jc w:val="center"/>
                    <w:rPr>
                      <w:rFonts w:asciiTheme="minorHAnsi" w:hAnsiTheme="minorHAnsi" w:cs="Arial"/>
                      <w:b/>
                      <w:bCs/>
                      <w:color w:val="FFFFFF"/>
                      <w:sz w:val="18"/>
                      <w:szCs w:val="18"/>
                    </w:rPr>
                  </w:pPr>
                  <w:r w:rsidRPr="005B413F">
                    <w:rPr>
                      <w:rFonts w:asciiTheme="minorHAnsi" w:hAnsiTheme="minorHAnsi" w:cs="Arial"/>
                      <w:b/>
                      <w:bCs/>
                      <w:color w:val="FFFFFF"/>
                      <w:sz w:val="18"/>
                      <w:szCs w:val="18"/>
                    </w:rPr>
                    <w:t xml:space="preserve">Zużycie energii </w:t>
                  </w:r>
                  <w:r w:rsidRPr="005B413F">
                    <w:rPr>
                      <w:rFonts w:asciiTheme="minorHAnsi" w:hAnsiTheme="minorHAnsi" w:cs="Arial"/>
                      <w:b/>
                      <w:bCs/>
                      <w:color w:val="FFFFFF"/>
                      <w:sz w:val="18"/>
                      <w:szCs w:val="18"/>
                    </w:rPr>
                    <w:br/>
                    <w:t>(kWh/ poj-km)</w:t>
                  </w:r>
                </w:p>
              </w:tc>
              <w:tc>
                <w:tcPr>
                  <w:tcW w:w="1269" w:type="dxa"/>
                  <w:tcBorders>
                    <w:top w:val="single" w:sz="4" w:space="0" w:color="FFFFFF"/>
                    <w:left w:val="single" w:sz="4" w:space="0" w:color="FFFFFF"/>
                    <w:bottom w:val="single" w:sz="4" w:space="0" w:color="FFFFFF"/>
                    <w:right w:val="nil"/>
                  </w:tcBorders>
                  <w:shd w:val="clear" w:color="auto" w:fill="A6A6A6" w:themeFill="background1" w:themeFillShade="A6"/>
                </w:tcPr>
                <w:p w14:paraId="5FA8BDBF" w14:textId="77777777" w:rsidR="00921721" w:rsidRPr="00584547" w:rsidRDefault="00921721" w:rsidP="00880D09">
                  <w:pPr>
                    <w:snapToGrid w:val="0"/>
                    <w:spacing w:before="20" w:after="20"/>
                    <w:jc w:val="center"/>
                    <w:rPr>
                      <w:rFonts w:asciiTheme="minorHAnsi" w:hAnsiTheme="minorHAnsi" w:cs="Arial"/>
                      <w:b/>
                      <w:bCs/>
                      <w:color w:val="FFFFFF"/>
                      <w:sz w:val="18"/>
                      <w:szCs w:val="18"/>
                    </w:rPr>
                  </w:pPr>
                  <w:r w:rsidRPr="00584547">
                    <w:rPr>
                      <w:rFonts w:asciiTheme="minorHAnsi" w:hAnsiTheme="minorHAnsi" w:cs="Arial"/>
                      <w:b/>
                      <w:bCs/>
                      <w:color w:val="FFFFFF"/>
                      <w:sz w:val="18"/>
                      <w:szCs w:val="18"/>
                    </w:rPr>
                    <w:t xml:space="preserve">Emisyjność GHG </w:t>
                  </w:r>
                  <w:r>
                    <w:rPr>
                      <w:rFonts w:asciiTheme="minorHAnsi" w:hAnsiTheme="minorHAnsi" w:cs="Arial"/>
                      <w:b/>
                      <w:bCs/>
                      <w:color w:val="FFFFFF"/>
                      <w:sz w:val="18"/>
                      <w:szCs w:val="18"/>
                    </w:rPr>
                    <w:t>2021</w:t>
                  </w:r>
                  <w:r w:rsidRPr="00584547">
                    <w:rPr>
                      <w:rFonts w:asciiTheme="minorHAnsi" w:hAnsiTheme="minorHAnsi" w:cs="Arial"/>
                      <w:b/>
                      <w:bCs/>
                      <w:color w:val="FFFFFF"/>
                      <w:sz w:val="18"/>
                      <w:szCs w:val="18"/>
                    </w:rPr>
                    <w:t xml:space="preserve">(*) </w:t>
                  </w:r>
                  <w:r w:rsidRPr="00584547">
                    <w:rPr>
                      <w:rFonts w:asciiTheme="minorHAnsi" w:hAnsiTheme="minorHAnsi" w:cs="Arial"/>
                      <w:b/>
                      <w:bCs/>
                      <w:color w:val="FFFFFF"/>
                      <w:sz w:val="18"/>
                      <w:szCs w:val="18"/>
                    </w:rPr>
                    <w:br/>
                    <w:t>[g CO</w:t>
                  </w:r>
                  <w:r w:rsidRPr="00BD7674">
                    <w:rPr>
                      <w:rFonts w:asciiTheme="minorHAnsi" w:hAnsiTheme="minorHAnsi" w:cs="Arial"/>
                      <w:b/>
                      <w:bCs/>
                      <w:color w:val="FFFFFF"/>
                      <w:sz w:val="18"/>
                      <w:szCs w:val="18"/>
                      <w:vertAlign w:val="subscript"/>
                    </w:rPr>
                    <w:t>2</w:t>
                  </w:r>
                  <w:r w:rsidRPr="00584547">
                    <w:rPr>
                      <w:rFonts w:asciiTheme="minorHAnsi" w:hAnsiTheme="minorHAnsi" w:cs="Arial"/>
                      <w:b/>
                      <w:bCs/>
                      <w:color w:val="FFFFFF"/>
                      <w:sz w:val="18"/>
                      <w:szCs w:val="18"/>
                    </w:rPr>
                    <w:t>e/ poj-km]</w:t>
                  </w:r>
                </w:p>
              </w:tc>
            </w:tr>
            <w:tr w:rsidR="00921721" w:rsidRPr="006856C6" w14:paraId="4D26AACB" w14:textId="77777777" w:rsidTr="00773CE0">
              <w:trPr>
                <w:trHeight w:val="251"/>
              </w:trPr>
              <w:tc>
                <w:tcPr>
                  <w:tcW w:w="280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50A86C1" w14:textId="77777777" w:rsidR="00921721" w:rsidRPr="00584547" w:rsidRDefault="00921721" w:rsidP="00880D09">
                  <w:pPr>
                    <w:spacing w:before="20"/>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Samochód osobowy, hybrydowy benzyna +elektryczny</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FE08FD4" w14:textId="77777777" w:rsidR="00921721" w:rsidRPr="00D22938" w:rsidRDefault="00921721" w:rsidP="00880D09">
                  <w:pPr>
                    <w:jc w:val="center"/>
                    <w:rPr>
                      <w:rFonts w:asciiTheme="minorHAnsi" w:hAnsiTheme="minorHAnsi" w:cs="Arial"/>
                      <w:color w:val="4F81BD" w:themeColor="accent1"/>
                      <w:sz w:val="18"/>
                      <w:szCs w:val="18"/>
                      <w:lang w:val="en-GB"/>
                    </w:rPr>
                  </w:pPr>
                  <w:r w:rsidRPr="00063577">
                    <w:rPr>
                      <w:rFonts w:asciiTheme="minorHAnsi" w:hAnsiTheme="minorHAnsi" w:cs="Arial"/>
                      <w:color w:val="4F81BD" w:themeColor="accent1"/>
                      <w:sz w:val="18"/>
                      <w:szCs w:val="18"/>
                      <w:lang w:val="en-GB"/>
                    </w:rPr>
                    <w:t>Przeciętnie</w:t>
                  </w:r>
                </w:p>
              </w:tc>
              <w:tc>
                <w:tcPr>
                  <w:tcW w:w="12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34FA7934" w14:textId="77777777" w:rsidR="00921721" w:rsidRPr="00265281" w:rsidRDefault="00921721" w:rsidP="00880D09">
                  <w:pPr>
                    <w:jc w:val="center"/>
                    <w:rPr>
                      <w:rFonts w:asciiTheme="minorHAnsi" w:hAnsiTheme="minorHAnsi" w:cs="Arial"/>
                      <w:color w:val="4F81BD" w:themeColor="accent1"/>
                      <w:sz w:val="18"/>
                      <w:szCs w:val="18"/>
                      <w:lang w:val="en-GB"/>
                    </w:rPr>
                  </w:pPr>
                  <w:r w:rsidRPr="00063577">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063577">
                    <w:rPr>
                      <w:rFonts w:asciiTheme="minorHAnsi" w:hAnsiTheme="minorHAnsi" w:cs="Arial"/>
                      <w:color w:val="4F81BD" w:themeColor="accent1"/>
                      <w:sz w:val="18"/>
                      <w:szCs w:val="18"/>
                      <w:lang w:val="en-GB"/>
                    </w:rPr>
                    <w:t>503</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089AC8" w14:textId="77777777" w:rsidR="00921721" w:rsidRPr="00AA10A6" w:rsidRDefault="00921721" w:rsidP="00880D09">
                  <w:pPr>
                    <w:jc w:val="center"/>
                    <w:rPr>
                      <w:rFonts w:asciiTheme="minorHAnsi" w:hAnsiTheme="minorHAnsi" w:cs="Arial"/>
                      <w:color w:val="4F81BD" w:themeColor="accent1"/>
                      <w:sz w:val="18"/>
                      <w:szCs w:val="18"/>
                      <w:lang w:val="en-GB"/>
                    </w:rPr>
                  </w:pPr>
                  <w:r w:rsidRPr="00AA10A6">
                    <w:rPr>
                      <w:rFonts w:asciiTheme="minorHAnsi" w:hAnsiTheme="minorHAnsi" w:cs="Arial"/>
                      <w:color w:val="4F81BD" w:themeColor="accent1"/>
                      <w:sz w:val="18"/>
                      <w:szCs w:val="18"/>
                      <w:lang w:val="en-GB"/>
                    </w:rPr>
                    <w:t>464,20</w:t>
                  </w:r>
                </w:p>
              </w:tc>
            </w:tr>
            <w:tr w:rsidR="00921721" w:rsidRPr="006856C6" w14:paraId="0EDB7DAC" w14:textId="77777777" w:rsidTr="00773CE0">
              <w:trPr>
                <w:trHeight w:val="251"/>
              </w:trPr>
              <w:tc>
                <w:tcPr>
                  <w:tcW w:w="280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F731A2A" w14:textId="77777777" w:rsidR="00921721" w:rsidRPr="00584547" w:rsidRDefault="00921721" w:rsidP="00880D09">
                  <w:pPr>
                    <w:spacing w:before="20"/>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Samochód osobowy, hybrydowy benzyna +elektryczny</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DBFB717" w14:textId="77777777" w:rsidR="00921721" w:rsidRPr="00D22938" w:rsidRDefault="00921721" w:rsidP="00880D09">
                  <w:pPr>
                    <w:jc w:val="center"/>
                    <w:rPr>
                      <w:rFonts w:asciiTheme="minorHAnsi" w:hAnsiTheme="minorHAnsi" w:cs="Arial"/>
                      <w:color w:val="4F81BD" w:themeColor="accent1"/>
                      <w:sz w:val="18"/>
                      <w:szCs w:val="18"/>
                      <w:lang w:val="en-GB"/>
                    </w:rPr>
                  </w:pPr>
                  <w:r w:rsidRPr="00063577">
                    <w:rPr>
                      <w:rFonts w:asciiTheme="minorHAnsi" w:hAnsiTheme="minorHAnsi" w:cs="Arial"/>
                      <w:color w:val="4F81BD" w:themeColor="accent1"/>
                      <w:sz w:val="18"/>
                      <w:szCs w:val="18"/>
                      <w:lang w:val="en-GB"/>
                    </w:rPr>
                    <w:t>Obszar miejski</w:t>
                  </w:r>
                </w:p>
              </w:tc>
              <w:tc>
                <w:tcPr>
                  <w:tcW w:w="12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1EDFD489" w14:textId="77777777" w:rsidR="00921721" w:rsidRPr="00265281" w:rsidRDefault="00921721" w:rsidP="00880D09">
                  <w:pPr>
                    <w:jc w:val="center"/>
                    <w:rPr>
                      <w:rFonts w:asciiTheme="minorHAnsi" w:hAnsiTheme="minorHAnsi" w:cs="Arial"/>
                      <w:color w:val="4F81BD" w:themeColor="accent1"/>
                      <w:sz w:val="18"/>
                      <w:szCs w:val="18"/>
                      <w:lang w:val="en-GB"/>
                    </w:rPr>
                  </w:pPr>
                  <w:r w:rsidRPr="00063577">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063577">
                    <w:rPr>
                      <w:rFonts w:asciiTheme="minorHAnsi" w:hAnsiTheme="minorHAnsi" w:cs="Arial"/>
                      <w:color w:val="4F81BD" w:themeColor="accent1"/>
                      <w:sz w:val="18"/>
                      <w:szCs w:val="18"/>
                      <w:lang w:val="en-GB"/>
                    </w:rPr>
                    <w:t>658</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BE943D2" w14:textId="77777777" w:rsidR="00921721" w:rsidRPr="00AA10A6" w:rsidRDefault="00921721" w:rsidP="00880D09">
                  <w:pPr>
                    <w:jc w:val="center"/>
                    <w:rPr>
                      <w:rFonts w:asciiTheme="minorHAnsi" w:hAnsiTheme="minorHAnsi" w:cs="Arial"/>
                      <w:color w:val="4F81BD" w:themeColor="accent1"/>
                      <w:sz w:val="18"/>
                      <w:szCs w:val="18"/>
                      <w:lang w:val="en-GB"/>
                    </w:rPr>
                  </w:pPr>
                  <w:r w:rsidRPr="00AA10A6">
                    <w:rPr>
                      <w:rFonts w:asciiTheme="minorHAnsi" w:hAnsiTheme="minorHAnsi" w:cs="Arial"/>
                      <w:color w:val="4F81BD" w:themeColor="accent1"/>
                      <w:sz w:val="18"/>
                      <w:szCs w:val="18"/>
                      <w:lang w:val="en-GB"/>
                    </w:rPr>
                    <w:t>608,21</w:t>
                  </w:r>
                </w:p>
              </w:tc>
            </w:tr>
            <w:tr w:rsidR="00921721" w:rsidRPr="006856C6" w14:paraId="3CAA2ED2" w14:textId="77777777" w:rsidTr="00773CE0">
              <w:trPr>
                <w:trHeight w:val="251"/>
              </w:trPr>
              <w:tc>
                <w:tcPr>
                  <w:tcW w:w="280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570F3AC" w14:textId="77777777" w:rsidR="00921721" w:rsidRPr="00584547" w:rsidRDefault="00921721" w:rsidP="00880D09">
                  <w:pPr>
                    <w:spacing w:before="20"/>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Samochód osobowy, elektryczny (średni rozmiar)</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940CC33" w14:textId="77777777" w:rsidR="00921721" w:rsidRPr="00265281" w:rsidRDefault="00921721" w:rsidP="00880D09">
                  <w:pPr>
                    <w:jc w:val="center"/>
                    <w:rPr>
                      <w:rFonts w:asciiTheme="minorHAnsi" w:hAnsiTheme="minorHAnsi" w:cs="Arial"/>
                      <w:color w:val="4F81BD" w:themeColor="accent1"/>
                      <w:sz w:val="18"/>
                      <w:szCs w:val="18"/>
                      <w:lang w:val="en-GB"/>
                    </w:rPr>
                  </w:pPr>
                  <w:r w:rsidRPr="00063577">
                    <w:rPr>
                      <w:rFonts w:asciiTheme="minorHAnsi" w:hAnsiTheme="minorHAnsi" w:cs="Arial"/>
                      <w:color w:val="4F81BD" w:themeColor="accent1"/>
                      <w:sz w:val="18"/>
                      <w:szCs w:val="18"/>
                      <w:lang w:val="en-GB"/>
                    </w:rPr>
                    <w:t>Przeciętnie</w:t>
                  </w:r>
                </w:p>
              </w:tc>
              <w:tc>
                <w:tcPr>
                  <w:tcW w:w="12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35E69BA4" w14:textId="77777777" w:rsidR="00921721" w:rsidRPr="00265281" w:rsidRDefault="00921721" w:rsidP="00880D09">
                  <w:pPr>
                    <w:jc w:val="center"/>
                    <w:rPr>
                      <w:rFonts w:asciiTheme="minorHAnsi" w:hAnsiTheme="minorHAnsi" w:cs="Arial"/>
                      <w:color w:val="4F81BD" w:themeColor="accent1"/>
                      <w:sz w:val="18"/>
                      <w:szCs w:val="18"/>
                      <w:lang w:val="en-GB"/>
                    </w:rPr>
                  </w:pPr>
                  <w:r w:rsidRPr="00063577">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063577">
                    <w:rPr>
                      <w:rFonts w:asciiTheme="minorHAnsi" w:hAnsiTheme="minorHAnsi" w:cs="Arial"/>
                      <w:color w:val="4F81BD" w:themeColor="accent1"/>
                      <w:sz w:val="18"/>
                      <w:szCs w:val="18"/>
                      <w:lang w:val="en-GB"/>
                    </w:rPr>
                    <w:t>233</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AEDB79F" w14:textId="77777777" w:rsidR="00921721" w:rsidRPr="00AA10A6" w:rsidRDefault="00921721" w:rsidP="00880D09">
                  <w:pPr>
                    <w:jc w:val="center"/>
                    <w:rPr>
                      <w:rFonts w:asciiTheme="minorHAnsi" w:hAnsiTheme="minorHAnsi" w:cs="Arial"/>
                      <w:color w:val="4F81BD" w:themeColor="accent1"/>
                      <w:sz w:val="18"/>
                      <w:szCs w:val="18"/>
                      <w:lang w:val="en-GB"/>
                    </w:rPr>
                  </w:pPr>
                  <w:r w:rsidRPr="00AA10A6">
                    <w:rPr>
                      <w:rFonts w:asciiTheme="minorHAnsi" w:hAnsiTheme="minorHAnsi" w:cs="Arial"/>
                      <w:color w:val="4F81BD" w:themeColor="accent1"/>
                      <w:sz w:val="18"/>
                      <w:szCs w:val="18"/>
                      <w:lang w:val="en-GB"/>
                    </w:rPr>
                    <w:t>156,03</w:t>
                  </w:r>
                </w:p>
              </w:tc>
            </w:tr>
            <w:tr w:rsidR="00921721" w:rsidRPr="006856C6" w14:paraId="35CA038C" w14:textId="77777777" w:rsidTr="00773CE0">
              <w:trPr>
                <w:trHeight w:val="251"/>
              </w:trPr>
              <w:tc>
                <w:tcPr>
                  <w:tcW w:w="280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7D30308" w14:textId="77777777" w:rsidR="00921721" w:rsidRPr="00584547" w:rsidRDefault="00921721" w:rsidP="00880D09">
                  <w:pPr>
                    <w:spacing w:before="20"/>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Samochód osobowy, elektryczny (średni rozmiar)</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5283475" w14:textId="77777777" w:rsidR="00921721" w:rsidRPr="00265281" w:rsidRDefault="00921721" w:rsidP="00880D09">
                  <w:pPr>
                    <w:jc w:val="center"/>
                    <w:rPr>
                      <w:rFonts w:asciiTheme="minorHAnsi" w:hAnsiTheme="minorHAnsi" w:cs="Arial"/>
                      <w:color w:val="4F81BD" w:themeColor="accent1"/>
                      <w:sz w:val="18"/>
                      <w:szCs w:val="18"/>
                      <w:lang w:val="en-GB"/>
                    </w:rPr>
                  </w:pPr>
                  <w:r w:rsidRPr="00063577">
                    <w:rPr>
                      <w:rFonts w:asciiTheme="minorHAnsi" w:hAnsiTheme="minorHAnsi" w:cs="Arial"/>
                      <w:color w:val="4F81BD" w:themeColor="accent1"/>
                      <w:sz w:val="18"/>
                      <w:szCs w:val="18"/>
                      <w:lang w:val="en-GB"/>
                    </w:rPr>
                    <w:t>Obszar miejski</w:t>
                  </w:r>
                </w:p>
              </w:tc>
              <w:tc>
                <w:tcPr>
                  <w:tcW w:w="12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12712B39" w14:textId="77777777" w:rsidR="00921721" w:rsidRPr="00265281" w:rsidRDefault="00921721" w:rsidP="00880D09">
                  <w:pPr>
                    <w:jc w:val="center"/>
                    <w:rPr>
                      <w:rFonts w:asciiTheme="minorHAnsi" w:hAnsiTheme="minorHAnsi" w:cs="Arial"/>
                      <w:color w:val="4F81BD" w:themeColor="accent1"/>
                      <w:sz w:val="18"/>
                      <w:szCs w:val="18"/>
                      <w:lang w:val="en-GB"/>
                    </w:rPr>
                  </w:pPr>
                  <w:r w:rsidRPr="00063577">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063577">
                    <w:rPr>
                      <w:rFonts w:asciiTheme="minorHAnsi" w:hAnsiTheme="minorHAnsi" w:cs="Arial"/>
                      <w:color w:val="4F81BD" w:themeColor="accent1"/>
                      <w:sz w:val="18"/>
                      <w:szCs w:val="18"/>
                      <w:lang w:val="en-GB"/>
                    </w:rPr>
                    <w:t>203</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A93DE76" w14:textId="77777777" w:rsidR="00921721" w:rsidRPr="00AA10A6" w:rsidRDefault="00921721" w:rsidP="00880D09">
                  <w:pPr>
                    <w:jc w:val="center"/>
                    <w:rPr>
                      <w:rFonts w:asciiTheme="minorHAnsi" w:hAnsiTheme="minorHAnsi" w:cs="Arial"/>
                      <w:color w:val="4F81BD" w:themeColor="accent1"/>
                      <w:sz w:val="18"/>
                      <w:szCs w:val="18"/>
                      <w:lang w:val="en-GB"/>
                    </w:rPr>
                  </w:pPr>
                  <w:r w:rsidRPr="00AA10A6">
                    <w:rPr>
                      <w:rFonts w:asciiTheme="minorHAnsi" w:hAnsiTheme="minorHAnsi" w:cs="Arial"/>
                      <w:color w:val="4F81BD" w:themeColor="accent1"/>
                      <w:sz w:val="18"/>
                      <w:szCs w:val="18"/>
                      <w:lang w:val="en-GB"/>
                    </w:rPr>
                    <w:t>135,59</w:t>
                  </w:r>
                </w:p>
              </w:tc>
            </w:tr>
            <w:tr w:rsidR="00921721" w:rsidRPr="001569CA" w14:paraId="71C59475" w14:textId="77777777" w:rsidTr="00773CE0">
              <w:trPr>
                <w:trHeight w:val="251"/>
              </w:trPr>
              <w:tc>
                <w:tcPr>
                  <w:tcW w:w="280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1F6F1EB" w14:textId="77777777" w:rsidR="00921721" w:rsidRPr="00584547" w:rsidRDefault="00921721" w:rsidP="00880D09">
                  <w:pPr>
                    <w:spacing w:before="20"/>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Autobus miejski, hybrydowy diesel +elektryczny (standardowy)</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9AB98F8" w14:textId="77777777" w:rsidR="00921721" w:rsidRPr="00584547" w:rsidRDefault="00921721" w:rsidP="00880D09">
                  <w:pPr>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Przeciętnie</w:t>
                  </w:r>
                </w:p>
              </w:tc>
              <w:tc>
                <w:tcPr>
                  <w:tcW w:w="12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67181857" w14:textId="77777777" w:rsidR="00921721" w:rsidRPr="00584547" w:rsidRDefault="00921721" w:rsidP="00880D09">
                  <w:pPr>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3</w:t>
                  </w:r>
                  <w:r>
                    <w:rPr>
                      <w:rFonts w:asciiTheme="minorHAnsi" w:hAnsiTheme="minorHAnsi" w:cs="Arial"/>
                      <w:color w:val="4F81BD" w:themeColor="accent1"/>
                      <w:sz w:val="18"/>
                      <w:szCs w:val="18"/>
                    </w:rPr>
                    <w:t>,</w:t>
                  </w:r>
                  <w:r w:rsidRPr="00584547">
                    <w:rPr>
                      <w:rFonts w:asciiTheme="minorHAnsi" w:hAnsiTheme="minorHAnsi" w:cs="Arial"/>
                      <w:color w:val="4F81BD" w:themeColor="accent1"/>
                      <w:sz w:val="18"/>
                      <w:szCs w:val="18"/>
                    </w:rPr>
                    <w:t>172</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26AAEEE" w14:textId="77777777" w:rsidR="00921721" w:rsidRPr="003166C6" w:rsidRDefault="00921721" w:rsidP="00880D09">
                  <w:pPr>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2 </w:t>
                  </w:r>
                  <w:r w:rsidRPr="003166C6">
                    <w:rPr>
                      <w:rFonts w:asciiTheme="minorHAnsi" w:hAnsiTheme="minorHAnsi" w:cs="Arial"/>
                      <w:color w:val="4F81BD" w:themeColor="accent1"/>
                      <w:sz w:val="18"/>
                      <w:szCs w:val="18"/>
                    </w:rPr>
                    <w:t>930,20</w:t>
                  </w:r>
                </w:p>
              </w:tc>
            </w:tr>
            <w:tr w:rsidR="00921721" w:rsidRPr="006856C6" w14:paraId="45224EBD" w14:textId="77777777" w:rsidTr="00773CE0">
              <w:trPr>
                <w:trHeight w:val="332"/>
              </w:trPr>
              <w:tc>
                <w:tcPr>
                  <w:tcW w:w="280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9243B06" w14:textId="77777777" w:rsidR="00921721" w:rsidRDefault="00921721" w:rsidP="00880D09">
                  <w:pPr>
                    <w:spacing w:before="20"/>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Autobus miejski, elektryczny (standardowy)</w:t>
                  </w:r>
                </w:p>
                <w:p w14:paraId="43DD4EF4" w14:textId="0B6FBFF8" w:rsidR="00773CE0" w:rsidRPr="00584547" w:rsidRDefault="00773CE0" w:rsidP="00880D09">
                  <w:pPr>
                    <w:spacing w:before="20"/>
                    <w:jc w:val="center"/>
                    <w:rPr>
                      <w:rFonts w:asciiTheme="minorHAnsi" w:hAnsiTheme="minorHAnsi" w:cs="Arial"/>
                      <w:color w:val="4F81BD" w:themeColor="accent1"/>
                      <w:sz w:val="18"/>
                      <w:szCs w:val="18"/>
                    </w:rPr>
                  </w:pP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C2AC9A0" w14:textId="77777777" w:rsidR="00921721" w:rsidRPr="00584547" w:rsidRDefault="00921721" w:rsidP="00880D09">
                  <w:pPr>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Przeciętnie</w:t>
                  </w:r>
                </w:p>
              </w:tc>
              <w:tc>
                <w:tcPr>
                  <w:tcW w:w="12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3085B094" w14:textId="77777777" w:rsidR="00921721" w:rsidRPr="00584547" w:rsidRDefault="00921721" w:rsidP="00880D09">
                  <w:pPr>
                    <w:jc w:val="center"/>
                    <w:rPr>
                      <w:rFonts w:asciiTheme="minorHAnsi" w:hAnsiTheme="minorHAnsi" w:cs="Arial"/>
                      <w:color w:val="4F81BD" w:themeColor="accent1"/>
                      <w:sz w:val="18"/>
                      <w:szCs w:val="18"/>
                    </w:rPr>
                  </w:pPr>
                  <w:r w:rsidRPr="00584547">
                    <w:rPr>
                      <w:rFonts w:asciiTheme="minorHAnsi" w:hAnsiTheme="minorHAnsi" w:cs="Arial"/>
                      <w:color w:val="4F81BD" w:themeColor="accent1"/>
                      <w:sz w:val="18"/>
                      <w:szCs w:val="18"/>
                    </w:rPr>
                    <w:t>2</w:t>
                  </w:r>
                  <w:r>
                    <w:rPr>
                      <w:rFonts w:asciiTheme="minorHAnsi" w:hAnsiTheme="minorHAnsi" w:cs="Arial"/>
                      <w:color w:val="4F81BD" w:themeColor="accent1"/>
                      <w:sz w:val="18"/>
                      <w:szCs w:val="18"/>
                    </w:rPr>
                    <w:t>,</w:t>
                  </w:r>
                  <w:r w:rsidRPr="00584547">
                    <w:rPr>
                      <w:rFonts w:asciiTheme="minorHAnsi" w:hAnsiTheme="minorHAnsi" w:cs="Arial"/>
                      <w:color w:val="4F81BD" w:themeColor="accent1"/>
                      <w:sz w:val="18"/>
                      <w:szCs w:val="18"/>
                    </w:rPr>
                    <w:t>175</w:t>
                  </w:r>
                </w:p>
              </w:tc>
              <w:tc>
                <w:tcPr>
                  <w:tcW w:w="126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3D3F31D" w14:textId="77777777" w:rsidR="00921721" w:rsidRPr="003166C6" w:rsidRDefault="00921721" w:rsidP="00880D09">
                  <w:pPr>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1 </w:t>
                  </w:r>
                  <w:r w:rsidRPr="003166C6">
                    <w:rPr>
                      <w:rFonts w:asciiTheme="minorHAnsi" w:hAnsiTheme="minorHAnsi" w:cs="Arial"/>
                      <w:color w:val="4F81BD" w:themeColor="accent1"/>
                      <w:sz w:val="18"/>
                      <w:szCs w:val="18"/>
                    </w:rPr>
                    <w:t>454,38</w:t>
                  </w:r>
                </w:p>
              </w:tc>
            </w:tr>
          </w:tbl>
          <w:p w14:paraId="50339322" w14:textId="77777777" w:rsidR="00921721" w:rsidRPr="00AC5EF5" w:rsidRDefault="00921721" w:rsidP="00880D09">
            <w:pPr>
              <w:spacing w:after="120"/>
              <w:ind w:right="170"/>
              <w:jc w:val="both"/>
              <w:rPr>
                <w:rFonts w:asciiTheme="minorHAnsi" w:hAnsiTheme="minorHAnsi"/>
                <w:b/>
                <w:i/>
                <w:sz w:val="16"/>
                <w:szCs w:val="16"/>
              </w:rPr>
            </w:pPr>
            <w:r w:rsidRPr="002C6855">
              <w:rPr>
                <w:rFonts w:asciiTheme="minorHAnsi" w:hAnsiTheme="minorHAnsi" w:cs="Arial"/>
                <w:b/>
                <w:i/>
                <w:sz w:val="16"/>
                <w:szCs w:val="16"/>
              </w:rPr>
              <w:t xml:space="preserve">Źródło: </w:t>
            </w:r>
            <w:r w:rsidRPr="00B13338">
              <w:rPr>
                <w:rFonts w:asciiTheme="minorHAnsi" w:hAnsiTheme="minorHAnsi"/>
                <w:b/>
                <w:i/>
                <w:sz w:val="16"/>
                <w:szCs w:val="16"/>
              </w:rPr>
              <w:t>Opracowanie własne CUPT</w:t>
            </w:r>
            <w:r>
              <w:rPr>
                <w:rFonts w:asciiTheme="minorHAnsi" w:hAnsiTheme="minorHAnsi"/>
                <w:b/>
                <w:i/>
                <w:sz w:val="16"/>
                <w:szCs w:val="16"/>
              </w:rPr>
              <w:t>-JASPERS</w:t>
            </w:r>
            <w:r w:rsidRPr="00B13338">
              <w:rPr>
                <w:rFonts w:asciiTheme="minorHAnsi" w:hAnsiTheme="minorHAnsi"/>
                <w:b/>
                <w:i/>
                <w:sz w:val="16"/>
                <w:szCs w:val="16"/>
              </w:rPr>
              <w:t xml:space="preserve"> na podstawie</w:t>
            </w:r>
            <w:r w:rsidRPr="00B13338">
              <w:rPr>
                <w:rFonts w:asciiTheme="minorHAnsi" w:hAnsiTheme="minorHAnsi" w:cs="Arial"/>
                <w:b/>
                <w:i/>
                <w:sz w:val="16"/>
                <w:szCs w:val="16"/>
              </w:rPr>
              <w:t xml:space="preserve"> </w:t>
            </w:r>
            <w:r w:rsidRPr="002C6855">
              <w:rPr>
                <w:rFonts w:asciiTheme="minorHAnsi" w:hAnsiTheme="minorHAnsi" w:cs="Arial"/>
                <w:b/>
                <w:i/>
                <w:sz w:val="16"/>
                <w:szCs w:val="16"/>
              </w:rPr>
              <w:t>"EIB Project Carbon Footprint Methodologies", lipiec 2020</w:t>
            </w:r>
            <w:r>
              <w:rPr>
                <w:rFonts w:asciiTheme="minorHAnsi" w:hAnsiTheme="minorHAnsi" w:cs="Arial"/>
                <w:b/>
                <w:i/>
                <w:sz w:val="16"/>
                <w:szCs w:val="16"/>
              </w:rPr>
              <w:t>, oraz wskaźnika</w:t>
            </w:r>
            <w:r w:rsidRPr="003A7E7C">
              <w:rPr>
                <w:rFonts w:asciiTheme="minorHAnsi" w:hAnsiTheme="minorHAnsi" w:cs="Arial"/>
                <w:b/>
                <w:i/>
                <w:sz w:val="16"/>
                <w:szCs w:val="16"/>
              </w:rPr>
              <w:t xml:space="preserve"> emisji CO</w:t>
            </w:r>
            <w:r w:rsidRPr="003A7E7C">
              <w:rPr>
                <w:rFonts w:asciiTheme="minorHAnsi" w:hAnsiTheme="minorHAnsi" w:cs="Arial"/>
                <w:b/>
                <w:i/>
                <w:sz w:val="16"/>
                <w:szCs w:val="16"/>
                <w:vertAlign w:val="subscript"/>
              </w:rPr>
              <w:t>2</w:t>
            </w:r>
            <w:r w:rsidRPr="003A7E7C">
              <w:rPr>
                <w:rFonts w:asciiTheme="minorHAnsi" w:hAnsiTheme="minorHAnsi" w:cs="Arial"/>
                <w:b/>
                <w:i/>
                <w:sz w:val="16"/>
                <w:szCs w:val="16"/>
              </w:rPr>
              <w:t xml:space="preserve"> dla odbiorców końcowych sieciowej energii elektrycznej</w:t>
            </w:r>
            <w:r>
              <w:rPr>
                <w:rFonts w:asciiTheme="minorHAnsi" w:hAnsiTheme="minorHAnsi" w:cs="Arial"/>
                <w:b/>
                <w:i/>
                <w:sz w:val="16"/>
                <w:szCs w:val="16"/>
              </w:rPr>
              <w:t xml:space="preserve"> za rok 2019 wg </w:t>
            </w:r>
            <w:r w:rsidRPr="004358C0">
              <w:rPr>
                <w:rFonts w:asciiTheme="minorHAnsi" w:hAnsiTheme="minorHAnsi"/>
                <w:b/>
                <w:i/>
                <w:sz w:val="16"/>
                <w:szCs w:val="16"/>
              </w:rPr>
              <w:t>KOBiZE.</w:t>
            </w:r>
            <w:r w:rsidRPr="00AC5EF5">
              <w:rPr>
                <w:rFonts w:asciiTheme="minorHAnsi" w:hAnsiTheme="minorHAnsi"/>
                <w:b/>
                <w:i/>
                <w:sz w:val="16"/>
                <w:szCs w:val="16"/>
              </w:rPr>
              <w:t xml:space="preserve"> </w:t>
            </w:r>
          </w:p>
          <w:p w14:paraId="65A05D76" w14:textId="77777777" w:rsidR="00921721" w:rsidRPr="002C6855" w:rsidRDefault="00921721" w:rsidP="00880D09">
            <w:pPr>
              <w:spacing w:after="120"/>
              <w:ind w:right="170"/>
              <w:jc w:val="both"/>
              <w:rPr>
                <w:rFonts w:asciiTheme="minorHAnsi" w:hAnsiTheme="minorHAnsi" w:cs="Arial"/>
                <w:b/>
                <w:i/>
                <w:sz w:val="16"/>
                <w:szCs w:val="16"/>
              </w:rPr>
            </w:pPr>
            <w:r>
              <w:rPr>
                <w:rFonts w:asciiTheme="minorHAnsi" w:hAnsiTheme="minorHAnsi" w:cs="Arial"/>
                <w:b/>
                <w:i/>
                <w:sz w:val="16"/>
                <w:szCs w:val="16"/>
              </w:rPr>
              <w:t>(*) </w:t>
            </w:r>
            <w:r w:rsidRPr="002C6855">
              <w:rPr>
                <w:rFonts w:asciiTheme="minorHAnsi" w:hAnsiTheme="minorHAnsi" w:cs="Arial"/>
                <w:b/>
                <w:i/>
                <w:sz w:val="16"/>
                <w:szCs w:val="16"/>
              </w:rPr>
              <w:t>Łącznie emisje związane z wytwarzaniem i przesyłem energii elektry</w:t>
            </w:r>
            <w:r w:rsidRPr="00F4393F">
              <w:rPr>
                <w:rFonts w:asciiTheme="minorHAnsi" w:hAnsiTheme="minorHAnsi" w:cs="Arial"/>
                <w:b/>
                <w:i/>
                <w:sz w:val="16"/>
                <w:szCs w:val="16"/>
              </w:rPr>
              <w:t>cz</w:t>
            </w:r>
            <w:r w:rsidRPr="002C6855">
              <w:rPr>
                <w:rFonts w:asciiTheme="minorHAnsi" w:hAnsiTheme="minorHAnsi" w:cs="Arial"/>
                <w:b/>
                <w:i/>
                <w:sz w:val="16"/>
                <w:szCs w:val="16"/>
              </w:rPr>
              <w:t>nej sieciowej zużywanej przez pojazd oraz emisje związane ze zużyciem paliwa w pojeździe</w:t>
            </w:r>
          </w:p>
          <w:p w14:paraId="542E571A" w14:textId="77777777" w:rsidR="00921721" w:rsidRPr="00556A54" w:rsidRDefault="00921721" w:rsidP="00880D09">
            <w:pPr>
              <w:keepNext/>
              <w:spacing w:after="120"/>
              <w:ind w:right="170"/>
              <w:jc w:val="both"/>
              <w:rPr>
                <w:rFonts w:asciiTheme="minorHAnsi" w:hAnsiTheme="minorHAnsi" w:cs="Arial"/>
                <w:sz w:val="20"/>
                <w:szCs w:val="20"/>
                <w:u w:val="single"/>
              </w:rPr>
            </w:pPr>
            <w:bookmarkStart w:id="127" w:name="_Hlk69477227"/>
            <w:r w:rsidRPr="00556A54">
              <w:rPr>
                <w:rFonts w:asciiTheme="minorHAnsi" w:hAnsiTheme="minorHAnsi" w:cs="Arial"/>
                <w:sz w:val="20"/>
                <w:szCs w:val="20"/>
                <w:u w:val="single"/>
              </w:rPr>
              <w:t xml:space="preserve">Emisyjność </w:t>
            </w:r>
            <w:r>
              <w:rPr>
                <w:rFonts w:asciiTheme="minorHAnsi" w:hAnsiTheme="minorHAnsi" w:cs="Arial"/>
                <w:sz w:val="20"/>
                <w:szCs w:val="20"/>
                <w:u w:val="single"/>
              </w:rPr>
              <w:t>gazów cieplarnianych z </w:t>
            </w:r>
            <w:r w:rsidRPr="00556A54">
              <w:rPr>
                <w:rFonts w:asciiTheme="minorHAnsi" w:hAnsiTheme="minorHAnsi" w:cs="Arial"/>
                <w:sz w:val="20"/>
                <w:szCs w:val="20"/>
                <w:u w:val="single"/>
              </w:rPr>
              <w:t xml:space="preserve">wytwarzania </w:t>
            </w:r>
            <w:r>
              <w:rPr>
                <w:rFonts w:asciiTheme="minorHAnsi" w:hAnsiTheme="minorHAnsi" w:cs="Arial"/>
                <w:sz w:val="20"/>
                <w:szCs w:val="20"/>
                <w:u w:val="single"/>
              </w:rPr>
              <w:t xml:space="preserve">sieciowej </w:t>
            </w:r>
            <w:r w:rsidRPr="00556A54">
              <w:rPr>
                <w:rFonts w:asciiTheme="minorHAnsi" w:hAnsiTheme="minorHAnsi" w:cs="Arial"/>
                <w:sz w:val="20"/>
                <w:szCs w:val="20"/>
                <w:u w:val="single"/>
              </w:rPr>
              <w:t>energii elektrycznej do napędzania pojazdów</w:t>
            </w:r>
            <w:r>
              <w:rPr>
                <w:rFonts w:asciiTheme="minorHAnsi" w:hAnsiTheme="minorHAnsi" w:cs="Arial"/>
                <w:sz w:val="20"/>
                <w:szCs w:val="20"/>
                <w:u w:val="single"/>
              </w:rPr>
              <w:t xml:space="preserve"> oraz jej zmienność w czasie</w:t>
            </w:r>
            <w:r w:rsidRPr="00556A54">
              <w:rPr>
                <w:rFonts w:asciiTheme="minorHAnsi" w:hAnsiTheme="minorHAnsi" w:cs="Arial"/>
                <w:sz w:val="20"/>
                <w:szCs w:val="20"/>
                <w:u w:val="single"/>
              </w:rPr>
              <w:t xml:space="preserve"> </w:t>
            </w:r>
          </w:p>
          <w:p w14:paraId="10D0551E" w14:textId="77777777" w:rsidR="00921721" w:rsidRDefault="00921721" w:rsidP="00880D09">
            <w:pPr>
              <w:spacing w:after="120"/>
              <w:ind w:right="170"/>
              <w:jc w:val="both"/>
              <w:rPr>
                <w:rFonts w:asciiTheme="minorHAnsi" w:hAnsiTheme="minorHAnsi" w:cs="Arial"/>
                <w:sz w:val="20"/>
                <w:szCs w:val="20"/>
              </w:rPr>
            </w:pPr>
            <w:r>
              <w:rPr>
                <w:rFonts w:asciiTheme="minorHAnsi" w:hAnsiTheme="minorHAnsi" w:cs="Arial"/>
                <w:sz w:val="20"/>
                <w:szCs w:val="20"/>
              </w:rPr>
              <w:t xml:space="preserve">Jak opisano powyżej, obliczony został współczynnik emisji gazów cieplarnianych dla energii elektrycznej z krajowej sieci elektroenergetycznej dla aktualnego roku bazowego (2021) uwzględniając aktualną strukturę paliwową energetyki w Polsce. Opracowano także projekcję tego </w:t>
            </w:r>
            <w:r w:rsidRPr="00ED063F">
              <w:rPr>
                <w:rFonts w:asciiTheme="minorHAnsi" w:hAnsiTheme="minorHAnsi" w:cs="Arial"/>
                <w:sz w:val="20"/>
                <w:szCs w:val="20"/>
              </w:rPr>
              <w:t xml:space="preserve">wskaźnika na podstawie przyjętej Polityki energetycznej Polski do roku 2040 </w:t>
            </w:r>
            <w:r w:rsidRPr="00ED063F">
              <w:rPr>
                <w:rFonts w:asciiTheme="minorHAnsi" w:hAnsiTheme="minorHAnsi"/>
                <w:sz w:val="20"/>
                <w:szCs w:val="20"/>
              </w:rPr>
              <w:t>(Polit</w:t>
            </w:r>
            <w:r>
              <w:rPr>
                <w:rFonts w:asciiTheme="minorHAnsi" w:hAnsiTheme="minorHAnsi"/>
                <w:sz w:val="20"/>
                <w:szCs w:val="20"/>
              </w:rPr>
              <w:t>yka Energetyczna Polski do 2040 </w:t>
            </w:r>
            <w:r w:rsidRPr="00ED063F">
              <w:rPr>
                <w:rFonts w:asciiTheme="minorHAnsi" w:hAnsiTheme="minorHAnsi"/>
                <w:sz w:val="20"/>
                <w:szCs w:val="20"/>
              </w:rPr>
              <w:t>r.) z</w:t>
            </w:r>
            <w:r>
              <w:rPr>
                <w:rFonts w:asciiTheme="minorHAnsi" w:hAnsiTheme="minorHAnsi"/>
                <w:sz w:val="20"/>
                <w:szCs w:val="20"/>
              </w:rPr>
              <w:t xml:space="preserve"> 2 lutego 2021 r</w:t>
            </w:r>
            <w:r w:rsidRPr="00ED063F">
              <w:rPr>
                <w:rFonts w:asciiTheme="minorHAnsi" w:hAnsiTheme="minorHAnsi" w:cs="Arial"/>
                <w:sz w:val="20"/>
                <w:szCs w:val="20"/>
              </w:rPr>
              <w:t>. Dokument ten wyznacza kierunki działań dla osiągnięcia celów klimatycznych poprzez zwiększanie udziału źródeł odnawialnych i bezemisyjnych</w:t>
            </w:r>
            <w:r>
              <w:rPr>
                <w:rFonts w:asciiTheme="minorHAnsi" w:hAnsiTheme="minorHAnsi" w:cs="Arial"/>
                <w:sz w:val="20"/>
                <w:szCs w:val="20"/>
              </w:rPr>
              <w:t xml:space="preserve"> w wytwarzaniu energii elektrycznej, co prowadzi do zmniejszania ilości energii wytwarzanej z paliw kopalnych (węgla kamiennego i brunatnego). </w:t>
            </w:r>
          </w:p>
          <w:p w14:paraId="235E1D1E" w14:textId="77777777" w:rsidR="00921721" w:rsidRDefault="00921721" w:rsidP="00880D09">
            <w:pPr>
              <w:jc w:val="both"/>
              <w:rPr>
                <w:rStyle w:val="jlqj4b"/>
                <w:rFonts w:asciiTheme="minorHAnsi" w:hAnsiTheme="minorHAnsi" w:cstheme="minorHAnsi"/>
                <w:color w:val="000000"/>
                <w:sz w:val="20"/>
                <w:szCs w:val="20"/>
              </w:rPr>
            </w:pPr>
            <w:r w:rsidRPr="00ED063F">
              <w:rPr>
                <w:rStyle w:val="jlqj4b"/>
                <w:rFonts w:asciiTheme="minorHAnsi" w:hAnsiTheme="minorHAnsi" w:cstheme="minorHAnsi"/>
                <w:color w:val="000000"/>
                <w:sz w:val="20"/>
                <w:szCs w:val="20"/>
              </w:rPr>
              <w:t xml:space="preserve">Na tej podstawie poniższa tabela przedstawia </w:t>
            </w:r>
            <w:r>
              <w:rPr>
                <w:rStyle w:val="jlqj4b"/>
                <w:rFonts w:asciiTheme="minorHAnsi" w:hAnsiTheme="minorHAnsi" w:cstheme="minorHAnsi"/>
                <w:color w:val="000000"/>
                <w:sz w:val="20"/>
                <w:szCs w:val="20"/>
              </w:rPr>
              <w:t xml:space="preserve">prognozę </w:t>
            </w:r>
            <w:r w:rsidRPr="00ED063F">
              <w:rPr>
                <w:rStyle w:val="jlqj4b"/>
                <w:rFonts w:asciiTheme="minorHAnsi" w:hAnsiTheme="minorHAnsi" w:cstheme="minorHAnsi"/>
                <w:color w:val="000000"/>
                <w:sz w:val="20"/>
                <w:szCs w:val="20"/>
              </w:rPr>
              <w:t xml:space="preserve">krajowego wskaźnika emisji </w:t>
            </w:r>
            <w:r>
              <w:rPr>
                <w:rStyle w:val="jlqj4b"/>
                <w:rFonts w:asciiTheme="minorHAnsi" w:hAnsiTheme="minorHAnsi" w:cstheme="minorHAnsi"/>
                <w:color w:val="000000"/>
                <w:sz w:val="20"/>
                <w:szCs w:val="20"/>
              </w:rPr>
              <w:t xml:space="preserve">gazów cieplarnianych </w:t>
            </w:r>
            <w:r w:rsidRPr="00381AFC">
              <w:rPr>
                <w:rFonts w:asciiTheme="minorHAnsi" w:hAnsiTheme="minorHAnsi" w:cs="Arial"/>
                <w:sz w:val="20"/>
                <w:szCs w:val="20"/>
              </w:rPr>
              <w:t xml:space="preserve">z wytwarzania sieciowej </w:t>
            </w:r>
            <w:r w:rsidRPr="00381AFC">
              <w:rPr>
                <w:rStyle w:val="jlqj4b"/>
                <w:rFonts w:asciiTheme="minorHAnsi" w:hAnsiTheme="minorHAnsi" w:cstheme="minorHAnsi"/>
                <w:color w:val="000000"/>
                <w:sz w:val="20"/>
                <w:szCs w:val="20"/>
              </w:rPr>
              <w:t>energii</w:t>
            </w:r>
            <w:r w:rsidRPr="00ED063F">
              <w:rPr>
                <w:rStyle w:val="jlqj4b"/>
                <w:rFonts w:asciiTheme="minorHAnsi" w:hAnsiTheme="minorHAnsi" w:cstheme="minorHAnsi"/>
                <w:color w:val="000000"/>
                <w:sz w:val="20"/>
                <w:szCs w:val="20"/>
              </w:rPr>
              <w:t xml:space="preserve"> elektrycznej</w:t>
            </w:r>
            <w:r>
              <w:rPr>
                <w:rStyle w:val="jlqj4b"/>
                <w:rFonts w:asciiTheme="minorHAnsi" w:hAnsiTheme="minorHAnsi" w:cstheme="minorHAnsi"/>
                <w:color w:val="000000"/>
                <w:sz w:val="20"/>
                <w:szCs w:val="20"/>
              </w:rPr>
              <w:t>:</w:t>
            </w:r>
          </w:p>
          <w:tbl>
            <w:tblPr>
              <w:tblW w:w="6630" w:type="dxa"/>
              <w:tblLayout w:type="fixed"/>
              <w:tblLook w:val="04A0" w:firstRow="1" w:lastRow="0" w:firstColumn="1" w:lastColumn="0" w:noHBand="0" w:noVBand="1"/>
            </w:tblPr>
            <w:tblGrid>
              <w:gridCol w:w="1105"/>
              <w:gridCol w:w="1105"/>
              <w:gridCol w:w="1105"/>
              <w:gridCol w:w="1105"/>
              <w:gridCol w:w="1105"/>
              <w:gridCol w:w="1105"/>
            </w:tblGrid>
            <w:tr w:rsidR="00921721" w:rsidRPr="00ED063F" w14:paraId="7D390BA6" w14:textId="77777777" w:rsidTr="00880D09">
              <w:trPr>
                <w:trHeight w:hRule="exact" w:val="373"/>
              </w:trPr>
              <w:tc>
                <w:tcPr>
                  <w:tcW w:w="110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C8FCABB" w14:textId="77777777" w:rsidR="00921721" w:rsidRPr="003A0EFE" w:rsidRDefault="00921721" w:rsidP="00880D09">
                  <w:pPr>
                    <w:ind w:right="170"/>
                    <w:jc w:val="center"/>
                    <w:rPr>
                      <w:rFonts w:asciiTheme="minorHAnsi" w:eastAsia="Arial Narrow" w:hAnsiTheme="minorHAnsi" w:cs="Arial Narrow"/>
                      <w:b/>
                      <w:color w:val="FFFFFF"/>
                      <w:spacing w:val="-1"/>
                      <w:w w:val="108"/>
                      <w:position w:val="-1"/>
                      <w:sz w:val="18"/>
                      <w:szCs w:val="18"/>
                    </w:rPr>
                  </w:pPr>
                  <w:r w:rsidRPr="003A0EFE">
                    <w:rPr>
                      <w:rFonts w:asciiTheme="minorHAnsi" w:eastAsia="Arial Narrow" w:hAnsiTheme="minorHAnsi" w:cs="Arial Narrow"/>
                      <w:b/>
                      <w:color w:val="FFFFFF"/>
                      <w:spacing w:val="-1"/>
                      <w:w w:val="108"/>
                      <w:position w:val="-1"/>
                      <w:sz w:val="18"/>
                      <w:szCs w:val="18"/>
                    </w:rPr>
                    <w:t>Rok</w:t>
                  </w:r>
                </w:p>
              </w:tc>
              <w:tc>
                <w:tcPr>
                  <w:tcW w:w="110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3616909" w14:textId="77777777" w:rsidR="00921721" w:rsidRPr="003A0EFE" w:rsidRDefault="00921721" w:rsidP="00880D09">
                  <w:pPr>
                    <w:ind w:right="170"/>
                    <w:jc w:val="center"/>
                    <w:rPr>
                      <w:rFonts w:asciiTheme="minorHAnsi" w:eastAsia="Arial Narrow" w:hAnsiTheme="minorHAnsi" w:cs="Arial Narrow"/>
                      <w:b/>
                      <w:color w:val="FFFFFF"/>
                      <w:spacing w:val="-1"/>
                      <w:w w:val="108"/>
                      <w:position w:val="-1"/>
                      <w:sz w:val="18"/>
                      <w:szCs w:val="18"/>
                    </w:rPr>
                  </w:pPr>
                  <w:r w:rsidRPr="003A0EFE">
                    <w:rPr>
                      <w:rFonts w:asciiTheme="minorHAnsi" w:eastAsia="Arial Narrow" w:hAnsiTheme="minorHAnsi" w:cs="Arial Narrow"/>
                      <w:b/>
                      <w:color w:val="FFFFFF"/>
                      <w:spacing w:val="-1"/>
                      <w:w w:val="108"/>
                      <w:position w:val="-1"/>
                      <w:sz w:val="18"/>
                      <w:szCs w:val="18"/>
                    </w:rPr>
                    <w:t>2021</w:t>
                  </w:r>
                </w:p>
              </w:tc>
              <w:tc>
                <w:tcPr>
                  <w:tcW w:w="110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B0756E9" w14:textId="77777777" w:rsidR="00921721" w:rsidRPr="003A0EFE" w:rsidRDefault="00921721" w:rsidP="00880D09">
                  <w:pPr>
                    <w:ind w:right="170"/>
                    <w:jc w:val="center"/>
                    <w:rPr>
                      <w:rFonts w:asciiTheme="minorHAnsi" w:eastAsia="Arial Narrow" w:hAnsiTheme="minorHAnsi" w:cs="Arial Narrow"/>
                      <w:b/>
                      <w:color w:val="FFFFFF"/>
                      <w:spacing w:val="-1"/>
                      <w:w w:val="108"/>
                      <w:position w:val="-1"/>
                      <w:sz w:val="18"/>
                      <w:szCs w:val="18"/>
                    </w:rPr>
                  </w:pPr>
                  <w:r w:rsidRPr="003A0EFE">
                    <w:rPr>
                      <w:rFonts w:asciiTheme="minorHAnsi" w:eastAsia="Arial Narrow" w:hAnsiTheme="minorHAnsi" w:cs="Arial Narrow"/>
                      <w:b/>
                      <w:color w:val="FFFFFF"/>
                      <w:spacing w:val="-1"/>
                      <w:w w:val="108"/>
                      <w:position w:val="-1"/>
                      <w:sz w:val="18"/>
                      <w:szCs w:val="18"/>
                    </w:rPr>
                    <w:t>2025</w:t>
                  </w:r>
                </w:p>
              </w:tc>
              <w:tc>
                <w:tcPr>
                  <w:tcW w:w="1105"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539DFDE9" w14:textId="77777777" w:rsidR="00921721" w:rsidRPr="003A0EFE" w:rsidRDefault="00921721" w:rsidP="00880D09">
                  <w:pPr>
                    <w:ind w:right="170"/>
                    <w:jc w:val="center"/>
                    <w:rPr>
                      <w:rFonts w:asciiTheme="minorHAnsi" w:eastAsia="Arial Narrow" w:hAnsiTheme="minorHAnsi" w:cs="Arial Narrow"/>
                      <w:b/>
                      <w:color w:val="FFFFFF"/>
                      <w:spacing w:val="-1"/>
                      <w:w w:val="108"/>
                      <w:position w:val="-1"/>
                      <w:sz w:val="18"/>
                      <w:szCs w:val="18"/>
                    </w:rPr>
                  </w:pPr>
                  <w:r w:rsidRPr="003A0EFE">
                    <w:rPr>
                      <w:rFonts w:asciiTheme="minorHAnsi" w:eastAsia="Arial Narrow" w:hAnsiTheme="minorHAnsi" w:cs="Arial Narrow"/>
                      <w:b/>
                      <w:color w:val="FFFFFF"/>
                      <w:spacing w:val="-1"/>
                      <w:w w:val="108"/>
                      <w:position w:val="-1"/>
                      <w:sz w:val="18"/>
                      <w:szCs w:val="18"/>
                    </w:rPr>
                    <w:t>2030</w:t>
                  </w:r>
                </w:p>
              </w:tc>
              <w:tc>
                <w:tcPr>
                  <w:tcW w:w="1105"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6F22C89B" w14:textId="77777777" w:rsidR="00921721" w:rsidRPr="003A0EFE" w:rsidRDefault="00921721" w:rsidP="00880D09">
                  <w:pPr>
                    <w:ind w:right="170"/>
                    <w:jc w:val="center"/>
                    <w:rPr>
                      <w:rFonts w:asciiTheme="minorHAnsi" w:eastAsia="Arial Narrow" w:hAnsiTheme="minorHAnsi" w:cs="Arial Narrow"/>
                      <w:b/>
                      <w:color w:val="FFFFFF"/>
                      <w:spacing w:val="-1"/>
                      <w:w w:val="108"/>
                      <w:position w:val="-1"/>
                      <w:sz w:val="18"/>
                      <w:szCs w:val="18"/>
                    </w:rPr>
                  </w:pPr>
                  <w:r w:rsidRPr="003A0EFE">
                    <w:rPr>
                      <w:rFonts w:asciiTheme="minorHAnsi" w:eastAsia="Arial Narrow" w:hAnsiTheme="minorHAnsi" w:cs="Arial Narrow"/>
                      <w:b/>
                      <w:color w:val="FFFFFF"/>
                      <w:spacing w:val="-1"/>
                      <w:w w:val="108"/>
                      <w:position w:val="-1"/>
                      <w:sz w:val="18"/>
                      <w:szCs w:val="18"/>
                    </w:rPr>
                    <w:t>2035</w:t>
                  </w:r>
                </w:p>
              </w:tc>
              <w:tc>
                <w:tcPr>
                  <w:tcW w:w="1105"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2476D0E8" w14:textId="77777777" w:rsidR="00921721" w:rsidRPr="003A0EFE" w:rsidRDefault="00921721" w:rsidP="00880D09">
                  <w:pPr>
                    <w:ind w:right="170"/>
                    <w:jc w:val="center"/>
                    <w:rPr>
                      <w:rFonts w:asciiTheme="minorHAnsi" w:eastAsia="Arial Narrow" w:hAnsiTheme="minorHAnsi" w:cs="Arial Narrow"/>
                      <w:b/>
                      <w:color w:val="FFFFFF"/>
                      <w:spacing w:val="-1"/>
                      <w:w w:val="108"/>
                      <w:position w:val="-1"/>
                      <w:sz w:val="18"/>
                      <w:szCs w:val="18"/>
                    </w:rPr>
                  </w:pPr>
                  <w:r w:rsidRPr="003A0EFE">
                    <w:rPr>
                      <w:rFonts w:asciiTheme="minorHAnsi" w:eastAsia="Arial Narrow" w:hAnsiTheme="minorHAnsi" w:cs="Arial Narrow"/>
                      <w:b/>
                      <w:color w:val="FFFFFF"/>
                      <w:spacing w:val="-1"/>
                      <w:w w:val="108"/>
                      <w:position w:val="-1"/>
                      <w:sz w:val="18"/>
                      <w:szCs w:val="18"/>
                    </w:rPr>
                    <w:t>2040</w:t>
                  </w:r>
                </w:p>
              </w:tc>
            </w:tr>
            <w:tr w:rsidR="00921721" w:rsidRPr="00ED063F" w14:paraId="6A44BE06" w14:textId="77777777" w:rsidTr="00880D09">
              <w:trPr>
                <w:trHeight w:val="125"/>
              </w:trPr>
              <w:tc>
                <w:tcPr>
                  <w:tcW w:w="110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080E86D" w14:textId="77777777" w:rsidR="00921721" w:rsidRPr="00ED063F" w:rsidRDefault="00921721" w:rsidP="00880D09">
                  <w:pPr>
                    <w:spacing w:before="60" w:after="60"/>
                    <w:ind w:right="28"/>
                    <w:jc w:val="center"/>
                    <w:rPr>
                      <w:rFonts w:asciiTheme="minorHAnsi" w:eastAsia="Arial Narrow" w:hAnsiTheme="minorHAnsi" w:cs="Arial Narrow"/>
                      <w:b/>
                      <w:color w:val="FFFFFF"/>
                      <w:spacing w:val="-1"/>
                      <w:w w:val="108"/>
                      <w:position w:val="-1"/>
                      <w:sz w:val="18"/>
                      <w:szCs w:val="18"/>
                    </w:rPr>
                  </w:pPr>
                  <w:r>
                    <w:rPr>
                      <w:rFonts w:asciiTheme="minorHAnsi" w:hAnsiTheme="minorHAnsi"/>
                      <w:color w:val="4F81BD" w:themeColor="accent1"/>
                      <w:sz w:val="18"/>
                    </w:rPr>
                    <w:t>g</w:t>
                  </w:r>
                  <w:r w:rsidRPr="00ED063F">
                    <w:rPr>
                      <w:rFonts w:asciiTheme="minorHAnsi" w:hAnsiTheme="minorHAnsi"/>
                      <w:color w:val="4F81BD" w:themeColor="accent1"/>
                      <w:sz w:val="18"/>
                    </w:rPr>
                    <w:t>CO</w:t>
                  </w:r>
                  <w:r w:rsidRPr="00ED063F">
                    <w:rPr>
                      <w:rFonts w:asciiTheme="minorHAnsi" w:hAnsiTheme="minorHAnsi"/>
                      <w:color w:val="4F81BD" w:themeColor="accent1"/>
                      <w:sz w:val="18"/>
                      <w:vertAlign w:val="subscript"/>
                    </w:rPr>
                    <w:t>2</w:t>
                  </w:r>
                  <w:r w:rsidRPr="00ED063F">
                    <w:rPr>
                      <w:rFonts w:asciiTheme="minorHAnsi" w:hAnsiTheme="minorHAnsi"/>
                      <w:color w:val="4F81BD" w:themeColor="accent1"/>
                      <w:sz w:val="18"/>
                    </w:rPr>
                    <w:t>e</w:t>
                  </w:r>
                  <w:r>
                    <w:rPr>
                      <w:rFonts w:asciiTheme="minorHAnsi" w:hAnsiTheme="minorHAnsi"/>
                      <w:color w:val="4F81BD" w:themeColor="accent1"/>
                      <w:sz w:val="18"/>
                    </w:rPr>
                    <w:t xml:space="preserve">/ kWh </w:t>
                  </w:r>
                </w:p>
              </w:tc>
              <w:tc>
                <w:tcPr>
                  <w:tcW w:w="110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C6160A9" w14:textId="77777777" w:rsidR="00921721" w:rsidRPr="00ED063F" w:rsidRDefault="00921721" w:rsidP="00880D09">
                  <w:pPr>
                    <w:spacing w:before="60" w:after="60"/>
                    <w:ind w:right="28"/>
                    <w:jc w:val="center"/>
                    <w:rPr>
                      <w:rFonts w:asciiTheme="minorHAnsi" w:hAnsiTheme="minorHAnsi"/>
                      <w:color w:val="4F81BD" w:themeColor="accent1"/>
                      <w:sz w:val="18"/>
                    </w:rPr>
                  </w:pPr>
                  <w:r w:rsidRPr="00ED063F">
                    <w:rPr>
                      <w:rFonts w:asciiTheme="minorHAnsi" w:hAnsiTheme="minorHAnsi"/>
                      <w:color w:val="4F81BD" w:themeColor="accent1"/>
                      <w:sz w:val="18"/>
                    </w:rPr>
                    <w:t>668</w:t>
                  </w:r>
                  <w:r>
                    <w:rPr>
                      <w:rFonts w:asciiTheme="minorHAnsi" w:hAnsiTheme="minorHAnsi"/>
                      <w:color w:val="4F81BD" w:themeColor="accent1"/>
                      <w:sz w:val="18"/>
                    </w:rPr>
                    <w:t>,</w:t>
                  </w:r>
                  <w:r w:rsidRPr="00ED063F">
                    <w:rPr>
                      <w:rFonts w:asciiTheme="minorHAnsi" w:hAnsiTheme="minorHAnsi"/>
                      <w:color w:val="4F81BD" w:themeColor="accent1"/>
                      <w:sz w:val="18"/>
                    </w:rPr>
                    <w:t>68</w:t>
                  </w:r>
                </w:p>
              </w:tc>
              <w:tc>
                <w:tcPr>
                  <w:tcW w:w="110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EC5FCAC" w14:textId="77777777" w:rsidR="00921721" w:rsidRPr="00ED063F" w:rsidRDefault="00921721" w:rsidP="00880D09">
                  <w:pPr>
                    <w:spacing w:before="60" w:after="60"/>
                    <w:ind w:right="28"/>
                    <w:jc w:val="center"/>
                    <w:rPr>
                      <w:rFonts w:asciiTheme="minorHAnsi" w:hAnsiTheme="minorHAnsi"/>
                      <w:color w:val="4F81BD" w:themeColor="accent1"/>
                      <w:sz w:val="18"/>
                    </w:rPr>
                  </w:pPr>
                  <w:r w:rsidRPr="00ED063F">
                    <w:rPr>
                      <w:rFonts w:asciiTheme="minorHAnsi" w:hAnsiTheme="minorHAnsi"/>
                      <w:color w:val="4F81BD" w:themeColor="accent1"/>
                      <w:sz w:val="18"/>
                    </w:rPr>
                    <w:t>645</w:t>
                  </w:r>
                  <w:r>
                    <w:rPr>
                      <w:rFonts w:asciiTheme="minorHAnsi" w:hAnsiTheme="minorHAnsi"/>
                      <w:color w:val="4F81BD" w:themeColor="accent1"/>
                      <w:sz w:val="18"/>
                    </w:rPr>
                    <w:t>,</w:t>
                  </w:r>
                  <w:r w:rsidRPr="00ED063F">
                    <w:rPr>
                      <w:rFonts w:asciiTheme="minorHAnsi" w:hAnsiTheme="minorHAnsi"/>
                      <w:color w:val="4F81BD" w:themeColor="accent1"/>
                      <w:sz w:val="18"/>
                    </w:rPr>
                    <w:t>57</w:t>
                  </w:r>
                </w:p>
              </w:tc>
              <w:tc>
                <w:tcPr>
                  <w:tcW w:w="110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C7B450E" w14:textId="77777777" w:rsidR="00921721" w:rsidRPr="00ED063F" w:rsidRDefault="00921721" w:rsidP="00880D09">
                  <w:pPr>
                    <w:spacing w:before="60" w:after="60"/>
                    <w:ind w:right="28"/>
                    <w:jc w:val="center"/>
                    <w:rPr>
                      <w:rFonts w:asciiTheme="minorHAnsi" w:hAnsiTheme="minorHAnsi"/>
                      <w:color w:val="4F81BD" w:themeColor="accent1"/>
                      <w:sz w:val="18"/>
                    </w:rPr>
                  </w:pPr>
                  <w:r w:rsidRPr="00ED063F">
                    <w:rPr>
                      <w:rFonts w:asciiTheme="minorHAnsi" w:hAnsiTheme="minorHAnsi"/>
                      <w:color w:val="4F81BD" w:themeColor="accent1"/>
                      <w:sz w:val="18"/>
                    </w:rPr>
                    <w:t>579</w:t>
                  </w:r>
                  <w:r>
                    <w:rPr>
                      <w:rFonts w:asciiTheme="minorHAnsi" w:hAnsiTheme="minorHAnsi"/>
                      <w:color w:val="4F81BD" w:themeColor="accent1"/>
                      <w:sz w:val="18"/>
                    </w:rPr>
                    <w:t>,</w:t>
                  </w:r>
                  <w:r w:rsidRPr="00ED063F">
                    <w:rPr>
                      <w:rFonts w:asciiTheme="minorHAnsi" w:hAnsiTheme="minorHAnsi"/>
                      <w:color w:val="4F81BD" w:themeColor="accent1"/>
                      <w:sz w:val="18"/>
                    </w:rPr>
                    <w:t>05</w:t>
                  </w:r>
                </w:p>
              </w:tc>
              <w:tc>
                <w:tcPr>
                  <w:tcW w:w="110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014D338" w14:textId="77777777" w:rsidR="00921721" w:rsidRPr="00ED063F" w:rsidRDefault="00921721" w:rsidP="00880D09">
                  <w:pPr>
                    <w:spacing w:before="60" w:after="60"/>
                    <w:ind w:right="28"/>
                    <w:jc w:val="center"/>
                    <w:rPr>
                      <w:rFonts w:asciiTheme="minorHAnsi" w:hAnsiTheme="minorHAnsi"/>
                      <w:color w:val="4F81BD" w:themeColor="accent1"/>
                      <w:sz w:val="18"/>
                    </w:rPr>
                  </w:pPr>
                  <w:r w:rsidRPr="00ED063F">
                    <w:rPr>
                      <w:rFonts w:asciiTheme="minorHAnsi" w:hAnsiTheme="minorHAnsi"/>
                      <w:color w:val="4F81BD" w:themeColor="accent1"/>
                      <w:sz w:val="18"/>
                    </w:rPr>
                    <w:t>446</w:t>
                  </w:r>
                  <w:r>
                    <w:rPr>
                      <w:rFonts w:asciiTheme="minorHAnsi" w:hAnsiTheme="minorHAnsi"/>
                      <w:color w:val="4F81BD" w:themeColor="accent1"/>
                      <w:sz w:val="18"/>
                    </w:rPr>
                    <w:t>,</w:t>
                  </w:r>
                  <w:r w:rsidRPr="00ED063F">
                    <w:rPr>
                      <w:rFonts w:asciiTheme="minorHAnsi" w:hAnsiTheme="minorHAnsi"/>
                      <w:color w:val="4F81BD" w:themeColor="accent1"/>
                      <w:sz w:val="18"/>
                    </w:rPr>
                    <w:t>40</w:t>
                  </w:r>
                </w:p>
              </w:tc>
              <w:tc>
                <w:tcPr>
                  <w:tcW w:w="110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9F800D4" w14:textId="77777777" w:rsidR="00921721" w:rsidRPr="00ED063F" w:rsidRDefault="00921721" w:rsidP="00880D09">
                  <w:pPr>
                    <w:spacing w:before="60" w:after="60"/>
                    <w:ind w:right="28"/>
                    <w:jc w:val="center"/>
                    <w:rPr>
                      <w:rFonts w:asciiTheme="minorHAnsi" w:hAnsiTheme="minorHAnsi"/>
                      <w:color w:val="4F81BD" w:themeColor="accent1"/>
                      <w:sz w:val="18"/>
                    </w:rPr>
                  </w:pPr>
                  <w:r w:rsidRPr="00ED063F">
                    <w:rPr>
                      <w:rFonts w:asciiTheme="minorHAnsi" w:hAnsiTheme="minorHAnsi"/>
                      <w:color w:val="4F81BD" w:themeColor="accent1"/>
                      <w:sz w:val="18"/>
                    </w:rPr>
                    <w:t>373</w:t>
                  </w:r>
                  <w:r>
                    <w:rPr>
                      <w:rFonts w:asciiTheme="minorHAnsi" w:hAnsiTheme="minorHAnsi"/>
                      <w:color w:val="4F81BD" w:themeColor="accent1"/>
                      <w:sz w:val="18"/>
                    </w:rPr>
                    <w:t>,</w:t>
                  </w:r>
                  <w:r w:rsidRPr="00ED063F">
                    <w:rPr>
                      <w:rFonts w:asciiTheme="minorHAnsi" w:hAnsiTheme="minorHAnsi"/>
                      <w:color w:val="4F81BD" w:themeColor="accent1"/>
                      <w:sz w:val="18"/>
                    </w:rPr>
                    <w:t>31</w:t>
                  </w:r>
                </w:p>
              </w:tc>
            </w:tr>
          </w:tbl>
          <w:p w14:paraId="6A3AD36E" w14:textId="77777777" w:rsidR="00921721" w:rsidRDefault="00921721" w:rsidP="00880D09">
            <w:pPr>
              <w:spacing w:after="120"/>
              <w:ind w:right="170"/>
              <w:jc w:val="both"/>
              <w:rPr>
                <w:rFonts w:asciiTheme="minorHAnsi" w:hAnsiTheme="minorHAnsi" w:cs="Arial"/>
                <w:sz w:val="20"/>
                <w:szCs w:val="20"/>
              </w:rPr>
            </w:pPr>
          </w:p>
          <w:p w14:paraId="6DCE0856" w14:textId="77777777" w:rsidR="00921721" w:rsidRDefault="00921721" w:rsidP="00880D09">
            <w:pPr>
              <w:spacing w:after="120"/>
              <w:ind w:right="170"/>
              <w:jc w:val="both"/>
              <w:rPr>
                <w:rFonts w:asciiTheme="minorHAnsi" w:hAnsiTheme="minorHAnsi" w:cs="Arial"/>
                <w:sz w:val="20"/>
                <w:szCs w:val="20"/>
              </w:rPr>
            </w:pPr>
            <w:r>
              <w:rPr>
                <w:rFonts w:asciiTheme="minorHAnsi" w:hAnsiTheme="minorHAnsi" w:cs="Arial"/>
                <w:sz w:val="20"/>
                <w:szCs w:val="20"/>
              </w:rPr>
              <w:t xml:space="preserve">Wartości współczynnika dla lat pośrednich szacuje się metodą interpolacji liniowej, a począwszy od roku 2040 wartość współczynnika przyjmuje się na stałym poziomie. Projekcje wartości współczynników emisji, zarówno dla energii elektrycznej z krajowej sieci elektroenergetycznej, jak i dla kategorii elektrycznych pojazdów drogowych wymienionych powyżej, zawiera </w:t>
            </w:r>
            <w:r w:rsidRPr="00B92BFA">
              <w:rPr>
                <w:rFonts w:asciiTheme="minorHAnsi" w:hAnsiTheme="minorHAnsi" w:cs="Arial"/>
                <w:b/>
                <w:i/>
                <w:sz w:val="20"/>
                <w:szCs w:val="20"/>
              </w:rPr>
              <w:t>plik Excel</w:t>
            </w:r>
            <w:r>
              <w:rPr>
                <w:rFonts w:asciiTheme="minorHAnsi" w:hAnsiTheme="minorHAnsi" w:cs="Arial"/>
                <w:sz w:val="20"/>
                <w:szCs w:val="20"/>
              </w:rPr>
              <w:t xml:space="preserve"> opracowany w związku z Niebieskimi Księgami. </w:t>
            </w:r>
          </w:p>
          <w:p w14:paraId="1422C23B" w14:textId="77777777" w:rsidR="00921721" w:rsidRPr="00EC7A83" w:rsidRDefault="00921721" w:rsidP="00880D09">
            <w:pPr>
              <w:spacing w:after="120"/>
              <w:ind w:right="170"/>
              <w:jc w:val="both"/>
              <w:rPr>
                <w:rFonts w:asciiTheme="minorHAnsi" w:hAnsiTheme="minorHAnsi" w:cstheme="minorHAnsi"/>
                <w:sz w:val="20"/>
                <w:szCs w:val="20"/>
              </w:rPr>
            </w:pPr>
            <w:r w:rsidRPr="00EC7A83">
              <w:rPr>
                <w:rStyle w:val="jlqj4b"/>
                <w:rFonts w:asciiTheme="minorHAnsi" w:hAnsiTheme="minorHAnsi" w:cstheme="minorHAnsi"/>
                <w:color w:val="000000"/>
                <w:sz w:val="20"/>
                <w:szCs w:val="20"/>
              </w:rPr>
              <w:t>Powyższe wartości nal</w:t>
            </w:r>
            <w:r>
              <w:rPr>
                <w:rStyle w:val="jlqj4b"/>
                <w:rFonts w:asciiTheme="minorHAnsi" w:hAnsiTheme="minorHAnsi" w:cstheme="minorHAnsi"/>
                <w:color w:val="000000"/>
                <w:sz w:val="20"/>
                <w:szCs w:val="20"/>
              </w:rPr>
              <w:t>eży odnieść do floty pojazdów o </w:t>
            </w:r>
            <w:r w:rsidRPr="00EC7A83">
              <w:rPr>
                <w:rStyle w:val="jlqj4b"/>
                <w:rFonts w:asciiTheme="minorHAnsi" w:hAnsiTheme="minorHAnsi" w:cstheme="minorHAnsi"/>
                <w:color w:val="000000"/>
                <w:sz w:val="20"/>
                <w:szCs w:val="20"/>
              </w:rPr>
              <w:t>napędzie elektrycznym, tj. ele</w:t>
            </w:r>
            <w:r>
              <w:rPr>
                <w:rStyle w:val="jlqj4b"/>
                <w:rFonts w:asciiTheme="minorHAnsi" w:hAnsiTheme="minorHAnsi" w:cstheme="minorHAnsi"/>
                <w:color w:val="000000"/>
                <w:sz w:val="20"/>
                <w:szCs w:val="20"/>
              </w:rPr>
              <w:t>ktrycznych pojazdów drogowych i pociągów, w </w:t>
            </w:r>
            <w:r w:rsidRPr="00EC7A83">
              <w:rPr>
                <w:rStyle w:val="jlqj4b"/>
                <w:rFonts w:asciiTheme="minorHAnsi" w:hAnsiTheme="minorHAnsi" w:cstheme="minorHAnsi"/>
                <w:color w:val="000000"/>
                <w:sz w:val="20"/>
                <w:szCs w:val="20"/>
              </w:rPr>
              <w:t xml:space="preserve">zależności </w:t>
            </w:r>
            <w:r>
              <w:rPr>
                <w:rStyle w:val="jlqj4b"/>
                <w:rFonts w:asciiTheme="minorHAnsi" w:hAnsiTheme="minorHAnsi" w:cstheme="minorHAnsi"/>
                <w:color w:val="000000"/>
                <w:sz w:val="20"/>
                <w:szCs w:val="20"/>
              </w:rPr>
              <w:t xml:space="preserve">od tego, czego dotyczy dany projekt. </w:t>
            </w:r>
          </w:p>
          <w:p w14:paraId="5B17BBE3" w14:textId="77777777" w:rsidR="00921721" w:rsidRPr="006F2D0B" w:rsidRDefault="00921721" w:rsidP="00880D09">
            <w:pPr>
              <w:spacing w:after="120"/>
              <w:ind w:right="170"/>
              <w:jc w:val="both"/>
              <w:rPr>
                <w:rFonts w:asciiTheme="minorHAnsi" w:hAnsiTheme="minorHAnsi" w:cs="Arial"/>
                <w:sz w:val="20"/>
                <w:szCs w:val="20"/>
                <w:u w:val="single"/>
              </w:rPr>
            </w:pPr>
            <w:r w:rsidRPr="006F2D0B">
              <w:rPr>
                <w:rFonts w:asciiTheme="minorHAnsi" w:hAnsiTheme="minorHAnsi" w:cs="Arial"/>
                <w:sz w:val="20"/>
                <w:szCs w:val="20"/>
                <w:u w:val="single"/>
              </w:rPr>
              <w:t>Kategoria LV – skład floty</w:t>
            </w:r>
          </w:p>
          <w:p w14:paraId="388FCA62" w14:textId="77777777" w:rsidR="00921721" w:rsidRPr="003B1925" w:rsidRDefault="00921721" w:rsidP="00880D09">
            <w:pPr>
              <w:spacing w:after="120"/>
              <w:ind w:right="170"/>
              <w:jc w:val="both"/>
              <w:rPr>
                <w:rFonts w:asciiTheme="minorHAnsi" w:hAnsiTheme="minorHAnsi" w:cs="Arial"/>
                <w:sz w:val="20"/>
                <w:szCs w:val="20"/>
              </w:rPr>
            </w:pPr>
            <w:r>
              <w:rPr>
                <w:rFonts w:asciiTheme="minorHAnsi" w:hAnsiTheme="minorHAnsi" w:cs="Arial"/>
                <w:sz w:val="20"/>
                <w:szCs w:val="20"/>
              </w:rPr>
              <w:t>Współczynniki emisji dla aktualnej floty pojazdów spalinowych przedstawione w powyższej tabeli oparte są na aktualnej strukturze floty pojazdów spalinowych kategorii LV pod względem zużycia rodzajów paliwa; jej skład przyjęto jako stały w </w:t>
            </w:r>
            <w:r w:rsidRPr="005E3E49">
              <w:rPr>
                <w:rFonts w:asciiTheme="minorHAnsi" w:hAnsiTheme="minorHAnsi" w:cs="Arial"/>
                <w:sz w:val="20"/>
                <w:szCs w:val="20"/>
              </w:rPr>
              <w:t>horyzoncie prognozy</w:t>
            </w:r>
            <w:r>
              <w:rPr>
                <w:rFonts w:asciiTheme="minorHAnsi" w:hAnsiTheme="minorHAnsi" w:cs="Arial"/>
                <w:sz w:val="20"/>
                <w:szCs w:val="20"/>
              </w:rPr>
              <w:t>: benzyna (67,9%) i olej napędowy (32,1%). Prognozy ewolucji składu floty do zastosowania przedstawiono powyżej w rozdziale poświęconym kosztom eksploatacji pojazdów.</w:t>
            </w:r>
          </w:p>
          <w:bookmarkEnd w:id="127"/>
          <w:p w14:paraId="7F53E00C" w14:textId="77777777" w:rsidR="00921721" w:rsidRDefault="00921721" w:rsidP="00880D09">
            <w:pPr>
              <w:pStyle w:val="anxnormal"/>
              <w:keepNext/>
              <w:spacing w:after="120"/>
              <w:ind w:left="0"/>
              <w:rPr>
                <w:rFonts w:asciiTheme="minorHAnsi" w:hAnsiTheme="minorHAnsi"/>
                <w:u w:val="single"/>
                <w:lang w:eastAsia="en-US"/>
              </w:rPr>
            </w:pPr>
          </w:p>
          <w:p w14:paraId="4FC73361" w14:textId="77777777" w:rsidR="00921721" w:rsidRPr="00467842" w:rsidRDefault="00921721" w:rsidP="00880D09">
            <w:pPr>
              <w:pStyle w:val="anxnormal"/>
              <w:keepNext/>
              <w:spacing w:after="120"/>
              <w:ind w:left="0"/>
              <w:rPr>
                <w:rFonts w:asciiTheme="minorHAnsi" w:hAnsiTheme="minorHAnsi"/>
                <w:u w:val="single"/>
                <w:lang w:eastAsia="en-US"/>
              </w:rPr>
            </w:pPr>
            <w:r w:rsidRPr="00467842">
              <w:rPr>
                <w:rFonts w:asciiTheme="minorHAnsi" w:hAnsiTheme="minorHAnsi"/>
                <w:u w:val="single"/>
                <w:lang w:eastAsia="en-US"/>
              </w:rPr>
              <w:t>Pociągi</w:t>
            </w:r>
          </w:p>
          <w:p w14:paraId="280AF65E" w14:textId="77777777" w:rsidR="00921721" w:rsidRDefault="00921721" w:rsidP="00880D09">
            <w:pPr>
              <w:pStyle w:val="anxnormal"/>
              <w:spacing w:after="120"/>
              <w:ind w:left="0"/>
              <w:rPr>
                <w:rFonts w:asciiTheme="minorHAnsi" w:hAnsiTheme="minorHAnsi"/>
              </w:rPr>
            </w:pPr>
            <w:r w:rsidRPr="00467842">
              <w:rPr>
                <w:rFonts w:asciiTheme="minorHAnsi" w:hAnsiTheme="minorHAnsi"/>
                <w:lang w:eastAsia="en-US"/>
              </w:rPr>
              <w:t>Poniższe tabele przedstawiają współczynniki emisji gaz</w:t>
            </w:r>
            <w:r>
              <w:rPr>
                <w:rFonts w:asciiTheme="minorHAnsi" w:hAnsiTheme="minorHAnsi"/>
                <w:lang w:eastAsia="en-US"/>
              </w:rPr>
              <w:t xml:space="preserve">ów cieplarnianych dla </w:t>
            </w:r>
            <w:r w:rsidRPr="00EC7A83">
              <w:rPr>
                <w:rFonts w:asciiTheme="minorHAnsi" w:hAnsiTheme="minorHAnsi" w:cstheme="minorHAnsi"/>
                <w:lang w:eastAsia="en-US"/>
              </w:rPr>
              <w:t>pociągów</w:t>
            </w:r>
            <w:r>
              <w:rPr>
                <w:rFonts w:asciiTheme="minorHAnsi" w:hAnsiTheme="minorHAnsi" w:cstheme="minorHAnsi"/>
                <w:lang w:eastAsia="en-US"/>
              </w:rPr>
              <w:t>,</w:t>
            </w:r>
            <w:r w:rsidRPr="00EC7A83">
              <w:rPr>
                <w:rFonts w:asciiTheme="minorHAnsi" w:hAnsiTheme="minorHAnsi" w:cstheme="minorHAnsi"/>
                <w:lang w:eastAsia="en-US"/>
              </w:rPr>
              <w:t xml:space="preserve"> </w:t>
            </w:r>
            <w:r w:rsidRPr="00EC7A83">
              <w:rPr>
                <w:rFonts w:asciiTheme="minorHAnsi" w:hAnsiTheme="minorHAnsi" w:cstheme="minorHAnsi"/>
                <w:color w:val="000000"/>
              </w:rPr>
              <w:t>które wynikają z</w:t>
            </w:r>
            <w:r>
              <w:rPr>
                <w:rFonts w:asciiTheme="minorHAnsi" w:hAnsiTheme="minorHAnsi" w:cstheme="minorHAnsi"/>
                <w:color w:val="000000"/>
              </w:rPr>
              <w:t> </w:t>
            </w:r>
            <w:r w:rsidRPr="00EC7A83">
              <w:rPr>
                <w:rFonts w:asciiTheme="minorHAnsi" w:hAnsiTheme="minorHAnsi" w:cstheme="minorHAnsi"/>
                <w:color w:val="000000"/>
              </w:rPr>
              <w:t>pomnożenia wskaźn</w:t>
            </w:r>
            <w:r>
              <w:rPr>
                <w:rFonts w:asciiTheme="minorHAnsi" w:hAnsiTheme="minorHAnsi" w:cstheme="minorHAnsi"/>
                <w:color w:val="000000"/>
              </w:rPr>
              <w:t>ików zużycia energii (zgodnie z </w:t>
            </w:r>
            <w:r w:rsidRPr="00EC7A83">
              <w:rPr>
                <w:rFonts w:asciiTheme="minorHAnsi" w:hAnsiTheme="minorHAnsi" w:cstheme="minorHAnsi"/>
                <w:color w:val="000000"/>
              </w:rPr>
              <w:t>poniższą tabelą) przez współczynni</w:t>
            </w:r>
            <w:r>
              <w:rPr>
                <w:rFonts w:asciiTheme="minorHAnsi" w:hAnsiTheme="minorHAnsi" w:cstheme="minorHAnsi"/>
                <w:color w:val="000000"/>
              </w:rPr>
              <w:t>k emisji gazów cieplarnianych z </w:t>
            </w:r>
            <w:r w:rsidRPr="00EC7A83">
              <w:rPr>
                <w:rFonts w:asciiTheme="minorHAnsi" w:hAnsiTheme="minorHAnsi" w:cstheme="minorHAnsi"/>
                <w:color w:val="000000"/>
              </w:rPr>
              <w:t>sieci krajowej (tj. 668,68 gCO</w:t>
            </w:r>
            <w:r w:rsidRPr="00506A2F">
              <w:rPr>
                <w:rFonts w:asciiTheme="minorHAnsi" w:hAnsiTheme="minorHAnsi" w:cstheme="minorHAnsi"/>
                <w:color w:val="000000"/>
                <w:vertAlign w:val="subscript"/>
              </w:rPr>
              <w:t>2</w:t>
            </w:r>
            <w:r w:rsidRPr="00EC7A83">
              <w:rPr>
                <w:rFonts w:asciiTheme="minorHAnsi" w:hAnsiTheme="minorHAnsi" w:cstheme="minorHAnsi"/>
                <w:color w:val="000000"/>
              </w:rPr>
              <w:t>/kWh)</w:t>
            </w:r>
            <w:r w:rsidRPr="00EC7A83">
              <w:rPr>
                <w:rFonts w:asciiTheme="minorHAnsi" w:hAnsiTheme="minorHAnsi" w:cstheme="minorHAnsi"/>
                <w:lang w:eastAsia="en-US"/>
              </w:rPr>
              <w:t>.</w:t>
            </w:r>
            <w:r>
              <w:rPr>
                <w:rFonts w:asciiTheme="minorHAnsi" w:hAnsiTheme="minorHAnsi"/>
                <w:lang w:eastAsia="en-US"/>
              </w:rPr>
              <w:t xml:space="preserve"> Wartości współczynników emisji dotyczą </w:t>
            </w:r>
            <w:r>
              <w:rPr>
                <w:rFonts w:asciiTheme="minorHAnsi" w:hAnsiTheme="minorHAnsi"/>
              </w:rPr>
              <w:t xml:space="preserve">aktualnego roku bazowego (2021) </w:t>
            </w:r>
            <w:r w:rsidRPr="00171C62">
              <w:rPr>
                <w:rFonts w:asciiTheme="minorHAnsi" w:hAnsiTheme="minorHAnsi" w:cstheme="minorHAnsi"/>
              </w:rPr>
              <w:t>i uwzględniają aktualn</w:t>
            </w:r>
            <w:r>
              <w:rPr>
                <w:rFonts w:asciiTheme="minorHAnsi" w:hAnsiTheme="minorHAnsi" w:cstheme="minorHAnsi"/>
              </w:rPr>
              <w:t>ą</w:t>
            </w:r>
            <w:r w:rsidRPr="00171C62">
              <w:rPr>
                <w:rFonts w:asciiTheme="minorHAnsi" w:hAnsiTheme="minorHAnsi" w:cstheme="minorHAnsi"/>
              </w:rPr>
              <w:t xml:space="preserve"> </w:t>
            </w:r>
            <w:r>
              <w:rPr>
                <w:rFonts w:asciiTheme="minorHAnsi" w:hAnsiTheme="minorHAnsi"/>
              </w:rPr>
              <w:t>strukturę paliwową energetyki w Polsce.</w:t>
            </w:r>
            <w:r w:rsidRPr="00171C62">
              <w:rPr>
                <w:rFonts w:asciiTheme="minorHAnsi" w:hAnsiTheme="minorHAnsi" w:cstheme="minorHAnsi"/>
              </w:rPr>
              <w:t xml:space="preserve"> </w:t>
            </w:r>
            <w:r>
              <w:rPr>
                <w:rFonts w:asciiTheme="minorHAnsi" w:hAnsiTheme="minorHAnsi" w:cstheme="minorHAnsi"/>
                <w:color w:val="000000"/>
              </w:rPr>
              <w:t>W związku z </w:t>
            </w:r>
            <w:r w:rsidRPr="00171C62">
              <w:rPr>
                <w:rFonts w:asciiTheme="minorHAnsi" w:hAnsiTheme="minorHAnsi" w:cstheme="minorHAnsi"/>
                <w:color w:val="000000"/>
              </w:rPr>
              <w:t xml:space="preserve">tym </w:t>
            </w:r>
            <w:r>
              <w:rPr>
                <w:rFonts w:asciiTheme="minorHAnsi" w:hAnsiTheme="minorHAnsi" w:cstheme="minorHAnsi"/>
                <w:color w:val="000000"/>
              </w:rPr>
              <w:t xml:space="preserve">prognozę </w:t>
            </w:r>
            <w:r w:rsidRPr="00171C62">
              <w:rPr>
                <w:rFonts w:asciiTheme="minorHAnsi" w:hAnsiTheme="minorHAnsi" w:cstheme="minorHAnsi"/>
                <w:color w:val="000000"/>
              </w:rPr>
              <w:t>ewolucji krajowego współczynnika emisji gazów cieplarnian</w:t>
            </w:r>
            <w:r>
              <w:rPr>
                <w:rFonts w:asciiTheme="minorHAnsi" w:hAnsiTheme="minorHAnsi" w:cstheme="minorHAnsi"/>
                <w:color w:val="000000"/>
              </w:rPr>
              <w:t xml:space="preserve">ych </w:t>
            </w:r>
            <w:r w:rsidRPr="00381AFC">
              <w:rPr>
                <w:rFonts w:asciiTheme="minorHAnsi" w:hAnsiTheme="minorHAnsi"/>
              </w:rPr>
              <w:t xml:space="preserve">z wytwarzania sieciowej </w:t>
            </w:r>
            <w:r w:rsidRPr="00381AFC">
              <w:rPr>
                <w:rStyle w:val="jlqj4b"/>
                <w:rFonts w:asciiTheme="minorHAnsi" w:hAnsiTheme="minorHAnsi" w:cstheme="minorHAnsi"/>
                <w:color w:val="000000"/>
              </w:rPr>
              <w:t>energii</w:t>
            </w:r>
            <w:r w:rsidRPr="00ED063F">
              <w:rPr>
                <w:rStyle w:val="jlqj4b"/>
                <w:rFonts w:asciiTheme="minorHAnsi" w:hAnsiTheme="minorHAnsi" w:cstheme="minorHAnsi"/>
                <w:color w:val="000000"/>
              </w:rPr>
              <w:t xml:space="preserve"> elektrycznej</w:t>
            </w:r>
            <w:r>
              <w:rPr>
                <w:rFonts w:asciiTheme="minorHAnsi" w:hAnsiTheme="minorHAnsi" w:cstheme="minorHAnsi"/>
                <w:color w:val="000000"/>
              </w:rPr>
              <w:t xml:space="preserve"> należy również zastosować w </w:t>
            </w:r>
            <w:r w:rsidRPr="00171C62">
              <w:rPr>
                <w:rFonts w:asciiTheme="minorHAnsi" w:hAnsiTheme="minorHAnsi" w:cstheme="minorHAnsi"/>
                <w:color w:val="000000"/>
              </w:rPr>
              <w:t xml:space="preserve">celu uzyskania odpowiednich współczynników emisji gazów cieplarnianych dla poszczególnych rodzajów </w:t>
            </w:r>
            <w:r>
              <w:rPr>
                <w:rFonts w:asciiTheme="minorHAnsi" w:hAnsiTheme="minorHAnsi" w:cstheme="minorHAnsi"/>
                <w:color w:val="000000"/>
              </w:rPr>
              <w:t xml:space="preserve">pociągów w poszczególnych latach okresu referencyjnego analizy. </w:t>
            </w:r>
          </w:p>
          <w:p w14:paraId="479A3DBA" w14:textId="77777777" w:rsidR="00921721" w:rsidRDefault="00921721" w:rsidP="00880D09">
            <w:pPr>
              <w:pStyle w:val="anxnormal"/>
              <w:spacing w:after="120"/>
              <w:ind w:left="0"/>
              <w:rPr>
                <w:rFonts w:asciiTheme="minorHAnsi" w:hAnsiTheme="minorHAnsi"/>
              </w:rPr>
            </w:pPr>
            <w:r>
              <w:rPr>
                <w:rFonts w:asciiTheme="minorHAnsi" w:hAnsiTheme="minorHAnsi"/>
              </w:rPr>
              <w:t xml:space="preserve">Nie dotyczy to pociągów spalinowych. </w:t>
            </w:r>
          </w:p>
          <w:p w14:paraId="033EF0A6" w14:textId="77777777" w:rsidR="00921721" w:rsidRPr="00467842" w:rsidRDefault="00921721" w:rsidP="00880D09">
            <w:pPr>
              <w:pStyle w:val="anxnormal"/>
              <w:spacing w:after="120"/>
              <w:ind w:left="0"/>
              <w:rPr>
                <w:rFonts w:asciiTheme="minorHAnsi" w:hAnsiTheme="minorHAnsi"/>
                <w:lang w:eastAsia="en-US"/>
              </w:rPr>
            </w:pPr>
            <w:r>
              <w:rPr>
                <w:rFonts w:asciiTheme="minorHAnsi" w:hAnsiTheme="minorHAnsi"/>
              </w:rPr>
              <w:t xml:space="preserve">Projekcje wartości współczynników emisji dla pociągów zawiera </w:t>
            </w:r>
            <w:r w:rsidRPr="00B92BFA">
              <w:rPr>
                <w:rFonts w:asciiTheme="minorHAnsi" w:hAnsiTheme="minorHAnsi"/>
                <w:b/>
                <w:i/>
              </w:rPr>
              <w:t>plik Excel</w:t>
            </w:r>
            <w:r>
              <w:rPr>
                <w:rFonts w:asciiTheme="minorHAnsi" w:hAnsiTheme="minorHAnsi"/>
              </w:rPr>
              <w:t xml:space="preserve"> opracowany w związku z Niebieskimi Księgami. </w:t>
            </w:r>
          </w:p>
          <w:tbl>
            <w:tblPr>
              <w:tblW w:w="6691" w:type="dxa"/>
              <w:tblLayout w:type="fixed"/>
              <w:tblLook w:val="04A0" w:firstRow="1" w:lastRow="0" w:firstColumn="1" w:lastColumn="0" w:noHBand="0" w:noVBand="1"/>
            </w:tblPr>
            <w:tblGrid>
              <w:gridCol w:w="1647"/>
              <w:gridCol w:w="2359"/>
              <w:gridCol w:w="1339"/>
              <w:gridCol w:w="1337"/>
              <w:gridCol w:w="9"/>
            </w:tblGrid>
            <w:tr w:rsidR="00921721" w:rsidRPr="00D0310E" w14:paraId="138D50E0" w14:textId="77777777" w:rsidTr="00921721">
              <w:trPr>
                <w:trHeight w:hRule="exact" w:val="1207"/>
              </w:trPr>
              <w:tc>
                <w:tcPr>
                  <w:tcW w:w="164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0A2CF3F"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D0310E">
                    <w:rPr>
                      <w:rFonts w:asciiTheme="minorHAnsi" w:hAnsiTheme="minorHAnsi" w:cs="Arial"/>
                      <w:b/>
                      <w:bCs/>
                      <w:color w:val="FFFFFF"/>
                      <w:sz w:val="18"/>
                      <w:szCs w:val="18"/>
                      <w:lang w:val="en-GB"/>
                    </w:rPr>
                    <w:t>Pociągi pasażerskie</w:t>
                  </w:r>
                </w:p>
              </w:tc>
              <w:tc>
                <w:tcPr>
                  <w:tcW w:w="236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0F56D8C"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p>
              </w:tc>
              <w:tc>
                <w:tcPr>
                  <w:tcW w:w="1340"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02784D2F"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 xml:space="preserve">Zużycie energii </w:t>
                  </w:r>
                  <w:r w:rsidRPr="002C6855">
                    <w:rPr>
                      <w:rFonts w:asciiTheme="minorHAnsi" w:hAnsiTheme="minorHAnsi" w:cs="Arial"/>
                      <w:b/>
                      <w:bCs/>
                      <w:color w:val="FFFFFF"/>
                      <w:sz w:val="18"/>
                      <w:szCs w:val="18"/>
                    </w:rPr>
                    <w:br/>
                    <w:t xml:space="preserve">(kWh/ </w:t>
                  </w:r>
                  <w:r>
                    <w:rPr>
                      <w:rFonts w:asciiTheme="minorHAnsi" w:hAnsiTheme="minorHAnsi" w:cs="Arial"/>
                      <w:b/>
                      <w:bCs/>
                      <w:color w:val="FFFFFF"/>
                      <w:sz w:val="18"/>
                      <w:szCs w:val="18"/>
                    </w:rPr>
                    <w:t>miejsco</w:t>
                  </w:r>
                  <w:r w:rsidRPr="002C6855">
                    <w:rPr>
                      <w:rFonts w:asciiTheme="minorHAnsi" w:hAnsiTheme="minorHAnsi" w:cs="Arial"/>
                      <w:b/>
                      <w:bCs/>
                      <w:color w:val="FFFFFF"/>
                      <w:sz w:val="18"/>
                      <w:szCs w:val="18"/>
                    </w:rPr>
                    <w:t>-km)</w:t>
                  </w:r>
                </w:p>
              </w:tc>
              <w:tc>
                <w:tcPr>
                  <w:tcW w:w="1340"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C35B5D3"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 xml:space="preserve">Emisyjność GHG </w:t>
                  </w:r>
                  <w:r>
                    <w:rPr>
                      <w:rFonts w:asciiTheme="minorHAnsi" w:hAnsiTheme="minorHAnsi" w:cs="Arial"/>
                      <w:b/>
                      <w:bCs/>
                      <w:color w:val="FFFFFF"/>
                      <w:sz w:val="18"/>
                      <w:szCs w:val="18"/>
                    </w:rPr>
                    <w:t>2021</w:t>
                  </w:r>
                  <w:r w:rsidRPr="002C6855">
                    <w:rPr>
                      <w:rFonts w:asciiTheme="minorHAnsi" w:hAnsiTheme="minorHAnsi" w:cs="Arial"/>
                      <w:b/>
                      <w:bCs/>
                      <w:color w:val="FFFFFF"/>
                      <w:sz w:val="18"/>
                      <w:szCs w:val="18"/>
                    </w:rPr>
                    <w:t xml:space="preserve">(*) </w:t>
                  </w:r>
                  <w:r w:rsidRPr="002C6855">
                    <w:rPr>
                      <w:rFonts w:asciiTheme="minorHAnsi" w:hAnsiTheme="minorHAnsi" w:cs="Arial"/>
                      <w:b/>
                      <w:bCs/>
                      <w:color w:val="FFFFFF"/>
                      <w:sz w:val="18"/>
                      <w:szCs w:val="18"/>
                    </w:rPr>
                    <w:br/>
                    <w:t>[gCO</w:t>
                  </w:r>
                  <w:r w:rsidRPr="00EF0D43">
                    <w:rPr>
                      <w:rFonts w:asciiTheme="minorHAnsi" w:hAnsiTheme="minorHAnsi" w:cs="Arial"/>
                      <w:b/>
                      <w:bCs/>
                      <w:color w:val="FFFFFF"/>
                      <w:sz w:val="18"/>
                      <w:szCs w:val="18"/>
                      <w:vertAlign w:val="subscript"/>
                    </w:rPr>
                    <w:t>2</w:t>
                  </w:r>
                  <w:r w:rsidRPr="002C6855">
                    <w:rPr>
                      <w:rFonts w:asciiTheme="minorHAnsi" w:hAnsiTheme="minorHAnsi" w:cs="Arial"/>
                      <w:b/>
                      <w:bCs/>
                      <w:color w:val="FFFFFF"/>
                      <w:sz w:val="18"/>
                      <w:szCs w:val="18"/>
                    </w:rPr>
                    <w:t xml:space="preserve">e/ </w:t>
                  </w:r>
                  <w:r>
                    <w:rPr>
                      <w:rFonts w:asciiTheme="minorHAnsi" w:hAnsiTheme="minorHAnsi" w:cs="Arial"/>
                      <w:b/>
                      <w:bCs/>
                      <w:color w:val="FFFFFF"/>
                      <w:sz w:val="18"/>
                      <w:szCs w:val="18"/>
                    </w:rPr>
                    <w:t>miejsco</w:t>
                  </w:r>
                  <w:r w:rsidRPr="002C6855">
                    <w:rPr>
                      <w:rFonts w:asciiTheme="minorHAnsi" w:hAnsiTheme="minorHAnsi" w:cs="Arial"/>
                      <w:b/>
                      <w:bCs/>
                      <w:color w:val="FFFFFF"/>
                      <w:sz w:val="18"/>
                      <w:szCs w:val="18"/>
                    </w:rPr>
                    <w:t>-km]</w:t>
                  </w:r>
                </w:p>
              </w:tc>
            </w:tr>
            <w:tr w:rsidR="00921721" w:rsidRPr="006856C6" w14:paraId="6E7A87BE" w14:textId="77777777" w:rsidTr="00921721">
              <w:trPr>
                <w:trHeight w:val="271"/>
              </w:trPr>
              <w:tc>
                <w:tcPr>
                  <w:tcW w:w="1649" w:type="dxa"/>
                  <w:vMerge w:val="restart"/>
                  <w:tcBorders>
                    <w:top w:val="single" w:sz="4" w:space="0" w:color="FFFFFF"/>
                    <w:left w:val="single" w:sz="4" w:space="0" w:color="FFFFFF"/>
                    <w:right w:val="nil"/>
                  </w:tcBorders>
                  <w:shd w:val="clear" w:color="auto" w:fill="DBE5F1" w:themeFill="accent1" w:themeFillTint="33"/>
                  <w:vAlign w:val="center"/>
                </w:tcPr>
                <w:p w14:paraId="2F64571A"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E</w:t>
                  </w:r>
                  <w:r w:rsidRPr="00D0310E">
                    <w:rPr>
                      <w:rFonts w:asciiTheme="minorHAnsi" w:hAnsiTheme="minorHAnsi" w:cs="Arial"/>
                      <w:color w:val="4F81BD" w:themeColor="accent1"/>
                      <w:sz w:val="18"/>
                      <w:szCs w:val="18"/>
                      <w:lang w:val="en-GB"/>
                    </w:rPr>
                    <w:t>lektryczne</w:t>
                  </w:r>
                </w:p>
              </w:tc>
              <w:tc>
                <w:tcPr>
                  <w:tcW w:w="236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76E3CFD" w14:textId="77777777" w:rsidR="00921721" w:rsidRPr="00387FFD" w:rsidRDefault="00921721" w:rsidP="00880D09">
                  <w:pPr>
                    <w:jc w:val="center"/>
                    <w:rPr>
                      <w:rFonts w:asciiTheme="minorHAnsi" w:hAnsiTheme="minorHAnsi" w:cs="Arial"/>
                      <w:color w:val="4F81BD" w:themeColor="accent1"/>
                      <w:sz w:val="18"/>
                      <w:szCs w:val="18"/>
                      <w:lang w:val="fr-BE"/>
                    </w:rPr>
                  </w:pPr>
                  <w:r w:rsidRPr="00387FFD">
                    <w:rPr>
                      <w:rFonts w:asciiTheme="minorHAnsi" w:hAnsiTheme="minorHAnsi" w:cs="Arial"/>
                      <w:color w:val="4F81BD" w:themeColor="accent1"/>
                      <w:sz w:val="18"/>
                      <w:szCs w:val="18"/>
                      <w:lang w:val="fr-BE"/>
                    </w:rPr>
                    <w:t>Średnio, wszystkie rodzaje</w:t>
                  </w:r>
                </w:p>
              </w:tc>
              <w:tc>
                <w:tcPr>
                  <w:tcW w:w="134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1B2686C3" w14:textId="77777777" w:rsidR="00921721" w:rsidRPr="00265281"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031</w:t>
                  </w:r>
                </w:p>
              </w:tc>
              <w:tc>
                <w:tcPr>
                  <w:tcW w:w="1340" w:type="dxa"/>
                  <w:gridSpan w:val="2"/>
                  <w:tcBorders>
                    <w:top w:val="single" w:sz="4" w:space="0" w:color="FFFFFF"/>
                    <w:left w:val="single" w:sz="4" w:space="0" w:color="FFFFFF"/>
                    <w:bottom w:val="single" w:sz="4" w:space="0" w:color="FFFFFF"/>
                    <w:right w:val="nil"/>
                  </w:tcBorders>
                  <w:shd w:val="clear" w:color="auto" w:fill="DBE5F1" w:themeFill="accent1" w:themeFillTint="33"/>
                  <w:vAlign w:val="center"/>
                </w:tcPr>
                <w:p w14:paraId="300C99F1" w14:textId="77777777" w:rsidR="00921721" w:rsidRPr="00D229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20,43</w:t>
                  </w:r>
                  <w:r>
                    <w:rPr>
                      <w:rFonts w:asciiTheme="minorHAnsi" w:hAnsiTheme="minorHAnsi" w:cs="Arial"/>
                      <w:color w:val="4F81BD" w:themeColor="accent1"/>
                      <w:sz w:val="18"/>
                      <w:szCs w:val="18"/>
                      <w:lang w:val="en-GB"/>
                    </w:rPr>
                    <w:t xml:space="preserve"> </w:t>
                  </w:r>
                </w:p>
              </w:tc>
            </w:tr>
            <w:tr w:rsidR="00921721" w:rsidRPr="006856C6" w14:paraId="59639346" w14:textId="77777777" w:rsidTr="00921721">
              <w:trPr>
                <w:trHeight w:val="271"/>
              </w:trPr>
              <w:tc>
                <w:tcPr>
                  <w:tcW w:w="1649" w:type="dxa"/>
                  <w:vMerge/>
                  <w:tcBorders>
                    <w:left w:val="single" w:sz="4" w:space="0" w:color="FFFFFF"/>
                    <w:right w:val="nil"/>
                  </w:tcBorders>
                  <w:shd w:val="clear" w:color="auto" w:fill="DBE5F1" w:themeFill="accent1" w:themeFillTint="33"/>
                  <w:vAlign w:val="center"/>
                </w:tcPr>
                <w:p w14:paraId="6DB67204"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p>
              </w:tc>
              <w:tc>
                <w:tcPr>
                  <w:tcW w:w="236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B40F62C" w14:textId="77777777" w:rsidR="00921721" w:rsidRPr="00387FFD" w:rsidRDefault="00921721" w:rsidP="00880D09">
                  <w:pPr>
                    <w:jc w:val="center"/>
                    <w:rPr>
                      <w:rFonts w:asciiTheme="minorHAnsi" w:hAnsiTheme="minorHAnsi" w:cs="Arial"/>
                      <w:color w:val="4F81BD" w:themeColor="accent1"/>
                      <w:sz w:val="18"/>
                      <w:szCs w:val="18"/>
                      <w:lang w:val="fr-BE"/>
                    </w:rPr>
                  </w:pPr>
                  <w:r w:rsidRPr="00387FFD">
                    <w:rPr>
                      <w:rFonts w:asciiTheme="minorHAnsi" w:hAnsiTheme="minorHAnsi" w:cs="Arial"/>
                      <w:color w:val="4F81BD" w:themeColor="accent1"/>
                      <w:sz w:val="18"/>
                      <w:szCs w:val="18"/>
                      <w:lang w:val="fr-BE"/>
                    </w:rPr>
                    <w:t>Regionalne i Podmiejskie</w:t>
                  </w:r>
                </w:p>
              </w:tc>
              <w:tc>
                <w:tcPr>
                  <w:tcW w:w="134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5630AD0E" w14:textId="77777777" w:rsidR="00921721" w:rsidRPr="00265281"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025</w:t>
                  </w:r>
                </w:p>
              </w:tc>
              <w:tc>
                <w:tcPr>
                  <w:tcW w:w="1340" w:type="dxa"/>
                  <w:gridSpan w:val="2"/>
                  <w:tcBorders>
                    <w:top w:val="single" w:sz="4" w:space="0" w:color="FFFFFF"/>
                    <w:left w:val="single" w:sz="4" w:space="0" w:color="FFFFFF"/>
                    <w:bottom w:val="single" w:sz="4" w:space="0" w:color="FFFFFF"/>
                    <w:right w:val="nil"/>
                  </w:tcBorders>
                  <w:shd w:val="clear" w:color="auto" w:fill="DBE5F1" w:themeFill="accent1" w:themeFillTint="33"/>
                  <w:vAlign w:val="center"/>
                </w:tcPr>
                <w:p w14:paraId="246BDF55" w14:textId="77777777" w:rsidR="00921721" w:rsidRPr="00D229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16,72</w:t>
                  </w:r>
                  <w:r>
                    <w:rPr>
                      <w:rFonts w:asciiTheme="minorHAnsi" w:hAnsiTheme="minorHAnsi" w:cs="Arial"/>
                      <w:color w:val="4F81BD" w:themeColor="accent1"/>
                      <w:sz w:val="18"/>
                      <w:szCs w:val="18"/>
                      <w:lang w:val="en-GB"/>
                    </w:rPr>
                    <w:t xml:space="preserve"> </w:t>
                  </w:r>
                </w:p>
              </w:tc>
            </w:tr>
            <w:tr w:rsidR="00921721" w:rsidRPr="006856C6" w14:paraId="2429EA66" w14:textId="77777777" w:rsidTr="00921721">
              <w:trPr>
                <w:trHeight w:val="271"/>
              </w:trPr>
              <w:tc>
                <w:tcPr>
                  <w:tcW w:w="1649" w:type="dxa"/>
                  <w:vMerge/>
                  <w:tcBorders>
                    <w:left w:val="single" w:sz="4" w:space="0" w:color="FFFFFF"/>
                    <w:right w:val="nil"/>
                  </w:tcBorders>
                  <w:shd w:val="clear" w:color="auto" w:fill="DBE5F1" w:themeFill="accent1" w:themeFillTint="33"/>
                  <w:vAlign w:val="center"/>
                </w:tcPr>
                <w:p w14:paraId="5C15C4A3"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36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A2583BF" w14:textId="77777777" w:rsidR="00921721" w:rsidRPr="00387FFD" w:rsidRDefault="00921721" w:rsidP="00880D09">
                  <w:pPr>
                    <w:jc w:val="center"/>
                    <w:rPr>
                      <w:rFonts w:asciiTheme="minorHAnsi" w:hAnsiTheme="minorHAnsi" w:cs="Arial"/>
                      <w:color w:val="4F81BD" w:themeColor="accent1"/>
                      <w:sz w:val="18"/>
                      <w:szCs w:val="18"/>
                      <w:lang w:val="fr-BE"/>
                    </w:rPr>
                  </w:pPr>
                  <w:r w:rsidRPr="00387FFD">
                    <w:rPr>
                      <w:rFonts w:asciiTheme="minorHAnsi" w:hAnsiTheme="minorHAnsi" w:cs="Arial"/>
                      <w:color w:val="4F81BD" w:themeColor="accent1"/>
                      <w:sz w:val="18"/>
                      <w:szCs w:val="18"/>
                      <w:lang w:val="fr-BE"/>
                    </w:rPr>
                    <w:t>Międzyaglomeracyjne</w:t>
                  </w:r>
                </w:p>
              </w:tc>
              <w:tc>
                <w:tcPr>
                  <w:tcW w:w="134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1C3C0AC2" w14:textId="77777777" w:rsidR="00921721" w:rsidRPr="00265281"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033</w:t>
                  </w:r>
                </w:p>
              </w:tc>
              <w:tc>
                <w:tcPr>
                  <w:tcW w:w="1340" w:type="dxa"/>
                  <w:gridSpan w:val="2"/>
                  <w:tcBorders>
                    <w:top w:val="single" w:sz="4" w:space="0" w:color="FFFFFF"/>
                    <w:left w:val="single" w:sz="4" w:space="0" w:color="FFFFFF"/>
                    <w:bottom w:val="single" w:sz="4" w:space="0" w:color="FFFFFF"/>
                    <w:right w:val="nil"/>
                  </w:tcBorders>
                  <w:shd w:val="clear" w:color="auto" w:fill="DBE5F1" w:themeFill="accent1" w:themeFillTint="33"/>
                  <w:vAlign w:val="center"/>
                </w:tcPr>
                <w:p w14:paraId="46757C2F" w14:textId="77777777" w:rsidR="00921721" w:rsidRPr="00265281"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22,29</w:t>
                  </w:r>
                  <w:r>
                    <w:rPr>
                      <w:rFonts w:asciiTheme="minorHAnsi" w:hAnsiTheme="minorHAnsi" w:cs="Arial"/>
                      <w:color w:val="4F81BD" w:themeColor="accent1"/>
                      <w:sz w:val="18"/>
                      <w:szCs w:val="18"/>
                      <w:lang w:val="en-GB"/>
                    </w:rPr>
                    <w:t xml:space="preserve"> </w:t>
                  </w:r>
                </w:p>
              </w:tc>
            </w:tr>
            <w:tr w:rsidR="00921721" w:rsidRPr="006856C6" w14:paraId="0FF3EC90" w14:textId="77777777" w:rsidTr="00921721">
              <w:trPr>
                <w:trHeight w:val="271"/>
              </w:trPr>
              <w:tc>
                <w:tcPr>
                  <w:tcW w:w="1649" w:type="dxa"/>
                  <w:vMerge/>
                  <w:tcBorders>
                    <w:left w:val="single" w:sz="4" w:space="0" w:color="FFFFFF"/>
                    <w:bottom w:val="single" w:sz="4" w:space="0" w:color="FFFFFF"/>
                    <w:right w:val="nil"/>
                  </w:tcBorders>
                  <w:shd w:val="clear" w:color="auto" w:fill="DBE5F1" w:themeFill="accent1" w:themeFillTint="33"/>
                  <w:vAlign w:val="center"/>
                </w:tcPr>
                <w:p w14:paraId="7711FDEE"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36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477A1E" w14:textId="77777777" w:rsidR="00921721" w:rsidRPr="00387FFD" w:rsidRDefault="00921721" w:rsidP="00880D09">
                  <w:pPr>
                    <w:jc w:val="center"/>
                    <w:rPr>
                      <w:rFonts w:asciiTheme="minorHAnsi" w:hAnsiTheme="minorHAnsi" w:cs="Arial"/>
                      <w:color w:val="4F81BD" w:themeColor="accent1"/>
                      <w:sz w:val="18"/>
                      <w:szCs w:val="18"/>
                      <w:lang w:val="fr-BE"/>
                    </w:rPr>
                  </w:pPr>
                  <w:r w:rsidRPr="00387FFD">
                    <w:rPr>
                      <w:rFonts w:asciiTheme="minorHAnsi" w:hAnsiTheme="minorHAnsi" w:cs="Arial"/>
                      <w:color w:val="4F81BD" w:themeColor="accent1"/>
                      <w:sz w:val="18"/>
                      <w:szCs w:val="18"/>
                      <w:lang w:val="fr-BE"/>
                    </w:rPr>
                    <w:t>Pociągi dużej prędkości</w:t>
                  </w:r>
                </w:p>
              </w:tc>
              <w:tc>
                <w:tcPr>
                  <w:tcW w:w="134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39247EAE" w14:textId="77777777" w:rsidR="00921721" w:rsidRPr="00265281"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031</w:t>
                  </w:r>
                </w:p>
              </w:tc>
              <w:tc>
                <w:tcPr>
                  <w:tcW w:w="1340" w:type="dxa"/>
                  <w:gridSpan w:val="2"/>
                  <w:tcBorders>
                    <w:top w:val="single" w:sz="4" w:space="0" w:color="FFFFFF"/>
                    <w:left w:val="single" w:sz="4" w:space="0" w:color="FFFFFF"/>
                    <w:bottom w:val="single" w:sz="4" w:space="0" w:color="FFFFFF"/>
                    <w:right w:val="nil"/>
                  </w:tcBorders>
                  <w:shd w:val="clear" w:color="auto" w:fill="DBE5F1" w:themeFill="accent1" w:themeFillTint="33"/>
                  <w:vAlign w:val="center"/>
                </w:tcPr>
                <w:p w14:paraId="481CB260" w14:textId="77777777" w:rsidR="00921721" w:rsidRPr="00265281"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20,43</w:t>
                  </w:r>
                  <w:r>
                    <w:rPr>
                      <w:rFonts w:asciiTheme="minorHAnsi" w:hAnsiTheme="minorHAnsi" w:cs="Arial"/>
                      <w:color w:val="4F81BD" w:themeColor="accent1"/>
                      <w:sz w:val="18"/>
                      <w:szCs w:val="18"/>
                      <w:lang w:val="en-GB"/>
                    </w:rPr>
                    <w:t xml:space="preserve"> </w:t>
                  </w:r>
                </w:p>
              </w:tc>
            </w:tr>
            <w:tr w:rsidR="00921721" w:rsidRPr="003E7EB2" w14:paraId="16215334" w14:textId="77777777" w:rsidTr="00921721">
              <w:trPr>
                <w:trHeight w:val="271"/>
              </w:trPr>
              <w:tc>
                <w:tcPr>
                  <w:tcW w:w="1649" w:type="dxa"/>
                  <w:vMerge w:val="restart"/>
                  <w:tcBorders>
                    <w:top w:val="single" w:sz="4" w:space="0" w:color="FFFFFF"/>
                    <w:left w:val="single" w:sz="4" w:space="0" w:color="FFFFFF"/>
                    <w:right w:val="nil"/>
                  </w:tcBorders>
                  <w:shd w:val="clear" w:color="auto" w:fill="DBE5F1" w:themeFill="accent1" w:themeFillTint="33"/>
                  <w:vAlign w:val="center"/>
                </w:tcPr>
                <w:p w14:paraId="1BC70211"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Diesel</w:t>
                  </w:r>
                </w:p>
              </w:tc>
              <w:tc>
                <w:tcPr>
                  <w:tcW w:w="236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CA71108" w14:textId="77777777" w:rsidR="00921721" w:rsidRPr="00387FFD" w:rsidRDefault="00921721" w:rsidP="00880D09">
                  <w:pPr>
                    <w:jc w:val="center"/>
                    <w:rPr>
                      <w:rFonts w:asciiTheme="minorHAnsi" w:hAnsiTheme="minorHAnsi" w:cs="Arial"/>
                      <w:color w:val="4F81BD" w:themeColor="accent1"/>
                      <w:sz w:val="18"/>
                      <w:szCs w:val="18"/>
                      <w:lang w:val="fr-BE"/>
                    </w:rPr>
                  </w:pPr>
                  <w:r w:rsidRPr="00387FFD">
                    <w:rPr>
                      <w:rFonts w:asciiTheme="minorHAnsi" w:hAnsiTheme="minorHAnsi" w:cs="Arial"/>
                      <w:color w:val="4F81BD" w:themeColor="accent1"/>
                      <w:sz w:val="18"/>
                      <w:szCs w:val="18"/>
                      <w:lang w:val="fr-BE"/>
                    </w:rPr>
                    <w:t>Średnio, wszystkie rodzaje</w:t>
                  </w:r>
                </w:p>
              </w:tc>
              <w:tc>
                <w:tcPr>
                  <w:tcW w:w="134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704524FD" w14:textId="77777777" w:rsidR="00921721" w:rsidRPr="00265281"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072</w:t>
                  </w:r>
                </w:p>
              </w:tc>
              <w:tc>
                <w:tcPr>
                  <w:tcW w:w="1340" w:type="dxa"/>
                  <w:gridSpan w:val="2"/>
                  <w:tcBorders>
                    <w:top w:val="single" w:sz="4" w:space="0" w:color="FFFFFF"/>
                    <w:left w:val="single" w:sz="4" w:space="0" w:color="FFFFFF"/>
                    <w:bottom w:val="single" w:sz="4" w:space="0" w:color="FFFFFF"/>
                    <w:right w:val="nil"/>
                  </w:tcBorders>
                  <w:shd w:val="clear" w:color="auto" w:fill="DBE5F1" w:themeFill="accent1" w:themeFillTint="33"/>
                  <w:vAlign w:val="center"/>
                </w:tcPr>
                <w:p w14:paraId="27A8E9E2" w14:textId="77777777" w:rsidR="00921721" w:rsidRPr="00265281"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70,43</w:t>
                  </w:r>
                  <w:r>
                    <w:rPr>
                      <w:rFonts w:asciiTheme="minorHAnsi" w:hAnsiTheme="minorHAnsi" w:cs="Arial"/>
                      <w:color w:val="4F81BD" w:themeColor="accent1"/>
                      <w:sz w:val="18"/>
                      <w:szCs w:val="18"/>
                      <w:lang w:val="en-GB"/>
                    </w:rPr>
                    <w:t xml:space="preserve"> </w:t>
                  </w:r>
                </w:p>
              </w:tc>
            </w:tr>
            <w:tr w:rsidR="00921721" w:rsidRPr="003E7EB2" w14:paraId="73600247" w14:textId="77777777" w:rsidTr="00921721">
              <w:trPr>
                <w:trHeight w:val="271"/>
              </w:trPr>
              <w:tc>
                <w:tcPr>
                  <w:tcW w:w="1649" w:type="dxa"/>
                  <w:vMerge/>
                  <w:tcBorders>
                    <w:left w:val="single" w:sz="4" w:space="0" w:color="FFFFFF"/>
                    <w:right w:val="nil"/>
                  </w:tcBorders>
                  <w:shd w:val="clear" w:color="auto" w:fill="DBE5F1" w:themeFill="accent1" w:themeFillTint="33"/>
                  <w:vAlign w:val="center"/>
                </w:tcPr>
                <w:p w14:paraId="1781AC0A"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36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4B1AD4F" w14:textId="77777777" w:rsidR="00921721" w:rsidRPr="00387FFD" w:rsidRDefault="00921721" w:rsidP="00880D09">
                  <w:pPr>
                    <w:jc w:val="center"/>
                    <w:rPr>
                      <w:rFonts w:asciiTheme="minorHAnsi" w:hAnsiTheme="minorHAnsi" w:cs="Arial"/>
                      <w:color w:val="4F81BD" w:themeColor="accent1"/>
                      <w:sz w:val="18"/>
                      <w:szCs w:val="18"/>
                      <w:lang w:val="fr-BE"/>
                    </w:rPr>
                  </w:pPr>
                  <w:r w:rsidRPr="00387FFD">
                    <w:rPr>
                      <w:rFonts w:asciiTheme="minorHAnsi" w:hAnsiTheme="minorHAnsi" w:cs="Arial"/>
                      <w:color w:val="4F81BD" w:themeColor="accent1"/>
                      <w:sz w:val="18"/>
                      <w:szCs w:val="18"/>
                      <w:lang w:val="fr-BE"/>
                    </w:rPr>
                    <w:t>Regionalne i Podmiejskie</w:t>
                  </w:r>
                </w:p>
              </w:tc>
              <w:tc>
                <w:tcPr>
                  <w:tcW w:w="134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0F5299F3" w14:textId="77777777" w:rsidR="00921721" w:rsidRPr="00265281"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061</w:t>
                  </w:r>
                </w:p>
              </w:tc>
              <w:tc>
                <w:tcPr>
                  <w:tcW w:w="1340" w:type="dxa"/>
                  <w:gridSpan w:val="2"/>
                  <w:tcBorders>
                    <w:top w:val="single" w:sz="4" w:space="0" w:color="FFFFFF"/>
                    <w:left w:val="single" w:sz="4" w:space="0" w:color="FFFFFF"/>
                    <w:bottom w:val="single" w:sz="4" w:space="0" w:color="FFFFFF"/>
                    <w:right w:val="nil"/>
                  </w:tcBorders>
                  <w:shd w:val="clear" w:color="auto" w:fill="DBE5F1" w:themeFill="accent1" w:themeFillTint="33"/>
                  <w:vAlign w:val="center"/>
                </w:tcPr>
                <w:p w14:paraId="6EE8C87B" w14:textId="77777777" w:rsidR="00921721" w:rsidRPr="00265281"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59,34</w:t>
                  </w:r>
                  <w:r>
                    <w:rPr>
                      <w:rFonts w:asciiTheme="minorHAnsi" w:hAnsiTheme="minorHAnsi" w:cs="Arial"/>
                      <w:color w:val="4F81BD" w:themeColor="accent1"/>
                      <w:sz w:val="18"/>
                      <w:szCs w:val="18"/>
                      <w:lang w:val="en-GB"/>
                    </w:rPr>
                    <w:t xml:space="preserve"> </w:t>
                  </w:r>
                </w:p>
              </w:tc>
            </w:tr>
            <w:tr w:rsidR="00921721" w:rsidRPr="003E7EB2" w14:paraId="2CDC4A17" w14:textId="77777777" w:rsidTr="00921721">
              <w:trPr>
                <w:trHeight w:val="271"/>
              </w:trPr>
              <w:tc>
                <w:tcPr>
                  <w:tcW w:w="1649" w:type="dxa"/>
                  <w:vMerge/>
                  <w:tcBorders>
                    <w:left w:val="single" w:sz="4" w:space="0" w:color="FFFFFF"/>
                    <w:right w:val="nil"/>
                  </w:tcBorders>
                  <w:shd w:val="clear" w:color="auto" w:fill="DBE5F1" w:themeFill="accent1" w:themeFillTint="33"/>
                  <w:vAlign w:val="center"/>
                </w:tcPr>
                <w:p w14:paraId="454457B4"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36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9E55C3F" w14:textId="77777777" w:rsidR="00921721" w:rsidRPr="00387FFD" w:rsidRDefault="00921721" w:rsidP="00880D09">
                  <w:pPr>
                    <w:jc w:val="center"/>
                    <w:rPr>
                      <w:rFonts w:asciiTheme="minorHAnsi" w:hAnsiTheme="minorHAnsi" w:cs="Arial"/>
                      <w:color w:val="4F81BD" w:themeColor="accent1"/>
                      <w:sz w:val="18"/>
                      <w:szCs w:val="18"/>
                      <w:lang w:val="fr-BE"/>
                    </w:rPr>
                  </w:pPr>
                  <w:r w:rsidRPr="00387FFD">
                    <w:rPr>
                      <w:rFonts w:asciiTheme="minorHAnsi" w:hAnsiTheme="minorHAnsi" w:cs="Arial"/>
                      <w:color w:val="4F81BD" w:themeColor="accent1"/>
                      <w:sz w:val="18"/>
                      <w:szCs w:val="18"/>
                      <w:lang w:val="fr-BE"/>
                    </w:rPr>
                    <w:t>Międzyaglomeracyjne</w:t>
                  </w:r>
                </w:p>
              </w:tc>
              <w:tc>
                <w:tcPr>
                  <w:tcW w:w="1340"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1F10BE25" w14:textId="77777777" w:rsidR="00921721" w:rsidRPr="00374624"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086</w:t>
                  </w:r>
                </w:p>
              </w:tc>
              <w:tc>
                <w:tcPr>
                  <w:tcW w:w="1340" w:type="dxa"/>
                  <w:gridSpan w:val="2"/>
                  <w:tcBorders>
                    <w:top w:val="single" w:sz="4" w:space="0" w:color="FFFFFF"/>
                    <w:left w:val="single" w:sz="4" w:space="0" w:color="FFFFFF"/>
                    <w:bottom w:val="single" w:sz="4" w:space="0" w:color="FFFFFF"/>
                    <w:right w:val="nil"/>
                  </w:tcBorders>
                  <w:shd w:val="clear" w:color="auto" w:fill="DBE5F1" w:themeFill="accent1" w:themeFillTint="33"/>
                  <w:vAlign w:val="center"/>
                </w:tcPr>
                <w:p w14:paraId="605B6270" w14:textId="77777777" w:rsidR="00921721" w:rsidRPr="00374624"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83,61</w:t>
                  </w:r>
                  <w:r>
                    <w:rPr>
                      <w:rFonts w:asciiTheme="minorHAnsi" w:hAnsiTheme="minorHAnsi" w:cs="Arial"/>
                      <w:color w:val="4F81BD" w:themeColor="accent1"/>
                      <w:sz w:val="18"/>
                      <w:szCs w:val="18"/>
                      <w:lang w:val="en-GB"/>
                    </w:rPr>
                    <w:t xml:space="preserve"> </w:t>
                  </w:r>
                </w:p>
              </w:tc>
            </w:tr>
            <w:tr w:rsidR="00921721" w:rsidRPr="00D0310E" w14:paraId="7897E746" w14:textId="77777777" w:rsidTr="00921721">
              <w:trPr>
                <w:gridAfter w:val="1"/>
                <w:wAfter w:w="9" w:type="dxa"/>
                <w:trHeight w:hRule="exact" w:val="946"/>
              </w:trPr>
              <w:tc>
                <w:tcPr>
                  <w:tcW w:w="1647"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AF19C14"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D0310E">
                    <w:rPr>
                      <w:rFonts w:asciiTheme="minorHAnsi" w:hAnsiTheme="minorHAnsi" w:cs="Arial"/>
                      <w:b/>
                      <w:bCs/>
                      <w:color w:val="FFFFFF"/>
                      <w:sz w:val="18"/>
                      <w:szCs w:val="18"/>
                      <w:lang w:val="en-GB"/>
                    </w:rPr>
                    <w:t>Pociągi towarowe</w:t>
                  </w:r>
                </w:p>
              </w:tc>
              <w:tc>
                <w:tcPr>
                  <w:tcW w:w="235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1FD96F0"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p>
              </w:tc>
              <w:tc>
                <w:tcPr>
                  <w:tcW w:w="1338"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08944FC8"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 xml:space="preserve">Zużycie energii </w:t>
                  </w:r>
                  <w:r w:rsidRPr="002C6855">
                    <w:rPr>
                      <w:rFonts w:asciiTheme="minorHAnsi" w:hAnsiTheme="minorHAnsi" w:cs="Arial"/>
                      <w:b/>
                      <w:bCs/>
                      <w:color w:val="FFFFFF"/>
                      <w:sz w:val="18"/>
                      <w:szCs w:val="18"/>
                    </w:rPr>
                    <w:br/>
                    <w:t>(kWh/ poc-km)</w:t>
                  </w:r>
                </w:p>
              </w:tc>
              <w:tc>
                <w:tcPr>
                  <w:tcW w:w="133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CC54FEC"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 xml:space="preserve">Emisyjność GHG </w:t>
                  </w:r>
                  <w:r>
                    <w:rPr>
                      <w:rFonts w:asciiTheme="minorHAnsi" w:hAnsiTheme="minorHAnsi" w:cs="Arial"/>
                      <w:b/>
                      <w:bCs/>
                      <w:color w:val="FFFFFF"/>
                      <w:sz w:val="18"/>
                      <w:szCs w:val="18"/>
                    </w:rPr>
                    <w:t>2021</w:t>
                  </w:r>
                  <w:r w:rsidRPr="002C6855">
                    <w:rPr>
                      <w:rFonts w:asciiTheme="minorHAnsi" w:hAnsiTheme="minorHAnsi" w:cs="Arial"/>
                      <w:b/>
                      <w:bCs/>
                      <w:color w:val="FFFFFF"/>
                      <w:sz w:val="18"/>
                      <w:szCs w:val="18"/>
                    </w:rPr>
                    <w:t xml:space="preserve">(*) </w:t>
                  </w:r>
                  <w:r w:rsidRPr="002C6855">
                    <w:rPr>
                      <w:rFonts w:asciiTheme="minorHAnsi" w:hAnsiTheme="minorHAnsi" w:cs="Arial"/>
                      <w:b/>
                      <w:bCs/>
                      <w:color w:val="FFFFFF"/>
                      <w:sz w:val="18"/>
                      <w:szCs w:val="18"/>
                    </w:rPr>
                    <w:br/>
                    <w:t>[gCO</w:t>
                  </w:r>
                  <w:r w:rsidRPr="00EF0D43">
                    <w:rPr>
                      <w:rFonts w:asciiTheme="minorHAnsi" w:hAnsiTheme="minorHAnsi" w:cs="Arial"/>
                      <w:b/>
                      <w:bCs/>
                      <w:color w:val="FFFFFF"/>
                      <w:sz w:val="18"/>
                      <w:szCs w:val="18"/>
                      <w:vertAlign w:val="subscript"/>
                    </w:rPr>
                    <w:t>2</w:t>
                  </w:r>
                  <w:r w:rsidRPr="002C6855">
                    <w:rPr>
                      <w:rFonts w:asciiTheme="minorHAnsi" w:hAnsiTheme="minorHAnsi" w:cs="Arial"/>
                      <w:b/>
                      <w:bCs/>
                      <w:color w:val="FFFFFF"/>
                      <w:sz w:val="18"/>
                      <w:szCs w:val="18"/>
                    </w:rPr>
                    <w:t>e/ poc-km]</w:t>
                  </w:r>
                </w:p>
              </w:tc>
            </w:tr>
            <w:tr w:rsidR="00921721" w:rsidRPr="003E7EB2" w14:paraId="58799D82" w14:textId="77777777" w:rsidTr="00921721">
              <w:trPr>
                <w:gridAfter w:val="1"/>
                <w:wAfter w:w="9" w:type="dxa"/>
                <w:trHeight w:val="247"/>
              </w:trPr>
              <w:tc>
                <w:tcPr>
                  <w:tcW w:w="1647" w:type="dxa"/>
                  <w:vMerge w:val="restart"/>
                  <w:tcBorders>
                    <w:top w:val="single" w:sz="4" w:space="0" w:color="FFFFFF"/>
                    <w:left w:val="single" w:sz="4" w:space="0" w:color="FFFFFF"/>
                    <w:right w:val="nil"/>
                  </w:tcBorders>
                  <w:shd w:val="clear" w:color="auto" w:fill="DBE5F1" w:themeFill="accent1" w:themeFillTint="33"/>
                  <w:vAlign w:val="center"/>
                </w:tcPr>
                <w:p w14:paraId="769060C3"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E</w:t>
                  </w:r>
                  <w:r w:rsidRPr="00D0310E">
                    <w:rPr>
                      <w:rFonts w:asciiTheme="minorHAnsi" w:hAnsiTheme="minorHAnsi" w:cs="Arial"/>
                      <w:color w:val="4F81BD" w:themeColor="accent1"/>
                      <w:sz w:val="18"/>
                      <w:szCs w:val="18"/>
                      <w:lang w:val="en-GB"/>
                    </w:rPr>
                    <w:t>lektryczne</w:t>
                  </w:r>
                </w:p>
              </w:tc>
              <w:tc>
                <w:tcPr>
                  <w:tcW w:w="235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BDD0E41"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 xml:space="preserve">Średnio, wszystkie rodzaje </w:t>
                  </w:r>
                  <w:r w:rsidRPr="002C6855">
                    <w:rPr>
                      <w:rFonts w:asciiTheme="minorHAnsi" w:hAnsiTheme="minorHAnsi" w:cs="Arial"/>
                      <w:color w:val="4F81BD" w:themeColor="accent1"/>
                      <w:sz w:val="18"/>
                      <w:szCs w:val="18"/>
                    </w:rPr>
                    <w:br/>
                    <w:t>(1000t - 21 wagonów)</w:t>
                  </w:r>
                </w:p>
              </w:tc>
              <w:tc>
                <w:tcPr>
                  <w:tcW w:w="133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0A789F5F" w14:textId="77777777" w:rsidR="00921721" w:rsidRPr="0010476A"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16</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611</w:t>
                  </w:r>
                </w:p>
              </w:tc>
              <w:tc>
                <w:tcPr>
                  <w:tcW w:w="13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086A520" w14:textId="77777777" w:rsidR="00921721" w:rsidRPr="0010476A"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11</w:t>
                  </w:r>
                  <w:r>
                    <w:rPr>
                      <w:rFonts w:asciiTheme="minorHAnsi" w:hAnsiTheme="minorHAnsi" w:cs="Arial"/>
                      <w:color w:val="4F81BD" w:themeColor="accent1"/>
                      <w:sz w:val="18"/>
                      <w:szCs w:val="18"/>
                      <w:lang w:val="en-GB"/>
                    </w:rPr>
                    <w:t> </w:t>
                  </w:r>
                  <w:r w:rsidRPr="001F3A35">
                    <w:rPr>
                      <w:rFonts w:asciiTheme="minorHAnsi" w:hAnsiTheme="minorHAnsi" w:cs="Arial"/>
                      <w:color w:val="4F81BD" w:themeColor="accent1"/>
                      <w:sz w:val="18"/>
                      <w:szCs w:val="18"/>
                      <w:lang w:val="en-GB"/>
                    </w:rPr>
                    <w:t xml:space="preserve">107,53 </w:t>
                  </w:r>
                </w:p>
              </w:tc>
            </w:tr>
            <w:tr w:rsidR="00921721" w:rsidRPr="003E7EB2" w14:paraId="21DA3661" w14:textId="77777777" w:rsidTr="00921721">
              <w:trPr>
                <w:gridAfter w:val="1"/>
                <w:wAfter w:w="9" w:type="dxa"/>
                <w:trHeight w:val="247"/>
              </w:trPr>
              <w:tc>
                <w:tcPr>
                  <w:tcW w:w="1647" w:type="dxa"/>
                  <w:vMerge/>
                  <w:tcBorders>
                    <w:left w:val="single" w:sz="4" w:space="0" w:color="FFFFFF"/>
                    <w:right w:val="nil"/>
                  </w:tcBorders>
                  <w:shd w:val="clear" w:color="auto" w:fill="DBE5F1" w:themeFill="accent1" w:themeFillTint="33"/>
                  <w:vAlign w:val="center"/>
                </w:tcPr>
                <w:p w14:paraId="4C9C58BF" w14:textId="77777777" w:rsidR="00921721" w:rsidRPr="003E7EB2" w:rsidRDefault="00921721" w:rsidP="00880D09">
                  <w:pPr>
                    <w:spacing w:before="20"/>
                    <w:jc w:val="center"/>
                    <w:rPr>
                      <w:rFonts w:asciiTheme="minorHAnsi" w:hAnsiTheme="minorHAnsi" w:cs="Arial"/>
                      <w:color w:val="4F81BD" w:themeColor="accent1"/>
                      <w:sz w:val="18"/>
                      <w:szCs w:val="18"/>
                      <w:lang w:val="fr-BE"/>
                    </w:rPr>
                  </w:pPr>
                </w:p>
              </w:tc>
              <w:tc>
                <w:tcPr>
                  <w:tcW w:w="235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5056D08" w14:textId="77777777" w:rsidR="00921721" w:rsidRPr="002C6855" w:rsidRDefault="00921721" w:rsidP="00880D09">
                  <w:pPr>
                    <w:jc w:val="center"/>
                    <w:rPr>
                      <w:rFonts w:asciiTheme="minorHAnsi" w:hAnsiTheme="minorHAnsi" w:cs="Arial"/>
                      <w:color w:val="4F81BD" w:themeColor="accent1"/>
                      <w:sz w:val="18"/>
                      <w:szCs w:val="18"/>
                      <w:lang w:val="fr-BE"/>
                    </w:rPr>
                  </w:pPr>
                  <w:r w:rsidRPr="002C6855">
                    <w:rPr>
                      <w:rFonts w:asciiTheme="minorHAnsi" w:hAnsiTheme="minorHAnsi" w:cs="Arial"/>
                      <w:color w:val="4F81BD" w:themeColor="accent1"/>
                      <w:sz w:val="18"/>
                      <w:szCs w:val="18"/>
                      <w:lang w:val="fr-BE"/>
                    </w:rPr>
                    <w:t xml:space="preserve">Masowe </w:t>
                  </w:r>
                  <w:r w:rsidRPr="002C6855">
                    <w:rPr>
                      <w:rFonts w:asciiTheme="minorHAnsi" w:hAnsiTheme="minorHAnsi" w:cs="Arial"/>
                      <w:color w:val="4F81BD" w:themeColor="accent1"/>
                      <w:sz w:val="18"/>
                      <w:szCs w:val="18"/>
                      <w:lang w:val="fr-BE"/>
                    </w:rPr>
                    <w:br/>
                    <w:t>(1000t - 18 wagonów)</w:t>
                  </w:r>
                </w:p>
              </w:tc>
              <w:tc>
                <w:tcPr>
                  <w:tcW w:w="133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5C3496FC" w14:textId="77777777" w:rsidR="00921721" w:rsidRPr="0010476A"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16</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611</w:t>
                  </w:r>
                </w:p>
              </w:tc>
              <w:tc>
                <w:tcPr>
                  <w:tcW w:w="13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8911B89" w14:textId="77777777" w:rsidR="00921721" w:rsidRPr="0010476A"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11</w:t>
                  </w:r>
                  <w:r>
                    <w:rPr>
                      <w:rFonts w:asciiTheme="minorHAnsi" w:hAnsiTheme="minorHAnsi" w:cs="Arial"/>
                      <w:color w:val="4F81BD" w:themeColor="accent1"/>
                      <w:sz w:val="18"/>
                      <w:szCs w:val="18"/>
                      <w:lang w:val="en-GB"/>
                    </w:rPr>
                    <w:t> </w:t>
                  </w:r>
                  <w:r w:rsidRPr="001F3A35">
                    <w:rPr>
                      <w:rFonts w:asciiTheme="minorHAnsi" w:hAnsiTheme="minorHAnsi" w:cs="Arial"/>
                      <w:color w:val="4F81BD" w:themeColor="accent1"/>
                      <w:sz w:val="18"/>
                      <w:szCs w:val="18"/>
                      <w:lang w:val="en-GB"/>
                    </w:rPr>
                    <w:t xml:space="preserve">107,53 </w:t>
                  </w:r>
                </w:p>
              </w:tc>
            </w:tr>
            <w:tr w:rsidR="00921721" w:rsidRPr="006856C6" w14:paraId="5CDA8517" w14:textId="77777777" w:rsidTr="00921721">
              <w:trPr>
                <w:gridAfter w:val="1"/>
                <w:wAfter w:w="9" w:type="dxa"/>
                <w:trHeight w:val="247"/>
              </w:trPr>
              <w:tc>
                <w:tcPr>
                  <w:tcW w:w="1647" w:type="dxa"/>
                  <w:vMerge/>
                  <w:tcBorders>
                    <w:left w:val="single" w:sz="4" w:space="0" w:color="FFFFFF"/>
                    <w:right w:val="nil"/>
                  </w:tcBorders>
                  <w:shd w:val="clear" w:color="auto" w:fill="DBE5F1" w:themeFill="accent1" w:themeFillTint="33"/>
                  <w:vAlign w:val="center"/>
                </w:tcPr>
                <w:p w14:paraId="4B64F863" w14:textId="77777777" w:rsidR="00921721" w:rsidRPr="003E7EB2" w:rsidRDefault="00921721" w:rsidP="00880D09">
                  <w:pPr>
                    <w:spacing w:before="20"/>
                    <w:jc w:val="center"/>
                    <w:rPr>
                      <w:rFonts w:asciiTheme="minorHAnsi" w:hAnsiTheme="minorHAnsi" w:cs="Arial"/>
                      <w:color w:val="4F81BD" w:themeColor="accent1"/>
                      <w:sz w:val="18"/>
                      <w:szCs w:val="18"/>
                      <w:lang w:val="fr-BE"/>
                    </w:rPr>
                  </w:pPr>
                </w:p>
              </w:tc>
              <w:tc>
                <w:tcPr>
                  <w:tcW w:w="235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B99BCF0" w14:textId="77777777" w:rsidR="00921721" w:rsidRPr="003E7EB2" w:rsidRDefault="00921721" w:rsidP="00880D09">
                  <w:pPr>
                    <w:jc w:val="center"/>
                    <w:rPr>
                      <w:rFonts w:asciiTheme="minorHAnsi" w:hAnsiTheme="minorHAnsi" w:cs="Arial"/>
                      <w:color w:val="4F81BD" w:themeColor="accent1"/>
                      <w:sz w:val="18"/>
                      <w:szCs w:val="18"/>
                      <w:lang w:val="fr-BE"/>
                    </w:rPr>
                  </w:pPr>
                  <w:r w:rsidRPr="002C6855">
                    <w:rPr>
                      <w:rFonts w:asciiTheme="minorHAnsi" w:hAnsiTheme="minorHAnsi" w:cs="Arial"/>
                      <w:color w:val="4F81BD" w:themeColor="accent1"/>
                      <w:sz w:val="18"/>
                      <w:szCs w:val="18"/>
                      <w:lang w:val="fr-BE"/>
                    </w:rPr>
                    <w:t xml:space="preserve">Gabarytowe </w:t>
                  </w:r>
                  <w:r w:rsidRPr="002C6855">
                    <w:rPr>
                      <w:rFonts w:asciiTheme="minorHAnsi" w:hAnsiTheme="minorHAnsi" w:cs="Arial"/>
                      <w:color w:val="4F81BD" w:themeColor="accent1"/>
                      <w:sz w:val="18"/>
                      <w:szCs w:val="18"/>
                      <w:lang w:val="fr-BE"/>
                    </w:rPr>
                    <w:br/>
                    <w:t>(1000t - 26 wagonów)</w:t>
                  </w:r>
                </w:p>
              </w:tc>
              <w:tc>
                <w:tcPr>
                  <w:tcW w:w="133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53F22E42" w14:textId="77777777" w:rsidR="00921721" w:rsidRPr="00265281"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16</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611</w:t>
                  </w:r>
                </w:p>
              </w:tc>
              <w:tc>
                <w:tcPr>
                  <w:tcW w:w="13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CE5898C"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11 </w:t>
                  </w:r>
                  <w:r w:rsidRPr="001F3A35">
                    <w:rPr>
                      <w:rFonts w:asciiTheme="minorHAnsi" w:hAnsiTheme="minorHAnsi" w:cs="Arial"/>
                      <w:color w:val="4F81BD" w:themeColor="accent1"/>
                      <w:sz w:val="18"/>
                      <w:szCs w:val="18"/>
                      <w:lang w:val="en-GB"/>
                    </w:rPr>
                    <w:t xml:space="preserve">107,53 </w:t>
                  </w:r>
                </w:p>
              </w:tc>
            </w:tr>
            <w:tr w:rsidR="00921721" w:rsidRPr="006856C6" w14:paraId="016BD474" w14:textId="77777777" w:rsidTr="00921721">
              <w:trPr>
                <w:gridAfter w:val="1"/>
                <w:wAfter w:w="9" w:type="dxa"/>
                <w:trHeight w:val="247"/>
              </w:trPr>
              <w:tc>
                <w:tcPr>
                  <w:tcW w:w="1647" w:type="dxa"/>
                  <w:vMerge/>
                  <w:tcBorders>
                    <w:left w:val="single" w:sz="4" w:space="0" w:color="FFFFFF"/>
                    <w:bottom w:val="single" w:sz="4" w:space="0" w:color="FFFFFF"/>
                    <w:right w:val="nil"/>
                  </w:tcBorders>
                  <w:shd w:val="clear" w:color="auto" w:fill="DBE5F1" w:themeFill="accent1" w:themeFillTint="33"/>
                  <w:vAlign w:val="center"/>
                </w:tcPr>
                <w:p w14:paraId="4630BD44"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35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6D9A17C" w14:textId="77777777" w:rsidR="00921721" w:rsidRPr="003E7EB2" w:rsidRDefault="00921721" w:rsidP="00880D09">
                  <w:pPr>
                    <w:jc w:val="center"/>
                    <w:rPr>
                      <w:rFonts w:asciiTheme="minorHAnsi" w:hAnsiTheme="minorHAnsi" w:cs="Arial"/>
                      <w:color w:val="4F81BD" w:themeColor="accent1"/>
                      <w:sz w:val="18"/>
                      <w:szCs w:val="18"/>
                      <w:lang w:val="fr-BE"/>
                    </w:rPr>
                  </w:pPr>
                  <w:r w:rsidRPr="002C6855">
                    <w:rPr>
                      <w:rFonts w:asciiTheme="minorHAnsi" w:hAnsiTheme="minorHAnsi" w:cs="Arial"/>
                      <w:color w:val="4F81BD" w:themeColor="accent1"/>
                      <w:sz w:val="18"/>
                      <w:szCs w:val="18"/>
                      <w:lang w:val="fr-BE"/>
                    </w:rPr>
                    <w:t xml:space="preserve">Kontenerowe </w:t>
                  </w:r>
                  <w:r w:rsidRPr="002C6855">
                    <w:rPr>
                      <w:rFonts w:asciiTheme="minorHAnsi" w:hAnsiTheme="minorHAnsi" w:cs="Arial"/>
                      <w:color w:val="4F81BD" w:themeColor="accent1"/>
                      <w:sz w:val="18"/>
                      <w:szCs w:val="18"/>
                      <w:lang w:val="fr-BE"/>
                    </w:rPr>
                    <w:br/>
                    <w:t>(1000t - 21 wagonów)</w:t>
                  </w:r>
                </w:p>
              </w:tc>
              <w:tc>
                <w:tcPr>
                  <w:tcW w:w="133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7614EC55" w14:textId="77777777" w:rsidR="00921721" w:rsidRPr="00265281" w:rsidRDefault="00921721" w:rsidP="00880D09">
                  <w:pPr>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16</w:t>
                  </w:r>
                  <w:r>
                    <w:rPr>
                      <w:rFonts w:asciiTheme="minorHAnsi" w:hAnsiTheme="minorHAnsi" w:cs="Arial"/>
                      <w:color w:val="4F81BD" w:themeColor="accent1"/>
                      <w:sz w:val="18"/>
                      <w:szCs w:val="18"/>
                      <w:lang w:val="en-GB"/>
                    </w:rPr>
                    <w:t>,</w:t>
                  </w:r>
                  <w:r w:rsidRPr="003E7EB2">
                    <w:rPr>
                      <w:rFonts w:asciiTheme="minorHAnsi" w:hAnsiTheme="minorHAnsi" w:cs="Arial"/>
                      <w:color w:val="4F81BD" w:themeColor="accent1"/>
                      <w:sz w:val="18"/>
                      <w:szCs w:val="18"/>
                      <w:lang w:val="en-GB"/>
                    </w:rPr>
                    <w:t>611</w:t>
                  </w:r>
                </w:p>
              </w:tc>
              <w:tc>
                <w:tcPr>
                  <w:tcW w:w="13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BBB745D"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11 </w:t>
                  </w:r>
                  <w:r w:rsidRPr="001F3A35">
                    <w:rPr>
                      <w:rFonts w:asciiTheme="minorHAnsi" w:hAnsiTheme="minorHAnsi" w:cs="Arial"/>
                      <w:color w:val="4F81BD" w:themeColor="accent1"/>
                      <w:sz w:val="18"/>
                      <w:szCs w:val="18"/>
                      <w:lang w:val="en-GB"/>
                    </w:rPr>
                    <w:t xml:space="preserve">107,53 </w:t>
                  </w:r>
                </w:p>
              </w:tc>
            </w:tr>
            <w:tr w:rsidR="00921721" w:rsidRPr="003D4863" w14:paraId="2C87AFD9" w14:textId="77777777" w:rsidTr="00921721">
              <w:trPr>
                <w:gridAfter w:val="1"/>
                <w:wAfter w:w="9" w:type="dxa"/>
                <w:trHeight w:val="247"/>
              </w:trPr>
              <w:tc>
                <w:tcPr>
                  <w:tcW w:w="1647" w:type="dxa"/>
                  <w:vMerge w:val="restart"/>
                  <w:tcBorders>
                    <w:top w:val="single" w:sz="4" w:space="0" w:color="FFFFFF"/>
                    <w:left w:val="single" w:sz="4" w:space="0" w:color="FFFFFF"/>
                    <w:right w:val="nil"/>
                  </w:tcBorders>
                  <w:shd w:val="clear" w:color="auto" w:fill="DBE5F1" w:themeFill="accent1" w:themeFillTint="33"/>
                  <w:vAlign w:val="center"/>
                </w:tcPr>
                <w:p w14:paraId="20C21041"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Diesel</w:t>
                  </w:r>
                </w:p>
              </w:tc>
              <w:tc>
                <w:tcPr>
                  <w:tcW w:w="235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FF6443D"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 xml:space="preserve">Średnio, wszystkie rodzaje </w:t>
                  </w:r>
                  <w:r w:rsidRPr="002C6855">
                    <w:rPr>
                      <w:rFonts w:asciiTheme="minorHAnsi" w:hAnsiTheme="minorHAnsi" w:cs="Arial"/>
                      <w:color w:val="4F81BD" w:themeColor="accent1"/>
                      <w:sz w:val="18"/>
                      <w:szCs w:val="18"/>
                    </w:rPr>
                    <w:br/>
                    <w:t>(1000t - 21 wagonów)</w:t>
                  </w:r>
                </w:p>
              </w:tc>
              <w:tc>
                <w:tcPr>
                  <w:tcW w:w="133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35A4A719"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44</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861</w:t>
                  </w:r>
                </w:p>
              </w:tc>
              <w:tc>
                <w:tcPr>
                  <w:tcW w:w="13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AB3E74" w14:textId="77777777" w:rsidR="00921721" w:rsidRPr="003166C6" w:rsidRDefault="00921721" w:rsidP="00880D09">
                  <w:pPr>
                    <w:jc w:val="center"/>
                    <w:rPr>
                      <w:rFonts w:asciiTheme="minorHAnsi" w:hAnsiTheme="minorHAnsi" w:cs="Arial"/>
                      <w:color w:val="4F81BD" w:themeColor="accent1"/>
                      <w:sz w:val="18"/>
                      <w:szCs w:val="18"/>
                    </w:rPr>
                  </w:pPr>
                  <w:r w:rsidRPr="003166C6">
                    <w:rPr>
                      <w:rFonts w:asciiTheme="minorHAnsi" w:hAnsiTheme="minorHAnsi" w:cs="Arial"/>
                      <w:color w:val="4F81BD" w:themeColor="accent1"/>
                      <w:sz w:val="18"/>
                      <w:szCs w:val="18"/>
                    </w:rPr>
                    <w:t xml:space="preserve">32 266,57 </w:t>
                  </w:r>
                </w:p>
              </w:tc>
            </w:tr>
            <w:tr w:rsidR="00921721" w:rsidRPr="003D4863" w14:paraId="5AB408E8" w14:textId="77777777" w:rsidTr="00921721">
              <w:trPr>
                <w:gridAfter w:val="1"/>
                <w:wAfter w:w="9" w:type="dxa"/>
                <w:trHeight w:val="247"/>
              </w:trPr>
              <w:tc>
                <w:tcPr>
                  <w:tcW w:w="1647" w:type="dxa"/>
                  <w:vMerge/>
                  <w:tcBorders>
                    <w:left w:val="single" w:sz="4" w:space="0" w:color="FFFFFF"/>
                    <w:right w:val="nil"/>
                  </w:tcBorders>
                  <w:shd w:val="clear" w:color="auto" w:fill="DBE5F1" w:themeFill="accent1" w:themeFillTint="33"/>
                  <w:vAlign w:val="center"/>
                </w:tcPr>
                <w:p w14:paraId="6C71EB26" w14:textId="77777777" w:rsidR="00921721" w:rsidRPr="002C6855" w:rsidRDefault="00921721" w:rsidP="00880D09">
                  <w:pPr>
                    <w:spacing w:before="20"/>
                    <w:jc w:val="center"/>
                    <w:rPr>
                      <w:rFonts w:asciiTheme="minorHAnsi" w:hAnsiTheme="minorHAnsi" w:cs="Arial"/>
                      <w:color w:val="4F81BD" w:themeColor="accent1"/>
                      <w:sz w:val="18"/>
                      <w:szCs w:val="18"/>
                    </w:rPr>
                  </w:pPr>
                </w:p>
              </w:tc>
              <w:tc>
                <w:tcPr>
                  <w:tcW w:w="235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9571068"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 xml:space="preserve">Masowe </w:t>
                  </w:r>
                  <w:r w:rsidRPr="002C6855">
                    <w:rPr>
                      <w:rFonts w:asciiTheme="minorHAnsi" w:hAnsiTheme="minorHAnsi" w:cs="Arial"/>
                      <w:color w:val="4F81BD" w:themeColor="accent1"/>
                      <w:sz w:val="18"/>
                      <w:szCs w:val="18"/>
                    </w:rPr>
                    <w:br/>
                    <w:t>(1000t - 18 wagonów)</w:t>
                  </w:r>
                </w:p>
              </w:tc>
              <w:tc>
                <w:tcPr>
                  <w:tcW w:w="133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4C1D4C82"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44</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861</w:t>
                  </w:r>
                </w:p>
              </w:tc>
              <w:tc>
                <w:tcPr>
                  <w:tcW w:w="13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B0CF231" w14:textId="77777777" w:rsidR="00921721" w:rsidRPr="003166C6" w:rsidRDefault="00921721" w:rsidP="00880D09">
                  <w:pPr>
                    <w:jc w:val="center"/>
                    <w:rPr>
                      <w:rFonts w:asciiTheme="minorHAnsi" w:hAnsiTheme="minorHAnsi" w:cs="Arial"/>
                      <w:color w:val="4F81BD" w:themeColor="accent1"/>
                      <w:sz w:val="18"/>
                      <w:szCs w:val="18"/>
                    </w:rPr>
                  </w:pPr>
                  <w:r w:rsidRPr="003166C6">
                    <w:rPr>
                      <w:rFonts w:asciiTheme="minorHAnsi" w:hAnsiTheme="minorHAnsi" w:cs="Arial"/>
                      <w:color w:val="4F81BD" w:themeColor="accent1"/>
                      <w:sz w:val="18"/>
                      <w:szCs w:val="18"/>
                    </w:rPr>
                    <w:t xml:space="preserve">32 266,57 </w:t>
                  </w:r>
                </w:p>
              </w:tc>
            </w:tr>
            <w:tr w:rsidR="00921721" w:rsidRPr="003D4863" w14:paraId="5400A539" w14:textId="77777777" w:rsidTr="00921721">
              <w:trPr>
                <w:gridAfter w:val="1"/>
                <w:wAfter w:w="9" w:type="dxa"/>
                <w:trHeight w:val="247"/>
              </w:trPr>
              <w:tc>
                <w:tcPr>
                  <w:tcW w:w="1647" w:type="dxa"/>
                  <w:vMerge/>
                  <w:tcBorders>
                    <w:left w:val="single" w:sz="4" w:space="0" w:color="FFFFFF"/>
                    <w:right w:val="nil"/>
                  </w:tcBorders>
                  <w:shd w:val="clear" w:color="auto" w:fill="DBE5F1" w:themeFill="accent1" w:themeFillTint="33"/>
                  <w:vAlign w:val="center"/>
                </w:tcPr>
                <w:p w14:paraId="47C69495" w14:textId="77777777" w:rsidR="00921721" w:rsidRPr="002C6855" w:rsidRDefault="00921721" w:rsidP="00880D09">
                  <w:pPr>
                    <w:spacing w:before="20"/>
                    <w:jc w:val="center"/>
                    <w:rPr>
                      <w:rFonts w:asciiTheme="minorHAnsi" w:hAnsiTheme="minorHAnsi" w:cs="Arial"/>
                      <w:color w:val="4F81BD" w:themeColor="accent1"/>
                      <w:sz w:val="18"/>
                      <w:szCs w:val="18"/>
                    </w:rPr>
                  </w:pPr>
                </w:p>
              </w:tc>
              <w:tc>
                <w:tcPr>
                  <w:tcW w:w="235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83EEBFA"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 xml:space="preserve">Gabarytowe </w:t>
                  </w:r>
                  <w:r w:rsidRPr="002C6855">
                    <w:rPr>
                      <w:rFonts w:asciiTheme="minorHAnsi" w:hAnsiTheme="minorHAnsi" w:cs="Arial"/>
                      <w:color w:val="4F81BD" w:themeColor="accent1"/>
                      <w:sz w:val="18"/>
                      <w:szCs w:val="18"/>
                    </w:rPr>
                    <w:br/>
                    <w:t>(1000t - 26 wagonów)</w:t>
                  </w:r>
                </w:p>
              </w:tc>
              <w:tc>
                <w:tcPr>
                  <w:tcW w:w="133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10EF931D"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44</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861</w:t>
                  </w:r>
                </w:p>
              </w:tc>
              <w:tc>
                <w:tcPr>
                  <w:tcW w:w="13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1EB8957" w14:textId="77777777" w:rsidR="00921721" w:rsidRPr="003166C6" w:rsidRDefault="00921721" w:rsidP="00880D09">
                  <w:pPr>
                    <w:jc w:val="center"/>
                    <w:rPr>
                      <w:rFonts w:asciiTheme="minorHAnsi" w:hAnsiTheme="minorHAnsi" w:cs="Arial"/>
                      <w:color w:val="4F81BD" w:themeColor="accent1"/>
                      <w:sz w:val="18"/>
                      <w:szCs w:val="18"/>
                    </w:rPr>
                  </w:pPr>
                  <w:r w:rsidRPr="003166C6">
                    <w:rPr>
                      <w:rFonts w:asciiTheme="minorHAnsi" w:hAnsiTheme="minorHAnsi" w:cs="Arial"/>
                      <w:color w:val="4F81BD" w:themeColor="accent1"/>
                      <w:sz w:val="18"/>
                      <w:szCs w:val="18"/>
                    </w:rPr>
                    <w:t xml:space="preserve">32 266,57 </w:t>
                  </w:r>
                </w:p>
              </w:tc>
            </w:tr>
            <w:tr w:rsidR="00921721" w:rsidRPr="003D4863" w14:paraId="63FA6191" w14:textId="77777777" w:rsidTr="00921721">
              <w:trPr>
                <w:gridAfter w:val="1"/>
                <w:wAfter w:w="9" w:type="dxa"/>
                <w:trHeight w:val="247"/>
              </w:trPr>
              <w:tc>
                <w:tcPr>
                  <w:tcW w:w="1647" w:type="dxa"/>
                  <w:vMerge/>
                  <w:tcBorders>
                    <w:left w:val="single" w:sz="4" w:space="0" w:color="FFFFFF"/>
                    <w:bottom w:val="single" w:sz="4" w:space="0" w:color="FFFFFF"/>
                    <w:right w:val="nil"/>
                  </w:tcBorders>
                  <w:shd w:val="clear" w:color="auto" w:fill="DBE5F1" w:themeFill="accent1" w:themeFillTint="33"/>
                  <w:vAlign w:val="center"/>
                </w:tcPr>
                <w:p w14:paraId="37CF54A6" w14:textId="77777777" w:rsidR="00921721" w:rsidRPr="002C6855" w:rsidRDefault="00921721" w:rsidP="00880D09">
                  <w:pPr>
                    <w:spacing w:before="20"/>
                    <w:jc w:val="center"/>
                    <w:rPr>
                      <w:rFonts w:asciiTheme="minorHAnsi" w:hAnsiTheme="minorHAnsi" w:cs="Arial"/>
                      <w:color w:val="4F81BD" w:themeColor="accent1"/>
                      <w:sz w:val="18"/>
                      <w:szCs w:val="18"/>
                    </w:rPr>
                  </w:pPr>
                </w:p>
              </w:tc>
              <w:tc>
                <w:tcPr>
                  <w:tcW w:w="235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7EF2F16"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 xml:space="preserve">Kontenerowe </w:t>
                  </w:r>
                  <w:r w:rsidRPr="002C6855">
                    <w:rPr>
                      <w:rFonts w:asciiTheme="minorHAnsi" w:hAnsiTheme="minorHAnsi" w:cs="Arial"/>
                      <w:color w:val="4F81BD" w:themeColor="accent1"/>
                      <w:sz w:val="18"/>
                      <w:szCs w:val="18"/>
                    </w:rPr>
                    <w:br/>
                    <w:t>(1000t - 21 wagonów)</w:t>
                  </w:r>
                </w:p>
              </w:tc>
              <w:tc>
                <w:tcPr>
                  <w:tcW w:w="133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1DEE1D1C"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44</w:t>
                  </w:r>
                  <w:r>
                    <w:rPr>
                      <w:rFonts w:asciiTheme="minorHAnsi" w:hAnsiTheme="minorHAnsi" w:cs="Arial"/>
                      <w:color w:val="4F81BD" w:themeColor="accent1"/>
                      <w:sz w:val="18"/>
                      <w:szCs w:val="18"/>
                    </w:rPr>
                    <w:t>,</w:t>
                  </w:r>
                  <w:r w:rsidRPr="002C6855">
                    <w:rPr>
                      <w:rFonts w:asciiTheme="minorHAnsi" w:hAnsiTheme="minorHAnsi" w:cs="Arial"/>
                      <w:color w:val="4F81BD" w:themeColor="accent1"/>
                      <w:sz w:val="18"/>
                      <w:szCs w:val="18"/>
                    </w:rPr>
                    <w:t>861</w:t>
                  </w:r>
                </w:p>
              </w:tc>
              <w:tc>
                <w:tcPr>
                  <w:tcW w:w="13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2DF84E7" w14:textId="77777777" w:rsidR="00921721" w:rsidRPr="003166C6" w:rsidRDefault="00921721" w:rsidP="00880D09">
                  <w:pPr>
                    <w:jc w:val="center"/>
                    <w:rPr>
                      <w:rFonts w:asciiTheme="minorHAnsi" w:hAnsiTheme="minorHAnsi" w:cs="Arial"/>
                      <w:color w:val="4F81BD" w:themeColor="accent1"/>
                      <w:sz w:val="18"/>
                      <w:szCs w:val="18"/>
                    </w:rPr>
                  </w:pPr>
                  <w:r w:rsidRPr="003166C6">
                    <w:rPr>
                      <w:rFonts w:asciiTheme="minorHAnsi" w:hAnsiTheme="minorHAnsi" w:cs="Arial"/>
                      <w:color w:val="4F81BD" w:themeColor="accent1"/>
                      <w:sz w:val="18"/>
                      <w:szCs w:val="18"/>
                    </w:rPr>
                    <w:t xml:space="preserve">32 266,57 </w:t>
                  </w:r>
                </w:p>
              </w:tc>
            </w:tr>
          </w:tbl>
          <w:p w14:paraId="177DD4BD" w14:textId="77777777" w:rsidR="00921721" w:rsidRDefault="00921721" w:rsidP="00880D09">
            <w:pPr>
              <w:spacing w:after="120"/>
              <w:ind w:right="170"/>
              <w:jc w:val="both"/>
              <w:rPr>
                <w:rFonts w:asciiTheme="minorHAnsi" w:hAnsiTheme="minorHAnsi" w:cs="Arial"/>
                <w:b/>
                <w:i/>
                <w:sz w:val="16"/>
                <w:szCs w:val="16"/>
              </w:rPr>
            </w:pPr>
            <w:r w:rsidRPr="003E7EB2">
              <w:rPr>
                <w:rFonts w:asciiTheme="minorHAnsi" w:hAnsiTheme="minorHAnsi" w:cs="Arial"/>
                <w:b/>
                <w:i/>
                <w:sz w:val="16"/>
                <w:szCs w:val="16"/>
              </w:rPr>
              <w:t xml:space="preserve">Źródło: </w:t>
            </w:r>
            <w:r w:rsidRPr="00B13338">
              <w:rPr>
                <w:rFonts w:asciiTheme="minorHAnsi" w:hAnsiTheme="minorHAnsi"/>
                <w:b/>
                <w:i/>
                <w:sz w:val="16"/>
                <w:szCs w:val="16"/>
              </w:rPr>
              <w:t>Opracowanie własne CUPT na podstawie</w:t>
            </w:r>
            <w:r w:rsidRPr="00B13338">
              <w:rPr>
                <w:rFonts w:asciiTheme="minorHAnsi" w:hAnsiTheme="minorHAnsi" w:cs="Arial"/>
                <w:b/>
                <w:i/>
                <w:sz w:val="16"/>
                <w:szCs w:val="16"/>
              </w:rPr>
              <w:t xml:space="preserve"> </w:t>
            </w:r>
            <w:r w:rsidRPr="003E7EB2">
              <w:rPr>
                <w:rFonts w:asciiTheme="minorHAnsi" w:hAnsiTheme="minorHAnsi" w:cs="Arial"/>
                <w:b/>
                <w:i/>
                <w:sz w:val="16"/>
                <w:szCs w:val="16"/>
              </w:rPr>
              <w:t>"EIB Project Carbon Footpri</w:t>
            </w:r>
            <w:r>
              <w:rPr>
                <w:rFonts w:asciiTheme="minorHAnsi" w:hAnsiTheme="minorHAnsi" w:cs="Arial"/>
                <w:b/>
                <w:i/>
                <w:sz w:val="16"/>
                <w:szCs w:val="16"/>
              </w:rPr>
              <w:t>nt Methodologies", lipiec 2020, oraz wskaźnika</w:t>
            </w:r>
            <w:r w:rsidRPr="003A7E7C">
              <w:rPr>
                <w:rFonts w:asciiTheme="minorHAnsi" w:hAnsiTheme="minorHAnsi" w:cs="Arial"/>
                <w:b/>
                <w:i/>
                <w:sz w:val="16"/>
                <w:szCs w:val="16"/>
              </w:rPr>
              <w:t xml:space="preserve"> emisji CO</w:t>
            </w:r>
            <w:r w:rsidRPr="003A7E7C">
              <w:rPr>
                <w:rFonts w:asciiTheme="minorHAnsi" w:hAnsiTheme="minorHAnsi" w:cs="Arial"/>
                <w:b/>
                <w:i/>
                <w:sz w:val="16"/>
                <w:szCs w:val="16"/>
                <w:vertAlign w:val="subscript"/>
              </w:rPr>
              <w:t>2</w:t>
            </w:r>
            <w:r w:rsidRPr="003A7E7C">
              <w:rPr>
                <w:rFonts w:asciiTheme="minorHAnsi" w:hAnsiTheme="minorHAnsi" w:cs="Arial"/>
                <w:b/>
                <w:i/>
                <w:sz w:val="16"/>
                <w:szCs w:val="16"/>
              </w:rPr>
              <w:t xml:space="preserve"> dla odbiorców końcowych sieciowej energii elektrycznej</w:t>
            </w:r>
            <w:r>
              <w:rPr>
                <w:rFonts w:asciiTheme="minorHAnsi" w:hAnsiTheme="minorHAnsi" w:cs="Arial"/>
                <w:b/>
                <w:i/>
                <w:sz w:val="16"/>
                <w:szCs w:val="16"/>
              </w:rPr>
              <w:t xml:space="preserve"> za rok 2019 wg KOBiZE. </w:t>
            </w:r>
          </w:p>
          <w:p w14:paraId="51572110" w14:textId="77777777" w:rsidR="00921721" w:rsidRPr="002C6855" w:rsidRDefault="00921721" w:rsidP="00880D09">
            <w:pPr>
              <w:spacing w:after="120"/>
              <w:ind w:right="170"/>
              <w:jc w:val="both"/>
              <w:rPr>
                <w:rFonts w:asciiTheme="minorHAnsi" w:hAnsiTheme="minorHAnsi"/>
                <w:b/>
                <w:i/>
                <w:sz w:val="16"/>
                <w:szCs w:val="16"/>
              </w:rPr>
            </w:pPr>
            <w:r w:rsidRPr="002C6855">
              <w:rPr>
                <w:rFonts w:asciiTheme="minorHAnsi" w:hAnsiTheme="minorHAnsi" w:cs="Arial"/>
                <w:b/>
                <w:i/>
                <w:sz w:val="16"/>
                <w:szCs w:val="16"/>
              </w:rPr>
              <w:t>(*)Łącznie emisje związane z wytwarzaniem i przesyłem energii elektrycznej sieciowej zużywanej przez pociąg oraz emisje związane ze zużyciem paliwa w pociągu.</w:t>
            </w:r>
          </w:p>
          <w:p w14:paraId="7E2910D0" w14:textId="77777777" w:rsidR="00921721" w:rsidRDefault="00921721" w:rsidP="00880D09">
            <w:pPr>
              <w:spacing w:after="120"/>
              <w:ind w:right="170"/>
              <w:jc w:val="both"/>
              <w:rPr>
                <w:rFonts w:asciiTheme="minorHAnsi" w:hAnsiTheme="minorHAnsi" w:cs="Arial"/>
                <w:sz w:val="20"/>
                <w:szCs w:val="20"/>
                <w:u w:val="single"/>
              </w:rPr>
            </w:pPr>
          </w:p>
          <w:p w14:paraId="169C4AD1" w14:textId="7332C7D4" w:rsidR="00921721" w:rsidRPr="00B72029" w:rsidRDefault="00921721" w:rsidP="00880D09">
            <w:pPr>
              <w:spacing w:after="120"/>
              <w:ind w:right="170"/>
              <w:jc w:val="both"/>
              <w:rPr>
                <w:rFonts w:asciiTheme="minorHAnsi" w:hAnsiTheme="minorHAnsi" w:cs="Arial"/>
                <w:sz w:val="20"/>
                <w:szCs w:val="20"/>
                <w:u w:val="single"/>
              </w:rPr>
            </w:pPr>
            <w:r w:rsidRPr="00B72029">
              <w:rPr>
                <w:rFonts w:asciiTheme="minorHAnsi" w:hAnsiTheme="minorHAnsi" w:cs="Arial"/>
                <w:sz w:val="20"/>
                <w:szCs w:val="20"/>
                <w:u w:val="single"/>
              </w:rPr>
              <w:t>Jednostkowe koszty emisji CO</w:t>
            </w:r>
            <w:r w:rsidRPr="00F13EAB">
              <w:rPr>
                <w:rFonts w:asciiTheme="minorHAnsi" w:hAnsiTheme="minorHAnsi" w:cs="Arial"/>
                <w:sz w:val="20"/>
                <w:szCs w:val="20"/>
                <w:u w:val="single"/>
                <w:vertAlign w:val="subscript"/>
              </w:rPr>
              <w:t>2</w:t>
            </w:r>
            <w:r>
              <w:rPr>
                <w:rFonts w:asciiTheme="minorHAnsi" w:hAnsiTheme="minorHAnsi" w:cs="Arial"/>
                <w:sz w:val="20"/>
                <w:szCs w:val="20"/>
                <w:u w:val="single"/>
              </w:rPr>
              <w:t>e</w:t>
            </w:r>
            <w:r w:rsidRPr="00F13EAB">
              <w:rPr>
                <w:rFonts w:asciiTheme="minorHAnsi" w:hAnsiTheme="minorHAnsi" w:cs="Arial"/>
                <w:sz w:val="20"/>
                <w:szCs w:val="20"/>
                <w:u w:val="single"/>
                <w:vertAlign w:val="subscript"/>
              </w:rPr>
              <w:t xml:space="preserve"> </w:t>
            </w:r>
          </w:p>
          <w:p w14:paraId="04EEEBE7" w14:textId="77777777" w:rsidR="00921721" w:rsidRDefault="00921721" w:rsidP="00880D09">
            <w:pPr>
              <w:pStyle w:val="anxnormal"/>
              <w:spacing w:after="120"/>
              <w:ind w:left="0"/>
              <w:rPr>
                <w:rFonts w:asciiTheme="minorHAnsi" w:hAnsiTheme="minorHAnsi"/>
                <w:lang w:eastAsia="en-US"/>
              </w:rPr>
            </w:pPr>
            <w:r>
              <w:rPr>
                <w:rFonts w:asciiTheme="minorHAnsi" w:hAnsiTheme="minorHAnsi"/>
                <w:lang w:eastAsia="en-US"/>
              </w:rPr>
              <w:t>EBI,</w:t>
            </w:r>
            <w:r w:rsidRPr="00054D26">
              <w:rPr>
                <w:rFonts w:asciiTheme="minorHAnsi" w:hAnsiTheme="minorHAnsi"/>
                <w:lang w:eastAsia="en-US"/>
              </w:rPr>
              <w:t xml:space="preserve"> ceny ukryte CO</w:t>
            </w:r>
            <w:r w:rsidRPr="00F73A39">
              <w:rPr>
                <w:rFonts w:asciiTheme="minorHAnsi" w:hAnsiTheme="minorHAnsi"/>
                <w:vertAlign w:val="subscript"/>
                <w:lang w:eastAsia="en-US"/>
              </w:rPr>
              <w:t>2</w:t>
            </w:r>
            <w:r w:rsidRPr="00054D26">
              <w:rPr>
                <w:rFonts w:asciiTheme="minorHAnsi" w:hAnsiTheme="minorHAnsi"/>
                <w:lang w:eastAsia="en-US"/>
              </w:rPr>
              <w:t xml:space="preserve"> w €/tCO</w:t>
            </w:r>
            <w:r w:rsidRPr="00F73A39">
              <w:rPr>
                <w:rFonts w:asciiTheme="minorHAnsi" w:hAnsiTheme="minorHAnsi"/>
                <w:vertAlign w:val="subscript"/>
                <w:lang w:eastAsia="en-US"/>
              </w:rPr>
              <w:t>2</w:t>
            </w:r>
            <w:r w:rsidRPr="00054D26">
              <w:rPr>
                <w:rFonts w:asciiTheme="minorHAnsi" w:hAnsiTheme="minorHAnsi"/>
                <w:lang w:eastAsia="en-US"/>
              </w:rPr>
              <w:t>e, ceny 2016</w:t>
            </w:r>
          </w:p>
          <w:tbl>
            <w:tblPr>
              <w:tblW w:w="6624" w:type="dxa"/>
              <w:tblLayout w:type="fixed"/>
              <w:tblLook w:val="04A0" w:firstRow="1" w:lastRow="0" w:firstColumn="1" w:lastColumn="0" w:noHBand="0" w:noVBand="1"/>
            </w:tblPr>
            <w:tblGrid>
              <w:gridCol w:w="828"/>
              <w:gridCol w:w="828"/>
              <w:gridCol w:w="828"/>
              <w:gridCol w:w="828"/>
              <w:gridCol w:w="828"/>
              <w:gridCol w:w="828"/>
              <w:gridCol w:w="828"/>
              <w:gridCol w:w="828"/>
            </w:tblGrid>
            <w:tr w:rsidR="00921721" w:rsidRPr="007463B9" w14:paraId="455B667E" w14:textId="77777777" w:rsidTr="00880D09">
              <w:trPr>
                <w:trHeight w:hRule="exact" w:val="349"/>
              </w:trPr>
              <w:tc>
                <w:tcPr>
                  <w:tcW w:w="82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CDCA454" w14:textId="3955EFEC" w:rsidR="00921721" w:rsidRPr="00D74336" w:rsidRDefault="005C3677" w:rsidP="00880D09">
                  <w:pPr>
                    <w:ind w:right="170"/>
                    <w:jc w:val="center"/>
                    <w:rPr>
                      <w:rFonts w:asciiTheme="minorHAnsi" w:eastAsia="Arial Narrow" w:hAnsiTheme="minorHAnsi" w:cs="Arial Narrow"/>
                      <w:b/>
                      <w:color w:val="FFFFFF"/>
                      <w:spacing w:val="-1"/>
                      <w:w w:val="108"/>
                      <w:position w:val="-1"/>
                      <w:sz w:val="18"/>
                      <w:szCs w:val="18"/>
                      <w:lang w:val="en-GB"/>
                    </w:rPr>
                  </w:pPr>
                  <w:r>
                    <w:rPr>
                      <w:rFonts w:asciiTheme="minorHAnsi" w:eastAsia="Arial Narrow" w:hAnsiTheme="minorHAnsi" w:cs="Arial Narrow"/>
                      <w:b/>
                      <w:color w:val="FFFFFF"/>
                      <w:spacing w:val="-1"/>
                      <w:w w:val="108"/>
                      <w:position w:val="-1"/>
                      <w:sz w:val="18"/>
                      <w:szCs w:val="18"/>
                      <w:lang w:val="en-GB"/>
                    </w:rPr>
                    <w:t>Lata</w:t>
                  </w:r>
                </w:p>
              </w:tc>
              <w:tc>
                <w:tcPr>
                  <w:tcW w:w="82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7991930" w14:textId="77777777" w:rsidR="00921721" w:rsidRPr="00983DF9"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sidRPr="00983DF9">
                    <w:rPr>
                      <w:rFonts w:asciiTheme="minorHAnsi" w:eastAsia="Arial Narrow" w:hAnsiTheme="minorHAnsi" w:cs="Arial Narrow"/>
                      <w:b/>
                      <w:color w:val="FFFFFF"/>
                      <w:spacing w:val="-1"/>
                      <w:w w:val="108"/>
                      <w:position w:val="-1"/>
                      <w:sz w:val="18"/>
                      <w:szCs w:val="18"/>
                      <w:lang w:val="en-US"/>
                    </w:rPr>
                    <w:t>2020</w:t>
                  </w:r>
                </w:p>
              </w:tc>
              <w:tc>
                <w:tcPr>
                  <w:tcW w:w="82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76804C7" w14:textId="77777777" w:rsidR="00921721" w:rsidRPr="00B74323"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Pr>
                      <w:rFonts w:asciiTheme="minorHAnsi" w:eastAsia="Arial Narrow" w:hAnsiTheme="minorHAnsi" w:cs="Arial Narrow"/>
                      <w:b/>
                      <w:color w:val="FFFFFF"/>
                      <w:spacing w:val="-1"/>
                      <w:w w:val="108"/>
                      <w:position w:val="-1"/>
                      <w:sz w:val="18"/>
                      <w:szCs w:val="18"/>
                      <w:lang w:val="en-US"/>
                    </w:rPr>
                    <w:t>2025</w:t>
                  </w:r>
                </w:p>
              </w:tc>
              <w:tc>
                <w:tcPr>
                  <w:tcW w:w="828"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1C8C24EE" w14:textId="77777777" w:rsidR="00921721" w:rsidRPr="00983DF9"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2030</w:t>
                  </w:r>
                </w:p>
              </w:tc>
              <w:tc>
                <w:tcPr>
                  <w:tcW w:w="828"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477181BF" w14:textId="77777777" w:rsidR="00921721" w:rsidRPr="00983DF9"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2035</w:t>
                  </w:r>
                </w:p>
              </w:tc>
              <w:tc>
                <w:tcPr>
                  <w:tcW w:w="828"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688B5A92" w14:textId="77777777" w:rsidR="00921721" w:rsidRPr="00983DF9"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2040</w:t>
                  </w:r>
                </w:p>
              </w:tc>
              <w:tc>
                <w:tcPr>
                  <w:tcW w:w="828"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451E793E" w14:textId="77777777" w:rsidR="00921721"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2045</w:t>
                  </w:r>
                </w:p>
              </w:tc>
              <w:tc>
                <w:tcPr>
                  <w:tcW w:w="828"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3D1E1012" w14:textId="77777777" w:rsidR="00921721"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2050</w:t>
                  </w:r>
                </w:p>
              </w:tc>
            </w:tr>
            <w:tr w:rsidR="00921721" w:rsidRPr="007463B9" w14:paraId="1AA98AF6" w14:textId="77777777" w:rsidTr="00880D09">
              <w:trPr>
                <w:trHeight w:val="117"/>
              </w:trPr>
              <w:tc>
                <w:tcPr>
                  <w:tcW w:w="82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E77D573" w14:textId="77777777" w:rsidR="00921721" w:rsidRPr="002C6855" w:rsidRDefault="00921721" w:rsidP="00880D09">
                  <w:pPr>
                    <w:spacing w:before="60" w:after="60"/>
                    <w:ind w:right="28"/>
                    <w:jc w:val="center"/>
                    <w:rPr>
                      <w:rFonts w:asciiTheme="minorHAnsi" w:eastAsia="Arial Narrow" w:hAnsiTheme="minorHAnsi" w:cs="Arial Narrow"/>
                      <w:b/>
                      <w:color w:val="FFFFFF"/>
                      <w:spacing w:val="-1"/>
                      <w:w w:val="108"/>
                      <w:position w:val="-1"/>
                      <w:sz w:val="18"/>
                      <w:szCs w:val="18"/>
                      <w:lang w:val="en-US"/>
                    </w:rPr>
                  </w:pPr>
                  <w:r w:rsidRPr="00B72029">
                    <w:rPr>
                      <w:rFonts w:asciiTheme="minorHAnsi" w:hAnsiTheme="minorHAnsi"/>
                      <w:color w:val="4F81BD" w:themeColor="accent1"/>
                      <w:sz w:val="18"/>
                      <w:lang w:val="en-GB"/>
                    </w:rPr>
                    <w:t>E</w:t>
                  </w:r>
                  <w:r w:rsidRPr="00637253">
                    <w:rPr>
                      <w:rFonts w:asciiTheme="minorHAnsi" w:hAnsiTheme="minorHAnsi"/>
                      <w:color w:val="4F81BD" w:themeColor="accent1"/>
                      <w:sz w:val="18"/>
                      <w:lang w:val="en-GB"/>
                    </w:rPr>
                    <w:t>UR/</w:t>
                  </w:r>
                  <w:r>
                    <w:rPr>
                      <w:rFonts w:asciiTheme="minorHAnsi" w:hAnsiTheme="minorHAnsi"/>
                      <w:color w:val="4F81BD" w:themeColor="accent1"/>
                      <w:sz w:val="18"/>
                      <w:lang w:val="en-GB"/>
                    </w:rPr>
                    <w:t xml:space="preserve"> </w:t>
                  </w:r>
                  <w:r w:rsidRPr="00637253">
                    <w:rPr>
                      <w:rFonts w:asciiTheme="minorHAnsi" w:hAnsiTheme="minorHAnsi"/>
                      <w:color w:val="4F81BD" w:themeColor="accent1"/>
                      <w:sz w:val="18"/>
                      <w:lang w:val="en-GB"/>
                    </w:rPr>
                    <w:t>tCO</w:t>
                  </w:r>
                  <w:r w:rsidRPr="00F73A39">
                    <w:rPr>
                      <w:rFonts w:asciiTheme="minorHAnsi" w:hAnsiTheme="minorHAnsi"/>
                      <w:color w:val="4F81BD" w:themeColor="accent1"/>
                      <w:sz w:val="18"/>
                      <w:vertAlign w:val="subscript"/>
                      <w:lang w:val="en-GB"/>
                    </w:rPr>
                    <w:t>2</w:t>
                  </w:r>
                  <w:r>
                    <w:rPr>
                      <w:rFonts w:asciiTheme="minorHAnsi" w:hAnsiTheme="minorHAnsi"/>
                      <w:color w:val="4F81BD" w:themeColor="accent1"/>
                      <w:sz w:val="18"/>
                      <w:lang w:val="en-GB"/>
                    </w:rPr>
                    <w:t>e</w:t>
                  </w:r>
                </w:p>
              </w:tc>
              <w:tc>
                <w:tcPr>
                  <w:tcW w:w="82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6448946" w14:textId="77777777" w:rsidR="00921721" w:rsidRPr="00D74336"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80</w:t>
                  </w:r>
                </w:p>
              </w:tc>
              <w:tc>
                <w:tcPr>
                  <w:tcW w:w="82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E531CDD" w14:textId="77777777" w:rsidR="00921721" w:rsidRPr="00D74336"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165</w:t>
                  </w:r>
                </w:p>
              </w:tc>
              <w:tc>
                <w:tcPr>
                  <w:tcW w:w="82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58753B4"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250</w:t>
                  </w:r>
                </w:p>
              </w:tc>
              <w:tc>
                <w:tcPr>
                  <w:tcW w:w="82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3A2FF53"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390</w:t>
                  </w:r>
                </w:p>
              </w:tc>
              <w:tc>
                <w:tcPr>
                  <w:tcW w:w="82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F29F24F"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525</w:t>
                  </w:r>
                </w:p>
              </w:tc>
              <w:tc>
                <w:tcPr>
                  <w:tcW w:w="82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741B4C3"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660</w:t>
                  </w:r>
                </w:p>
              </w:tc>
              <w:tc>
                <w:tcPr>
                  <w:tcW w:w="82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EC0848A"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800</w:t>
                  </w:r>
                </w:p>
              </w:tc>
            </w:tr>
          </w:tbl>
          <w:p w14:paraId="7544B743" w14:textId="77777777" w:rsidR="00921721" w:rsidRPr="002833A8" w:rsidRDefault="00921721" w:rsidP="00880D09">
            <w:pPr>
              <w:spacing w:after="120"/>
              <w:ind w:right="170"/>
              <w:jc w:val="both"/>
              <w:rPr>
                <w:rFonts w:asciiTheme="minorHAnsi" w:hAnsiTheme="minorHAnsi" w:cs="Arial"/>
                <w:b/>
                <w:i/>
                <w:sz w:val="16"/>
                <w:szCs w:val="16"/>
              </w:rPr>
            </w:pPr>
            <w:r w:rsidRPr="003E7EB2">
              <w:rPr>
                <w:rFonts w:asciiTheme="minorHAnsi" w:hAnsiTheme="minorHAnsi" w:cs="Arial"/>
                <w:b/>
                <w:i/>
                <w:sz w:val="16"/>
                <w:szCs w:val="16"/>
                <w:lang w:val="en-US"/>
              </w:rPr>
              <w:t xml:space="preserve">Źródło: EIB Group Climate Bank Roadmap (2020) (Annex 5. </w:t>
            </w:r>
            <w:r w:rsidRPr="00983DF9">
              <w:rPr>
                <w:rFonts w:asciiTheme="minorHAnsi" w:hAnsiTheme="minorHAnsi" w:cs="Arial"/>
                <w:b/>
                <w:i/>
                <w:sz w:val="16"/>
                <w:szCs w:val="16"/>
              </w:rPr>
              <w:t>Aligned carbon prices)</w:t>
            </w:r>
          </w:p>
          <w:p w14:paraId="68377282" w14:textId="77777777" w:rsidR="00921721" w:rsidRDefault="00921721" w:rsidP="00880D09">
            <w:pPr>
              <w:pStyle w:val="anxnormal"/>
              <w:ind w:left="0"/>
              <w:rPr>
                <w:rFonts w:asciiTheme="minorHAnsi" w:hAnsiTheme="minorHAnsi"/>
                <w:u w:val="single"/>
                <w:lang w:eastAsia="en-US"/>
              </w:rPr>
            </w:pPr>
          </w:p>
          <w:p w14:paraId="3230D818" w14:textId="77777777" w:rsidR="00921721" w:rsidRDefault="00921721" w:rsidP="00880D09">
            <w:pPr>
              <w:pStyle w:val="anxnormal"/>
              <w:ind w:left="0"/>
              <w:rPr>
                <w:rFonts w:asciiTheme="minorHAnsi" w:hAnsiTheme="minorHAnsi"/>
                <w:u w:val="single"/>
                <w:lang w:eastAsia="en-US"/>
              </w:rPr>
            </w:pPr>
          </w:p>
          <w:p w14:paraId="5E12C3CB" w14:textId="77777777" w:rsidR="00921721" w:rsidRDefault="00921721" w:rsidP="00880D09">
            <w:pPr>
              <w:pStyle w:val="anxnormal"/>
              <w:ind w:left="0"/>
              <w:rPr>
                <w:rFonts w:asciiTheme="minorHAnsi" w:hAnsiTheme="minorHAnsi"/>
                <w:u w:val="single"/>
                <w:lang w:eastAsia="en-US"/>
              </w:rPr>
            </w:pPr>
          </w:p>
          <w:p w14:paraId="16DED5A8" w14:textId="75050EB9" w:rsidR="00921721" w:rsidRDefault="00921721" w:rsidP="00880D09">
            <w:pPr>
              <w:pStyle w:val="anxnormal"/>
              <w:ind w:left="0"/>
              <w:rPr>
                <w:rFonts w:asciiTheme="minorHAnsi" w:hAnsiTheme="minorHAnsi"/>
                <w:u w:val="single"/>
                <w:lang w:eastAsia="en-US"/>
              </w:rPr>
            </w:pPr>
            <w:r w:rsidRPr="00731E4E">
              <w:rPr>
                <w:rFonts w:asciiTheme="minorHAnsi" w:hAnsiTheme="minorHAnsi"/>
                <w:u w:val="single"/>
                <w:lang w:eastAsia="en-US"/>
              </w:rPr>
              <w:t>Obliczenie kosztów jednostkowych zmian klimatu</w:t>
            </w:r>
            <w:r>
              <w:rPr>
                <w:rFonts w:asciiTheme="minorHAnsi" w:hAnsiTheme="minorHAnsi"/>
                <w:u w:val="single"/>
                <w:lang w:eastAsia="en-US"/>
              </w:rPr>
              <w:t xml:space="preserve"> i </w:t>
            </w:r>
            <w:r w:rsidRPr="00731E4E">
              <w:rPr>
                <w:rFonts w:asciiTheme="minorHAnsi" w:hAnsiTheme="minorHAnsi"/>
                <w:u w:val="single"/>
                <w:lang w:eastAsia="en-US"/>
              </w:rPr>
              <w:t>zmienność kosztów jednostkowych</w:t>
            </w:r>
            <w:r>
              <w:rPr>
                <w:rFonts w:asciiTheme="minorHAnsi" w:hAnsiTheme="minorHAnsi"/>
                <w:u w:val="single"/>
                <w:lang w:eastAsia="en-US"/>
              </w:rPr>
              <w:t xml:space="preserve"> w </w:t>
            </w:r>
            <w:r w:rsidRPr="00731E4E">
              <w:rPr>
                <w:rFonts w:asciiTheme="minorHAnsi" w:hAnsiTheme="minorHAnsi"/>
                <w:u w:val="single"/>
                <w:lang w:eastAsia="en-US"/>
              </w:rPr>
              <w:t>czasie</w:t>
            </w:r>
          </w:p>
          <w:p w14:paraId="7DB745B3" w14:textId="77777777" w:rsidR="00921721" w:rsidRDefault="00921721" w:rsidP="00880D09">
            <w:pPr>
              <w:jc w:val="both"/>
              <w:rPr>
                <w:rFonts w:asciiTheme="minorHAnsi" w:hAnsiTheme="minorHAnsi" w:cstheme="minorHAnsi"/>
                <w:sz w:val="20"/>
                <w:szCs w:val="20"/>
              </w:rPr>
            </w:pPr>
            <w:r w:rsidRPr="00983DF9">
              <w:rPr>
                <w:rFonts w:asciiTheme="minorHAnsi" w:hAnsiTheme="minorHAnsi" w:cstheme="minorHAnsi"/>
                <w:sz w:val="20"/>
                <w:szCs w:val="20"/>
                <w:lang w:eastAsia="en-US"/>
              </w:rPr>
              <w:t xml:space="preserve">Obliczenie kosztu jednostkowego dla </w:t>
            </w:r>
            <w:r>
              <w:rPr>
                <w:rFonts w:asciiTheme="minorHAnsi" w:hAnsiTheme="minorHAnsi" w:cstheme="minorHAnsi"/>
                <w:sz w:val="20"/>
                <w:szCs w:val="20"/>
                <w:lang w:eastAsia="en-US"/>
              </w:rPr>
              <w:t xml:space="preserve">obecnie przyjętego </w:t>
            </w:r>
            <w:r w:rsidRPr="00983DF9">
              <w:rPr>
                <w:rFonts w:asciiTheme="minorHAnsi" w:hAnsiTheme="minorHAnsi" w:cstheme="minorHAnsi"/>
                <w:sz w:val="20"/>
                <w:szCs w:val="20"/>
                <w:lang w:eastAsia="en-US"/>
              </w:rPr>
              <w:t xml:space="preserve">roku bazowego </w:t>
            </w:r>
            <w:r w:rsidRPr="00983DF9">
              <w:rPr>
                <w:rFonts w:asciiTheme="minorHAnsi" w:hAnsiTheme="minorHAnsi" w:cstheme="minorHAnsi"/>
                <w:sz w:val="20"/>
                <w:szCs w:val="20"/>
              </w:rPr>
              <w:t>(202</w:t>
            </w:r>
            <w:r>
              <w:rPr>
                <w:rFonts w:asciiTheme="minorHAnsi" w:hAnsiTheme="minorHAnsi" w:cstheme="minorHAnsi"/>
                <w:sz w:val="20"/>
                <w:szCs w:val="20"/>
              </w:rPr>
              <w:t>1</w:t>
            </w:r>
            <w:r w:rsidRPr="00983DF9">
              <w:rPr>
                <w:rFonts w:asciiTheme="minorHAnsi" w:hAnsiTheme="minorHAnsi" w:cstheme="minorHAnsi"/>
                <w:sz w:val="20"/>
                <w:szCs w:val="20"/>
              </w:rPr>
              <w:t xml:space="preserve">) </w:t>
            </w:r>
            <w:r>
              <w:rPr>
                <w:rFonts w:asciiTheme="minorHAnsi" w:hAnsiTheme="minorHAnsi" w:cstheme="minorHAnsi"/>
                <w:sz w:val="20"/>
                <w:szCs w:val="20"/>
              </w:rPr>
              <w:t>wymaga przeliczenia z EUR na PLN (kurs 2016), a </w:t>
            </w:r>
            <w:r w:rsidRPr="00983DF9">
              <w:rPr>
                <w:rFonts w:asciiTheme="minorHAnsi" w:hAnsiTheme="minorHAnsi" w:cstheme="minorHAnsi"/>
                <w:sz w:val="20"/>
                <w:szCs w:val="20"/>
              </w:rPr>
              <w:t xml:space="preserve">następnie </w:t>
            </w:r>
            <w:r>
              <w:rPr>
                <w:rFonts w:asciiTheme="minorHAnsi" w:hAnsiTheme="minorHAnsi" w:cstheme="minorHAnsi"/>
                <w:sz w:val="20"/>
                <w:szCs w:val="20"/>
              </w:rPr>
              <w:t>przeliczenia</w:t>
            </w:r>
            <w:r w:rsidRPr="00983DF9">
              <w:rPr>
                <w:rFonts w:asciiTheme="minorHAnsi" w:hAnsiTheme="minorHAnsi" w:cstheme="minorHAnsi"/>
                <w:sz w:val="20"/>
                <w:szCs w:val="20"/>
              </w:rPr>
              <w:t xml:space="preserve"> kosztu jednostkowego CO</w:t>
            </w:r>
            <w:r w:rsidRPr="00F73A39">
              <w:rPr>
                <w:rFonts w:asciiTheme="minorHAnsi" w:hAnsiTheme="minorHAnsi" w:cstheme="minorHAnsi"/>
                <w:sz w:val="20"/>
                <w:szCs w:val="20"/>
                <w:vertAlign w:val="subscript"/>
              </w:rPr>
              <w:t>2</w:t>
            </w:r>
            <w:r w:rsidRPr="00983DF9">
              <w:rPr>
                <w:rFonts w:asciiTheme="minorHAnsi" w:hAnsiTheme="minorHAnsi" w:cstheme="minorHAnsi"/>
                <w:sz w:val="20"/>
                <w:szCs w:val="20"/>
              </w:rPr>
              <w:t xml:space="preserve"> (2016) na poziom cenowy analizy (202</w:t>
            </w:r>
            <w:r>
              <w:rPr>
                <w:rFonts w:asciiTheme="minorHAnsi" w:hAnsiTheme="minorHAnsi" w:cstheme="minorHAnsi"/>
                <w:sz w:val="20"/>
                <w:szCs w:val="20"/>
              </w:rPr>
              <w:t>1</w:t>
            </w:r>
            <w:r w:rsidRPr="00983DF9">
              <w:rPr>
                <w:rFonts w:asciiTheme="minorHAnsi" w:hAnsiTheme="minorHAnsi" w:cstheme="minorHAnsi"/>
                <w:sz w:val="20"/>
                <w:szCs w:val="20"/>
              </w:rPr>
              <w:t>). Koszty jednostkowe dla pozostałej części okresu o</w:t>
            </w:r>
            <w:r>
              <w:rPr>
                <w:rFonts w:asciiTheme="minorHAnsi" w:hAnsiTheme="minorHAnsi" w:cstheme="minorHAnsi"/>
                <w:sz w:val="20"/>
                <w:szCs w:val="20"/>
              </w:rPr>
              <w:t>dniesienia zostaną oszacowane w oparciu o </w:t>
            </w:r>
            <w:r w:rsidRPr="00983DF9">
              <w:rPr>
                <w:rFonts w:asciiTheme="minorHAnsi" w:hAnsiTheme="minorHAnsi" w:cstheme="minorHAnsi"/>
                <w:sz w:val="20"/>
                <w:szCs w:val="20"/>
              </w:rPr>
              <w:t>interpolację liniową wyżej określonych kosztów jed</w:t>
            </w:r>
            <w:r>
              <w:rPr>
                <w:rFonts w:asciiTheme="minorHAnsi" w:hAnsiTheme="minorHAnsi" w:cstheme="minorHAnsi"/>
                <w:sz w:val="20"/>
                <w:szCs w:val="20"/>
              </w:rPr>
              <w:t>nostkowych, jak przedstawiono w </w:t>
            </w:r>
            <w:r w:rsidRPr="00534221">
              <w:rPr>
                <w:rFonts w:asciiTheme="minorHAnsi" w:hAnsiTheme="minorHAnsi" w:cstheme="minorHAnsi"/>
                <w:b/>
                <w:i/>
                <w:sz w:val="20"/>
                <w:szCs w:val="20"/>
              </w:rPr>
              <w:t>pliku Excel</w:t>
            </w:r>
            <w:r w:rsidRPr="008F608B">
              <w:rPr>
                <w:rFonts w:asciiTheme="minorHAnsi" w:hAnsiTheme="minorHAnsi" w:cstheme="minorHAnsi"/>
                <w:sz w:val="20"/>
                <w:szCs w:val="20"/>
              </w:rPr>
              <w:t xml:space="preserve"> </w:t>
            </w:r>
            <w:r>
              <w:rPr>
                <w:rFonts w:asciiTheme="minorHAnsi" w:hAnsiTheme="minorHAnsi" w:cstheme="minorHAnsi"/>
                <w:sz w:val="20"/>
                <w:szCs w:val="20"/>
              </w:rPr>
              <w:t xml:space="preserve">z kosztami jednostowymi. </w:t>
            </w:r>
          </w:p>
          <w:p w14:paraId="7AF9E2A7" w14:textId="77777777" w:rsidR="00921721" w:rsidRPr="00983DF9" w:rsidRDefault="00921721" w:rsidP="00880D09">
            <w:pPr>
              <w:rPr>
                <w:rFonts w:asciiTheme="minorHAnsi" w:hAnsiTheme="minorHAnsi" w:cstheme="minorHAnsi"/>
                <w:sz w:val="20"/>
                <w:szCs w:val="20"/>
              </w:rPr>
            </w:pPr>
          </w:p>
          <w:p w14:paraId="5F791FF8" w14:textId="77777777" w:rsidR="00921721" w:rsidRPr="009F2FD2" w:rsidRDefault="00921721" w:rsidP="00880D09">
            <w:pPr>
              <w:pStyle w:val="anxnormal"/>
              <w:ind w:left="0"/>
              <w:rPr>
                <w:rFonts w:asciiTheme="minorHAnsi" w:hAnsiTheme="minorHAnsi" w:cs="Arial-Narrow,Bold"/>
                <w:b/>
                <w:bCs/>
                <w:color w:val="4F81BD" w:themeColor="accent1"/>
                <w:sz w:val="23"/>
                <w:szCs w:val="23"/>
                <w:lang w:eastAsia="en-GB"/>
              </w:rPr>
            </w:pPr>
            <w:r w:rsidRPr="009F2FD2">
              <w:rPr>
                <w:rFonts w:asciiTheme="minorHAnsi" w:hAnsiTheme="minorHAnsi" w:cs="Arial-Narrow,Bold"/>
                <w:b/>
                <w:bCs/>
                <w:color w:val="4F81BD" w:themeColor="accent1"/>
                <w:sz w:val="23"/>
                <w:szCs w:val="23"/>
                <w:lang w:eastAsia="en-GB"/>
              </w:rPr>
              <w:t>8. Koszty hałasu</w:t>
            </w:r>
          </w:p>
          <w:p w14:paraId="44CC5E4F" w14:textId="77777777" w:rsidR="00921721" w:rsidRPr="00731E4E" w:rsidRDefault="00921721" w:rsidP="00880D09">
            <w:pPr>
              <w:pStyle w:val="anxnormal"/>
              <w:ind w:left="0"/>
              <w:rPr>
                <w:rFonts w:asciiTheme="minorHAnsi" w:hAnsiTheme="minorHAnsi"/>
                <w:u w:val="single"/>
                <w:lang w:eastAsia="en-US"/>
              </w:rPr>
            </w:pPr>
            <w:r w:rsidRPr="00731E4E">
              <w:rPr>
                <w:rFonts w:asciiTheme="minorHAnsi" w:hAnsiTheme="minorHAnsi"/>
                <w:u w:val="single"/>
                <w:lang w:eastAsia="en-US"/>
              </w:rPr>
              <w:t>Metoda pierwsza</w:t>
            </w:r>
          </w:p>
          <w:p w14:paraId="6F4AE825" w14:textId="77777777" w:rsidR="00921721" w:rsidRDefault="00921721" w:rsidP="00880D09">
            <w:pPr>
              <w:pStyle w:val="anxnormal"/>
              <w:ind w:left="0"/>
              <w:rPr>
                <w:rFonts w:asciiTheme="minorHAnsi" w:hAnsiTheme="minorHAnsi"/>
                <w:lang w:eastAsia="en-US"/>
              </w:rPr>
            </w:pPr>
            <w:r w:rsidRPr="00731E4E">
              <w:rPr>
                <w:rFonts w:asciiTheme="minorHAnsi" w:hAnsiTheme="minorHAnsi"/>
                <w:lang w:eastAsia="en-US"/>
              </w:rPr>
              <w:t xml:space="preserve">Jednostkowe koszty ekonomiczne hałasu </w:t>
            </w:r>
            <w:r>
              <w:rPr>
                <w:rFonts w:asciiTheme="minorHAnsi" w:hAnsiTheme="minorHAnsi"/>
                <w:lang w:eastAsia="en-US"/>
              </w:rPr>
              <w:t xml:space="preserve">pojazdów drogowych </w:t>
            </w:r>
            <w:r w:rsidRPr="00731E4E">
              <w:rPr>
                <w:rFonts w:asciiTheme="minorHAnsi" w:hAnsiTheme="minorHAnsi"/>
                <w:lang w:eastAsia="en-US"/>
              </w:rPr>
              <w:t xml:space="preserve">[PLN/poj-km], ceny </w:t>
            </w:r>
            <w:r>
              <w:rPr>
                <w:rFonts w:asciiTheme="minorHAnsi" w:hAnsiTheme="minorHAnsi"/>
                <w:lang w:eastAsia="en-US"/>
              </w:rPr>
              <w:t>2021</w:t>
            </w:r>
          </w:p>
          <w:tbl>
            <w:tblPr>
              <w:tblW w:w="6227" w:type="dxa"/>
              <w:tblLayout w:type="fixed"/>
              <w:tblLook w:val="04A0" w:firstRow="1" w:lastRow="0" w:firstColumn="1" w:lastColumn="0" w:noHBand="0" w:noVBand="1"/>
            </w:tblPr>
            <w:tblGrid>
              <w:gridCol w:w="2486"/>
              <w:gridCol w:w="1247"/>
              <w:gridCol w:w="1247"/>
              <w:gridCol w:w="1247"/>
            </w:tblGrid>
            <w:tr w:rsidR="00921721" w:rsidRPr="007463B9" w14:paraId="3029A5FB" w14:textId="77777777" w:rsidTr="00880D09">
              <w:trPr>
                <w:trHeight w:hRule="exact" w:val="712"/>
              </w:trPr>
              <w:tc>
                <w:tcPr>
                  <w:tcW w:w="248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7B8BF6A"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3E7EB2">
                    <w:rPr>
                      <w:rFonts w:asciiTheme="minorHAnsi" w:hAnsiTheme="minorHAnsi" w:cs="Arial"/>
                      <w:b/>
                      <w:bCs/>
                      <w:color w:val="FFFFFF"/>
                      <w:sz w:val="16"/>
                      <w:szCs w:val="16"/>
                    </w:rPr>
                    <w:t xml:space="preserve">Wartości jednostkowe w oparciu </w:t>
                  </w:r>
                  <w:r w:rsidRPr="00387FFD">
                    <w:rPr>
                      <w:rFonts w:asciiTheme="minorHAnsi" w:hAnsiTheme="minorHAnsi" w:cs="Arial"/>
                      <w:b/>
                      <w:bCs/>
                      <w:color w:val="FFFFFF"/>
                      <w:sz w:val="16"/>
                      <w:szCs w:val="16"/>
                    </w:rPr>
                    <w:t>o</w:t>
                  </w:r>
                  <w:r>
                    <w:rPr>
                      <w:rFonts w:asciiTheme="minorHAnsi" w:hAnsiTheme="minorHAnsi" w:cs="Arial"/>
                      <w:b/>
                      <w:bCs/>
                      <w:color w:val="FFFFFF"/>
                      <w:sz w:val="16"/>
                      <w:szCs w:val="16"/>
                    </w:rPr>
                    <w:t xml:space="preserve"> k</w:t>
                  </w:r>
                  <w:r w:rsidRPr="003350DF">
                    <w:rPr>
                      <w:rFonts w:asciiTheme="minorHAnsi" w:hAnsiTheme="minorHAnsi" w:cs="Arial"/>
                      <w:b/>
                      <w:bCs/>
                      <w:color w:val="FFFFFF"/>
                      <w:sz w:val="16"/>
                      <w:szCs w:val="16"/>
                    </w:rPr>
                    <w:t xml:space="preserve">rańcowe koszty zewnętrzne hałasu </w:t>
                  </w:r>
                  <w:r w:rsidRPr="003E7EB2">
                    <w:rPr>
                      <w:rFonts w:asciiTheme="minorHAnsi" w:hAnsiTheme="minorHAnsi" w:cs="Arial"/>
                      <w:b/>
                      <w:bCs/>
                      <w:color w:val="FFFFFF"/>
                      <w:sz w:val="16"/>
                      <w:szCs w:val="16"/>
                    </w:rPr>
                    <w:t>(PLN/poj-km)</w:t>
                  </w:r>
                </w:p>
              </w:tc>
              <w:tc>
                <w:tcPr>
                  <w:tcW w:w="1247"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594159A" w14:textId="77777777" w:rsidR="00921721" w:rsidRPr="002F209F" w:rsidRDefault="00921721" w:rsidP="00880D09">
                  <w:pPr>
                    <w:snapToGrid w:val="0"/>
                    <w:spacing w:before="20" w:after="20"/>
                    <w:jc w:val="center"/>
                    <w:rPr>
                      <w:rFonts w:asciiTheme="minorHAnsi" w:hAnsiTheme="minorHAnsi" w:cs="Arial"/>
                      <w:b/>
                      <w:bCs/>
                      <w:color w:val="FFFFFF"/>
                      <w:sz w:val="18"/>
                      <w:szCs w:val="18"/>
                      <w:lang w:val="en-GB"/>
                    </w:rPr>
                  </w:pPr>
                  <w:r w:rsidRPr="002C6855">
                    <w:rPr>
                      <w:rFonts w:asciiTheme="minorHAnsi" w:hAnsiTheme="minorHAnsi" w:cs="Arial"/>
                      <w:b/>
                      <w:bCs/>
                      <w:color w:val="FFFFFF"/>
                      <w:sz w:val="18"/>
                      <w:szCs w:val="18"/>
                      <w:lang w:val="en-GB"/>
                    </w:rPr>
                    <w:t>Metropolia (*)</w:t>
                  </w:r>
                </w:p>
              </w:tc>
              <w:tc>
                <w:tcPr>
                  <w:tcW w:w="1247"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4D0DBBD1" w14:textId="77777777" w:rsidR="00921721" w:rsidRPr="002F209F" w:rsidRDefault="00921721" w:rsidP="00880D09">
                  <w:pPr>
                    <w:snapToGrid w:val="0"/>
                    <w:spacing w:before="20" w:after="20"/>
                    <w:jc w:val="center"/>
                    <w:rPr>
                      <w:rFonts w:asciiTheme="minorHAnsi" w:hAnsiTheme="minorHAnsi" w:cs="Arial"/>
                      <w:b/>
                      <w:bCs/>
                      <w:color w:val="FFFFFF"/>
                      <w:sz w:val="18"/>
                      <w:szCs w:val="18"/>
                      <w:lang w:val="en-GB"/>
                    </w:rPr>
                  </w:pPr>
                  <w:r w:rsidRPr="002C6855">
                    <w:rPr>
                      <w:rFonts w:asciiTheme="minorHAnsi" w:hAnsiTheme="minorHAnsi" w:cs="Arial"/>
                      <w:b/>
                      <w:bCs/>
                      <w:color w:val="FFFFFF"/>
                      <w:sz w:val="18"/>
                      <w:szCs w:val="18"/>
                      <w:lang w:val="en-GB"/>
                    </w:rPr>
                    <w:t xml:space="preserve">Obszar </w:t>
                  </w:r>
                  <w:r w:rsidRPr="002C6855">
                    <w:rPr>
                      <w:rFonts w:asciiTheme="minorHAnsi" w:hAnsiTheme="minorHAnsi" w:cs="Arial"/>
                      <w:b/>
                      <w:bCs/>
                      <w:color w:val="FFFFFF"/>
                      <w:sz w:val="18"/>
                      <w:szCs w:val="18"/>
                      <w:lang w:val="en-GB"/>
                    </w:rPr>
                    <w:br/>
                    <w:t>miejski</w:t>
                  </w:r>
                </w:p>
              </w:tc>
              <w:tc>
                <w:tcPr>
                  <w:tcW w:w="1247"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22EB18F8" w14:textId="77777777" w:rsidR="00921721" w:rsidRPr="002F209F" w:rsidRDefault="00921721" w:rsidP="00880D09">
                  <w:pPr>
                    <w:snapToGrid w:val="0"/>
                    <w:spacing w:before="20" w:after="20"/>
                    <w:jc w:val="center"/>
                    <w:rPr>
                      <w:rFonts w:asciiTheme="minorHAnsi" w:hAnsiTheme="minorHAnsi" w:cs="Arial"/>
                      <w:b/>
                      <w:bCs/>
                      <w:color w:val="FFFFFF"/>
                      <w:sz w:val="18"/>
                      <w:szCs w:val="18"/>
                      <w:lang w:val="en-GB"/>
                    </w:rPr>
                  </w:pPr>
                  <w:r w:rsidRPr="002C6855">
                    <w:rPr>
                      <w:rFonts w:asciiTheme="minorHAnsi" w:hAnsiTheme="minorHAnsi" w:cs="Arial"/>
                      <w:b/>
                      <w:bCs/>
                      <w:color w:val="FFFFFF"/>
                      <w:sz w:val="18"/>
                      <w:szCs w:val="18"/>
                      <w:lang w:val="en-GB"/>
                    </w:rPr>
                    <w:t xml:space="preserve">Obszar </w:t>
                  </w:r>
                  <w:r w:rsidRPr="002C6855">
                    <w:rPr>
                      <w:rFonts w:asciiTheme="minorHAnsi" w:hAnsiTheme="minorHAnsi" w:cs="Arial"/>
                      <w:b/>
                      <w:bCs/>
                      <w:color w:val="FFFFFF"/>
                      <w:sz w:val="18"/>
                      <w:szCs w:val="18"/>
                      <w:lang w:val="en-GB"/>
                    </w:rPr>
                    <w:br/>
                    <w:t>zamiejski</w:t>
                  </w:r>
                </w:p>
              </w:tc>
            </w:tr>
            <w:tr w:rsidR="00921721" w:rsidRPr="007463B9" w14:paraId="2869E1AE" w14:textId="77777777" w:rsidTr="00880D09">
              <w:trPr>
                <w:trHeight w:hRule="exact" w:val="311"/>
              </w:trPr>
              <w:tc>
                <w:tcPr>
                  <w:tcW w:w="248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8D15763" w14:textId="77777777" w:rsidR="00921721" w:rsidRPr="001569CA" w:rsidRDefault="00921721" w:rsidP="00880D09">
                  <w:pPr>
                    <w:spacing w:before="20"/>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 xml:space="preserve">LV </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hideMark/>
                </w:tcPr>
                <w:p w14:paraId="22125C90"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0,057</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3575D3DC"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0,004</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044D66B5"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0,0004</w:t>
                  </w:r>
                </w:p>
              </w:tc>
            </w:tr>
            <w:tr w:rsidR="00921721" w:rsidRPr="007463B9" w14:paraId="4E016C3E" w14:textId="77777777" w:rsidTr="00880D09">
              <w:trPr>
                <w:trHeight w:hRule="exact" w:val="311"/>
              </w:trPr>
              <w:tc>
                <w:tcPr>
                  <w:tcW w:w="248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103A555" w14:textId="77777777" w:rsidR="00921721" w:rsidRPr="00CA444D" w:rsidRDefault="00921721" w:rsidP="00880D09">
                  <w:pPr>
                    <w:spacing w:before="20"/>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HGV</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hideMark/>
                </w:tcPr>
                <w:p w14:paraId="03EA6E8C"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0,703</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539F9AF8"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0,044</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2D090494"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0,005</w:t>
                  </w:r>
                </w:p>
              </w:tc>
            </w:tr>
            <w:tr w:rsidR="00921721" w:rsidRPr="007463B9" w14:paraId="0FF7A3AF" w14:textId="77777777" w:rsidTr="00880D09">
              <w:trPr>
                <w:trHeight w:hRule="exact" w:val="311"/>
              </w:trPr>
              <w:tc>
                <w:tcPr>
                  <w:tcW w:w="248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7A2757E" w14:textId="77777777" w:rsidR="00921721" w:rsidRDefault="00921721" w:rsidP="00880D09">
                  <w:pPr>
                    <w:spacing w:before="20"/>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 xml:space="preserve">Autobus </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1E823CFD"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0,444</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056A8410"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0,028</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62591E98"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0,003</w:t>
                  </w:r>
                </w:p>
              </w:tc>
            </w:tr>
          </w:tbl>
          <w:p w14:paraId="2A4F2AB8" w14:textId="77777777" w:rsidR="00921721" w:rsidRDefault="00921721" w:rsidP="00880D09">
            <w:pPr>
              <w:ind w:right="170"/>
              <w:jc w:val="both"/>
              <w:rPr>
                <w:rFonts w:asciiTheme="minorHAnsi" w:hAnsiTheme="minorHAnsi" w:cs="Arial"/>
                <w:b/>
                <w:i/>
                <w:sz w:val="16"/>
                <w:szCs w:val="16"/>
                <w:lang w:val="en-US"/>
              </w:rPr>
            </w:pPr>
            <w:r w:rsidRPr="002C6855">
              <w:rPr>
                <w:rFonts w:asciiTheme="minorHAnsi" w:hAnsiTheme="minorHAnsi" w:cs="Arial"/>
                <w:b/>
                <w:i/>
                <w:sz w:val="16"/>
                <w:szCs w:val="16"/>
                <w:lang w:val="en-US"/>
              </w:rPr>
              <w:t>Źródło</w:t>
            </w:r>
            <w:r w:rsidRPr="00CF54F6">
              <w:rPr>
                <w:rFonts w:asciiTheme="minorHAnsi" w:hAnsiTheme="minorHAnsi" w:cs="Arial"/>
                <w:b/>
                <w:i/>
                <w:sz w:val="16"/>
                <w:szCs w:val="16"/>
                <w:lang w:val="en-US"/>
              </w:rPr>
              <w:t xml:space="preserve">: CUPT-JASPERS work based on </w:t>
            </w:r>
            <w:r w:rsidRPr="00D22938">
              <w:rPr>
                <w:rFonts w:asciiTheme="minorHAnsi" w:hAnsiTheme="minorHAnsi" w:cs="Arial"/>
                <w:b/>
                <w:i/>
                <w:sz w:val="16"/>
                <w:szCs w:val="16"/>
                <w:lang w:val="en-US"/>
              </w:rPr>
              <w:t>Handbook on the External Costs of Transport (January 2019)</w:t>
            </w:r>
            <w:r>
              <w:rPr>
                <w:rFonts w:asciiTheme="minorHAnsi" w:hAnsiTheme="minorHAnsi" w:cs="Arial"/>
                <w:b/>
                <w:i/>
                <w:sz w:val="16"/>
                <w:szCs w:val="16"/>
                <w:lang w:val="en-US"/>
              </w:rPr>
              <w:t>.</w:t>
            </w:r>
            <w:r w:rsidRPr="002C6855">
              <w:rPr>
                <w:rFonts w:asciiTheme="minorHAnsi" w:hAnsiTheme="minorHAnsi" w:cs="Arial"/>
                <w:b/>
                <w:i/>
                <w:sz w:val="16"/>
                <w:szCs w:val="16"/>
                <w:lang w:val="en-US"/>
              </w:rPr>
              <w:t xml:space="preserve"> </w:t>
            </w:r>
          </w:p>
          <w:p w14:paraId="3A26ACE3" w14:textId="77777777" w:rsidR="00921721" w:rsidRPr="002C6855" w:rsidRDefault="00921721" w:rsidP="00880D09">
            <w:pPr>
              <w:ind w:right="170"/>
              <w:jc w:val="both"/>
              <w:rPr>
                <w:rFonts w:asciiTheme="minorHAnsi" w:hAnsiTheme="minorHAnsi" w:cs="Arial"/>
                <w:snapToGrid w:val="0"/>
                <w:sz w:val="20"/>
                <w:szCs w:val="20"/>
                <w:lang w:eastAsia="en-US"/>
              </w:rPr>
            </w:pPr>
            <w:r w:rsidRPr="003E7EB2">
              <w:rPr>
                <w:rFonts w:asciiTheme="minorHAnsi" w:hAnsiTheme="minorHAnsi" w:cs="Arial"/>
                <w:b/>
                <w:i/>
                <w:sz w:val="16"/>
                <w:szCs w:val="16"/>
              </w:rPr>
              <w:t>(*) Obszar metropolitalny: miasto lub aglomeracja o liczbie mieszkańców przekraczającej 0,5 miliona (definicja według Handbook on the External Costs of Transport, EC, January 2019)</w:t>
            </w:r>
          </w:p>
          <w:p w14:paraId="78C34459" w14:textId="77777777" w:rsidR="00921721" w:rsidRPr="00054D26" w:rsidRDefault="00921721" w:rsidP="00880D09">
            <w:pPr>
              <w:ind w:right="170"/>
              <w:jc w:val="both"/>
              <w:rPr>
                <w:rFonts w:asciiTheme="minorHAnsi" w:hAnsiTheme="minorHAnsi" w:cs="Arial"/>
                <w:snapToGrid w:val="0"/>
                <w:sz w:val="20"/>
                <w:szCs w:val="20"/>
                <w:highlight w:val="yellow"/>
                <w:lang w:eastAsia="en-US"/>
              </w:rPr>
            </w:pPr>
          </w:p>
          <w:p w14:paraId="7621F9E6" w14:textId="77777777" w:rsidR="00921721" w:rsidRPr="00054D26" w:rsidRDefault="00921721" w:rsidP="00880D09">
            <w:pPr>
              <w:ind w:right="170"/>
              <w:jc w:val="both"/>
              <w:rPr>
                <w:rFonts w:asciiTheme="minorHAnsi" w:hAnsiTheme="minorHAnsi" w:cs="Arial"/>
                <w:snapToGrid w:val="0"/>
                <w:sz w:val="20"/>
                <w:szCs w:val="20"/>
                <w:lang w:eastAsia="en-US"/>
              </w:rPr>
            </w:pPr>
            <w:r w:rsidRPr="00054D26">
              <w:rPr>
                <w:rStyle w:val="jlqj4b"/>
                <w:rFonts w:asciiTheme="minorHAnsi" w:hAnsiTheme="minorHAnsi" w:cstheme="minorHAnsi"/>
                <w:color w:val="000000"/>
                <w:sz w:val="20"/>
                <w:szCs w:val="20"/>
              </w:rPr>
              <w:t>Pojazdy elektryczne nie są uwzględnione.</w:t>
            </w:r>
            <w:r w:rsidRPr="00054D26">
              <w:rPr>
                <w:rStyle w:val="viiyi"/>
                <w:rFonts w:asciiTheme="minorHAnsi" w:hAnsiTheme="minorHAnsi" w:cstheme="minorHAnsi"/>
                <w:color w:val="000000"/>
                <w:sz w:val="20"/>
                <w:szCs w:val="20"/>
              </w:rPr>
              <w:t xml:space="preserve"> </w:t>
            </w:r>
            <w:r w:rsidRPr="00054D26">
              <w:rPr>
                <w:rStyle w:val="jlqj4b"/>
                <w:rFonts w:asciiTheme="minorHAnsi" w:hAnsiTheme="minorHAnsi" w:cstheme="minorHAnsi"/>
                <w:color w:val="000000"/>
                <w:sz w:val="20"/>
                <w:szCs w:val="20"/>
              </w:rPr>
              <w:t>Zakłada się, że koszty hałasu są pomi</w:t>
            </w:r>
            <w:r>
              <w:rPr>
                <w:rStyle w:val="jlqj4b"/>
                <w:rFonts w:asciiTheme="minorHAnsi" w:hAnsiTheme="minorHAnsi" w:cstheme="minorHAnsi"/>
                <w:color w:val="000000"/>
                <w:sz w:val="20"/>
                <w:szCs w:val="20"/>
              </w:rPr>
              <w:t>jane</w:t>
            </w:r>
            <w:r w:rsidRPr="00054D26">
              <w:rPr>
                <w:rStyle w:val="jlqj4b"/>
                <w:rFonts w:asciiTheme="minorHAnsi" w:hAnsiTheme="minorHAnsi" w:cstheme="minorHAnsi"/>
                <w:color w:val="000000"/>
                <w:sz w:val="20"/>
                <w:szCs w:val="20"/>
              </w:rPr>
              <w:t xml:space="preserve"> dla pojazdów elektrycznych, tzn. wartości jednostkowe dotyczą tylko pojazdów z silnikiem spalinowym</w:t>
            </w:r>
            <w:r w:rsidRPr="00054D26">
              <w:rPr>
                <w:rFonts w:asciiTheme="minorHAnsi" w:hAnsiTheme="minorHAnsi" w:cs="Arial"/>
                <w:snapToGrid w:val="0"/>
                <w:sz w:val="20"/>
                <w:szCs w:val="20"/>
                <w:lang w:eastAsia="en-US"/>
              </w:rPr>
              <w:t xml:space="preserve">. </w:t>
            </w:r>
          </w:p>
          <w:p w14:paraId="107CD83B" w14:textId="77777777" w:rsidR="00921721" w:rsidRPr="00054D26" w:rsidRDefault="00921721" w:rsidP="00880D09">
            <w:pPr>
              <w:ind w:right="170"/>
              <w:jc w:val="both"/>
              <w:rPr>
                <w:rFonts w:asciiTheme="minorHAnsi" w:hAnsiTheme="minorHAnsi" w:cs="Arial"/>
                <w:snapToGrid w:val="0"/>
                <w:sz w:val="20"/>
                <w:szCs w:val="20"/>
                <w:lang w:eastAsia="en-US"/>
              </w:rPr>
            </w:pPr>
          </w:p>
          <w:p w14:paraId="208003A9" w14:textId="77777777" w:rsidR="00921721" w:rsidRPr="00A40C0A" w:rsidRDefault="00921721" w:rsidP="00880D09">
            <w:pPr>
              <w:ind w:right="170"/>
              <w:jc w:val="both"/>
              <w:rPr>
                <w:rFonts w:asciiTheme="minorHAnsi" w:hAnsiTheme="minorHAnsi"/>
                <w:u w:val="single"/>
                <w:lang w:eastAsia="en-US"/>
              </w:rPr>
            </w:pPr>
            <w:r w:rsidRPr="00A40C0A">
              <w:rPr>
                <w:rFonts w:asciiTheme="minorHAnsi" w:hAnsiTheme="minorHAnsi" w:cs="Arial"/>
                <w:snapToGrid w:val="0"/>
                <w:sz w:val="20"/>
                <w:szCs w:val="20"/>
                <w:u w:val="single"/>
                <w:lang w:eastAsia="en-US"/>
              </w:rPr>
              <w:t>Transport kolejowy</w:t>
            </w:r>
          </w:p>
          <w:p w14:paraId="6A193505" w14:textId="77777777" w:rsidR="00921721" w:rsidRPr="002C6855" w:rsidRDefault="00921721" w:rsidP="00880D09">
            <w:pPr>
              <w:pStyle w:val="anxnormal"/>
              <w:ind w:left="0"/>
              <w:rPr>
                <w:rFonts w:asciiTheme="minorHAnsi" w:hAnsiTheme="minorHAnsi"/>
                <w:lang w:eastAsia="en-US"/>
              </w:rPr>
            </w:pPr>
            <w:r>
              <w:rPr>
                <w:rFonts w:asciiTheme="minorHAnsi" w:hAnsiTheme="minorHAnsi"/>
                <w:lang w:eastAsia="en-US"/>
              </w:rPr>
              <w:t>J</w:t>
            </w:r>
            <w:r w:rsidRPr="00731E4E">
              <w:rPr>
                <w:rFonts w:asciiTheme="minorHAnsi" w:hAnsiTheme="minorHAnsi"/>
                <w:lang w:eastAsia="en-US"/>
              </w:rPr>
              <w:t>ednostkowe koszty ekonomiczne hałasu</w:t>
            </w:r>
            <w:r>
              <w:rPr>
                <w:rFonts w:asciiTheme="minorHAnsi" w:hAnsiTheme="minorHAnsi"/>
                <w:lang w:eastAsia="en-US"/>
              </w:rPr>
              <w:t xml:space="preserve"> pociągów</w:t>
            </w:r>
            <w:r w:rsidRPr="00731E4E">
              <w:rPr>
                <w:rFonts w:asciiTheme="minorHAnsi" w:hAnsiTheme="minorHAnsi"/>
                <w:lang w:eastAsia="en-US"/>
              </w:rPr>
              <w:t xml:space="preserve"> [PLN/</w:t>
            </w:r>
            <w:r>
              <w:rPr>
                <w:rFonts w:asciiTheme="minorHAnsi" w:hAnsiTheme="minorHAnsi"/>
                <w:lang w:eastAsia="en-US"/>
              </w:rPr>
              <w:t>poc</w:t>
            </w:r>
            <w:r w:rsidRPr="00731E4E">
              <w:rPr>
                <w:rFonts w:asciiTheme="minorHAnsi" w:hAnsiTheme="minorHAnsi"/>
                <w:lang w:eastAsia="en-US"/>
              </w:rPr>
              <w:t xml:space="preserve">-km], ceny </w:t>
            </w:r>
            <w:r>
              <w:rPr>
                <w:rFonts w:asciiTheme="minorHAnsi" w:hAnsiTheme="minorHAnsi"/>
                <w:lang w:eastAsia="en-US"/>
              </w:rPr>
              <w:t>2021</w:t>
            </w:r>
          </w:p>
          <w:tbl>
            <w:tblPr>
              <w:tblW w:w="6176" w:type="dxa"/>
              <w:tblLayout w:type="fixed"/>
              <w:tblLook w:val="04A0" w:firstRow="1" w:lastRow="0" w:firstColumn="1" w:lastColumn="0" w:noHBand="0" w:noVBand="1"/>
            </w:tblPr>
            <w:tblGrid>
              <w:gridCol w:w="2593"/>
              <w:gridCol w:w="1107"/>
              <w:gridCol w:w="1238"/>
              <w:gridCol w:w="1238"/>
            </w:tblGrid>
            <w:tr w:rsidR="00921721" w:rsidRPr="003D4863" w14:paraId="5890026A" w14:textId="77777777" w:rsidTr="00880D09">
              <w:trPr>
                <w:trHeight w:hRule="exact" w:val="677"/>
              </w:trPr>
              <w:tc>
                <w:tcPr>
                  <w:tcW w:w="259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413FDB8"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3E7EB2">
                    <w:rPr>
                      <w:rFonts w:asciiTheme="minorHAnsi" w:hAnsiTheme="minorHAnsi" w:cs="Arial"/>
                      <w:b/>
                      <w:bCs/>
                      <w:color w:val="FFFFFF"/>
                      <w:sz w:val="16"/>
                      <w:szCs w:val="16"/>
                    </w:rPr>
                    <w:t xml:space="preserve">Wartości jednostkowe w oparciu </w:t>
                  </w:r>
                  <w:r w:rsidRPr="00387FFD">
                    <w:rPr>
                      <w:rFonts w:asciiTheme="minorHAnsi" w:hAnsiTheme="minorHAnsi" w:cs="Arial"/>
                      <w:b/>
                      <w:bCs/>
                      <w:color w:val="FFFFFF"/>
                      <w:sz w:val="16"/>
                      <w:szCs w:val="16"/>
                    </w:rPr>
                    <w:t>o</w:t>
                  </w:r>
                  <w:r>
                    <w:rPr>
                      <w:rFonts w:asciiTheme="minorHAnsi" w:hAnsiTheme="minorHAnsi" w:cs="Arial"/>
                      <w:b/>
                      <w:bCs/>
                      <w:color w:val="FFFFFF"/>
                      <w:sz w:val="16"/>
                      <w:szCs w:val="16"/>
                    </w:rPr>
                    <w:t xml:space="preserve"> k</w:t>
                  </w:r>
                  <w:r w:rsidRPr="003350DF">
                    <w:rPr>
                      <w:rFonts w:asciiTheme="minorHAnsi" w:hAnsiTheme="minorHAnsi" w:cs="Arial"/>
                      <w:b/>
                      <w:bCs/>
                      <w:color w:val="FFFFFF"/>
                      <w:sz w:val="16"/>
                      <w:szCs w:val="16"/>
                    </w:rPr>
                    <w:t xml:space="preserve">rańcowe koszty zewnętrzne hałasu </w:t>
                  </w:r>
                  <w:r w:rsidRPr="003E7EB2">
                    <w:rPr>
                      <w:rFonts w:asciiTheme="minorHAnsi" w:hAnsiTheme="minorHAnsi" w:cs="Arial"/>
                      <w:b/>
                      <w:bCs/>
                      <w:color w:val="FFFFFF"/>
                      <w:sz w:val="16"/>
                      <w:szCs w:val="16"/>
                    </w:rPr>
                    <w:t>(PLN/po</w:t>
                  </w:r>
                  <w:r>
                    <w:rPr>
                      <w:rFonts w:asciiTheme="minorHAnsi" w:hAnsiTheme="minorHAnsi" w:cs="Arial"/>
                      <w:b/>
                      <w:bCs/>
                      <w:color w:val="FFFFFF"/>
                      <w:sz w:val="16"/>
                      <w:szCs w:val="16"/>
                    </w:rPr>
                    <w:t>c</w:t>
                  </w:r>
                  <w:r w:rsidRPr="003E7EB2">
                    <w:rPr>
                      <w:rFonts w:asciiTheme="minorHAnsi" w:hAnsiTheme="minorHAnsi" w:cs="Arial"/>
                      <w:b/>
                      <w:bCs/>
                      <w:color w:val="FFFFFF"/>
                      <w:sz w:val="16"/>
                      <w:szCs w:val="16"/>
                    </w:rPr>
                    <w:t>-km)</w:t>
                  </w:r>
                </w:p>
              </w:tc>
              <w:tc>
                <w:tcPr>
                  <w:tcW w:w="1107"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6DF9742D"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Metropolia (*)</w:t>
                  </w:r>
                </w:p>
              </w:tc>
              <w:tc>
                <w:tcPr>
                  <w:tcW w:w="1238"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15EAD79D"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 xml:space="preserve">Obszar </w:t>
                  </w:r>
                  <w:r w:rsidRPr="002C6855">
                    <w:rPr>
                      <w:rFonts w:asciiTheme="minorHAnsi" w:hAnsiTheme="minorHAnsi" w:cs="Arial"/>
                      <w:b/>
                      <w:bCs/>
                      <w:color w:val="FFFFFF"/>
                      <w:sz w:val="18"/>
                      <w:szCs w:val="18"/>
                    </w:rPr>
                    <w:br/>
                    <w:t>miejski</w:t>
                  </w:r>
                </w:p>
              </w:tc>
              <w:tc>
                <w:tcPr>
                  <w:tcW w:w="1238" w:type="dxa"/>
                  <w:tcBorders>
                    <w:top w:val="single" w:sz="4" w:space="0" w:color="FFFFFF"/>
                    <w:left w:val="single" w:sz="4" w:space="0" w:color="FFFFFF"/>
                    <w:bottom w:val="single" w:sz="4" w:space="0" w:color="FFFFFF"/>
                    <w:right w:val="nil"/>
                  </w:tcBorders>
                  <w:shd w:val="clear" w:color="auto" w:fill="A6A6A6" w:themeFill="background1" w:themeFillShade="A6"/>
                  <w:vAlign w:val="bottom"/>
                </w:tcPr>
                <w:p w14:paraId="6D5E5FD9"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 xml:space="preserve">Obszar </w:t>
                  </w:r>
                  <w:r w:rsidRPr="002C6855">
                    <w:rPr>
                      <w:rFonts w:asciiTheme="minorHAnsi" w:hAnsiTheme="minorHAnsi" w:cs="Arial"/>
                      <w:b/>
                      <w:bCs/>
                      <w:color w:val="FFFFFF"/>
                      <w:sz w:val="18"/>
                      <w:szCs w:val="18"/>
                    </w:rPr>
                    <w:br/>
                    <w:t>zamiejski</w:t>
                  </w:r>
                </w:p>
              </w:tc>
            </w:tr>
            <w:tr w:rsidR="00921721" w:rsidRPr="003D4863" w14:paraId="29C2675B" w14:textId="77777777" w:rsidTr="00880D09">
              <w:trPr>
                <w:trHeight w:val="564"/>
              </w:trPr>
              <w:tc>
                <w:tcPr>
                  <w:tcW w:w="2593"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7B97CA5" w14:textId="77777777" w:rsidR="00921721" w:rsidRPr="002C6855" w:rsidRDefault="00921721" w:rsidP="00880D09">
                  <w:pPr>
                    <w:spacing w:before="20"/>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Pociągi pasażerskie międzyaglomeracyjne</w:t>
                  </w:r>
                </w:p>
              </w:tc>
              <w:tc>
                <w:tcPr>
                  <w:tcW w:w="110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1EF7B25" w14:textId="77777777" w:rsidR="00921721" w:rsidRPr="002C6855"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F13EAB">
                    <w:rPr>
                      <w:rFonts w:asciiTheme="minorHAnsi" w:hAnsiTheme="minorHAnsi" w:cs="Arial"/>
                      <w:color w:val="4F81BD" w:themeColor="accent1"/>
                      <w:sz w:val="18"/>
                      <w:szCs w:val="18"/>
                    </w:rPr>
                    <w:t>269</w:t>
                  </w:r>
                </w:p>
              </w:tc>
              <w:tc>
                <w:tcPr>
                  <w:tcW w:w="123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B53EC92" w14:textId="77777777" w:rsidR="00921721" w:rsidRPr="002C6855"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F13EAB">
                    <w:rPr>
                      <w:rFonts w:asciiTheme="minorHAnsi" w:hAnsiTheme="minorHAnsi" w:cs="Arial"/>
                      <w:color w:val="4F81BD" w:themeColor="accent1"/>
                      <w:sz w:val="18"/>
                      <w:szCs w:val="18"/>
                    </w:rPr>
                    <w:t>627</w:t>
                  </w:r>
                </w:p>
              </w:tc>
              <w:tc>
                <w:tcPr>
                  <w:tcW w:w="12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DA7645F" w14:textId="77777777" w:rsidR="00921721" w:rsidRPr="002C6855"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F13EAB">
                    <w:rPr>
                      <w:rFonts w:asciiTheme="minorHAnsi" w:hAnsiTheme="minorHAnsi" w:cs="Arial"/>
                      <w:color w:val="4F81BD" w:themeColor="accent1"/>
                      <w:sz w:val="18"/>
                      <w:szCs w:val="18"/>
                    </w:rPr>
                    <w:t>081</w:t>
                  </w:r>
                </w:p>
              </w:tc>
            </w:tr>
            <w:tr w:rsidR="00921721" w:rsidRPr="001F00C4" w14:paraId="1FA40E12" w14:textId="77777777" w:rsidTr="00880D09">
              <w:trPr>
                <w:trHeight w:val="564"/>
              </w:trPr>
              <w:tc>
                <w:tcPr>
                  <w:tcW w:w="2593"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203D58B" w14:textId="77777777" w:rsidR="00921721" w:rsidRPr="002C6855" w:rsidRDefault="00921721" w:rsidP="00880D09">
                  <w:pPr>
                    <w:spacing w:before="20"/>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Pociągi towarowe</w:t>
                  </w:r>
                </w:p>
              </w:tc>
              <w:tc>
                <w:tcPr>
                  <w:tcW w:w="1107"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823F3EA" w14:textId="77777777" w:rsidR="00921721" w:rsidRPr="001F00C4"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1</w:t>
                  </w:r>
                  <w:r>
                    <w:rPr>
                      <w:rFonts w:asciiTheme="minorHAnsi" w:hAnsiTheme="minorHAnsi" w:cs="Arial"/>
                      <w:color w:val="4F81BD" w:themeColor="accent1"/>
                      <w:sz w:val="18"/>
                      <w:szCs w:val="18"/>
                    </w:rPr>
                    <w:t>,</w:t>
                  </w:r>
                  <w:r w:rsidRPr="00F13EAB">
                    <w:rPr>
                      <w:rFonts w:asciiTheme="minorHAnsi" w:hAnsiTheme="minorHAnsi" w:cs="Arial"/>
                      <w:color w:val="4F81BD" w:themeColor="accent1"/>
                      <w:sz w:val="18"/>
                      <w:szCs w:val="18"/>
                    </w:rPr>
                    <w:t>852</w:t>
                  </w:r>
                </w:p>
              </w:tc>
              <w:tc>
                <w:tcPr>
                  <w:tcW w:w="123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651173F" w14:textId="77777777" w:rsidR="00921721" w:rsidRPr="001F00C4"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F13EAB">
                    <w:rPr>
                      <w:rFonts w:asciiTheme="minorHAnsi" w:hAnsiTheme="minorHAnsi" w:cs="Arial"/>
                      <w:color w:val="4F81BD" w:themeColor="accent1"/>
                      <w:sz w:val="18"/>
                      <w:szCs w:val="18"/>
                    </w:rPr>
                    <w:t>808</w:t>
                  </w:r>
                </w:p>
              </w:tc>
              <w:tc>
                <w:tcPr>
                  <w:tcW w:w="123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FF5B16A" w14:textId="77777777" w:rsidR="00921721" w:rsidRPr="001F00C4" w:rsidRDefault="00921721" w:rsidP="00880D09">
                  <w:pPr>
                    <w:spacing w:before="20"/>
                    <w:jc w:val="center"/>
                    <w:rPr>
                      <w:rFonts w:asciiTheme="minorHAnsi" w:hAnsiTheme="minorHAnsi" w:cs="Arial"/>
                      <w:color w:val="4F81BD" w:themeColor="accent1"/>
                      <w:sz w:val="18"/>
                      <w:szCs w:val="18"/>
                    </w:rPr>
                  </w:pPr>
                  <w:r w:rsidRPr="00F13EAB">
                    <w:rPr>
                      <w:rFonts w:asciiTheme="minorHAnsi" w:hAnsiTheme="minorHAnsi" w:cs="Arial"/>
                      <w:color w:val="4F81BD" w:themeColor="accent1"/>
                      <w:sz w:val="18"/>
                      <w:szCs w:val="18"/>
                    </w:rPr>
                    <w:t>0</w:t>
                  </w:r>
                  <w:r>
                    <w:rPr>
                      <w:rFonts w:asciiTheme="minorHAnsi" w:hAnsiTheme="minorHAnsi" w:cs="Arial"/>
                      <w:color w:val="4F81BD" w:themeColor="accent1"/>
                      <w:sz w:val="18"/>
                      <w:szCs w:val="18"/>
                    </w:rPr>
                    <w:t>,</w:t>
                  </w:r>
                  <w:r w:rsidRPr="00F13EAB">
                    <w:rPr>
                      <w:rFonts w:asciiTheme="minorHAnsi" w:hAnsiTheme="minorHAnsi" w:cs="Arial"/>
                      <w:color w:val="4F81BD" w:themeColor="accent1"/>
                      <w:sz w:val="18"/>
                      <w:szCs w:val="18"/>
                    </w:rPr>
                    <w:t>117</w:t>
                  </w:r>
                </w:p>
              </w:tc>
            </w:tr>
          </w:tbl>
          <w:p w14:paraId="73BC84DA" w14:textId="77777777" w:rsidR="00921721" w:rsidRPr="003C5433" w:rsidRDefault="00921721" w:rsidP="00880D09">
            <w:pPr>
              <w:ind w:right="170"/>
              <w:jc w:val="both"/>
              <w:rPr>
                <w:rFonts w:asciiTheme="minorHAnsi" w:hAnsiTheme="minorHAnsi" w:cs="Arial"/>
                <w:snapToGrid w:val="0"/>
                <w:sz w:val="20"/>
                <w:szCs w:val="20"/>
                <w:lang w:eastAsia="en-US"/>
              </w:rPr>
            </w:pPr>
            <w:r w:rsidRPr="003C5433">
              <w:rPr>
                <w:rFonts w:asciiTheme="minorHAnsi" w:hAnsiTheme="minorHAnsi" w:cs="Arial"/>
                <w:b/>
                <w:i/>
                <w:sz w:val="16"/>
                <w:szCs w:val="16"/>
              </w:rPr>
              <w:t>Źródło:</w:t>
            </w:r>
            <w:r w:rsidRPr="003C5433">
              <w:t xml:space="preserve"> </w:t>
            </w:r>
            <w:r w:rsidRPr="003C5433">
              <w:rPr>
                <w:rFonts w:asciiTheme="minorHAnsi" w:hAnsiTheme="minorHAnsi" w:cs="Arial"/>
                <w:b/>
                <w:i/>
                <w:sz w:val="16"/>
                <w:szCs w:val="16"/>
              </w:rPr>
              <w:t>obliczenia własne na podstawie Handbook on the External Costs of Transport (January 2019), plik "FINAL_marginal_costs_air-poll_climate_WTT_noise.xlsx", zakładka "noise_all"</w:t>
            </w:r>
          </w:p>
          <w:p w14:paraId="2241A7DE" w14:textId="77777777" w:rsidR="00921721" w:rsidRPr="002C6855" w:rsidRDefault="00921721" w:rsidP="00880D09">
            <w:pPr>
              <w:pStyle w:val="anxnormal"/>
              <w:ind w:left="0"/>
              <w:rPr>
                <w:rFonts w:asciiTheme="minorHAnsi" w:hAnsiTheme="minorHAnsi"/>
                <w:u w:val="single"/>
                <w:lang w:eastAsia="en-US"/>
              </w:rPr>
            </w:pPr>
            <w:r w:rsidRPr="002C6855">
              <w:rPr>
                <w:rFonts w:asciiTheme="minorHAnsi" w:hAnsiTheme="minorHAnsi"/>
                <w:u w:val="single"/>
                <w:lang w:eastAsia="en-US"/>
              </w:rPr>
              <w:t>Metoda druga</w:t>
            </w:r>
          </w:p>
          <w:p w14:paraId="4BD1AF1D" w14:textId="77777777" w:rsidR="00921721" w:rsidRPr="002C6855" w:rsidRDefault="00921721" w:rsidP="00880D09">
            <w:pPr>
              <w:pStyle w:val="anxnormal"/>
              <w:spacing w:after="120"/>
              <w:ind w:left="0"/>
              <w:rPr>
                <w:rFonts w:asciiTheme="minorHAnsi" w:hAnsiTheme="minorHAnsi"/>
                <w:lang w:eastAsia="en-US"/>
              </w:rPr>
            </w:pPr>
            <w:r w:rsidRPr="002C6855">
              <w:rPr>
                <w:rFonts w:asciiTheme="minorHAnsi" w:hAnsiTheme="minorHAnsi"/>
                <w:lang w:eastAsia="en-US"/>
              </w:rPr>
              <w:t>Wskaźnik negatywnego wpływu hałasu: odsetek osób dorosłych poiryto</w:t>
            </w:r>
            <w:r>
              <w:rPr>
                <w:rFonts w:asciiTheme="minorHAnsi" w:hAnsiTheme="minorHAnsi"/>
                <w:lang w:eastAsia="en-US"/>
              </w:rPr>
              <w:t>wanych w odniesieniu do osób (w </w:t>
            </w:r>
            <w:r w:rsidRPr="002C6855">
              <w:rPr>
                <w:rFonts w:asciiTheme="minorHAnsi" w:hAnsiTheme="minorHAnsi"/>
                <w:lang w:eastAsia="en-US"/>
              </w:rPr>
              <w:t>każdym wieku) narażonych na nadmierny hałas</w:t>
            </w:r>
          </w:p>
          <w:tbl>
            <w:tblPr>
              <w:tblW w:w="4248" w:type="dxa"/>
              <w:tblLayout w:type="fixed"/>
              <w:tblLook w:val="04A0" w:firstRow="1" w:lastRow="0" w:firstColumn="1" w:lastColumn="0" w:noHBand="0" w:noVBand="1"/>
            </w:tblPr>
            <w:tblGrid>
              <w:gridCol w:w="1378"/>
              <w:gridCol w:w="2870"/>
            </w:tblGrid>
            <w:tr w:rsidR="00921721" w:rsidRPr="002F209F" w14:paraId="1BC88BAC" w14:textId="77777777" w:rsidTr="00880D09">
              <w:trPr>
                <w:trHeight w:hRule="exact" w:val="569"/>
              </w:trPr>
              <w:tc>
                <w:tcPr>
                  <w:tcW w:w="137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637BF9B" w14:textId="77777777" w:rsidR="00921721" w:rsidRPr="002C6855" w:rsidRDefault="00921721" w:rsidP="00880D09">
                  <w:pPr>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LAeq dB</w:t>
                  </w:r>
                </w:p>
              </w:tc>
              <w:tc>
                <w:tcPr>
                  <w:tcW w:w="287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3BE6F81" w14:textId="77777777" w:rsidR="00921721" w:rsidRPr="002C6855" w:rsidRDefault="00921721" w:rsidP="00880D09">
                  <w:pPr>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Odsetek osób narażonych na dokuczliwość hałasu (%)</w:t>
                  </w:r>
                </w:p>
              </w:tc>
            </w:tr>
            <w:tr w:rsidR="00921721" w:rsidRPr="002F209F" w14:paraId="146E0F3D"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7A2F6DC"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55-57</w:t>
                  </w:r>
                </w:p>
              </w:tc>
              <w:tc>
                <w:tcPr>
                  <w:tcW w:w="28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1E54AA9"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5,6</w:t>
                  </w:r>
                </w:p>
              </w:tc>
            </w:tr>
            <w:tr w:rsidR="00921721" w:rsidRPr="002F209F" w14:paraId="16AE67C6"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D4B4278"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58-60</w:t>
                  </w:r>
                </w:p>
              </w:tc>
              <w:tc>
                <w:tcPr>
                  <w:tcW w:w="28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B41CEFC"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7,5</w:t>
                  </w:r>
                </w:p>
              </w:tc>
            </w:tr>
            <w:tr w:rsidR="00921721" w:rsidRPr="002F209F" w14:paraId="511F451B"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BCFE2AF"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61-63</w:t>
                  </w:r>
                </w:p>
              </w:tc>
              <w:tc>
                <w:tcPr>
                  <w:tcW w:w="28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1381F8E"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9,9</w:t>
                  </w:r>
                </w:p>
              </w:tc>
            </w:tr>
            <w:tr w:rsidR="00921721" w:rsidRPr="002F209F" w14:paraId="717B64F8"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7AAF154"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64-66</w:t>
                  </w:r>
                </w:p>
              </w:tc>
              <w:tc>
                <w:tcPr>
                  <w:tcW w:w="28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3F8F929"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13,0</w:t>
                  </w:r>
                </w:p>
              </w:tc>
            </w:tr>
            <w:tr w:rsidR="00921721" w:rsidRPr="002F209F" w14:paraId="2A3E8633"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5DD7E73"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67-69</w:t>
                  </w:r>
                </w:p>
              </w:tc>
              <w:tc>
                <w:tcPr>
                  <w:tcW w:w="28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D48BB19"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16,8</w:t>
                  </w:r>
                </w:p>
              </w:tc>
            </w:tr>
            <w:tr w:rsidR="00921721" w:rsidRPr="002F209F" w14:paraId="4F3F0E8C"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BAF1D62"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70-72</w:t>
                  </w:r>
                </w:p>
              </w:tc>
              <w:tc>
                <w:tcPr>
                  <w:tcW w:w="28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806FDAF"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21,5</w:t>
                  </w:r>
                </w:p>
              </w:tc>
            </w:tr>
            <w:tr w:rsidR="00921721" w:rsidRPr="002F209F" w14:paraId="391CCABE"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11DE0E2"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73-75</w:t>
                  </w:r>
                </w:p>
              </w:tc>
              <w:tc>
                <w:tcPr>
                  <w:tcW w:w="28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24917A4"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27,3</w:t>
                  </w:r>
                </w:p>
              </w:tc>
            </w:tr>
            <w:tr w:rsidR="00921721" w:rsidRPr="002F209F" w14:paraId="0ABF73FB"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09A9E89"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76-78</w:t>
                  </w:r>
                </w:p>
              </w:tc>
              <w:tc>
                <w:tcPr>
                  <w:tcW w:w="28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6C0BA7E"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34,2</w:t>
                  </w:r>
                </w:p>
              </w:tc>
            </w:tr>
            <w:tr w:rsidR="00921721" w:rsidRPr="002F209F" w14:paraId="6D93CF8E"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DD10F7D"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78-81</w:t>
                  </w:r>
                </w:p>
              </w:tc>
              <w:tc>
                <w:tcPr>
                  <w:tcW w:w="28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84C2E2B" w14:textId="77777777" w:rsidR="00921721" w:rsidRPr="002C6855" w:rsidRDefault="00921721" w:rsidP="00880D09">
                  <w:pPr>
                    <w:jc w:val="center"/>
                    <w:rPr>
                      <w:rFonts w:asciiTheme="minorHAnsi" w:hAnsiTheme="minorHAnsi" w:cs="Arial"/>
                      <w:color w:val="4F81BD" w:themeColor="accent1"/>
                      <w:sz w:val="18"/>
                      <w:szCs w:val="18"/>
                    </w:rPr>
                  </w:pPr>
                  <w:r w:rsidRPr="002C6855">
                    <w:rPr>
                      <w:rFonts w:asciiTheme="minorHAnsi" w:hAnsiTheme="minorHAnsi" w:cs="Arial"/>
                      <w:color w:val="4F81BD" w:themeColor="accent1"/>
                      <w:sz w:val="18"/>
                      <w:szCs w:val="18"/>
                    </w:rPr>
                    <w:t>42,4</w:t>
                  </w:r>
                </w:p>
              </w:tc>
            </w:tr>
          </w:tbl>
          <w:p w14:paraId="5A8E73AB" w14:textId="77777777" w:rsidR="00921721" w:rsidRPr="00117D7B" w:rsidRDefault="00921721" w:rsidP="00880D09">
            <w:pPr>
              <w:ind w:right="170"/>
              <w:jc w:val="both"/>
              <w:rPr>
                <w:rFonts w:asciiTheme="minorHAnsi" w:hAnsiTheme="minorHAnsi" w:cs="Arial"/>
                <w:b/>
                <w:i/>
                <w:sz w:val="16"/>
                <w:szCs w:val="16"/>
              </w:rPr>
            </w:pPr>
            <w:r>
              <w:rPr>
                <w:rFonts w:asciiTheme="minorHAnsi" w:hAnsiTheme="minorHAnsi" w:cs="Arial"/>
                <w:b/>
                <w:i/>
                <w:sz w:val="16"/>
                <w:szCs w:val="16"/>
              </w:rPr>
              <w:t>Źródło: Opracowanie własne na </w:t>
            </w:r>
            <w:r w:rsidRPr="00117D7B">
              <w:rPr>
                <w:rFonts w:asciiTheme="minorHAnsi" w:hAnsiTheme="minorHAnsi" w:cs="Arial"/>
                <w:b/>
                <w:i/>
                <w:sz w:val="16"/>
                <w:szCs w:val="16"/>
              </w:rPr>
              <w:t>podstawie HEATCO.</w:t>
            </w:r>
          </w:p>
          <w:p w14:paraId="25F85558" w14:textId="77777777" w:rsidR="00921721" w:rsidRPr="002C6855" w:rsidRDefault="00921721" w:rsidP="00880D09">
            <w:pPr>
              <w:pStyle w:val="anxnormal"/>
              <w:spacing w:after="120"/>
              <w:ind w:left="0"/>
              <w:rPr>
                <w:rFonts w:asciiTheme="minorHAnsi" w:hAnsiTheme="minorHAnsi"/>
                <w:lang w:eastAsia="en-US"/>
              </w:rPr>
            </w:pPr>
            <w:r w:rsidRPr="002C6855">
              <w:rPr>
                <w:rFonts w:asciiTheme="minorHAnsi" w:hAnsiTheme="minorHAnsi"/>
                <w:lang w:eastAsia="en-US"/>
              </w:rPr>
              <w:t>Jednostkowe koszty ekonomiczne hałasu [PLN/osobę/rok], ceny 20</w:t>
            </w:r>
            <w:r>
              <w:rPr>
                <w:rFonts w:asciiTheme="minorHAnsi" w:hAnsiTheme="minorHAnsi"/>
                <w:lang w:eastAsia="en-US"/>
              </w:rPr>
              <w:t>21</w:t>
            </w:r>
          </w:p>
          <w:tbl>
            <w:tblPr>
              <w:tblW w:w="4849" w:type="dxa"/>
              <w:tblLayout w:type="fixed"/>
              <w:tblLook w:val="04A0" w:firstRow="1" w:lastRow="0" w:firstColumn="1" w:lastColumn="0" w:noHBand="0" w:noVBand="1"/>
            </w:tblPr>
            <w:tblGrid>
              <w:gridCol w:w="969"/>
              <w:gridCol w:w="969"/>
              <w:gridCol w:w="969"/>
              <w:gridCol w:w="969"/>
              <w:gridCol w:w="973"/>
            </w:tblGrid>
            <w:tr w:rsidR="00921721" w:rsidRPr="002F209F" w14:paraId="5E0FAE48" w14:textId="77777777" w:rsidTr="00880D09">
              <w:trPr>
                <w:trHeight w:val="478"/>
              </w:trPr>
              <w:tc>
                <w:tcPr>
                  <w:tcW w:w="4849" w:type="dxa"/>
                  <w:gridSpan w:val="5"/>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2EECBDD" w14:textId="77777777" w:rsidR="00921721" w:rsidRPr="002C6855" w:rsidRDefault="00921721" w:rsidP="00880D09">
                  <w:pPr>
                    <w:snapToGrid w:val="0"/>
                    <w:spacing w:before="20" w:after="20"/>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Jednostkowe koszty hałasu dla różnych poziomów w dB (A) (PLN/osobę/rok)</w:t>
                  </w:r>
                </w:p>
              </w:tc>
            </w:tr>
            <w:tr w:rsidR="00921721" w:rsidRPr="007463B9" w14:paraId="08355826" w14:textId="77777777" w:rsidTr="00880D09">
              <w:trPr>
                <w:trHeight w:hRule="exact" w:val="309"/>
              </w:trPr>
              <w:tc>
                <w:tcPr>
                  <w:tcW w:w="96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A9DE78F"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r w:rsidRPr="00343533">
                    <w:rPr>
                      <w:rFonts w:asciiTheme="minorHAnsi" w:hAnsiTheme="minorHAnsi" w:cs="Arial"/>
                      <w:b/>
                      <w:bCs/>
                      <w:color w:val="FFFFFF"/>
                      <w:sz w:val="18"/>
                      <w:szCs w:val="18"/>
                      <w:lang w:val="en-GB"/>
                    </w:rPr>
                    <w:t>55-59</w:t>
                  </w:r>
                </w:p>
              </w:tc>
              <w:tc>
                <w:tcPr>
                  <w:tcW w:w="96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6C925E7"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r w:rsidRPr="00343533">
                    <w:rPr>
                      <w:rFonts w:asciiTheme="minorHAnsi" w:hAnsiTheme="minorHAnsi" w:cs="Arial"/>
                      <w:b/>
                      <w:bCs/>
                      <w:color w:val="FFFFFF"/>
                      <w:sz w:val="18"/>
                      <w:szCs w:val="18"/>
                      <w:lang w:val="en-GB"/>
                    </w:rPr>
                    <w:t>60-64</w:t>
                  </w:r>
                </w:p>
              </w:tc>
              <w:tc>
                <w:tcPr>
                  <w:tcW w:w="969"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5DBFD74C"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r w:rsidRPr="00343533">
                    <w:rPr>
                      <w:rFonts w:asciiTheme="minorHAnsi" w:hAnsiTheme="minorHAnsi" w:cs="Arial"/>
                      <w:b/>
                      <w:bCs/>
                      <w:color w:val="FFFFFF"/>
                      <w:sz w:val="18"/>
                      <w:szCs w:val="18"/>
                      <w:lang w:val="en-GB"/>
                    </w:rPr>
                    <w:t>65-69</w:t>
                  </w:r>
                </w:p>
              </w:tc>
              <w:tc>
                <w:tcPr>
                  <w:tcW w:w="969"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23B36A49"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r w:rsidRPr="00343533">
                    <w:rPr>
                      <w:rFonts w:asciiTheme="minorHAnsi" w:hAnsiTheme="minorHAnsi" w:cs="Arial"/>
                      <w:b/>
                      <w:bCs/>
                      <w:color w:val="FFFFFF"/>
                      <w:sz w:val="18"/>
                      <w:szCs w:val="18"/>
                      <w:lang w:val="en-GB"/>
                    </w:rPr>
                    <w:t>70-74</w:t>
                  </w:r>
                </w:p>
              </w:tc>
              <w:tc>
                <w:tcPr>
                  <w:tcW w:w="97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50126AC"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r w:rsidRPr="00343533">
                    <w:rPr>
                      <w:rFonts w:asciiTheme="minorHAnsi" w:hAnsiTheme="minorHAnsi" w:cs="Arial"/>
                      <w:b/>
                      <w:bCs/>
                      <w:color w:val="FFFFFF"/>
                      <w:sz w:val="18"/>
                      <w:szCs w:val="18"/>
                      <w:lang w:val="en-GB"/>
                    </w:rPr>
                    <w:t>&gt;75</w:t>
                  </w:r>
                </w:p>
              </w:tc>
            </w:tr>
            <w:tr w:rsidR="00921721" w:rsidRPr="007463B9" w14:paraId="2708FEC9" w14:textId="77777777" w:rsidTr="00880D09">
              <w:trPr>
                <w:trHeight w:val="258"/>
              </w:trPr>
              <w:tc>
                <w:tcPr>
                  <w:tcW w:w="9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1835E1C"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414</w:t>
                  </w:r>
                </w:p>
              </w:tc>
              <w:tc>
                <w:tcPr>
                  <w:tcW w:w="9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7BE0368"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879</w:t>
                  </w:r>
                </w:p>
              </w:tc>
              <w:tc>
                <w:tcPr>
                  <w:tcW w:w="9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F957F34"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1 514</w:t>
                  </w:r>
                </w:p>
              </w:tc>
              <w:tc>
                <w:tcPr>
                  <w:tcW w:w="9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53DCBBD"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2 435</w:t>
                  </w:r>
                </w:p>
              </w:tc>
              <w:tc>
                <w:tcPr>
                  <w:tcW w:w="973"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EBDEBBA"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3 089</w:t>
                  </w:r>
                </w:p>
              </w:tc>
            </w:tr>
          </w:tbl>
          <w:p w14:paraId="1F23320C" w14:textId="77777777" w:rsidR="00921721" w:rsidRPr="00343533" w:rsidRDefault="00921721" w:rsidP="00880D09">
            <w:pPr>
              <w:spacing w:after="120"/>
              <w:ind w:right="170"/>
              <w:jc w:val="both"/>
              <w:rPr>
                <w:rFonts w:asciiTheme="minorHAnsi" w:hAnsiTheme="minorHAnsi" w:cs="Arial"/>
                <w:b/>
                <w:i/>
                <w:sz w:val="16"/>
                <w:szCs w:val="16"/>
                <w:lang w:val="en-GB"/>
              </w:rPr>
            </w:pPr>
            <w:r w:rsidRPr="00343533">
              <w:rPr>
                <w:rFonts w:asciiTheme="minorHAnsi" w:hAnsiTheme="minorHAnsi" w:cs="Arial"/>
                <w:b/>
                <w:i/>
                <w:sz w:val="16"/>
                <w:szCs w:val="16"/>
                <w:lang w:val="en-GB"/>
              </w:rPr>
              <w:t>Źródło: Opracowanie CUPT-JASPERS na podstawie Handbook on the External Costs of Transport (January 2019), plik "FINAL_marginal_costs_air-poll_climate_WTT_noise.xlsx", zakładka "noise_input".</w:t>
            </w:r>
          </w:p>
          <w:p w14:paraId="2443C5B6" w14:textId="77777777" w:rsidR="00921721" w:rsidRPr="00343533" w:rsidRDefault="00921721" w:rsidP="00880D09">
            <w:pPr>
              <w:pStyle w:val="anxnormal"/>
              <w:ind w:left="0"/>
              <w:rPr>
                <w:rFonts w:asciiTheme="minorHAnsi" w:hAnsiTheme="minorHAnsi"/>
                <w:u w:val="single"/>
                <w:lang w:val="en-GB" w:eastAsia="en-US"/>
              </w:rPr>
            </w:pPr>
          </w:p>
          <w:p w14:paraId="5704984E" w14:textId="77777777" w:rsidR="00921721" w:rsidRPr="002F209F" w:rsidRDefault="00921721" w:rsidP="00880D09">
            <w:pPr>
              <w:pStyle w:val="anxnormal"/>
              <w:ind w:left="0"/>
              <w:rPr>
                <w:rFonts w:asciiTheme="minorHAnsi" w:hAnsiTheme="minorHAnsi"/>
                <w:u w:val="single"/>
                <w:lang w:eastAsia="en-US"/>
              </w:rPr>
            </w:pPr>
            <w:r w:rsidRPr="002F209F">
              <w:rPr>
                <w:rFonts w:asciiTheme="minorHAnsi" w:hAnsiTheme="minorHAnsi"/>
                <w:u w:val="single"/>
                <w:lang w:eastAsia="en-US"/>
              </w:rPr>
              <w:t>Zmienność kosztów jednostkowych w czasie</w:t>
            </w:r>
          </w:p>
          <w:p w14:paraId="6653C339" w14:textId="77777777" w:rsidR="00921721" w:rsidRDefault="00921721" w:rsidP="00880D09">
            <w:pPr>
              <w:pStyle w:val="anxnormal"/>
              <w:ind w:left="0"/>
              <w:rPr>
                <w:rFonts w:asciiTheme="minorHAnsi" w:hAnsiTheme="minorHAnsi"/>
                <w:lang w:eastAsia="en-US"/>
              </w:rPr>
            </w:pPr>
            <w:r w:rsidRPr="002F209F">
              <w:rPr>
                <w:rFonts w:asciiTheme="minorHAnsi" w:hAnsiTheme="minorHAnsi"/>
                <w:lang w:eastAsia="en-US"/>
              </w:rPr>
              <w:t>Prognoza zmiany jednostkowych kosztów hałasu w czasie (do policzenia) jest oparta</w:t>
            </w:r>
            <w:r>
              <w:rPr>
                <w:rFonts w:asciiTheme="minorHAnsi" w:hAnsiTheme="minorHAnsi"/>
                <w:lang w:eastAsia="en-US"/>
              </w:rPr>
              <w:t xml:space="preserve"> o prognozowany wzrost PKB na 1 </w:t>
            </w:r>
            <w:r w:rsidRPr="002F209F">
              <w:rPr>
                <w:rFonts w:asciiTheme="minorHAnsi" w:hAnsiTheme="minorHAnsi"/>
                <w:lang w:eastAsia="en-US"/>
              </w:rPr>
              <w:t>mieszk</w:t>
            </w:r>
            <w:r>
              <w:rPr>
                <w:rFonts w:asciiTheme="minorHAnsi" w:hAnsiTheme="minorHAnsi"/>
                <w:lang w:eastAsia="en-US"/>
              </w:rPr>
              <w:t>ańca (wartości podane w punkcie </w:t>
            </w:r>
            <w:r w:rsidRPr="002F209F">
              <w:rPr>
                <w:rFonts w:asciiTheme="minorHAnsi" w:hAnsiTheme="minorHAnsi"/>
                <w:lang w:eastAsia="en-US"/>
              </w:rPr>
              <w:t xml:space="preserve">2) przy zastosowaniu współczynnika elastyczności </w:t>
            </w:r>
            <w:r>
              <w:rPr>
                <w:rFonts w:asciiTheme="minorHAnsi" w:hAnsiTheme="minorHAnsi"/>
                <w:lang w:eastAsia="en-US"/>
              </w:rPr>
              <w:t>0,</w:t>
            </w:r>
            <w:r w:rsidRPr="002F209F">
              <w:rPr>
                <w:rFonts w:asciiTheme="minorHAnsi" w:hAnsiTheme="minorHAnsi"/>
                <w:lang w:eastAsia="en-US"/>
              </w:rPr>
              <w:t>8.</w:t>
            </w:r>
          </w:p>
          <w:p w14:paraId="36754836" w14:textId="77777777" w:rsidR="00921721" w:rsidRDefault="00921721" w:rsidP="00880D09">
            <w:pPr>
              <w:pStyle w:val="anxnormal"/>
              <w:ind w:left="0"/>
              <w:rPr>
                <w:rFonts w:asciiTheme="minorHAnsi" w:hAnsiTheme="minorHAnsi"/>
                <w:lang w:eastAsia="en-US"/>
              </w:rPr>
            </w:pPr>
          </w:p>
          <w:p w14:paraId="4C6005AD" w14:textId="77777777" w:rsidR="00921721" w:rsidRPr="00CD7B3F" w:rsidRDefault="00921721" w:rsidP="00880D09">
            <w:pPr>
              <w:pStyle w:val="anxnormal"/>
              <w:ind w:left="0"/>
              <w:rPr>
                <w:rFonts w:asciiTheme="minorHAnsi" w:hAnsiTheme="minorHAnsi" w:cs="Arial-Narrow,Bold"/>
                <w:b/>
                <w:bCs/>
                <w:color w:val="4F81BD" w:themeColor="accent1"/>
                <w:sz w:val="23"/>
                <w:szCs w:val="23"/>
                <w:lang w:eastAsia="en-GB"/>
              </w:rPr>
            </w:pPr>
            <w:r w:rsidRPr="009F2FD2">
              <w:rPr>
                <w:rFonts w:asciiTheme="minorHAnsi" w:hAnsiTheme="minorHAnsi" w:cs="Arial-Narrow,Bold"/>
                <w:b/>
                <w:bCs/>
                <w:color w:val="4F81BD" w:themeColor="accent1"/>
                <w:sz w:val="23"/>
                <w:szCs w:val="23"/>
                <w:lang w:eastAsia="en-GB"/>
              </w:rPr>
              <w:t>9</w:t>
            </w:r>
            <w:r w:rsidRPr="00CD7B3F">
              <w:rPr>
                <w:rFonts w:asciiTheme="minorHAnsi" w:hAnsiTheme="minorHAnsi" w:cs="Arial-Narrow,Bold"/>
                <w:b/>
                <w:bCs/>
                <w:color w:val="4F81BD" w:themeColor="accent1"/>
                <w:sz w:val="23"/>
                <w:szCs w:val="23"/>
                <w:lang w:eastAsia="en-GB"/>
              </w:rPr>
              <w:t>. Koszty utrzymania infrastruktury drogowej (koszty jednostkowe</w:t>
            </w:r>
            <w:r>
              <w:rPr>
                <w:rFonts w:asciiTheme="minorHAnsi" w:hAnsiTheme="minorHAnsi" w:cs="Arial-Narrow,Bold"/>
                <w:b/>
                <w:bCs/>
                <w:color w:val="4F81BD" w:themeColor="accent1"/>
                <w:sz w:val="23"/>
                <w:szCs w:val="23"/>
                <w:lang w:eastAsia="en-GB"/>
              </w:rPr>
              <w:t xml:space="preserve"> </w:t>
            </w:r>
            <w:r w:rsidRPr="00CD7B3F">
              <w:rPr>
                <w:rFonts w:asciiTheme="minorHAnsi" w:hAnsiTheme="minorHAnsi" w:cs="Arial-Narrow,Bold"/>
                <w:b/>
                <w:bCs/>
                <w:color w:val="4F81BD" w:themeColor="accent1"/>
                <w:sz w:val="23"/>
                <w:szCs w:val="23"/>
                <w:lang w:eastAsia="en-GB"/>
              </w:rPr>
              <w:t>dotyczące nawierzchni asfaltowych i betonowych)</w:t>
            </w:r>
          </w:p>
          <w:p w14:paraId="1AC69152" w14:textId="77777777" w:rsidR="00921721" w:rsidRPr="00C128CE" w:rsidRDefault="00921721" w:rsidP="00880D09">
            <w:pPr>
              <w:pStyle w:val="anxnormal"/>
              <w:spacing w:after="120"/>
              <w:ind w:left="0"/>
              <w:rPr>
                <w:rFonts w:asciiTheme="minorHAnsi" w:hAnsiTheme="minorHAnsi"/>
                <w:lang w:eastAsia="en-US"/>
              </w:rPr>
            </w:pPr>
            <w:r w:rsidRPr="00031F28">
              <w:rPr>
                <w:rFonts w:asciiTheme="minorHAnsi" w:hAnsiTheme="minorHAnsi"/>
                <w:lang w:eastAsia="en-US"/>
              </w:rPr>
              <w:t>Jeżeli dla danego projektu dostępne są</w:t>
            </w:r>
            <w:r>
              <w:rPr>
                <w:rFonts w:asciiTheme="minorHAnsi" w:hAnsiTheme="minorHAnsi"/>
                <w:lang w:eastAsia="en-US"/>
              </w:rPr>
              <w:t xml:space="preserve"> </w:t>
            </w:r>
            <w:r w:rsidRPr="00031F28">
              <w:rPr>
                <w:rFonts w:asciiTheme="minorHAnsi" w:hAnsiTheme="minorHAnsi"/>
                <w:lang w:eastAsia="en-US"/>
              </w:rPr>
              <w:t xml:space="preserve">szczegółowe dane dotyczące kosztów eksploatacji i utrzymania (tzn. podejście </w:t>
            </w:r>
            <w:r>
              <w:rPr>
                <w:rFonts w:asciiTheme="minorHAnsi" w:hAnsiTheme="minorHAnsi"/>
                <w:lang w:eastAsia="en-US"/>
              </w:rPr>
              <w:t xml:space="preserve">utrzymaniowe przedstawione w rozdziale 1.9.2, </w:t>
            </w:r>
            <w:r w:rsidRPr="00031F28">
              <w:rPr>
                <w:rFonts w:asciiTheme="minorHAnsi" w:hAnsiTheme="minorHAnsi"/>
                <w:lang w:eastAsia="en-US"/>
              </w:rPr>
              <w:t xml:space="preserve">a także </w:t>
            </w:r>
            <w:r>
              <w:rPr>
                <w:rFonts w:asciiTheme="minorHAnsi" w:hAnsiTheme="minorHAnsi"/>
                <w:lang w:eastAsia="en-US"/>
              </w:rPr>
              <w:t xml:space="preserve">poniższe </w:t>
            </w:r>
            <w:r w:rsidRPr="00031F28">
              <w:rPr>
                <w:rFonts w:asciiTheme="minorHAnsi" w:hAnsiTheme="minorHAnsi"/>
                <w:lang w:eastAsia="en-US"/>
              </w:rPr>
              <w:t xml:space="preserve">koszty </w:t>
            </w:r>
            <w:r>
              <w:rPr>
                <w:rFonts w:asciiTheme="minorHAnsi" w:hAnsiTheme="minorHAnsi"/>
                <w:lang w:eastAsia="en-US"/>
              </w:rPr>
              <w:t>jednostkowe nie </w:t>
            </w:r>
            <w:r w:rsidRPr="00031F28">
              <w:rPr>
                <w:rFonts w:asciiTheme="minorHAnsi" w:hAnsiTheme="minorHAnsi"/>
                <w:lang w:eastAsia="en-US"/>
              </w:rPr>
              <w:t>są właściwe do zastosowania), to należy przedstawić odpowiednie dla tego projektu koszty jako stawki jednostkowe na km w rozbiciu na poszczególne składniki, aby umożliwić szybkie porównanie wariantów inwestycyjnych projektu.</w:t>
            </w:r>
            <w:r>
              <w:rPr>
                <w:rFonts w:asciiTheme="minorHAnsi" w:hAnsiTheme="minorHAnsi"/>
                <w:lang w:eastAsia="en-US"/>
              </w:rPr>
              <w:t xml:space="preserve"> </w:t>
            </w:r>
          </w:p>
          <w:p w14:paraId="4EC1B79A" w14:textId="77777777" w:rsidR="00921721" w:rsidRPr="00CD7B3F" w:rsidRDefault="00921721" w:rsidP="00880D09">
            <w:pPr>
              <w:pStyle w:val="anxnormal"/>
              <w:spacing w:after="120"/>
              <w:ind w:left="0"/>
              <w:rPr>
                <w:rFonts w:asciiTheme="minorHAnsi" w:hAnsiTheme="minorHAnsi"/>
                <w:lang w:eastAsia="en-US"/>
              </w:rPr>
            </w:pPr>
            <w:r w:rsidRPr="00CD7B3F">
              <w:rPr>
                <w:rFonts w:asciiTheme="minorHAnsi" w:hAnsiTheme="minorHAnsi"/>
                <w:lang w:eastAsia="en-US"/>
              </w:rPr>
              <w:t>Jednostkowe koszty eksploatacji i utrzymania bieżącego [PLN/km]</w:t>
            </w:r>
            <w:r>
              <w:rPr>
                <w:rFonts w:asciiTheme="minorHAnsi" w:hAnsiTheme="minorHAnsi"/>
                <w:lang w:eastAsia="en-US"/>
              </w:rPr>
              <w:t>, ceny 2021</w:t>
            </w:r>
          </w:p>
          <w:tbl>
            <w:tblPr>
              <w:tblW w:w="6803" w:type="dxa"/>
              <w:tblLayout w:type="fixed"/>
              <w:tblLook w:val="04A0" w:firstRow="1" w:lastRow="0" w:firstColumn="1" w:lastColumn="0" w:noHBand="0" w:noVBand="1"/>
            </w:tblPr>
            <w:tblGrid>
              <w:gridCol w:w="3401"/>
              <w:gridCol w:w="3402"/>
            </w:tblGrid>
            <w:tr w:rsidR="00921721" w:rsidRPr="00CD7B3F" w14:paraId="7E167318" w14:textId="77777777" w:rsidTr="00880D09">
              <w:trPr>
                <w:trHeight w:hRule="exact" w:val="520"/>
              </w:trPr>
              <w:tc>
                <w:tcPr>
                  <w:tcW w:w="340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8AD6D5A" w14:textId="77777777" w:rsidR="00921721" w:rsidRPr="00CD7B3F" w:rsidRDefault="00921721" w:rsidP="00880D09">
                  <w:pPr>
                    <w:snapToGrid w:val="0"/>
                    <w:spacing w:before="20" w:after="20"/>
                    <w:jc w:val="center"/>
                    <w:rPr>
                      <w:rFonts w:asciiTheme="minorHAnsi" w:hAnsiTheme="minorHAnsi" w:cs="Arial"/>
                      <w:b/>
                      <w:bCs/>
                      <w:color w:val="FFFFFF"/>
                      <w:sz w:val="18"/>
                      <w:szCs w:val="18"/>
                    </w:rPr>
                  </w:pPr>
                  <w:r w:rsidRPr="00CD7B3F">
                    <w:rPr>
                      <w:rFonts w:asciiTheme="minorHAnsi" w:hAnsiTheme="minorHAnsi" w:cs="Arial"/>
                      <w:b/>
                      <w:bCs/>
                      <w:color w:val="FFFFFF"/>
                      <w:sz w:val="18"/>
                      <w:szCs w:val="18"/>
                    </w:rPr>
                    <w:t>Klasa drogi</w:t>
                  </w:r>
                </w:p>
              </w:tc>
              <w:tc>
                <w:tcPr>
                  <w:tcW w:w="340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04910CE" w14:textId="77777777" w:rsidR="00921721" w:rsidRPr="00CD7B3F" w:rsidRDefault="00921721" w:rsidP="00880D09">
                  <w:pPr>
                    <w:snapToGrid w:val="0"/>
                    <w:spacing w:before="20" w:after="20"/>
                    <w:jc w:val="center"/>
                    <w:rPr>
                      <w:rFonts w:asciiTheme="minorHAnsi" w:hAnsiTheme="minorHAnsi" w:cs="Arial"/>
                      <w:b/>
                      <w:bCs/>
                      <w:color w:val="FFFFFF"/>
                      <w:sz w:val="18"/>
                      <w:szCs w:val="18"/>
                    </w:rPr>
                  </w:pPr>
                  <w:r w:rsidRPr="00CD7B3F">
                    <w:rPr>
                      <w:rFonts w:asciiTheme="minorHAnsi" w:hAnsiTheme="minorHAnsi" w:cs="Arial"/>
                      <w:b/>
                      <w:bCs/>
                      <w:color w:val="FFFFFF"/>
                      <w:sz w:val="18"/>
                      <w:szCs w:val="18"/>
                    </w:rPr>
                    <w:t>Jednostkowe koszty eksploatacji i utrzymania bieżącego [PLN/km], netto</w:t>
                  </w:r>
                </w:p>
              </w:tc>
            </w:tr>
            <w:tr w:rsidR="00921721" w:rsidRPr="00CD7B3F" w14:paraId="74279452" w14:textId="77777777" w:rsidTr="00880D09">
              <w:trPr>
                <w:trHeight w:val="224"/>
              </w:trPr>
              <w:tc>
                <w:tcPr>
                  <w:tcW w:w="340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E4A4BC4"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A,S - 2x2</w:t>
                  </w:r>
                </w:p>
              </w:tc>
              <w:tc>
                <w:tcPr>
                  <w:tcW w:w="340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3497558"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1</w:t>
                  </w:r>
                  <w:r>
                    <w:rPr>
                      <w:rFonts w:asciiTheme="minorHAnsi" w:hAnsiTheme="minorHAnsi" w:cs="Arial"/>
                      <w:color w:val="4F81BD" w:themeColor="accent1"/>
                      <w:sz w:val="18"/>
                      <w:szCs w:val="18"/>
                    </w:rPr>
                    <w:t>9</w:t>
                  </w:r>
                  <w:r w:rsidRPr="00CD7B3F">
                    <w:rPr>
                      <w:rFonts w:asciiTheme="minorHAnsi" w:hAnsiTheme="minorHAnsi" w:cs="Arial"/>
                      <w:color w:val="4F81BD" w:themeColor="accent1"/>
                      <w:sz w:val="18"/>
                      <w:szCs w:val="18"/>
                    </w:rPr>
                    <w:t>0 000</w:t>
                  </w:r>
                </w:p>
              </w:tc>
            </w:tr>
            <w:tr w:rsidR="00921721" w:rsidRPr="00CD7B3F" w14:paraId="3EE05344" w14:textId="77777777" w:rsidTr="00880D09">
              <w:trPr>
                <w:trHeight w:val="224"/>
              </w:trPr>
              <w:tc>
                <w:tcPr>
                  <w:tcW w:w="340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D720873"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S 2+1</w:t>
                  </w:r>
                </w:p>
              </w:tc>
              <w:tc>
                <w:tcPr>
                  <w:tcW w:w="340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ABAE498"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1</w:t>
                  </w:r>
                  <w:r>
                    <w:rPr>
                      <w:rFonts w:asciiTheme="minorHAnsi" w:hAnsiTheme="minorHAnsi" w:cs="Arial"/>
                      <w:color w:val="4F81BD" w:themeColor="accent1"/>
                      <w:sz w:val="18"/>
                      <w:szCs w:val="18"/>
                    </w:rPr>
                    <w:t>4</w:t>
                  </w:r>
                  <w:r w:rsidRPr="00CD7B3F">
                    <w:rPr>
                      <w:rFonts w:asciiTheme="minorHAnsi" w:hAnsiTheme="minorHAnsi" w:cs="Arial"/>
                      <w:color w:val="4F81BD" w:themeColor="accent1"/>
                      <w:sz w:val="18"/>
                      <w:szCs w:val="18"/>
                    </w:rPr>
                    <w:t>0 000</w:t>
                  </w:r>
                </w:p>
              </w:tc>
            </w:tr>
            <w:tr w:rsidR="00921721" w:rsidRPr="00CD7B3F" w14:paraId="4BEEF172" w14:textId="77777777" w:rsidTr="00880D09">
              <w:trPr>
                <w:trHeight w:val="224"/>
              </w:trPr>
              <w:tc>
                <w:tcPr>
                  <w:tcW w:w="340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EE72C73"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S 1x2</w:t>
                  </w:r>
                </w:p>
              </w:tc>
              <w:tc>
                <w:tcPr>
                  <w:tcW w:w="340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5A0FBF6"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1</w:t>
                  </w:r>
                  <w:r>
                    <w:rPr>
                      <w:rFonts w:asciiTheme="minorHAnsi" w:hAnsiTheme="minorHAnsi" w:cs="Arial"/>
                      <w:color w:val="4F81BD" w:themeColor="accent1"/>
                      <w:sz w:val="18"/>
                      <w:szCs w:val="18"/>
                    </w:rPr>
                    <w:t>1</w:t>
                  </w:r>
                  <w:r w:rsidRPr="00CD7B3F">
                    <w:rPr>
                      <w:rFonts w:asciiTheme="minorHAnsi" w:hAnsiTheme="minorHAnsi" w:cs="Arial"/>
                      <w:color w:val="4F81BD" w:themeColor="accent1"/>
                      <w:sz w:val="18"/>
                      <w:szCs w:val="18"/>
                    </w:rPr>
                    <w:t>0 000</w:t>
                  </w:r>
                </w:p>
              </w:tc>
            </w:tr>
            <w:tr w:rsidR="00921721" w:rsidRPr="00CD7B3F" w14:paraId="1E17210D" w14:textId="77777777" w:rsidTr="00880D09">
              <w:trPr>
                <w:trHeight w:val="224"/>
              </w:trPr>
              <w:tc>
                <w:tcPr>
                  <w:tcW w:w="340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8B17D87"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GP 2x2</w:t>
                  </w:r>
                </w:p>
              </w:tc>
              <w:tc>
                <w:tcPr>
                  <w:tcW w:w="340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C297916"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1</w:t>
                  </w:r>
                  <w:r>
                    <w:rPr>
                      <w:rFonts w:asciiTheme="minorHAnsi" w:hAnsiTheme="minorHAnsi" w:cs="Arial"/>
                      <w:color w:val="4F81BD" w:themeColor="accent1"/>
                      <w:sz w:val="18"/>
                      <w:szCs w:val="18"/>
                    </w:rPr>
                    <w:t>3</w:t>
                  </w:r>
                  <w:r w:rsidRPr="00CD7B3F">
                    <w:rPr>
                      <w:rFonts w:asciiTheme="minorHAnsi" w:hAnsiTheme="minorHAnsi" w:cs="Arial"/>
                      <w:color w:val="4F81BD" w:themeColor="accent1"/>
                      <w:sz w:val="18"/>
                      <w:szCs w:val="18"/>
                    </w:rPr>
                    <w:t>0 000</w:t>
                  </w:r>
                </w:p>
              </w:tc>
            </w:tr>
            <w:tr w:rsidR="00921721" w:rsidRPr="00CD7B3F" w14:paraId="24E42A98" w14:textId="77777777" w:rsidTr="00880D09">
              <w:trPr>
                <w:trHeight w:val="224"/>
              </w:trPr>
              <w:tc>
                <w:tcPr>
                  <w:tcW w:w="340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85BC450"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GP 1x2</w:t>
                  </w:r>
                </w:p>
              </w:tc>
              <w:tc>
                <w:tcPr>
                  <w:tcW w:w="340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3873409"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6</w:t>
                  </w:r>
                  <w:r>
                    <w:rPr>
                      <w:rFonts w:asciiTheme="minorHAnsi" w:hAnsiTheme="minorHAnsi" w:cs="Arial"/>
                      <w:color w:val="4F81BD" w:themeColor="accent1"/>
                      <w:sz w:val="18"/>
                      <w:szCs w:val="18"/>
                    </w:rPr>
                    <w:t>5</w:t>
                  </w:r>
                  <w:r w:rsidRPr="00CD7B3F">
                    <w:rPr>
                      <w:rFonts w:asciiTheme="minorHAnsi" w:hAnsiTheme="minorHAnsi" w:cs="Arial"/>
                      <w:color w:val="4F81BD" w:themeColor="accent1"/>
                      <w:sz w:val="18"/>
                      <w:szCs w:val="18"/>
                    </w:rPr>
                    <w:t xml:space="preserve"> 000</w:t>
                  </w:r>
                </w:p>
              </w:tc>
            </w:tr>
            <w:tr w:rsidR="00921721" w:rsidRPr="00CD7B3F" w14:paraId="648B6DC1" w14:textId="77777777" w:rsidTr="00880D09">
              <w:trPr>
                <w:trHeight w:val="224"/>
              </w:trPr>
              <w:tc>
                <w:tcPr>
                  <w:tcW w:w="340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042BD4B"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G</w:t>
                  </w:r>
                </w:p>
              </w:tc>
              <w:tc>
                <w:tcPr>
                  <w:tcW w:w="340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B64C94C"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6</w:t>
                  </w:r>
                  <w:r>
                    <w:rPr>
                      <w:rFonts w:asciiTheme="minorHAnsi" w:hAnsiTheme="minorHAnsi" w:cs="Arial"/>
                      <w:color w:val="4F81BD" w:themeColor="accent1"/>
                      <w:sz w:val="18"/>
                      <w:szCs w:val="18"/>
                    </w:rPr>
                    <w:t>5</w:t>
                  </w:r>
                  <w:r w:rsidRPr="00CD7B3F">
                    <w:rPr>
                      <w:rFonts w:asciiTheme="minorHAnsi" w:hAnsiTheme="minorHAnsi" w:cs="Arial"/>
                      <w:color w:val="4F81BD" w:themeColor="accent1"/>
                      <w:sz w:val="18"/>
                      <w:szCs w:val="18"/>
                    </w:rPr>
                    <w:t xml:space="preserve"> 00</w:t>
                  </w:r>
                  <w:r>
                    <w:rPr>
                      <w:rFonts w:asciiTheme="minorHAnsi" w:hAnsiTheme="minorHAnsi" w:cs="Arial"/>
                      <w:color w:val="4F81BD" w:themeColor="accent1"/>
                      <w:sz w:val="18"/>
                      <w:szCs w:val="18"/>
                    </w:rPr>
                    <w:t>0</w:t>
                  </w:r>
                </w:p>
              </w:tc>
            </w:tr>
          </w:tbl>
          <w:p w14:paraId="53FE7CC6" w14:textId="77777777" w:rsidR="00921721" w:rsidRPr="00CD7B3F" w:rsidRDefault="00921721" w:rsidP="00880D09">
            <w:pPr>
              <w:spacing w:before="120" w:after="120"/>
              <w:ind w:right="170"/>
              <w:jc w:val="both"/>
              <w:rPr>
                <w:rFonts w:asciiTheme="minorHAnsi" w:hAnsiTheme="minorHAnsi" w:cs="Arial"/>
                <w:b/>
                <w:i/>
                <w:sz w:val="16"/>
                <w:szCs w:val="16"/>
              </w:rPr>
            </w:pPr>
            <w:r>
              <w:rPr>
                <w:rFonts w:asciiTheme="minorHAnsi" w:hAnsiTheme="minorHAnsi" w:cs="Arial"/>
                <w:b/>
                <w:i/>
                <w:sz w:val="16"/>
                <w:szCs w:val="16"/>
              </w:rPr>
              <w:t>Źródło: Opracowanie własne na </w:t>
            </w:r>
            <w:r w:rsidRPr="00CD7B3F">
              <w:rPr>
                <w:rFonts w:asciiTheme="minorHAnsi" w:hAnsiTheme="minorHAnsi" w:cs="Arial"/>
                <w:b/>
                <w:i/>
                <w:sz w:val="16"/>
                <w:szCs w:val="16"/>
              </w:rPr>
              <w:t>podstawie danych z przetargów GDDKiA “Utrzymaj standard”.</w:t>
            </w:r>
          </w:p>
          <w:p w14:paraId="650594D7" w14:textId="77777777" w:rsidR="00921721" w:rsidRPr="00CD7B3F" w:rsidRDefault="00921721" w:rsidP="00880D09">
            <w:pPr>
              <w:ind w:right="170"/>
              <w:jc w:val="both"/>
              <w:rPr>
                <w:rFonts w:asciiTheme="minorHAnsi" w:hAnsiTheme="minorHAnsi" w:cs="Arial"/>
                <w:sz w:val="16"/>
                <w:szCs w:val="16"/>
              </w:rPr>
            </w:pPr>
            <w:r>
              <w:rPr>
                <w:rFonts w:asciiTheme="minorHAnsi" w:hAnsiTheme="minorHAnsi" w:cs="Arial"/>
                <w:sz w:val="16"/>
                <w:szCs w:val="16"/>
              </w:rPr>
              <w:t>Uwaga: (1) </w:t>
            </w:r>
            <w:r w:rsidRPr="00CD7B3F">
              <w:rPr>
                <w:rFonts w:asciiTheme="minorHAnsi" w:hAnsiTheme="minorHAnsi" w:cs="Arial"/>
                <w:sz w:val="16"/>
                <w:szCs w:val="16"/>
              </w:rPr>
              <w:t>Powyższe koszty jednostkowe obejmują wszystkie działania związane z bieżącym i prewencyjnym utrzymaniem wszystkich elementów infrastruktury drogowej (m.in</w:t>
            </w:r>
            <w:r>
              <w:rPr>
                <w:rFonts w:asciiTheme="minorHAnsi" w:hAnsiTheme="minorHAnsi" w:cs="Arial"/>
                <w:sz w:val="16"/>
                <w:szCs w:val="16"/>
              </w:rPr>
              <w:t>.</w:t>
            </w:r>
            <w:r w:rsidRPr="00CD7B3F">
              <w:rPr>
                <w:rFonts w:asciiTheme="minorHAnsi" w:hAnsiTheme="minorHAnsi" w:cs="Arial"/>
                <w:sz w:val="16"/>
                <w:szCs w:val="16"/>
              </w:rPr>
              <w:t xml:space="preserve"> nawierzchni, węzłów i innych obiektów, dróg serwisowych, odwodnienia, wyposażenia BRD, ekranów akustycznych itd.).</w:t>
            </w:r>
          </w:p>
          <w:p w14:paraId="222BDEF0" w14:textId="77777777" w:rsidR="00921721" w:rsidRDefault="00921721" w:rsidP="00880D09">
            <w:pPr>
              <w:ind w:right="170"/>
              <w:jc w:val="both"/>
              <w:rPr>
                <w:rFonts w:asciiTheme="minorHAnsi" w:hAnsiTheme="minorHAnsi" w:cs="Arial"/>
                <w:sz w:val="16"/>
                <w:szCs w:val="16"/>
              </w:rPr>
            </w:pPr>
            <w:r>
              <w:rPr>
                <w:rFonts w:asciiTheme="minorHAnsi" w:hAnsiTheme="minorHAnsi" w:cs="Arial"/>
                <w:sz w:val="16"/>
                <w:szCs w:val="16"/>
              </w:rPr>
              <w:t>(2) W</w:t>
            </w:r>
            <w:r w:rsidRPr="00CD7B3F">
              <w:rPr>
                <w:rFonts w:asciiTheme="minorHAnsi" w:hAnsiTheme="minorHAnsi" w:cs="Arial"/>
                <w:sz w:val="16"/>
                <w:szCs w:val="16"/>
              </w:rPr>
              <w:t> przypadku innych niż wymienione przekroje poprzeczne (także dla dróg niższych klas) można zastosować korektę pro-rata odzwierciedlającą różnicę w liczbie pasów ruchu (lub szerokości).</w:t>
            </w:r>
          </w:p>
          <w:p w14:paraId="08146712" w14:textId="77777777" w:rsidR="00921721" w:rsidRPr="00CD7B3F" w:rsidRDefault="00921721" w:rsidP="00880D09">
            <w:pPr>
              <w:ind w:right="170"/>
              <w:jc w:val="both"/>
              <w:rPr>
                <w:rFonts w:asciiTheme="minorHAnsi" w:hAnsiTheme="minorHAnsi" w:cs="Arial"/>
                <w:sz w:val="16"/>
                <w:szCs w:val="16"/>
              </w:rPr>
            </w:pPr>
          </w:p>
          <w:p w14:paraId="11C2D4C4" w14:textId="77777777" w:rsidR="00921721" w:rsidRPr="00CD7B3F" w:rsidRDefault="00921721" w:rsidP="00880D09">
            <w:pPr>
              <w:pStyle w:val="anxnormal"/>
              <w:spacing w:after="120"/>
              <w:ind w:left="0"/>
              <w:rPr>
                <w:rFonts w:asciiTheme="minorHAnsi" w:hAnsiTheme="minorHAnsi"/>
                <w:lang w:eastAsia="en-US"/>
              </w:rPr>
            </w:pPr>
            <w:r w:rsidRPr="00CD7B3F">
              <w:rPr>
                <w:rFonts w:asciiTheme="minorHAnsi" w:hAnsiTheme="minorHAnsi"/>
                <w:lang w:eastAsia="en-US"/>
              </w:rPr>
              <w:t>Jednostkowe koszty utrzymania okresowego [PLN/km]</w:t>
            </w:r>
            <w:r>
              <w:rPr>
                <w:rFonts w:asciiTheme="minorHAnsi" w:hAnsiTheme="minorHAnsi"/>
                <w:lang w:eastAsia="en-US"/>
              </w:rPr>
              <w:t>, ceny 2021</w:t>
            </w:r>
          </w:p>
          <w:tbl>
            <w:tblPr>
              <w:tblW w:w="6859" w:type="dxa"/>
              <w:tblLayout w:type="fixed"/>
              <w:tblLook w:val="04A0" w:firstRow="1" w:lastRow="0" w:firstColumn="1" w:lastColumn="0" w:noHBand="0" w:noVBand="1"/>
            </w:tblPr>
            <w:tblGrid>
              <w:gridCol w:w="3429"/>
              <w:gridCol w:w="3430"/>
            </w:tblGrid>
            <w:tr w:rsidR="00921721" w:rsidRPr="00CD7B3F" w14:paraId="7D7A1AE3" w14:textId="77777777" w:rsidTr="00880D09">
              <w:trPr>
                <w:trHeight w:hRule="exact" w:val="519"/>
              </w:trPr>
              <w:tc>
                <w:tcPr>
                  <w:tcW w:w="342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A6911A8" w14:textId="77777777" w:rsidR="00921721" w:rsidRPr="00CD7B3F" w:rsidRDefault="00921721" w:rsidP="00880D09">
                  <w:pPr>
                    <w:snapToGrid w:val="0"/>
                    <w:spacing w:before="20" w:after="20"/>
                    <w:jc w:val="center"/>
                    <w:rPr>
                      <w:rFonts w:asciiTheme="minorHAnsi" w:hAnsiTheme="minorHAnsi" w:cs="Arial"/>
                      <w:b/>
                      <w:bCs/>
                      <w:color w:val="FFFFFF"/>
                      <w:sz w:val="18"/>
                      <w:szCs w:val="18"/>
                    </w:rPr>
                  </w:pPr>
                  <w:r w:rsidRPr="00CD7B3F">
                    <w:rPr>
                      <w:rFonts w:asciiTheme="minorHAnsi" w:hAnsiTheme="minorHAnsi" w:cs="Arial"/>
                      <w:b/>
                      <w:bCs/>
                      <w:color w:val="FFFFFF"/>
                      <w:sz w:val="18"/>
                      <w:szCs w:val="18"/>
                    </w:rPr>
                    <w:t>Klasa drogi</w:t>
                  </w:r>
                </w:p>
              </w:tc>
              <w:tc>
                <w:tcPr>
                  <w:tcW w:w="343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BD74B8D" w14:textId="77777777" w:rsidR="00921721" w:rsidRPr="00CD7B3F" w:rsidRDefault="00921721" w:rsidP="00880D09">
                  <w:pPr>
                    <w:snapToGrid w:val="0"/>
                    <w:spacing w:before="20" w:after="20"/>
                    <w:jc w:val="center"/>
                    <w:rPr>
                      <w:rFonts w:asciiTheme="minorHAnsi" w:hAnsiTheme="minorHAnsi" w:cs="Arial"/>
                      <w:b/>
                      <w:bCs/>
                      <w:color w:val="FFFFFF"/>
                      <w:sz w:val="18"/>
                      <w:szCs w:val="18"/>
                    </w:rPr>
                  </w:pPr>
                  <w:r w:rsidRPr="00CD7B3F">
                    <w:rPr>
                      <w:rFonts w:asciiTheme="minorHAnsi" w:hAnsiTheme="minorHAnsi" w:cs="Arial"/>
                      <w:b/>
                      <w:bCs/>
                      <w:color w:val="FFFFFF"/>
                      <w:sz w:val="18"/>
                      <w:szCs w:val="18"/>
                    </w:rPr>
                    <w:t>Jednostkowe koszty utrzymania okresowego [PLN/km], netto</w:t>
                  </w:r>
                </w:p>
              </w:tc>
            </w:tr>
            <w:tr w:rsidR="00921721" w:rsidRPr="00CD7B3F" w14:paraId="0620494F" w14:textId="77777777" w:rsidTr="00880D09">
              <w:trPr>
                <w:trHeight w:val="209"/>
              </w:trPr>
              <w:tc>
                <w:tcPr>
                  <w:tcW w:w="342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0667F49"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A,S - 2x2</w:t>
                  </w:r>
                </w:p>
              </w:tc>
              <w:tc>
                <w:tcPr>
                  <w:tcW w:w="343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72DE113"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 xml:space="preserve">1 </w:t>
                  </w:r>
                  <w:r>
                    <w:rPr>
                      <w:rFonts w:asciiTheme="minorHAnsi" w:hAnsiTheme="minorHAnsi" w:cs="Arial"/>
                      <w:color w:val="4F81BD" w:themeColor="accent1"/>
                      <w:sz w:val="18"/>
                      <w:szCs w:val="18"/>
                    </w:rPr>
                    <w:t>5</w:t>
                  </w:r>
                  <w:r w:rsidRPr="00CD7B3F">
                    <w:rPr>
                      <w:rFonts w:asciiTheme="minorHAnsi" w:hAnsiTheme="minorHAnsi" w:cs="Arial"/>
                      <w:color w:val="4F81BD" w:themeColor="accent1"/>
                      <w:sz w:val="18"/>
                      <w:szCs w:val="18"/>
                    </w:rPr>
                    <w:t>00 000</w:t>
                  </w:r>
                </w:p>
              </w:tc>
            </w:tr>
            <w:tr w:rsidR="00921721" w:rsidRPr="00CD7B3F" w14:paraId="31C9224B" w14:textId="77777777" w:rsidTr="00880D09">
              <w:trPr>
                <w:trHeight w:val="209"/>
              </w:trPr>
              <w:tc>
                <w:tcPr>
                  <w:tcW w:w="342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FA9000B"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S 2+1</w:t>
                  </w:r>
                </w:p>
              </w:tc>
              <w:tc>
                <w:tcPr>
                  <w:tcW w:w="343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1735D25"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 xml:space="preserve">1 </w:t>
                  </w:r>
                  <w:r>
                    <w:rPr>
                      <w:rFonts w:asciiTheme="minorHAnsi" w:hAnsiTheme="minorHAnsi" w:cs="Arial"/>
                      <w:color w:val="4F81BD" w:themeColor="accent1"/>
                      <w:sz w:val="18"/>
                      <w:szCs w:val="18"/>
                    </w:rPr>
                    <w:t>1</w:t>
                  </w:r>
                  <w:r w:rsidRPr="00CD7B3F">
                    <w:rPr>
                      <w:rFonts w:asciiTheme="minorHAnsi" w:hAnsiTheme="minorHAnsi" w:cs="Arial"/>
                      <w:color w:val="4F81BD" w:themeColor="accent1"/>
                      <w:sz w:val="18"/>
                      <w:szCs w:val="18"/>
                    </w:rPr>
                    <w:t>00 000</w:t>
                  </w:r>
                </w:p>
              </w:tc>
            </w:tr>
            <w:tr w:rsidR="00921721" w:rsidRPr="00CD7B3F" w14:paraId="70E94290" w14:textId="77777777" w:rsidTr="00880D09">
              <w:trPr>
                <w:trHeight w:val="209"/>
              </w:trPr>
              <w:tc>
                <w:tcPr>
                  <w:tcW w:w="342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C356686"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S 1x2</w:t>
                  </w:r>
                </w:p>
              </w:tc>
              <w:tc>
                <w:tcPr>
                  <w:tcW w:w="343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7AADCE5" w14:textId="77777777" w:rsidR="00921721" w:rsidRPr="00CD7B3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9</w:t>
                  </w:r>
                  <w:r w:rsidRPr="00CD7B3F">
                    <w:rPr>
                      <w:rFonts w:asciiTheme="minorHAnsi" w:hAnsiTheme="minorHAnsi" w:cs="Arial"/>
                      <w:color w:val="4F81BD" w:themeColor="accent1"/>
                      <w:sz w:val="18"/>
                      <w:szCs w:val="18"/>
                    </w:rPr>
                    <w:t>00 000</w:t>
                  </w:r>
                </w:p>
              </w:tc>
            </w:tr>
            <w:tr w:rsidR="00921721" w:rsidRPr="00CD7B3F" w14:paraId="7C85D46E" w14:textId="77777777" w:rsidTr="00880D09">
              <w:trPr>
                <w:trHeight w:val="209"/>
              </w:trPr>
              <w:tc>
                <w:tcPr>
                  <w:tcW w:w="342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FAB7471"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GP 2x2</w:t>
                  </w:r>
                </w:p>
              </w:tc>
              <w:tc>
                <w:tcPr>
                  <w:tcW w:w="343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F9EDCB5"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 xml:space="preserve">1 </w:t>
                  </w:r>
                  <w:r>
                    <w:rPr>
                      <w:rFonts w:asciiTheme="minorHAnsi" w:hAnsiTheme="minorHAnsi" w:cs="Arial"/>
                      <w:color w:val="4F81BD" w:themeColor="accent1"/>
                      <w:sz w:val="18"/>
                      <w:szCs w:val="18"/>
                    </w:rPr>
                    <w:t>2</w:t>
                  </w:r>
                  <w:r w:rsidRPr="00CD7B3F">
                    <w:rPr>
                      <w:rFonts w:asciiTheme="minorHAnsi" w:hAnsiTheme="minorHAnsi" w:cs="Arial"/>
                      <w:color w:val="4F81BD" w:themeColor="accent1"/>
                      <w:sz w:val="18"/>
                      <w:szCs w:val="18"/>
                    </w:rPr>
                    <w:t>00 000</w:t>
                  </w:r>
                </w:p>
              </w:tc>
            </w:tr>
            <w:tr w:rsidR="00921721" w:rsidRPr="00CD7B3F" w14:paraId="49309901" w14:textId="77777777" w:rsidTr="00880D09">
              <w:trPr>
                <w:trHeight w:val="209"/>
              </w:trPr>
              <w:tc>
                <w:tcPr>
                  <w:tcW w:w="342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5338782"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GP 1x2</w:t>
                  </w:r>
                </w:p>
              </w:tc>
              <w:tc>
                <w:tcPr>
                  <w:tcW w:w="343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4E25055" w14:textId="77777777" w:rsidR="00921721" w:rsidRPr="00CD7B3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8</w:t>
                  </w:r>
                  <w:r w:rsidRPr="00CD7B3F">
                    <w:rPr>
                      <w:rFonts w:asciiTheme="minorHAnsi" w:hAnsiTheme="minorHAnsi" w:cs="Arial"/>
                      <w:color w:val="4F81BD" w:themeColor="accent1"/>
                      <w:sz w:val="18"/>
                      <w:szCs w:val="18"/>
                    </w:rPr>
                    <w:t>00 000</w:t>
                  </w:r>
                </w:p>
              </w:tc>
            </w:tr>
            <w:tr w:rsidR="00921721" w:rsidRPr="00CD7B3F" w14:paraId="747AE816" w14:textId="77777777" w:rsidTr="00880D09">
              <w:trPr>
                <w:trHeight w:val="209"/>
              </w:trPr>
              <w:tc>
                <w:tcPr>
                  <w:tcW w:w="342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86AAA2E" w14:textId="77777777" w:rsidR="00921721" w:rsidRPr="00CD7B3F" w:rsidRDefault="00921721" w:rsidP="00880D09">
                  <w:pPr>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G</w:t>
                  </w:r>
                </w:p>
              </w:tc>
              <w:tc>
                <w:tcPr>
                  <w:tcW w:w="343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F0F995A" w14:textId="77777777" w:rsidR="00921721" w:rsidRPr="00CD7B3F" w:rsidRDefault="00921721" w:rsidP="00880D09">
                  <w:pPr>
                    <w:tabs>
                      <w:tab w:val="left" w:pos="945"/>
                      <w:tab w:val="center" w:pos="1284"/>
                    </w:tabs>
                    <w:spacing w:before="20"/>
                    <w:jc w:val="center"/>
                    <w:rPr>
                      <w:rFonts w:asciiTheme="minorHAnsi" w:hAnsiTheme="minorHAnsi" w:cs="Arial"/>
                      <w:color w:val="4F81BD" w:themeColor="accent1"/>
                      <w:sz w:val="18"/>
                      <w:szCs w:val="18"/>
                    </w:rPr>
                  </w:pPr>
                  <w:r w:rsidRPr="00CD7B3F">
                    <w:rPr>
                      <w:rFonts w:asciiTheme="minorHAnsi" w:hAnsiTheme="minorHAnsi" w:cs="Arial"/>
                      <w:color w:val="4F81BD" w:themeColor="accent1"/>
                      <w:sz w:val="18"/>
                      <w:szCs w:val="18"/>
                    </w:rPr>
                    <w:t>6</w:t>
                  </w:r>
                  <w:r>
                    <w:rPr>
                      <w:rFonts w:asciiTheme="minorHAnsi" w:hAnsiTheme="minorHAnsi" w:cs="Arial"/>
                      <w:color w:val="4F81BD" w:themeColor="accent1"/>
                      <w:sz w:val="18"/>
                      <w:szCs w:val="18"/>
                    </w:rPr>
                    <w:t>5</w:t>
                  </w:r>
                  <w:r w:rsidRPr="00CD7B3F">
                    <w:rPr>
                      <w:rFonts w:asciiTheme="minorHAnsi" w:hAnsiTheme="minorHAnsi" w:cs="Arial"/>
                      <w:color w:val="4F81BD" w:themeColor="accent1"/>
                      <w:sz w:val="18"/>
                      <w:szCs w:val="18"/>
                    </w:rPr>
                    <w:t>0 000</w:t>
                  </w:r>
                </w:p>
              </w:tc>
            </w:tr>
          </w:tbl>
          <w:p w14:paraId="2A267E64" w14:textId="77777777" w:rsidR="00921721" w:rsidRPr="00CD7B3F" w:rsidRDefault="00921721" w:rsidP="00880D09">
            <w:pPr>
              <w:spacing w:before="120" w:after="120"/>
              <w:ind w:right="170"/>
              <w:jc w:val="both"/>
              <w:rPr>
                <w:rFonts w:asciiTheme="minorHAnsi" w:hAnsiTheme="minorHAnsi" w:cs="Arial"/>
                <w:b/>
                <w:i/>
                <w:sz w:val="16"/>
                <w:szCs w:val="16"/>
              </w:rPr>
            </w:pPr>
            <w:r>
              <w:rPr>
                <w:rFonts w:asciiTheme="minorHAnsi" w:hAnsiTheme="minorHAnsi" w:cs="Arial"/>
                <w:b/>
                <w:i/>
                <w:sz w:val="16"/>
                <w:szCs w:val="16"/>
              </w:rPr>
              <w:t>Źródło: Opracowanie własne na </w:t>
            </w:r>
            <w:r w:rsidRPr="00CD7B3F">
              <w:rPr>
                <w:rFonts w:asciiTheme="minorHAnsi" w:hAnsiTheme="minorHAnsi" w:cs="Arial"/>
                <w:b/>
                <w:i/>
                <w:sz w:val="16"/>
                <w:szCs w:val="16"/>
              </w:rPr>
              <w:t>podstawie danych z przetargów utrzymaniowych GDDKiA.</w:t>
            </w:r>
          </w:p>
          <w:p w14:paraId="21CB9979" w14:textId="77777777" w:rsidR="00921721" w:rsidRPr="00CD7B3F" w:rsidRDefault="00921721" w:rsidP="00880D09">
            <w:pPr>
              <w:ind w:right="170"/>
              <w:jc w:val="both"/>
              <w:rPr>
                <w:rFonts w:asciiTheme="minorHAnsi" w:hAnsiTheme="minorHAnsi" w:cs="Arial"/>
                <w:sz w:val="16"/>
                <w:szCs w:val="16"/>
              </w:rPr>
            </w:pPr>
            <w:r>
              <w:rPr>
                <w:rFonts w:asciiTheme="minorHAnsi" w:hAnsiTheme="minorHAnsi" w:cs="Arial"/>
                <w:sz w:val="16"/>
                <w:szCs w:val="16"/>
              </w:rPr>
              <w:t>Uwaga: (1) </w:t>
            </w:r>
            <w:r w:rsidRPr="00CD7B3F">
              <w:rPr>
                <w:rFonts w:asciiTheme="minorHAnsi" w:hAnsiTheme="minorHAnsi" w:cs="Arial"/>
                <w:sz w:val="16"/>
                <w:szCs w:val="16"/>
              </w:rPr>
              <w:t>Powyższe koszty jednostkowe obejmują wszystkie działania związane z okresowym utrzymaniem wszystkich elementów infrastruktury drogowej (m.in</w:t>
            </w:r>
            <w:r>
              <w:rPr>
                <w:rFonts w:asciiTheme="minorHAnsi" w:hAnsiTheme="minorHAnsi" w:cs="Arial"/>
                <w:sz w:val="16"/>
                <w:szCs w:val="16"/>
              </w:rPr>
              <w:t>.</w:t>
            </w:r>
            <w:r w:rsidRPr="00CD7B3F">
              <w:rPr>
                <w:rFonts w:asciiTheme="minorHAnsi" w:hAnsiTheme="minorHAnsi" w:cs="Arial"/>
                <w:sz w:val="16"/>
                <w:szCs w:val="16"/>
              </w:rPr>
              <w:t xml:space="preserve"> nawierzchni, węzłów i innych obiektów, dróg serwisowych, odwodnienia, wyposażenia BRD, ekranów akustycznych itd.).</w:t>
            </w:r>
          </w:p>
          <w:p w14:paraId="1ACB73F4" w14:textId="77777777" w:rsidR="00921721" w:rsidRPr="00CD7B3F" w:rsidRDefault="00921721" w:rsidP="00880D09">
            <w:pPr>
              <w:ind w:right="170"/>
              <w:jc w:val="both"/>
              <w:rPr>
                <w:rFonts w:asciiTheme="minorHAnsi" w:hAnsiTheme="minorHAnsi" w:cs="Arial"/>
                <w:sz w:val="16"/>
                <w:szCs w:val="16"/>
              </w:rPr>
            </w:pPr>
            <w:r>
              <w:rPr>
                <w:rFonts w:asciiTheme="minorHAnsi" w:hAnsiTheme="minorHAnsi" w:cs="Arial"/>
                <w:sz w:val="16"/>
                <w:szCs w:val="16"/>
              </w:rPr>
              <w:t>(2) W</w:t>
            </w:r>
            <w:r w:rsidRPr="00CD7B3F">
              <w:rPr>
                <w:rFonts w:asciiTheme="minorHAnsi" w:hAnsiTheme="minorHAnsi" w:cs="Arial"/>
                <w:sz w:val="16"/>
                <w:szCs w:val="16"/>
              </w:rPr>
              <w:t> przypadku innych niż wymienione przekroje poprzeczne (także dla dróg niższych klas) można zastosować korektę pro-rata odzwierciedlającą różnicę w liczbie pasów ruchu (lub szerokości).</w:t>
            </w:r>
          </w:p>
          <w:p w14:paraId="0A2C0593" w14:textId="77777777" w:rsidR="00921721" w:rsidRPr="00CD7B3F" w:rsidRDefault="00921721" w:rsidP="00880D09">
            <w:pPr>
              <w:ind w:right="170"/>
              <w:jc w:val="both"/>
              <w:rPr>
                <w:rFonts w:asciiTheme="minorHAnsi" w:hAnsiTheme="minorHAnsi" w:cs="Arial"/>
                <w:sz w:val="16"/>
                <w:szCs w:val="16"/>
              </w:rPr>
            </w:pPr>
          </w:p>
          <w:p w14:paraId="55DE9924" w14:textId="77777777" w:rsidR="00921721" w:rsidRPr="00CD7B3F" w:rsidRDefault="00921721" w:rsidP="00880D09">
            <w:pPr>
              <w:pStyle w:val="anxnormal"/>
              <w:ind w:left="0"/>
              <w:rPr>
                <w:rFonts w:asciiTheme="minorHAnsi" w:hAnsiTheme="minorHAnsi"/>
                <w:u w:val="single"/>
                <w:lang w:eastAsia="en-US"/>
              </w:rPr>
            </w:pPr>
            <w:r w:rsidRPr="00CD7B3F">
              <w:rPr>
                <w:rFonts w:asciiTheme="minorHAnsi" w:hAnsiTheme="minorHAnsi"/>
                <w:u w:val="single"/>
                <w:lang w:eastAsia="en-US"/>
              </w:rPr>
              <w:t>Zmienność kosztów jednostkowych w czasie</w:t>
            </w:r>
          </w:p>
          <w:p w14:paraId="57A5D185" w14:textId="77777777" w:rsidR="00921721" w:rsidRDefault="00921721" w:rsidP="00880D09">
            <w:pPr>
              <w:pStyle w:val="anxnormal"/>
              <w:ind w:left="0"/>
              <w:rPr>
                <w:rFonts w:asciiTheme="minorHAnsi" w:hAnsiTheme="minorHAnsi"/>
                <w:lang w:eastAsia="en-US"/>
              </w:rPr>
            </w:pPr>
            <w:r w:rsidRPr="00731E4E">
              <w:rPr>
                <w:rFonts w:asciiTheme="minorHAnsi" w:hAnsiTheme="minorHAnsi"/>
                <w:lang w:eastAsia="en-US"/>
              </w:rPr>
              <w:t xml:space="preserve">Zakłada się brak realnego wzrostu jednostkowych kosztów </w:t>
            </w:r>
            <w:r w:rsidRPr="00CD7B3F">
              <w:rPr>
                <w:rFonts w:asciiTheme="minorHAnsi" w:hAnsiTheme="minorHAnsi"/>
                <w:lang w:eastAsia="en-US"/>
              </w:rPr>
              <w:t xml:space="preserve">eksploatacji i utrzymania </w:t>
            </w:r>
            <w:r>
              <w:rPr>
                <w:rFonts w:asciiTheme="minorHAnsi" w:hAnsiTheme="minorHAnsi"/>
                <w:lang w:eastAsia="en-US"/>
              </w:rPr>
              <w:t xml:space="preserve">infrastruktury drogowej </w:t>
            </w:r>
            <w:r w:rsidRPr="00731E4E">
              <w:rPr>
                <w:rFonts w:asciiTheme="minorHAnsi" w:hAnsiTheme="minorHAnsi"/>
                <w:lang w:eastAsia="en-US"/>
              </w:rPr>
              <w:t>w</w:t>
            </w:r>
            <w:r>
              <w:rPr>
                <w:rFonts w:asciiTheme="minorHAnsi" w:hAnsiTheme="minorHAnsi"/>
                <w:lang w:eastAsia="en-US"/>
              </w:rPr>
              <w:t> </w:t>
            </w:r>
            <w:r w:rsidRPr="00731E4E">
              <w:rPr>
                <w:rFonts w:asciiTheme="minorHAnsi" w:hAnsiTheme="minorHAnsi"/>
                <w:lang w:eastAsia="en-US"/>
              </w:rPr>
              <w:t>czasie.</w:t>
            </w:r>
            <w:r w:rsidRPr="002C6855">
              <w:rPr>
                <w:rFonts w:asciiTheme="minorHAnsi" w:hAnsiTheme="minorHAnsi"/>
                <w:lang w:eastAsia="en-US"/>
              </w:rPr>
              <w:t xml:space="preserve"> </w:t>
            </w:r>
            <w:r w:rsidRPr="00B72029">
              <w:rPr>
                <w:rFonts w:asciiTheme="minorHAnsi" w:hAnsiTheme="minorHAnsi"/>
                <w:lang w:eastAsia="en-US"/>
              </w:rPr>
              <w:t xml:space="preserve">Należy jedynie uwzględnić indeksację nominalną wskaźnikiem polskiej inflacji </w:t>
            </w:r>
            <w:r>
              <w:rPr>
                <w:rFonts w:asciiTheme="minorHAnsi" w:hAnsiTheme="minorHAnsi"/>
                <w:lang w:eastAsia="en-US"/>
              </w:rPr>
              <w:t xml:space="preserve">cen produkcji budowlano-montażowej </w:t>
            </w:r>
            <w:r w:rsidRPr="00B72029">
              <w:rPr>
                <w:rFonts w:asciiTheme="minorHAnsi" w:hAnsiTheme="minorHAnsi"/>
                <w:lang w:eastAsia="en-US"/>
              </w:rPr>
              <w:t xml:space="preserve">do poziomu cenowego właściwego dla roku bazowego, kiedy rok bazowy zmieni się z obecnie </w:t>
            </w:r>
            <w:r w:rsidRPr="0051059B">
              <w:rPr>
                <w:rFonts w:asciiTheme="minorHAnsi" w:hAnsiTheme="minorHAnsi"/>
                <w:lang w:eastAsia="en-US"/>
              </w:rPr>
              <w:t xml:space="preserve">przyjętego </w:t>
            </w:r>
            <w:r w:rsidRPr="00FB7CC5">
              <w:rPr>
                <w:rFonts w:asciiTheme="minorHAnsi" w:hAnsiTheme="minorHAnsi"/>
                <w:lang w:eastAsia="en-US"/>
              </w:rPr>
              <w:t>(2021) na późniejszy</w:t>
            </w:r>
            <w:r w:rsidRPr="00B72029">
              <w:rPr>
                <w:rFonts w:asciiTheme="minorHAnsi" w:hAnsiTheme="minorHAnsi"/>
                <w:lang w:eastAsia="en-US"/>
              </w:rPr>
              <w:t>.</w:t>
            </w:r>
            <w:r>
              <w:rPr>
                <w:rFonts w:asciiTheme="minorHAnsi" w:hAnsiTheme="minorHAnsi"/>
                <w:lang w:eastAsia="en-US"/>
              </w:rPr>
              <w:t xml:space="preserve"> </w:t>
            </w:r>
          </w:p>
          <w:p w14:paraId="0F63B42F" w14:textId="77777777" w:rsidR="00921721" w:rsidRPr="00CD7B3F" w:rsidRDefault="00921721" w:rsidP="00880D09">
            <w:pPr>
              <w:pStyle w:val="anxnormal"/>
              <w:spacing w:before="0"/>
              <w:ind w:left="0"/>
              <w:rPr>
                <w:rFonts w:asciiTheme="minorHAnsi" w:hAnsiTheme="minorHAnsi"/>
                <w:lang w:eastAsia="en-US"/>
              </w:rPr>
            </w:pPr>
          </w:p>
          <w:p w14:paraId="7F0432E1" w14:textId="77777777" w:rsidR="00921721" w:rsidRPr="00CD7B3F" w:rsidRDefault="00921721" w:rsidP="00880D09">
            <w:pPr>
              <w:ind w:right="170"/>
              <w:jc w:val="both"/>
              <w:rPr>
                <w:rFonts w:asciiTheme="minorHAnsi" w:hAnsiTheme="minorHAnsi" w:cs="Arial-Narrow,Bold"/>
                <w:b/>
                <w:bCs/>
                <w:color w:val="4F81BD" w:themeColor="accent1"/>
                <w:sz w:val="20"/>
                <w:szCs w:val="20"/>
              </w:rPr>
            </w:pPr>
            <w:r w:rsidRPr="00CD7B3F">
              <w:rPr>
                <w:rFonts w:asciiTheme="minorHAnsi" w:hAnsiTheme="minorHAnsi" w:cs="Arial-Narrow,Bold"/>
                <w:b/>
                <w:bCs/>
                <w:color w:val="4F81BD" w:themeColor="accent1"/>
                <w:sz w:val="20"/>
                <w:szCs w:val="20"/>
              </w:rPr>
              <w:t>Koszty jednostkowe dla dużych obiektów inżynierskich (tylko w wyjątkowych przypadkach)</w:t>
            </w:r>
          </w:p>
          <w:p w14:paraId="5F20F0B3" w14:textId="77777777" w:rsidR="00921721" w:rsidRPr="00CD7B3F" w:rsidRDefault="00921721" w:rsidP="00880D09">
            <w:pPr>
              <w:pStyle w:val="anxnormal"/>
              <w:ind w:left="0"/>
              <w:rPr>
                <w:rFonts w:asciiTheme="minorHAnsi" w:hAnsiTheme="minorHAnsi"/>
                <w:lang w:eastAsia="en-US"/>
              </w:rPr>
            </w:pPr>
            <w:r w:rsidRPr="00CD7B3F">
              <w:rPr>
                <w:rFonts w:asciiTheme="minorHAnsi" w:hAnsiTheme="minorHAnsi"/>
                <w:lang w:eastAsia="en-US"/>
              </w:rPr>
              <w:t xml:space="preserve">Jako zasadę rekomenduje się </w:t>
            </w:r>
            <w:r w:rsidRPr="00CD7B3F">
              <w:rPr>
                <w:rFonts w:asciiTheme="minorHAnsi" w:hAnsiTheme="minorHAnsi"/>
                <w:u w:val="single"/>
                <w:lang w:eastAsia="en-US"/>
              </w:rPr>
              <w:t>oddzielnie inżynierskie eksperckie oszacowanie kosztów utrzymania dla każdego przypadku</w:t>
            </w:r>
            <w:r w:rsidRPr="00CD7B3F">
              <w:rPr>
                <w:rFonts w:asciiTheme="minorHAnsi" w:hAnsiTheme="minorHAnsi"/>
                <w:lang w:eastAsia="en-US"/>
              </w:rPr>
              <w:t>, zwłaszcza w sytuacji, gdy szacunki te służą do określenia niezbędnych nakładów budżetowych na utrzymanie zapewniających trwałość tych obiektów.</w:t>
            </w:r>
          </w:p>
          <w:p w14:paraId="0DBEF2C0" w14:textId="77777777" w:rsidR="00921721" w:rsidRPr="00CD7B3F" w:rsidRDefault="00921721" w:rsidP="00880D09">
            <w:pPr>
              <w:pStyle w:val="anxnormal"/>
              <w:ind w:left="0"/>
              <w:rPr>
                <w:rFonts w:asciiTheme="minorHAnsi" w:hAnsiTheme="minorHAnsi"/>
                <w:lang w:eastAsia="en-US"/>
              </w:rPr>
            </w:pPr>
            <w:r>
              <w:rPr>
                <w:rFonts w:asciiTheme="minorHAnsi" w:hAnsiTheme="minorHAnsi"/>
                <w:lang w:eastAsia="en-US"/>
              </w:rPr>
              <w:t>W przypadku braku innych wiarygodnych danych, dla</w:t>
            </w:r>
            <w:r w:rsidRPr="00CD7B3F">
              <w:rPr>
                <w:rFonts w:asciiTheme="minorHAnsi" w:hAnsiTheme="minorHAnsi"/>
                <w:lang w:eastAsia="en-US"/>
              </w:rPr>
              <w:t xml:space="preserve"> celów analizy kosztów i korzyści, można przyjąć 1,5% kosztów inwestycyjnych jako wstępne szacunkowe łączne roczne średnie bieżące i okresowe koszty eksploatacji dla danego obiektu (wskazanego w oparciu o inżynierskie kryteria). Dla pozostałej długości </w:t>
            </w:r>
            <w:r>
              <w:rPr>
                <w:rFonts w:asciiTheme="minorHAnsi" w:hAnsiTheme="minorHAnsi"/>
                <w:lang w:eastAsia="en-US"/>
              </w:rPr>
              <w:t xml:space="preserve">dróg objętych projektem </w:t>
            </w:r>
            <w:r w:rsidRPr="00CD7B3F">
              <w:rPr>
                <w:rFonts w:asciiTheme="minorHAnsi" w:hAnsiTheme="minorHAnsi"/>
                <w:lang w:eastAsia="en-US"/>
              </w:rPr>
              <w:t>stosuje się odpowiednio powyższe jednostkowe koszty utrzymania (bieżącego i okresowego).</w:t>
            </w:r>
          </w:p>
          <w:p w14:paraId="71735C8E" w14:textId="77777777" w:rsidR="00921721" w:rsidRPr="00CD7B3F" w:rsidRDefault="00921721" w:rsidP="00880D09">
            <w:pPr>
              <w:ind w:right="170"/>
              <w:jc w:val="both"/>
              <w:rPr>
                <w:rFonts w:asciiTheme="minorHAnsi" w:hAnsiTheme="minorHAnsi" w:cs="Arial"/>
                <w:sz w:val="20"/>
                <w:szCs w:val="20"/>
              </w:rPr>
            </w:pPr>
          </w:p>
          <w:p w14:paraId="71B2A540" w14:textId="77777777" w:rsidR="00921721" w:rsidRPr="00CD7B3F" w:rsidRDefault="00921721" w:rsidP="00880D09">
            <w:pPr>
              <w:ind w:right="170"/>
              <w:jc w:val="both"/>
              <w:rPr>
                <w:rFonts w:asciiTheme="minorHAnsi" w:hAnsiTheme="minorHAnsi" w:cs="Arial-Narrow,Bold"/>
                <w:b/>
                <w:bCs/>
                <w:color w:val="4F81BD" w:themeColor="accent1"/>
                <w:sz w:val="20"/>
                <w:szCs w:val="20"/>
              </w:rPr>
            </w:pPr>
            <w:r w:rsidRPr="00CD7B3F">
              <w:rPr>
                <w:rFonts w:asciiTheme="minorHAnsi" w:hAnsiTheme="minorHAnsi" w:cs="Arial-Narrow,Bold"/>
                <w:b/>
                <w:bCs/>
                <w:color w:val="4F81BD" w:themeColor="accent1"/>
                <w:sz w:val="20"/>
                <w:szCs w:val="20"/>
              </w:rPr>
              <w:t>Jednostkowe koszty operacyjne systemu poboru opłat</w:t>
            </w:r>
          </w:p>
          <w:p w14:paraId="6D7A7737" w14:textId="77777777" w:rsidR="00921721" w:rsidRDefault="00921721" w:rsidP="00880D09">
            <w:pPr>
              <w:pStyle w:val="anxnormal"/>
              <w:ind w:left="0"/>
              <w:rPr>
                <w:rFonts w:asciiTheme="minorHAnsi" w:hAnsiTheme="minorHAnsi"/>
                <w:lang w:eastAsia="en-US"/>
              </w:rPr>
            </w:pPr>
            <w:r w:rsidRPr="00AC4126">
              <w:rPr>
                <w:rFonts w:asciiTheme="minorHAnsi" w:hAnsiTheme="minorHAnsi"/>
                <w:lang w:eastAsia="en-US"/>
              </w:rPr>
              <w:t xml:space="preserve">Poniżej proponowane jednostkowe koszty operacyjne elektronicznego systemu poboru opłat są oparte na </w:t>
            </w:r>
            <w:r>
              <w:rPr>
                <w:rFonts w:asciiTheme="minorHAnsi" w:hAnsiTheme="minorHAnsi"/>
                <w:lang w:eastAsia="en-US"/>
              </w:rPr>
              <w:t xml:space="preserve">kosztach związanych z eksploatacją </w:t>
            </w:r>
            <w:r w:rsidRPr="00AC4126">
              <w:rPr>
                <w:rFonts w:asciiTheme="minorHAnsi" w:hAnsiTheme="minorHAnsi"/>
                <w:lang w:eastAsia="en-US"/>
              </w:rPr>
              <w:t xml:space="preserve">Elektronicznego Systemu Poboru Opłat </w:t>
            </w:r>
            <w:r>
              <w:rPr>
                <w:rFonts w:asciiTheme="minorHAnsi" w:hAnsiTheme="minorHAnsi"/>
                <w:lang w:eastAsia="en-US"/>
              </w:rPr>
              <w:t xml:space="preserve">w lipcu, sierpniu i wrześniu 2021 roku. </w:t>
            </w:r>
            <w:r w:rsidRPr="009722D8">
              <w:rPr>
                <w:rFonts w:asciiTheme="minorHAnsi" w:hAnsiTheme="minorHAnsi"/>
                <w:lang w:eastAsia="en-US"/>
              </w:rPr>
              <w:t xml:space="preserve">Do </w:t>
            </w:r>
            <w:r>
              <w:rPr>
                <w:rFonts w:asciiTheme="minorHAnsi" w:hAnsiTheme="minorHAnsi"/>
                <w:lang w:eastAsia="en-US"/>
              </w:rPr>
              <w:t xml:space="preserve">końca </w:t>
            </w:r>
            <w:r w:rsidRPr="009722D8">
              <w:rPr>
                <w:rFonts w:asciiTheme="minorHAnsi" w:hAnsiTheme="minorHAnsi"/>
                <w:lang w:eastAsia="en-US"/>
              </w:rPr>
              <w:t>września 2021</w:t>
            </w:r>
            <w:r>
              <w:rPr>
                <w:rFonts w:asciiTheme="minorHAnsi" w:hAnsiTheme="minorHAnsi"/>
                <w:lang w:eastAsia="en-US"/>
              </w:rPr>
              <w:t> </w:t>
            </w:r>
            <w:r w:rsidRPr="009722D8">
              <w:rPr>
                <w:rFonts w:asciiTheme="minorHAnsi" w:hAnsiTheme="minorHAnsi"/>
                <w:lang w:eastAsia="en-US"/>
              </w:rPr>
              <w:t xml:space="preserve">r. funkcjonowały równocześnie dwa systemy elektronicznego poboru opłat: </w:t>
            </w:r>
            <w:r>
              <w:rPr>
                <w:rFonts w:asciiTheme="minorHAnsi" w:hAnsiTheme="minorHAnsi"/>
                <w:lang w:eastAsia="en-US"/>
              </w:rPr>
              <w:t xml:space="preserve">dotychczasowy </w:t>
            </w:r>
            <w:r w:rsidRPr="009722D8">
              <w:rPr>
                <w:rFonts w:asciiTheme="minorHAnsi" w:hAnsiTheme="minorHAnsi"/>
                <w:lang w:eastAsia="en-US"/>
              </w:rPr>
              <w:t xml:space="preserve">viaTOLL i </w:t>
            </w:r>
            <w:r>
              <w:rPr>
                <w:rFonts w:asciiTheme="minorHAnsi" w:hAnsiTheme="minorHAnsi"/>
                <w:lang w:eastAsia="en-US"/>
              </w:rPr>
              <w:t xml:space="preserve">wdrażany </w:t>
            </w:r>
            <w:r w:rsidRPr="009722D8">
              <w:rPr>
                <w:rFonts w:asciiTheme="minorHAnsi" w:hAnsiTheme="minorHAnsi"/>
                <w:lang w:eastAsia="en-US"/>
              </w:rPr>
              <w:t xml:space="preserve">e-TOLL. Dane </w:t>
            </w:r>
            <w:r>
              <w:rPr>
                <w:rFonts w:asciiTheme="minorHAnsi" w:hAnsiTheme="minorHAnsi"/>
                <w:lang w:eastAsia="en-US"/>
              </w:rPr>
              <w:t xml:space="preserve">kosztowe </w:t>
            </w:r>
            <w:r w:rsidRPr="009722D8">
              <w:rPr>
                <w:rFonts w:asciiTheme="minorHAnsi" w:hAnsiTheme="minorHAnsi"/>
                <w:lang w:eastAsia="en-US"/>
              </w:rPr>
              <w:t xml:space="preserve">dotyczące eksploatacji Elektronicznego Systemu Poboru Opłat odnoszą się do obu systemów. </w:t>
            </w:r>
            <w:r>
              <w:rPr>
                <w:rFonts w:asciiTheme="minorHAnsi" w:hAnsiTheme="minorHAnsi"/>
                <w:lang w:eastAsia="en-US"/>
              </w:rPr>
              <w:t>Od 1 października 2021 </w:t>
            </w:r>
            <w:r w:rsidRPr="009722D8">
              <w:rPr>
                <w:rFonts w:asciiTheme="minorHAnsi" w:hAnsiTheme="minorHAnsi"/>
                <w:lang w:eastAsia="en-US"/>
              </w:rPr>
              <w:t xml:space="preserve">r. e-TOLL stał się jedynym systemem umożliwiającym </w:t>
            </w:r>
            <w:r>
              <w:rPr>
                <w:rFonts w:asciiTheme="minorHAnsi" w:hAnsiTheme="minorHAnsi"/>
                <w:lang w:eastAsia="en-US"/>
              </w:rPr>
              <w:t xml:space="preserve">uiszczenie opłaty </w:t>
            </w:r>
            <w:r w:rsidRPr="009722D8">
              <w:rPr>
                <w:rFonts w:asciiTheme="minorHAnsi" w:hAnsiTheme="minorHAnsi"/>
                <w:lang w:eastAsia="en-US"/>
              </w:rPr>
              <w:t>za</w:t>
            </w:r>
            <w:r>
              <w:rPr>
                <w:rFonts w:asciiTheme="minorHAnsi" w:hAnsiTheme="minorHAnsi"/>
                <w:lang w:eastAsia="en-US"/>
              </w:rPr>
              <w:t xml:space="preserve"> przejazd po drogach płatnych w </w:t>
            </w:r>
            <w:r w:rsidRPr="009722D8">
              <w:rPr>
                <w:rFonts w:asciiTheme="minorHAnsi" w:hAnsiTheme="minorHAnsi"/>
                <w:lang w:eastAsia="en-US"/>
              </w:rPr>
              <w:t>Polsce.</w:t>
            </w:r>
            <w:r>
              <w:rPr>
                <w:rFonts w:asciiTheme="minorHAnsi" w:hAnsiTheme="minorHAnsi"/>
                <w:lang w:eastAsia="en-US"/>
              </w:rPr>
              <w:t xml:space="preserve"> W okresie, którego dotyczą dane kosztowe, łączna d</w:t>
            </w:r>
            <w:r w:rsidRPr="009722D8">
              <w:rPr>
                <w:rFonts w:asciiTheme="minorHAnsi" w:hAnsiTheme="minorHAnsi"/>
                <w:lang w:eastAsia="en-US"/>
              </w:rPr>
              <w:t xml:space="preserve">ługość </w:t>
            </w:r>
            <w:r>
              <w:rPr>
                <w:rFonts w:asciiTheme="minorHAnsi" w:hAnsiTheme="minorHAnsi"/>
                <w:lang w:eastAsia="en-US"/>
              </w:rPr>
              <w:t xml:space="preserve">dróg </w:t>
            </w:r>
            <w:r w:rsidRPr="009722D8">
              <w:rPr>
                <w:rFonts w:asciiTheme="minorHAnsi" w:hAnsiTheme="minorHAnsi"/>
                <w:lang w:eastAsia="en-US"/>
              </w:rPr>
              <w:t>publicznych zarządzanych przez GDDKiA</w:t>
            </w:r>
            <w:r>
              <w:rPr>
                <w:rFonts w:asciiTheme="minorHAnsi" w:hAnsiTheme="minorHAnsi"/>
                <w:lang w:eastAsia="en-US"/>
              </w:rPr>
              <w:t xml:space="preserve"> </w:t>
            </w:r>
            <w:r w:rsidRPr="009722D8">
              <w:rPr>
                <w:rFonts w:asciiTheme="minorHAnsi" w:hAnsiTheme="minorHAnsi"/>
                <w:lang w:eastAsia="en-US"/>
              </w:rPr>
              <w:t xml:space="preserve">objętych opłatami </w:t>
            </w:r>
            <w:r>
              <w:rPr>
                <w:rFonts w:asciiTheme="minorHAnsi" w:hAnsiTheme="minorHAnsi"/>
                <w:lang w:eastAsia="en-US"/>
              </w:rPr>
              <w:t>za przejazd wynosiła 3,68 tys. kilometrów. J</w:t>
            </w:r>
            <w:r w:rsidRPr="00EF54F3">
              <w:rPr>
                <w:rFonts w:asciiTheme="minorHAnsi" w:hAnsiTheme="minorHAnsi"/>
                <w:lang w:eastAsia="en-US"/>
              </w:rPr>
              <w:t>ednostkowe koszty operacyjne systemu poboru opłat</w:t>
            </w:r>
            <w:r w:rsidRPr="00EF54F3" w:rsidDel="00AC4126">
              <w:rPr>
                <w:rFonts w:asciiTheme="minorHAnsi" w:hAnsiTheme="minorHAnsi"/>
                <w:lang w:eastAsia="en-US"/>
              </w:rPr>
              <w:t xml:space="preserve"> </w:t>
            </w:r>
            <w:r>
              <w:rPr>
                <w:rFonts w:asciiTheme="minorHAnsi" w:hAnsiTheme="minorHAnsi"/>
                <w:lang w:eastAsia="en-US"/>
              </w:rPr>
              <w:t xml:space="preserve">będą mogły zostać zaktualizowane w przyszłości na podstawie danych kosztowych dotyczących funkcjonowania tego systemu po zakończeniu okresu wdrażania. Będzie to mogło nastąpić w ramach okresowej aktualizacji tabel kosztów jednostkowych publikowanych przez CUPT. </w:t>
            </w:r>
          </w:p>
          <w:p w14:paraId="0E3C79A3" w14:textId="77777777" w:rsidR="00921721" w:rsidRPr="00CD7B3F" w:rsidRDefault="00921721" w:rsidP="00880D09">
            <w:pPr>
              <w:pStyle w:val="anxnormal"/>
              <w:ind w:left="0"/>
              <w:rPr>
                <w:rFonts w:asciiTheme="minorHAnsi" w:hAnsiTheme="minorHAnsi"/>
                <w:lang w:eastAsia="en-US"/>
              </w:rPr>
            </w:pPr>
          </w:p>
          <w:p w14:paraId="4113110C" w14:textId="77777777" w:rsidR="00921721" w:rsidRPr="00CD7B3F" w:rsidRDefault="00921721" w:rsidP="00880D09">
            <w:pPr>
              <w:pStyle w:val="anxnormal"/>
              <w:spacing w:after="120"/>
              <w:ind w:left="0"/>
              <w:rPr>
                <w:rFonts w:asciiTheme="minorHAnsi" w:hAnsiTheme="minorHAnsi"/>
                <w:lang w:eastAsia="en-US"/>
              </w:rPr>
            </w:pPr>
            <w:r w:rsidRPr="00CD7B3F">
              <w:rPr>
                <w:rFonts w:asciiTheme="minorHAnsi" w:hAnsiTheme="minorHAnsi"/>
                <w:lang w:eastAsia="en-US"/>
              </w:rPr>
              <w:t>Koszty jednostkowe</w:t>
            </w:r>
            <w:r>
              <w:rPr>
                <w:rFonts w:asciiTheme="minorHAnsi" w:hAnsiTheme="minorHAnsi"/>
                <w:lang w:eastAsia="en-US"/>
              </w:rPr>
              <w:t xml:space="preserve"> eksploatacji</w:t>
            </w:r>
            <w:r w:rsidRPr="00CD7B3F">
              <w:rPr>
                <w:rFonts w:asciiTheme="minorHAnsi" w:hAnsiTheme="minorHAnsi"/>
                <w:lang w:eastAsia="en-US"/>
              </w:rPr>
              <w:t xml:space="preserve"> elektronicznego systemu poboru opłat [PLN/km]</w:t>
            </w:r>
          </w:p>
          <w:tbl>
            <w:tblPr>
              <w:tblW w:w="6783" w:type="dxa"/>
              <w:tblLayout w:type="fixed"/>
              <w:tblLook w:val="04A0" w:firstRow="1" w:lastRow="0" w:firstColumn="1" w:lastColumn="0" w:noHBand="0" w:noVBand="1"/>
            </w:tblPr>
            <w:tblGrid>
              <w:gridCol w:w="3391"/>
              <w:gridCol w:w="3392"/>
            </w:tblGrid>
            <w:tr w:rsidR="00921721" w:rsidRPr="00CD7B3F" w14:paraId="64E6837C" w14:textId="77777777" w:rsidTr="00880D09">
              <w:trPr>
                <w:trHeight w:hRule="exact" w:val="489"/>
              </w:trPr>
              <w:tc>
                <w:tcPr>
                  <w:tcW w:w="339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381C0FE" w14:textId="77777777" w:rsidR="00921721" w:rsidRPr="00CD7B3F" w:rsidRDefault="00921721" w:rsidP="00880D09">
                  <w:pPr>
                    <w:snapToGrid w:val="0"/>
                    <w:spacing w:before="20" w:after="20"/>
                    <w:jc w:val="center"/>
                    <w:rPr>
                      <w:rFonts w:asciiTheme="minorHAnsi" w:hAnsiTheme="minorHAnsi" w:cs="Arial"/>
                      <w:b/>
                      <w:bCs/>
                      <w:color w:val="FFFFFF"/>
                      <w:sz w:val="18"/>
                      <w:szCs w:val="18"/>
                    </w:rPr>
                  </w:pPr>
                  <w:r w:rsidRPr="00CD7B3F">
                    <w:rPr>
                      <w:rFonts w:asciiTheme="minorHAnsi" w:hAnsiTheme="minorHAnsi" w:cs="Arial"/>
                      <w:b/>
                      <w:bCs/>
                      <w:color w:val="FFFFFF"/>
                      <w:sz w:val="18"/>
                      <w:szCs w:val="18"/>
                    </w:rPr>
                    <w:t>Rok</w:t>
                  </w:r>
                </w:p>
              </w:tc>
              <w:tc>
                <w:tcPr>
                  <w:tcW w:w="339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3D59C9F" w14:textId="77777777" w:rsidR="00921721" w:rsidRPr="00CD7B3F" w:rsidRDefault="00921721" w:rsidP="00880D09">
                  <w:pPr>
                    <w:snapToGrid w:val="0"/>
                    <w:spacing w:before="20" w:after="20"/>
                    <w:jc w:val="center"/>
                    <w:rPr>
                      <w:rFonts w:asciiTheme="minorHAnsi" w:hAnsiTheme="minorHAnsi" w:cs="Arial"/>
                      <w:b/>
                      <w:bCs/>
                      <w:color w:val="FFFFFF"/>
                      <w:sz w:val="18"/>
                      <w:szCs w:val="18"/>
                    </w:rPr>
                  </w:pPr>
                  <w:r w:rsidRPr="00CD7B3F">
                    <w:rPr>
                      <w:rFonts w:asciiTheme="minorHAnsi" w:hAnsiTheme="minorHAnsi" w:cs="Arial"/>
                      <w:b/>
                      <w:bCs/>
                      <w:color w:val="FFFFFF"/>
                      <w:sz w:val="18"/>
                      <w:szCs w:val="18"/>
                    </w:rPr>
                    <w:t>Jednostkowe koszty operacyjne systemu poboru opłat (PLN/km), netto</w:t>
                  </w:r>
                </w:p>
              </w:tc>
            </w:tr>
            <w:tr w:rsidR="00921721" w:rsidRPr="00CD7B3F" w14:paraId="66CB40E2" w14:textId="77777777" w:rsidTr="00880D09">
              <w:trPr>
                <w:trHeight w:val="222"/>
              </w:trPr>
              <w:tc>
                <w:tcPr>
                  <w:tcW w:w="339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A4F1278" w14:textId="77777777" w:rsidR="00921721" w:rsidRPr="00CD7B3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2021</w:t>
                  </w:r>
                </w:p>
              </w:tc>
              <w:tc>
                <w:tcPr>
                  <w:tcW w:w="33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6849169" w14:textId="77777777" w:rsidR="00921721" w:rsidRPr="00CD7B3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63 535</w:t>
                  </w:r>
                </w:p>
              </w:tc>
            </w:tr>
          </w:tbl>
          <w:p w14:paraId="1E8512D8" w14:textId="77777777" w:rsidR="00921721" w:rsidRPr="00CD7B3F" w:rsidRDefault="00921721" w:rsidP="00880D09">
            <w:pPr>
              <w:spacing w:before="120" w:after="120"/>
              <w:ind w:right="170"/>
              <w:jc w:val="both"/>
              <w:rPr>
                <w:rFonts w:asciiTheme="minorHAnsi" w:hAnsiTheme="minorHAnsi" w:cs="Arial"/>
                <w:sz w:val="20"/>
                <w:szCs w:val="20"/>
              </w:rPr>
            </w:pPr>
            <w:r w:rsidRPr="00CD7B3F">
              <w:rPr>
                <w:rFonts w:asciiTheme="minorHAnsi" w:hAnsiTheme="minorHAnsi" w:cs="Arial"/>
                <w:b/>
                <w:i/>
                <w:sz w:val="16"/>
                <w:szCs w:val="16"/>
              </w:rPr>
              <w:t xml:space="preserve">Źródło: </w:t>
            </w:r>
            <w:r w:rsidRPr="00B13338">
              <w:rPr>
                <w:rFonts w:asciiTheme="minorHAnsi" w:hAnsiTheme="minorHAnsi"/>
                <w:b/>
                <w:i/>
                <w:sz w:val="16"/>
                <w:szCs w:val="16"/>
              </w:rPr>
              <w:t>Opracowanie własne CUPT na podstawie</w:t>
            </w:r>
            <w:r w:rsidRPr="00B13338">
              <w:rPr>
                <w:rFonts w:asciiTheme="minorHAnsi" w:hAnsiTheme="minorHAnsi" w:cs="Arial"/>
                <w:b/>
                <w:i/>
                <w:sz w:val="16"/>
                <w:szCs w:val="16"/>
              </w:rPr>
              <w:t xml:space="preserve"> </w:t>
            </w:r>
            <w:r>
              <w:rPr>
                <w:rFonts w:asciiTheme="minorHAnsi" w:hAnsiTheme="minorHAnsi" w:cs="Arial"/>
                <w:b/>
                <w:i/>
                <w:sz w:val="16"/>
                <w:szCs w:val="16"/>
              </w:rPr>
              <w:t xml:space="preserve">informacji z </w:t>
            </w:r>
            <w:r w:rsidRPr="00B13338">
              <w:rPr>
                <w:rFonts w:asciiTheme="minorHAnsi" w:hAnsiTheme="minorHAnsi" w:cs="Arial"/>
                <w:b/>
                <w:i/>
                <w:sz w:val="16"/>
                <w:szCs w:val="16"/>
              </w:rPr>
              <w:t>Ministerstw</w:t>
            </w:r>
            <w:r>
              <w:rPr>
                <w:rFonts w:asciiTheme="minorHAnsi" w:hAnsiTheme="minorHAnsi" w:cs="Arial"/>
                <w:b/>
                <w:i/>
                <w:sz w:val="16"/>
                <w:szCs w:val="16"/>
              </w:rPr>
              <w:t>a</w:t>
            </w:r>
            <w:r w:rsidRPr="00B13338">
              <w:rPr>
                <w:rFonts w:asciiTheme="minorHAnsi" w:hAnsiTheme="minorHAnsi" w:cs="Arial"/>
                <w:b/>
                <w:i/>
                <w:sz w:val="16"/>
                <w:szCs w:val="16"/>
              </w:rPr>
              <w:t xml:space="preserve"> Finansów </w:t>
            </w:r>
            <w:r>
              <w:rPr>
                <w:rFonts w:asciiTheme="minorHAnsi" w:hAnsiTheme="minorHAnsi" w:cs="Arial"/>
                <w:b/>
                <w:i/>
                <w:sz w:val="16"/>
                <w:szCs w:val="16"/>
              </w:rPr>
              <w:t>–</w:t>
            </w:r>
            <w:r w:rsidRPr="00B13338">
              <w:rPr>
                <w:rFonts w:asciiTheme="minorHAnsi" w:hAnsiTheme="minorHAnsi" w:cs="Arial"/>
                <w:b/>
                <w:i/>
                <w:sz w:val="16"/>
                <w:szCs w:val="16"/>
              </w:rPr>
              <w:t xml:space="preserve"> Krajow</w:t>
            </w:r>
            <w:r>
              <w:rPr>
                <w:rFonts w:asciiTheme="minorHAnsi" w:hAnsiTheme="minorHAnsi" w:cs="Arial"/>
                <w:b/>
                <w:i/>
                <w:sz w:val="16"/>
                <w:szCs w:val="16"/>
              </w:rPr>
              <w:t>ej</w:t>
            </w:r>
            <w:r w:rsidRPr="00B13338">
              <w:rPr>
                <w:rFonts w:asciiTheme="minorHAnsi" w:hAnsiTheme="minorHAnsi" w:cs="Arial"/>
                <w:b/>
                <w:i/>
                <w:sz w:val="16"/>
                <w:szCs w:val="16"/>
              </w:rPr>
              <w:t xml:space="preserve"> Administracj</w:t>
            </w:r>
            <w:r>
              <w:rPr>
                <w:rFonts w:asciiTheme="minorHAnsi" w:hAnsiTheme="minorHAnsi" w:cs="Arial"/>
                <w:b/>
                <w:i/>
                <w:sz w:val="16"/>
                <w:szCs w:val="16"/>
              </w:rPr>
              <w:t>i</w:t>
            </w:r>
            <w:r w:rsidRPr="00B13338">
              <w:rPr>
                <w:rFonts w:asciiTheme="minorHAnsi" w:hAnsiTheme="minorHAnsi" w:cs="Arial"/>
                <w:b/>
                <w:i/>
                <w:sz w:val="16"/>
                <w:szCs w:val="16"/>
              </w:rPr>
              <w:t xml:space="preserve"> Skarbow</w:t>
            </w:r>
            <w:r>
              <w:rPr>
                <w:rFonts w:asciiTheme="minorHAnsi" w:hAnsiTheme="minorHAnsi" w:cs="Arial"/>
                <w:b/>
                <w:i/>
                <w:sz w:val="16"/>
                <w:szCs w:val="16"/>
              </w:rPr>
              <w:t>ej</w:t>
            </w:r>
            <w:r w:rsidRPr="00B13338">
              <w:rPr>
                <w:rFonts w:asciiTheme="minorHAnsi" w:hAnsiTheme="minorHAnsi" w:cs="Arial"/>
                <w:b/>
                <w:i/>
                <w:sz w:val="16"/>
                <w:szCs w:val="16"/>
              </w:rPr>
              <w:t>.</w:t>
            </w:r>
          </w:p>
          <w:p w14:paraId="72309BCB" w14:textId="77777777" w:rsidR="00921721" w:rsidRPr="00CD7B3F" w:rsidRDefault="00921721" w:rsidP="00880D09">
            <w:pPr>
              <w:pStyle w:val="anxnormal"/>
              <w:ind w:left="0"/>
              <w:rPr>
                <w:rFonts w:asciiTheme="minorHAnsi" w:hAnsiTheme="minorHAnsi"/>
                <w:u w:val="single"/>
                <w:lang w:eastAsia="en-US"/>
              </w:rPr>
            </w:pPr>
          </w:p>
          <w:p w14:paraId="4DD5A4D8" w14:textId="77777777" w:rsidR="00921721" w:rsidRPr="00CD7B3F" w:rsidRDefault="00921721" w:rsidP="00880D09">
            <w:pPr>
              <w:pStyle w:val="anxnormal"/>
              <w:ind w:left="0"/>
              <w:rPr>
                <w:rFonts w:asciiTheme="minorHAnsi" w:hAnsiTheme="minorHAnsi"/>
                <w:u w:val="single"/>
                <w:lang w:eastAsia="en-US"/>
              </w:rPr>
            </w:pPr>
            <w:r w:rsidRPr="00CD7B3F">
              <w:rPr>
                <w:rFonts w:asciiTheme="minorHAnsi" w:hAnsiTheme="minorHAnsi"/>
                <w:u w:val="single"/>
                <w:lang w:eastAsia="en-US"/>
              </w:rPr>
              <w:t>Zmienność kosztów jednostkowych w czasie</w:t>
            </w:r>
          </w:p>
          <w:p w14:paraId="1821D41A" w14:textId="77777777" w:rsidR="00921721" w:rsidRDefault="00921721" w:rsidP="00880D09">
            <w:pPr>
              <w:pStyle w:val="anxnormal"/>
              <w:ind w:left="0"/>
              <w:rPr>
                <w:rFonts w:asciiTheme="minorHAnsi" w:hAnsiTheme="minorHAnsi"/>
                <w:lang w:eastAsia="en-US"/>
              </w:rPr>
            </w:pPr>
            <w:r w:rsidRPr="00731E4E">
              <w:rPr>
                <w:rFonts w:asciiTheme="minorHAnsi" w:hAnsiTheme="minorHAnsi"/>
                <w:lang w:eastAsia="en-US"/>
              </w:rPr>
              <w:t xml:space="preserve">Zakłada się brak realnego wzrostu jednostkowych kosztów </w:t>
            </w:r>
            <w:r w:rsidRPr="00CD7B3F">
              <w:rPr>
                <w:rFonts w:asciiTheme="minorHAnsi" w:hAnsiTheme="minorHAnsi"/>
                <w:lang w:eastAsia="en-US"/>
              </w:rPr>
              <w:t xml:space="preserve">eksploatacji i utrzymania </w:t>
            </w:r>
            <w:r>
              <w:rPr>
                <w:rFonts w:asciiTheme="minorHAnsi" w:hAnsiTheme="minorHAnsi"/>
                <w:lang w:eastAsia="en-US"/>
              </w:rPr>
              <w:t xml:space="preserve">elektronicznego systemu poboru opłat </w:t>
            </w:r>
            <w:r w:rsidRPr="00731E4E">
              <w:rPr>
                <w:rFonts w:asciiTheme="minorHAnsi" w:hAnsiTheme="minorHAnsi"/>
                <w:lang w:eastAsia="en-US"/>
              </w:rPr>
              <w:t>w</w:t>
            </w:r>
            <w:r>
              <w:rPr>
                <w:rFonts w:asciiTheme="minorHAnsi" w:hAnsiTheme="minorHAnsi"/>
                <w:lang w:eastAsia="en-US"/>
              </w:rPr>
              <w:t> </w:t>
            </w:r>
            <w:r w:rsidRPr="00731E4E">
              <w:rPr>
                <w:rFonts w:asciiTheme="minorHAnsi" w:hAnsiTheme="minorHAnsi"/>
                <w:lang w:eastAsia="en-US"/>
              </w:rPr>
              <w:t>czasie.</w:t>
            </w:r>
            <w:r w:rsidRPr="002C6855">
              <w:rPr>
                <w:rFonts w:asciiTheme="minorHAnsi" w:hAnsiTheme="minorHAnsi"/>
                <w:lang w:eastAsia="en-US"/>
              </w:rPr>
              <w:t xml:space="preserve"> </w:t>
            </w:r>
            <w:r w:rsidRPr="00B72029">
              <w:rPr>
                <w:rFonts w:asciiTheme="minorHAnsi" w:hAnsiTheme="minorHAnsi"/>
                <w:lang w:eastAsia="en-US"/>
              </w:rPr>
              <w:t xml:space="preserve">Należy jedynie uwzględnić indeksację nominalną wskaźnikiem polskiej inflacji </w:t>
            </w:r>
            <w:r>
              <w:rPr>
                <w:rFonts w:asciiTheme="minorHAnsi" w:hAnsiTheme="minorHAnsi"/>
                <w:lang w:eastAsia="en-US"/>
              </w:rPr>
              <w:t xml:space="preserve">cen produkcji budowlano-montażowej </w:t>
            </w:r>
            <w:r w:rsidRPr="00B72029">
              <w:rPr>
                <w:rFonts w:asciiTheme="minorHAnsi" w:hAnsiTheme="minorHAnsi"/>
                <w:lang w:eastAsia="en-US"/>
              </w:rPr>
              <w:t>do poziomu cenowego właściwego dla roku bazowego, kiedy rok bazowy zmien</w:t>
            </w:r>
            <w:r>
              <w:rPr>
                <w:rFonts w:asciiTheme="minorHAnsi" w:hAnsiTheme="minorHAnsi"/>
                <w:lang w:eastAsia="en-US"/>
              </w:rPr>
              <w:t xml:space="preserve">i się z obecnie przyjętego </w:t>
            </w:r>
            <w:r w:rsidRPr="00FB7CC5">
              <w:rPr>
                <w:rFonts w:asciiTheme="minorHAnsi" w:hAnsiTheme="minorHAnsi"/>
                <w:lang w:eastAsia="en-US"/>
              </w:rPr>
              <w:t>(2021)</w:t>
            </w:r>
            <w:r w:rsidRPr="00B72029">
              <w:rPr>
                <w:rFonts w:asciiTheme="minorHAnsi" w:hAnsiTheme="minorHAnsi"/>
                <w:lang w:eastAsia="en-US"/>
              </w:rPr>
              <w:t xml:space="preserve"> na późniejszy.</w:t>
            </w:r>
            <w:r>
              <w:rPr>
                <w:rFonts w:asciiTheme="minorHAnsi" w:hAnsiTheme="minorHAnsi"/>
                <w:lang w:eastAsia="en-US"/>
              </w:rPr>
              <w:t xml:space="preserve"> </w:t>
            </w:r>
          </w:p>
          <w:p w14:paraId="64D2B6EB" w14:textId="77777777" w:rsidR="00921721" w:rsidRDefault="00921721" w:rsidP="00880D09">
            <w:pPr>
              <w:pStyle w:val="anxnormal"/>
              <w:ind w:left="0"/>
              <w:rPr>
                <w:rFonts w:asciiTheme="minorHAnsi" w:hAnsiTheme="minorHAnsi"/>
                <w:lang w:eastAsia="en-US"/>
              </w:rPr>
            </w:pPr>
          </w:p>
          <w:p w14:paraId="02C04E89" w14:textId="77777777" w:rsidR="00921721" w:rsidRDefault="00921721" w:rsidP="00880D09">
            <w:pPr>
              <w:pStyle w:val="anxnormal"/>
              <w:ind w:left="0"/>
              <w:rPr>
                <w:rFonts w:asciiTheme="minorHAnsi" w:hAnsiTheme="minorHAnsi"/>
                <w:lang w:eastAsia="en-US"/>
              </w:rPr>
            </w:pPr>
          </w:p>
          <w:p w14:paraId="2691863C" w14:textId="77777777" w:rsidR="00921721" w:rsidRDefault="00921721" w:rsidP="00880D09">
            <w:pPr>
              <w:pStyle w:val="anxnormal"/>
              <w:ind w:left="0"/>
              <w:rPr>
                <w:rFonts w:asciiTheme="minorHAnsi" w:hAnsiTheme="minorHAnsi"/>
                <w:lang w:eastAsia="en-US"/>
              </w:rPr>
            </w:pPr>
          </w:p>
          <w:p w14:paraId="37D76293" w14:textId="77777777" w:rsidR="00921721" w:rsidRDefault="00921721" w:rsidP="00880D09">
            <w:pPr>
              <w:pStyle w:val="anxnormal"/>
              <w:ind w:left="0"/>
              <w:rPr>
                <w:rFonts w:asciiTheme="minorHAnsi" w:hAnsiTheme="minorHAnsi"/>
                <w:lang w:eastAsia="en-US"/>
              </w:rPr>
            </w:pPr>
          </w:p>
          <w:p w14:paraId="5CED636A" w14:textId="77777777" w:rsidR="00921721" w:rsidRDefault="00921721" w:rsidP="00880D09">
            <w:pPr>
              <w:pStyle w:val="anxnormal"/>
              <w:ind w:left="0"/>
              <w:rPr>
                <w:rFonts w:asciiTheme="minorHAnsi" w:hAnsiTheme="minorHAnsi"/>
                <w:lang w:eastAsia="en-US"/>
              </w:rPr>
            </w:pPr>
          </w:p>
          <w:p w14:paraId="1A0BB453" w14:textId="77777777" w:rsidR="00921721" w:rsidRDefault="00921721" w:rsidP="00880D09">
            <w:pPr>
              <w:pStyle w:val="anxnormal"/>
              <w:ind w:left="0"/>
              <w:rPr>
                <w:rFonts w:asciiTheme="minorHAnsi" w:hAnsiTheme="minorHAnsi"/>
                <w:lang w:eastAsia="en-US"/>
              </w:rPr>
            </w:pPr>
          </w:p>
          <w:p w14:paraId="4E118D52" w14:textId="77777777" w:rsidR="00921721" w:rsidRDefault="00921721" w:rsidP="00880D09">
            <w:pPr>
              <w:pStyle w:val="anxnormal"/>
              <w:ind w:left="0"/>
              <w:rPr>
                <w:rFonts w:asciiTheme="minorHAnsi" w:hAnsiTheme="minorHAnsi"/>
                <w:lang w:eastAsia="en-US"/>
              </w:rPr>
            </w:pPr>
          </w:p>
          <w:p w14:paraId="12677356" w14:textId="77777777" w:rsidR="00921721" w:rsidRDefault="00921721" w:rsidP="00880D09">
            <w:pPr>
              <w:pStyle w:val="anxnormal"/>
              <w:ind w:left="0"/>
              <w:rPr>
                <w:rFonts w:asciiTheme="minorHAnsi" w:hAnsiTheme="minorHAnsi"/>
                <w:lang w:eastAsia="en-US"/>
              </w:rPr>
            </w:pPr>
          </w:p>
          <w:p w14:paraId="25C056FA" w14:textId="77777777" w:rsidR="00921721" w:rsidRDefault="00921721" w:rsidP="00880D09">
            <w:pPr>
              <w:pStyle w:val="anxnormal"/>
              <w:ind w:left="0"/>
              <w:rPr>
                <w:rFonts w:asciiTheme="minorHAnsi" w:hAnsiTheme="minorHAnsi"/>
                <w:lang w:eastAsia="en-US"/>
              </w:rPr>
            </w:pPr>
          </w:p>
          <w:p w14:paraId="5ED57927" w14:textId="77777777" w:rsidR="00921721" w:rsidRDefault="00921721" w:rsidP="00880D09">
            <w:pPr>
              <w:pStyle w:val="anxnormal"/>
              <w:ind w:left="0"/>
              <w:rPr>
                <w:rFonts w:asciiTheme="minorHAnsi" w:hAnsiTheme="minorHAnsi"/>
                <w:lang w:eastAsia="en-US"/>
              </w:rPr>
            </w:pPr>
          </w:p>
          <w:p w14:paraId="11FA9DF3" w14:textId="77777777" w:rsidR="00921721" w:rsidRPr="00821B08" w:rsidRDefault="00921721" w:rsidP="00880D09">
            <w:pPr>
              <w:pStyle w:val="anxnormal"/>
              <w:ind w:left="0"/>
              <w:rPr>
                <w:rFonts w:asciiTheme="minorHAnsi" w:hAnsiTheme="minorHAnsi" w:cs="Arial-Narrow,Bold"/>
                <w:b/>
                <w:bCs/>
                <w:color w:val="4F81BD" w:themeColor="accent1"/>
                <w:sz w:val="23"/>
                <w:szCs w:val="23"/>
                <w:lang w:eastAsia="en-GB"/>
              </w:rPr>
            </w:pPr>
            <w:r w:rsidRPr="00821B08">
              <w:rPr>
                <w:rFonts w:asciiTheme="minorHAnsi" w:hAnsiTheme="minorHAnsi" w:cs="Arial-Narrow,Bold"/>
                <w:b/>
                <w:bCs/>
                <w:color w:val="4F81BD" w:themeColor="accent1"/>
                <w:sz w:val="23"/>
                <w:szCs w:val="23"/>
                <w:lang w:eastAsia="en-GB"/>
              </w:rPr>
              <w:t>10. Przykład: obliczenie wartości rezydualnej</w:t>
            </w:r>
            <w:r>
              <w:rPr>
                <w:rFonts w:asciiTheme="minorHAnsi" w:hAnsiTheme="minorHAnsi" w:cs="Arial-Narrow,Bold"/>
                <w:b/>
                <w:bCs/>
                <w:color w:val="4F81BD" w:themeColor="accent1"/>
                <w:sz w:val="23"/>
                <w:szCs w:val="23"/>
                <w:lang w:eastAsia="en-GB"/>
              </w:rPr>
              <w:t xml:space="preserve"> w </w:t>
            </w:r>
            <w:r w:rsidRPr="00821B08">
              <w:rPr>
                <w:rFonts w:asciiTheme="minorHAnsi" w:hAnsiTheme="minorHAnsi" w:cs="Arial-Narrow,Bold"/>
                <w:b/>
                <w:bCs/>
                <w:color w:val="4F81BD" w:themeColor="accent1"/>
                <w:sz w:val="23"/>
                <w:szCs w:val="23"/>
                <w:lang w:eastAsia="en-GB"/>
              </w:rPr>
              <w:t>oparciu</w:t>
            </w:r>
            <w:r>
              <w:rPr>
                <w:rFonts w:asciiTheme="minorHAnsi" w:hAnsiTheme="minorHAnsi" w:cs="Arial-Narrow,Bold"/>
                <w:b/>
                <w:bCs/>
                <w:color w:val="4F81BD" w:themeColor="accent1"/>
                <w:sz w:val="23"/>
                <w:szCs w:val="23"/>
                <w:lang w:eastAsia="en-GB"/>
              </w:rPr>
              <w:t xml:space="preserve"> o </w:t>
            </w:r>
            <w:r w:rsidRPr="00821B08">
              <w:rPr>
                <w:rFonts w:asciiTheme="minorHAnsi" w:hAnsiTheme="minorHAnsi" w:cs="Arial-Narrow,Bold"/>
                <w:b/>
                <w:bCs/>
                <w:color w:val="4F81BD" w:themeColor="accent1"/>
                <w:sz w:val="23"/>
                <w:szCs w:val="23"/>
                <w:lang w:eastAsia="en-GB"/>
              </w:rPr>
              <w:t>amortyzację</w:t>
            </w:r>
          </w:p>
          <w:p w14:paraId="568A22B5" w14:textId="77777777" w:rsidR="00921721" w:rsidRPr="00731E4E" w:rsidRDefault="00921721" w:rsidP="00880D09">
            <w:pPr>
              <w:pStyle w:val="anxnormal"/>
              <w:spacing w:after="120"/>
              <w:ind w:left="0"/>
              <w:rPr>
                <w:rFonts w:asciiTheme="minorHAnsi" w:hAnsiTheme="minorHAnsi"/>
                <w:lang w:eastAsia="en-US"/>
              </w:rPr>
            </w:pPr>
            <w:r w:rsidRPr="00731E4E">
              <w:rPr>
                <w:rFonts w:asciiTheme="minorHAnsi" w:hAnsiTheme="minorHAnsi"/>
                <w:lang w:eastAsia="en-US"/>
              </w:rPr>
              <w:t>Projekt X, podział kosztów budowy przedstawiono</w:t>
            </w:r>
            <w:r>
              <w:rPr>
                <w:rFonts w:asciiTheme="minorHAnsi" w:hAnsiTheme="minorHAnsi"/>
                <w:lang w:eastAsia="en-US"/>
              </w:rPr>
              <w:t xml:space="preserve"> w </w:t>
            </w:r>
            <w:r w:rsidRPr="00731E4E">
              <w:rPr>
                <w:rFonts w:asciiTheme="minorHAnsi" w:hAnsiTheme="minorHAnsi"/>
                <w:lang w:eastAsia="en-US"/>
              </w:rPr>
              <w:t>poniższej tabeli:</w:t>
            </w:r>
          </w:p>
          <w:tbl>
            <w:tblPr>
              <w:tblW w:w="6882" w:type="dxa"/>
              <w:tblBorders>
                <w:insideH w:val="single" w:sz="4" w:space="0" w:color="FFFFFF"/>
                <w:insideV w:val="single" w:sz="4" w:space="0" w:color="FFFFFF"/>
              </w:tblBorders>
              <w:tblLayout w:type="fixed"/>
              <w:tblLook w:val="04A0" w:firstRow="1" w:lastRow="0" w:firstColumn="1" w:lastColumn="0" w:noHBand="0" w:noVBand="1"/>
            </w:tblPr>
            <w:tblGrid>
              <w:gridCol w:w="1340"/>
              <w:gridCol w:w="862"/>
              <w:gridCol w:w="1064"/>
              <w:gridCol w:w="963"/>
              <w:gridCol w:w="1143"/>
              <w:gridCol w:w="1510"/>
            </w:tblGrid>
            <w:tr w:rsidR="00921721" w:rsidRPr="00731E4E" w14:paraId="096C7065" w14:textId="77777777" w:rsidTr="00880D09">
              <w:trPr>
                <w:trHeight w:val="661"/>
              </w:trPr>
              <w:tc>
                <w:tcPr>
                  <w:tcW w:w="1340" w:type="dxa"/>
                  <w:vMerge w:val="restart"/>
                  <w:tcBorders>
                    <w:top w:val="nil"/>
                    <w:left w:val="nil"/>
                    <w:bottom w:val="single" w:sz="4" w:space="0" w:color="FFFFFF"/>
                    <w:right w:val="single" w:sz="4" w:space="0" w:color="FFFFFF"/>
                  </w:tcBorders>
                  <w:shd w:val="clear" w:color="auto" w:fill="A6A6A6" w:themeFill="background1" w:themeFillShade="A6"/>
                  <w:vAlign w:val="center"/>
                  <w:hideMark/>
                </w:tcPr>
                <w:p w14:paraId="0C6252C6"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Elementy Projektu</w:t>
                  </w:r>
                </w:p>
              </w:tc>
              <w:tc>
                <w:tcPr>
                  <w:tcW w:w="862" w:type="dxa"/>
                  <w:tcBorders>
                    <w:top w:val="nil"/>
                    <w:left w:val="single" w:sz="4" w:space="0" w:color="FFFFFF"/>
                    <w:bottom w:val="single" w:sz="4" w:space="0" w:color="FFFFFF"/>
                    <w:right w:val="single" w:sz="4" w:space="0" w:color="FFFFFF"/>
                  </w:tcBorders>
                  <w:shd w:val="clear" w:color="auto" w:fill="A6A6A6" w:themeFill="background1" w:themeFillShade="A6"/>
                  <w:vAlign w:val="center"/>
                  <w:hideMark/>
                </w:tcPr>
                <w:p w14:paraId="330E2150"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Koszt</w:t>
                  </w:r>
                </w:p>
              </w:tc>
              <w:tc>
                <w:tcPr>
                  <w:tcW w:w="1064" w:type="dxa"/>
                  <w:tcBorders>
                    <w:top w:val="nil"/>
                    <w:left w:val="single" w:sz="4" w:space="0" w:color="FFFFFF"/>
                    <w:bottom w:val="single" w:sz="4" w:space="0" w:color="FFFFFF"/>
                    <w:right w:val="single" w:sz="4" w:space="0" w:color="FFFFFF"/>
                  </w:tcBorders>
                  <w:shd w:val="clear" w:color="auto" w:fill="A6A6A6" w:themeFill="background1" w:themeFillShade="A6"/>
                  <w:vAlign w:val="center"/>
                  <w:hideMark/>
                </w:tcPr>
                <w:p w14:paraId="4020DA6C"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Średnia żywotność aktywów</w:t>
                  </w:r>
                </w:p>
              </w:tc>
              <w:tc>
                <w:tcPr>
                  <w:tcW w:w="963" w:type="dxa"/>
                  <w:tcBorders>
                    <w:top w:val="nil"/>
                    <w:left w:val="single" w:sz="4" w:space="0" w:color="FFFFFF"/>
                    <w:bottom w:val="single" w:sz="4" w:space="0" w:color="FFFFFF"/>
                    <w:right w:val="single" w:sz="4" w:space="0" w:color="FFFFFF"/>
                  </w:tcBorders>
                  <w:shd w:val="clear" w:color="auto" w:fill="A6A6A6" w:themeFill="background1" w:themeFillShade="A6"/>
                  <w:vAlign w:val="center"/>
                  <w:hideMark/>
                </w:tcPr>
                <w:p w14:paraId="47682B57"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Wymagane wymiany</w:t>
                  </w:r>
                </w:p>
              </w:tc>
              <w:tc>
                <w:tcPr>
                  <w:tcW w:w="1143" w:type="dxa"/>
                  <w:tcBorders>
                    <w:top w:val="nil"/>
                    <w:left w:val="single" w:sz="4" w:space="0" w:color="FFFFFF"/>
                    <w:bottom w:val="single" w:sz="4" w:space="0" w:color="FFFFFF"/>
                    <w:right w:val="single" w:sz="4" w:space="0" w:color="FFFFFF"/>
                  </w:tcBorders>
                  <w:shd w:val="clear" w:color="auto" w:fill="A6A6A6" w:themeFill="background1" w:themeFillShade="A6"/>
                  <w:vAlign w:val="center"/>
                </w:tcPr>
                <w:p w14:paraId="025374BD"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Fizyczny okres życia</w:t>
                  </w:r>
                  <w:r>
                    <w:rPr>
                      <w:rFonts w:asciiTheme="minorHAnsi" w:hAnsiTheme="minorHAnsi" w:cs="Arial"/>
                      <w:b/>
                      <w:bCs/>
                      <w:color w:val="FFFFFF"/>
                      <w:sz w:val="18"/>
                      <w:szCs w:val="18"/>
                    </w:rPr>
                    <w:t xml:space="preserve"> z </w:t>
                  </w:r>
                  <w:r w:rsidRPr="00731E4E">
                    <w:rPr>
                      <w:rFonts w:asciiTheme="minorHAnsi" w:hAnsiTheme="minorHAnsi" w:cs="Arial"/>
                      <w:b/>
                      <w:bCs/>
                      <w:color w:val="FFFFFF"/>
                      <w:sz w:val="18"/>
                      <w:szCs w:val="18"/>
                    </w:rPr>
                    <w:t>uwzgl. wymian</w:t>
                  </w:r>
                </w:p>
              </w:tc>
              <w:tc>
                <w:tcPr>
                  <w:tcW w:w="1510" w:type="dxa"/>
                  <w:tcBorders>
                    <w:top w:val="nil"/>
                    <w:left w:val="single" w:sz="4" w:space="0" w:color="FFFFFF"/>
                    <w:bottom w:val="single" w:sz="4" w:space="0" w:color="FFFFFF"/>
                    <w:right w:val="nil"/>
                  </w:tcBorders>
                  <w:shd w:val="clear" w:color="auto" w:fill="A6A6A6" w:themeFill="background1" w:themeFillShade="A6"/>
                  <w:vAlign w:val="center"/>
                  <w:hideMark/>
                </w:tcPr>
                <w:p w14:paraId="56B218C0" w14:textId="77777777" w:rsidR="00921721" w:rsidRPr="00731E4E" w:rsidRDefault="00921721" w:rsidP="00880D09">
                  <w:pPr>
                    <w:snapToGrid w:val="0"/>
                    <w:jc w:val="center"/>
                    <w:rPr>
                      <w:rFonts w:asciiTheme="minorHAnsi" w:hAnsiTheme="minorHAnsi" w:cs="Arial"/>
                      <w:b/>
                      <w:bCs/>
                      <w:color w:val="FFFFFF"/>
                      <w:sz w:val="18"/>
                      <w:szCs w:val="18"/>
                    </w:rPr>
                  </w:pPr>
                  <w:r w:rsidRPr="00731E4E">
                    <w:rPr>
                      <w:rFonts w:asciiTheme="minorHAnsi" w:hAnsiTheme="minorHAnsi" w:cs="Arial"/>
                      <w:b/>
                      <w:bCs/>
                      <w:color w:val="FFFFFF"/>
                      <w:sz w:val="18"/>
                      <w:szCs w:val="18"/>
                    </w:rPr>
                    <w:t>Pozostały % życia</w:t>
                  </w:r>
                  <w:r>
                    <w:rPr>
                      <w:rFonts w:asciiTheme="minorHAnsi" w:hAnsiTheme="minorHAnsi" w:cs="Arial"/>
                      <w:b/>
                      <w:bCs/>
                      <w:color w:val="FFFFFF"/>
                      <w:sz w:val="18"/>
                      <w:szCs w:val="18"/>
                    </w:rPr>
                    <w:t xml:space="preserve"> </w:t>
                  </w:r>
                  <w:r w:rsidRPr="00731E4E">
                    <w:rPr>
                      <w:rFonts w:asciiTheme="minorHAnsi" w:hAnsiTheme="minorHAnsi" w:cs="Arial"/>
                      <w:b/>
                      <w:bCs/>
                      <w:color w:val="FFFFFF"/>
                      <w:sz w:val="18"/>
                      <w:szCs w:val="18"/>
                    </w:rPr>
                    <w:t>projektu</w:t>
                  </w:r>
                </w:p>
              </w:tc>
            </w:tr>
            <w:tr w:rsidR="00921721" w:rsidRPr="00731E4E" w14:paraId="1EC864A7" w14:textId="77777777" w:rsidTr="00880D09">
              <w:trPr>
                <w:trHeight w:val="225"/>
              </w:trPr>
              <w:tc>
                <w:tcPr>
                  <w:tcW w:w="1340" w:type="dxa"/>
                  <w:vMerge/>
                  <w:tcBorders>
                    <w:top w:val="nil"/>
                    <w:left w:val="nil"/>
                    <w:bottom w:val="single" w:sz="4" w:space="0" w:color="FFFFFF"/>
                    <w:right w:val="single" w:sz="4" w:space="0" w:color="FFFFFF"/>
                  </w:tcBorders>
                  <w:shd w:val="clear" w:color="auto" w:fill="A6A6A6" w:themeFill="background1" w:themeFillShade="A6"/>
                  <w:vAlign w:val="center"/>
                  <w:hideMark/>
                </w:tcPr>
                <w:p w14:paraId="202099BA" w14:textId="77777777" w:rsidR="00921721" w:rsidRPr="00731E4E" w:rsidRDefault="00921721" w:rsidP="00880D09">
                  <w:pPr>
                    <w:jc w:val="center"/>
                    <w:rPr>
                      <w:rFonts w:asciiTheme="minorHAnsi" w:hAnsiTheme="minorHAnsi" w:cs="Arial"/>
                      <w:b/>
                      <w:bCs/>
                      <w:color w:val="FFFFFF"/>
                      <w:sz w:val="18"/>
                      <w:szCs w:val="18"/>
                    </w:rPr>
                  </w:pPr>
                </w:p>
              </w:tc>
              <w:tc>
                <w:tcPr>
                  <w:tcW w:w="862"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1DB62F8B" w14:textId="77777777" w:rsidR="00921721" w:rsidRPr="00731E4E" w:rsidRDefault="00921721" w:rsidP="00880D09">
                  <w:pPr>
                    <w:ind w:right="170"/>
                    <w:jc w:val="center"/>
                    <w:rPr>
                      <w:rFonts w:asciiTheme="minorHAnsi" w:eastAsia="Arial Narrow" w:hAnsiTheme="minorHAnsi" w:cs="Arial Narrow"/>
                      <w:b/>
                      <w:color w:val="FFFFFF"/>
                      <w:spacing w:val="-1"/>
                      <w:w w:val="108"/>
                      <w:position w:val="-1"/>
                      <w:sz w:val="16"/>
                      <w:szCs w:val="16"/>
                    </w:rPr>
                  </w:pPr>
                  <w:r w:rsidRPr="00731E4E">
                    <w:rPr>
                      <w:rFonts w:asciiTheme="minorHAnsi" w:eastAsia="Arial Narrow" w:hAnsiTheme="minorHAnsi" w:cs="Arial Narrow"/>
                      <w:b/>
                      <w:color w:val="FFFFFF"/>
                      <w:spacing w:val="-1"/>
                      <w:w w:val="108"/>
                      <w:position w:val="-1"/>
                      <w:sz w:val="16"/>
                      <w:szCs w:val="16"/>
                    </w:rPr>
                    <w:t>w mPLN</w:t>
                  </w:r>
                </w:p>
              </w:tc>
              <w:tc>
                <w:tcPr>
                  <w:tcW w:w="1064"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714A9919" w14:textId="77777777" w:rsidR="00921721" w:rsidRPr="00731E4E" w:rsidRDefault="00921721" w:rsidP="00880D09">
                  <w:pPr>
                    <w:ind w:right="170"/>
                    <w:jc w:val="center"/>
                    <w:rPr>
                      <w:rFonts w:asciiTheme="minorHAnsi" w:eastAsia="Arial Narrow" w:hAnsiTheme="minorHAnsi" w:cs="Arial Narrow"/>
                      <w:b/>
                      <w:color w:val="FFFFFF"/>
                      <w:spacing w:val="-1"/>
                      <w:w w:val="108"/>
                      <w:position w:val="-1"/>
                      <w:sz w:val="16"/>
                      <w:szCs w:val="16"/>
                    </w:rPr>
                  </w:pPr>
                  <w:r w:rsidRPr="00731E4E">
                    <w:rPr>
                      <w:rFonts w:asciiTheme="minorHAnsi" w:eastAsia="Arial Narrow" w:hAnsiTheme="minorHAnsi" w:cs="Arial Narrow"/>
                      <w:b/>
                      <w:color w:val="FFFFFF"/>
                      <w:spacing w:val="-1"/>
                      <w:w w:val="108"/>
                      <w:position w:val="-1"/>
                      <w:sz w:val="16"/>
                      <w:szCs w:val="16"/>
                    </w:rPr>
                    <w:t>lata</w:t>
                  </w:r>
                </w:p>
              </w:tc>
              <w:tc>
                <w:tcPr>
                  <w:tcW w:w="963"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55E0375C" w14:textId="77777777" w:rsidR="00921721" w:rsidRPr="00731E4E" w:rsidRDefault="00921721" w:rsidP="00880D09">
                  <w:pPr>
                    <w:ind w:right="170"/>
                    <w:jc w:val="center"/>
                    <w:rPr>
                      <w:rFonts w:asciiTheme="minorHAnsi" w:eastAsia="Arial Narrow" w:hAnsiTheme="minorHAnsi" w:cs="Arial Narrow"/>
                      <w:b/>
                      <w:color w:val="FFFFFF"/>
                      <w:spacing w:val="-1"/>
                      <w:w w:val="108"/>
                      <w:position w:val="-1"/>
                      <w:sz w:val="16"/>
                      <w:szCs w:val="16"/>
                    </w:rPr>
                  </w:pPr>
                </w:p>
              </w:tc>
              <w:tc>
                <w:tcPr>
                  <w:tcW w:w="1143"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15B8B830" w14:textId="77777777" w:rsidR="00921721" w:rsidRPr="00731E4E" w:rsidRDefault="00921721" w:rsidP="00880D09">
                  <w:pPr>
                    <w:ind w:right="170"/>
                    <w:jc w:val="center"/>
                    <w:rPr>
                      <w:rFonts w:asciiTheme="minorHAnsi" w:eastAsia="Arial Narrow" w:hAnsiTheme="minorHAnsi" w:cs="Arial Narrow"/>
                      <w:b/>
                      <w:color w:val="FFFFFF"/>
                      <w:spacing w:val="-1"/>
                      <w:w w:val="108"/>
                      <w:position w:val="-1"/>
                      <w:sz w:val="16"/>
                      <w:szCs w:val="16"/>
                    </w:rPr>
                  </w:pPr>
                  <w:r w:rsidRPr="00731E4E">
                    <w:rPr>
                      <w:rFonts w:asciiTheme="minorHAnsi" w:eastAsia="Arial Narrow" w:hAnsiTheme="minorHAnsi" w:cs="Arial Narrow"/>
                      <w:b/>
                      <w:color w:val="FFFFFF"/>
                      <w:spacing w:val="-1"/>
                      <w:w w:val="108"/>
                      <w:position w:val="-1"/>
                      <w:sz w:val="16"/>
                      <w:szCs w:val="16"/>
                    </w:rPr>
                    <w:t>lata</w:t>
                  </w:r>
                </w:p>
              </w:tc>
              <w:tc>
                <w:tcPr>
                  <w:tcW w:w="1510"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6A7ED543" w14:textId="77777777" w:rsidR="00921721" w:rsidRPr="00731E4E" w:rsidRDefault="00921721" w:rsidP="00880D09">
                  <w:pPr>
                    <w:ind w:right="170"/>
                    <w:jc w:val="center"/>
                    <w:rPr>
                      <w:rFonts w:asciiTheme="minorHAnsi" w:eastAsia="Arial Narrow" w:hAnsiTheme="minorHAnsi" w:cs="Arial Narrow"/>
                      <w:b/>
                      <w:color w:val="FFFFFF"/>
                      <w:spacing w:val="-1"/>
                      <w:w w:val="108"/>
                      <w:position w:val="-1"/>
                      <w:sz w:val="16"/>
                      <w:szCs w:val="16"/>
                      <w:highlight w:val="lightGray"/>
                    </w:rPr>
                  </w:pPr>
                </w:p>
              </w:tc>
            </w:tr>
            <w:tr w:rsidR="00921721" w:rsidRPr="00731E4E" w14:paraId="36B529C6" w14:textId="77777777" w:rsidTr="00880D09">
              <w:trPr>
                <w:trHeight w:val="255"/>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08CA1112"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(A) Roboty ziemne</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4AFD8E12"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450</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7C401AA8"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40</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424BA23B"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A9B8D5E"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40</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C8B4A7A"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38%</w:t>
                  </w:r>
                </w:p>
              </w:tc>
            </w:tr>
            <w:tr w:rsidR="00921721" w:rsidRPr="00731E4E" w14:paraId="04640353"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5F1069B8"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(B) Obiekty (mosty)</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3B49B0D"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300</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2AD0815"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75</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31BD69D"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2E04F55E"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75</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F45D0B2"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67%</w:t>
                  </w:r>
                </w:p>
              </w:tc>
            </w:tr>
            <w:tr w:rsidR="00921721" w:rsidRPr="00731E4E" w14:paraId="72EAFFAC"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0BE045A5"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(C) Roboty drogowe</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5DC9126"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175</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9B94036"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20</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02E1368E"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4F69E62"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35</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426E34E"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50%</w:t>
                  </w:r>
                </w:p>
              </w:tc>
            </w:tr>
            <w:tr w:rsidR="00921721" w:rsidRPr="00731E4E" w14:paraId="39ED9657"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3C5F6F9B"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(D)  Odwodnienie</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4496C8B"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40</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7FD5E529"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20*</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4BC55FD6"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DFA7E04"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30</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DC14129"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25%</w:t>
                  </w:r>
                </w:p>
              </w:tc>
            </w:tr>
            <w:tr w:rsidR="00921721" w:rsidRPr="00731E4E" w14:paraId="4B14555D"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6AAD5647"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(E) Ściany oporowe</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6D3D75C"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20</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7F997AC"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60</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D3C849E"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5B860CA"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60</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D65F27B"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58%</w:t>
                  </w:r>
                </w:p>
              </w:tc>
            </w:tr>
            <w:tr w:rsidR="00921721" w:rsidRPr="00731E4E" w14:paraId="4EA8C5A4"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661BB437"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(F) Urządzenia BRD</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4FDD7D3E"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10</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7F1A9680"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15</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A0CAAAE"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2FCAA8F"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30</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227DF28"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33%</w:t>
                  </w:r>
                </w:p>
              </w:tc>
            </w:tr>
            <w:tr w:rsidR="00921721" w:rsidRPr="00731E4E" w14:paraId="1ADCD5C7"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3BB302B1"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(G) Urządzenia obce</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D7B102C"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100</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52859F3"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080FA3AF"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B073356"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E493E03"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r>
            <w:tr w:rsidR="00921721" w:rsidRPr="00731E4E" w14:paraId="6C789814"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25020138"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(H) Ochrona środowiska</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8F59796"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50</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0C531F4"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25</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081A3D07"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71A3F1C8"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40</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97F875C"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60%</w:t>
                  </w:r>
                </w:p>
              </w:tc>
            </w:tr>
            <w:tr w:rsidR="00921721" w:rsidRPr="00731E4E" w14:paraId="27625AE2"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696F384A"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(I) System poboru opłat</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ACF66FE"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15</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1AEFEA2"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15</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216B571C"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2DF980E0"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30</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7D1D196"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33%</w:t>
                  </w:r>
                </w:p>
              </w:tc>
            </w:tr>
            <w:tr w:rsidR="00921721" w:rsidRPr="00731E4E" w14:paraId="1F14093A"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03455F74"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(J) Inne roboty</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76BA655"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20</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7D8BF69"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7133CFEC"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BBC7416"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7BE6ACD"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w:t>
                  </w:r>
                </w:p>
              </w:tc>
            </w:tr>
            <w:tr w:rsidR="00921721" w:rsidRPr="00731E4E" w14:paraId="2BD04F18" w14:textId="77777777" w:rsidTr="00880D09">
              <w:trPr>
                <w:trHeight w:val="269"/>
              </w:trPr>
              <w:tc>
                <w:tcPr>
                  <w:tcW w:w="1340"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5EB2A5DF" w14:textId="77777777" w:rsidR="00921721" w:rsidRPr="00821B08" w:rsidRDefault="00921721" w:rsidP="00880D09">
                  <w:pPr>
                    <w:ind w:right="28"/>
                    <w:rPr>
                      <w:rFonts w:asciiTheme="minorHAnsi" w:hAnsiTheme="minorHAnsi"/>
                      <w:color w:val="4F81BD" w:themeColor="accent1"/>
                      <w:sz w:val="18"/>
                    </w:rPr>
                  </w:pPr>
                  <w:r w:rsidRPr="00821B08">
                    <w:rPr>
                      <w:rFonts w:asciiTheme="minorHAnsi" w:hAnsiTheme="minorHAnsi"/>
                      <w:color w:val="4F81BD" w:themeColor="accent1"/>
                      <w:sz w:val="18"/>
                    </w:rPr>
                    <w:t>(K) Nabywanie gruntów</w:t>
                  </w:r>
                </w:p>
              </w:tc>
              <w:tc>
                <w:tcPr>
                  <w:tcW w:w="86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069257DF"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80</w:t>
                  </w:r>
                </w:p>
              </w:tc>
              <w:tc>
                <w:tcPr>
                  <w:tcW w:w="1064"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741C327"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Nieokreślona</w:t>
                  </w:r>
                </w:p>
              </w:tc>
              <w:tc>
                <w:tcPr>
                  <w:tcW w:w="96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70E89165" w14:textId="77777777" w:rsidR="00921721" w:rsidRPr="00821B08" w:rsidRDefault="00921721" w:rsidP="00880D09">
                  <w:pPr>
                    <w:ind w:right="28"/>
                    <w:jc w:val="center"/>
                    <w:rPr>
                      <w:rFonts w:asciiTheme="minorHAnsi" w:hAnsiTheme="minorHAnsi"/>
                      <w:color w:val="4F81BD" w:themeColor="accent1"/>
                      <w:sz w:val="18"/>
                    </w:rPr>
                  </w:pPr>
                </w:p>
              </w:tc>
              <w:tc>
                <w:tcPr>
                  <w:tcW w:w="1143"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251ED4EA"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Nieokreślony</w:t>
                  </w:r>
                </w:p>
              </w:tc>
              <w:tc>
                <w:tcPr>
                  <w:tcW w:w="15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ADAED5A" w14:textId="77777777" w:rsidR="00921721" w:rsidRPr="00821B08" w:rsidRDefault="00921721" w:rsidP="00880D09">
                  <w:pPr>
                    <w:ind w:right="28"/>
                    <w:jc w:val="center"/>
                    <w:rPr>
                      <w:rFonts w:asciiTheme="minorHAnsi" w:hAnsiTheme="minorHAnsi"/>
                      <w:color w:val="4F81BD" w:themeColor="accent1"/>
                      <w:sz w:val="18"/>
                    </w:rPr>
                  </w:pPr>
                  <w:r w:rsidRPr="00821B08">
                    <w:rPr>
                      <w:rFonts w:asciiTheme="minorHAnsi" w:hAnsiTheme="minorHAnsi"/>
                      <w:color w:val="4F81BD" w:themeColor="accent1"/>
                      <w:sz w:val="18"/>
                    </w:rPr>
                    <w:t>100%</w:t>
                  </w:r>
                </w:p>
              </w:tc>
            </w:tr>
            <w:tr w:rsidR="00921721" w:rsidRPr="00731E4E" w14:paraId="07BD6F26" w14:textId="77777777" w:rsidTr="00880D09">
              <w:trPr>
                <w:trHeight w:val="269"/>
              </w:trPr>
              <w:tc>
                <w:tcPr>
                  <w:tcW w:w="1340" w:type="dxa"/>
                  <w:tcBorders>
                    <w:top w:val="single" w:sz="4" w:space="0" w:color="FFFFFF"/>
                    <w:left w:val="nil"/>
                    <w:bottom w:val="nil"/>
                    <w:right w:val="single" w:sz="4" w:space="0" w:color="FFFFFF"/>
                  </w:tcBorders>
                  <w:shd w:val="clear" w:color="auto" w:fill="DBE5F1" w:themeFill="accent1" w:themeFillTint="33"/>
                  <w:vAlign w:val="center"/>
                  <w:hideMark/>
                </w:tcPr>
                <w:p w14:paraId="71770470" w14:textId="77777777" w:rsidR="00921721" w:rsidRPr="00821B08" w:rsidRDefault="00921721" w:rsidP="00880D09">
                  <w:pPr>
                    <w:ind w:right="28"/>
                    <w:rPr>
                      <w:rFonts w:asciiTheme="minorHAnsi" w:hAnsiTheme="minorHAnsi"/>
                      <w:i/>
                      <w:color w:val="4F81BD" w:themeColor="accent1"/>
                      <w:sz w:val="18"/>
                    </w:rPr>
                  </w:pPr>
                  <w:r w:rsidRPr="00821B08">
                    <w:rPr>
                      <w:rFonts w:asciiTheme="minorHAnsi" w:hAnsiTheme="minorHAnsi"/>
                      <w:color w:val="4F81BD" w:themeColor="accent1"/>
                      <w:sz w:val="18"/>
                    </w:rPr>
                    <w:t>Koszty ogółem</w:t>
                  </w:r>
                </w:p>
              </w:tc>
              <w:tc>
                <w:tcPr>
                  <w:tcW w:w="862" w:type="dxa"/>
                  <w:tcBorders>
                    <w:top w:val="single" w:sz="4" w:space="0" w:color="FFFFFF"/>
                    <w:left w:val="single" w:sz="4" w:space="0" w:color="FFFFFF"/>
                    <w:bottom w:val="nil"/>
                    <w:right w:val="single" w:sz="4" w:space="0" w:color="FFFFFF"/>
                  </w:tcBorders>
                  <w:shd w:val="clear" w:color="auto" w:fill="DBE5F1" w:themeFill="accent1" w:themeFillTint="33"/>
                  <w:vAlign w:val="center"/>
                  <w:hideMark/>
                </w:tcPr>
                <w:p w14:paraId="7DF229C8" w14:textId="77777777" w:rsidR="00921721" w:rsidRPr="00821B08" w:rsidRDefault="00921721" w:rsidP="00880D09">
                  <w:pPr>
                    <w:ind w:right="28"/>
                    <w:jc w:val="center"/>
                    <w:rPr>
                      <w:rFonts w:asciiTheme="minorHAnsi" w:hAnsiTheme="minorHAnsi"/>
                      <w:i/>
                      <w:color w:val="4F81BD" w:themeColor="accent1"/>
                      <w:sz w:val="18"/>
                    </w:rPr>
                  </w:pPr>
                  <w:r w:rsidRPr="00821B08">
                    <w:rPr>
                      <w:rFonts w:asciiTheme="minorHAnsi" w:hAnsiTheme="minorHAnsi"/>
                      <w:i/>
                      <w:color w:val="4F81BD" w:themeColor="accent1"/>
                      <w:sz w:val="18"/>
                    </w:rPr>
                    <w:t>1 260</w:t>
                  </w:r>
                </w:p>
              </w:tc>
              <w:tc>
                <w:tcPr>
                  <w:tcW w:w="1064" w:type="dxa"/>
                  <w:tcBorders>
                    <w:top w:val="single" w:sz="4" w:space="0" w:color="FFFFFF"/>
                    <w:left w:val="single" w:sz="4" w:space="0" w:color="FFFFFF"/>
                    <w:bottom w:val="nil"/>
                    <w:right w:val="single" w:sz="4" w:space="0" w:color="FFFFFF"/>
                  </w:tcBorders>
                  <w:shd w:val="clear" w:color="auto" w:fill="DBE5F1" w:themeFill="accent1" w:themeFillTint="33"/>
                  <w:vAlign w:val="center"/>
                </w:tcPr>
                <w:p w14:paraId="4E39C97A" w14:textId="77777777" w:rsidR="00921721" w:rsidRPr="00821B08" w:rsidRDefault="00921721" w:rsidP="00880D09">
                  <w:pPr>
                    <w:ind w:right="28"/>
                    <w:jc w:val="center"/>
                    <w:rPr>
                      <w:rFonts w:asciiTheme="minorHAnsi" w:hAnsiTheme="minorHAnsi"/>
                      <w:color w:val="4F81BD" w:themeColor="accent1"/>
                      <w:sz w:val="18"/>
                    </w:rPr>
                  </w:pPr>
                </w:p>
              </w:tc>
              <w:tc>
                <w:tcPr>
                  <w:tcW w:w="963" w:type="dxa"/>
                  <w:tcBorders>
                    <w:top w:val="single" w:sz="4" w:space="0" w:color="FFFFFF"/>
                    <w:left w:val="single" w:sz="4" w:space="0" w:color="FFFFFF"/>
                    <w:bottom w:val="nil"/>
                    <w:right w:val="single" w:sz="4" w:space="0" w:color="FFFFFF"/>
                  </w:tcBorders>
                  <w:shd w:val="clear" w:color="auto" w:fill="DBE5F1" w:themeFill="accent1" w:themeFillTint="33"/>
                  <w:vAlign w:val="center"/>
                </w:tcPr>
                <w:p w14:paraId="19F335D9" w14:textId="77777777" w:rsidR="00921721" w:rsidRPr="00821B08" w:rsidRDefault="00921721" w:rsidP="00880D09">
                  <w:pPr>
                    <w:ind w:right="28"/>
                    <w:jc w:val="center"/>
                    <w:rPr>
                      <w:rFonts w:asciiTheme="minorHAnsi" w:hAnsiTheme="minorHAnsi"/>
                      <w:color w:val="4F81BD" w:themeColor="accent1"/>
                      <w:sz w:val="18"/>
                    </w:rPr>
                  </w:pPr>
                </w:p>
              </w:tc>
              <w:tc>
                <w:tcPr>
                  <w:tcW w:w="1143" w:type="dxa"/>
                  <w:tcBorders>
                    <w:top w:val="single" w:sz="4" w:space="0" w:color="FFFFFF"/>
                    <w:left w:val="single" w:sz="4" w:space="0" w:color="FFFFFF"/>
                    <w:bottom w:val="nil"/>
                    <w:right w:val="single" w:sz="4" w:space="0" w:color="FFFFFF"/>
                  </w:tcBorders>
                  <w:shd w:val="clear" w:color="auto" w:fill="DBE5F1" w:themeFill="accent1" w:themeFillTint="33"/>
                  <w:vAlign w:val="center"/>
                </w:tcPr>
                <w:p w14:paraId="22658838" w14:textId="77777777" w:rsidR="00921721" w:rsidRPr="00821B08" w:rsidRDefault="00921721" w:rsidP="00880D09">
                  <w:pPr>
                    <w:ind w:right="28"/>
                    <w:jc w:val="center"/>
                    <w:rPr>
                      <w:rFonts w:asciiTheme="minorHAnsi" w:hAnsiTheme="minorHAnsi"/>
                      <w:color w:val="4F81BD" w:themeColor="accent1"/>
                      <w:sz w:val="18"/>
                    </w:rPr>
                  </w:pPr>
                </w:p>
              </w:tc>
              <w:tc>
                <w:tcPr>
                  <w:tcW w:w="1510" w:type="dxa"/>
                  <w:tcBorders>
                    <w:top w:val="single" w:sz="4" w:space="0" w:color="FFFFFF"/>
                    <w:left w:val="single" w:sz="4" w:space="0" w:color="FFFFFF"/>
                    <w:bottom w:val="nil"/>
                    <w:right w:val="nil"/>
                  </w:tcBorders>
                  <w:shd w:val="clear" w:color="auto" w:fill="DBE5F1" w:themeFill="accent1" w:themeFillTint="33"/>
                  <w:vAlign w:val="center"/>
                </w:tcPr>
                <w:p w14:paraId="2C27A3A3" w14:textId="77777777" w:rsidR="00921721" w:rsidRPr="00821B08" w:rsidRDefault="00921721" w:rsidP="00880D09">
                  <w:pPr>
                    <w:ind w:right="28"/>
                    <w:jc w:val="center"/>
                    <w:rPr>
                      <w:rFonts w:asciiTheme="minorHAnsi" w:hAnsiTheme="minorHAnsi"/>
                      <w:color w:val="4F81BD" w:themeColor="accent1"/>
                      <w:sz w:val="18"/>
                    </w:rPr>
                  </w:pPr>
                </w:p>
              </w:tc>
            </w:tr>
          </w:tbl>
          <w:p w14:paraId="095DAA7F" w14:textId="77777777" w:rsidR="00921721" w:rsidRPr="00EB6237" w:rsidRDefault="00921721" w:rsidP="00880D09">
            <w:pPr>
              <w:ind w:right="170"/>
              <w:jc w:val="both"/>
              <w:rPr>
                <w:rFonts w:asciiTheme="minorHAnsi" w:hAnsiTheme="minorHAnsi" w:cs="Arial"/>
                <w:sz w:val="17"/>
                <w:szCs w:val="17"/>
              </w:rPr>
            </w:pPr>
            <w:r w:rsidRPr="00EB6237">
              <w:rPr>
                <w:rFonts w:asciiTheme="minorHAnsi" w:hAnsiTheme="minorHAnsi" w:cs="Arial"/>
                <w:sz w:val="17"/>
                <w:szCs w:val="17"/>
              </w:rPr>
              <w:t xml:space="preserve">* </w:t>
            </w:r>
            <w:r w:rsidRPr="00EB6237">
              <w:rPr>
                <w:rStyle w:val="hps"/>
                <w:rFonts w:asciiTheme="minorHAnsi" w:hAnsiTheme="minorHAnsi"/>
                <w:color w:val="222222"/>
                <w:sz w:val="17"/>
                <w:szCs w:val="17"/>
              </w:rPr>
              <w:t xml:space="preserve">Wartości </w:t>
            </w:r>
            <w:r>
              <w:rPr>
                <w:rStyle w:val="hps"/>
                <w:rFonts w:asciiTheme="minorHAnsi" w:hAnsiTheme="minorHAnsi"/>
                <w:color w:val="222222"/>
                <w:sz w:val="17"/>
                <w:szCs w:val="17"/>
              </w:rPr>
              <w:t>średnich okresów</w:t>
            </w:r>
            <w:r w:rsidRPr="00387FFD">
              <w:rPr>
                <w:rStyle w:val="hps"/>
                <w:rFonts w:asciiTheme="minorHAnsi" w:hAnsiTheme="minorHAnsi"/>
                <w:color w:val="222222"/>
                <w:sz w:val="17"/>
                <w:szCs w:val="17"/>
              </w:rPr>
              <w:t xml:space="preserve"> trwałości aktywów infrastruktury drogowej </w:t>
            </w:r>
            <w:r w:rsidRPr="00EB6237">
              <w:rPr>
                <w:rStyle w:val="hps"/>
                <w:rFonts w:asciiTheme="minorHAnsi" w:hAnsiTheme="minorHAnsi"/>
                <w:color w:val="222222"/>
                <w:sz w:val="17"/>
                <w:szCs w:val="17"/>
              </w:rPr>
              <w:t>nie</w:t>
            </w:r>
            <w:r w:rsidRPr="00EB6237">
              <w:rPr>
                <w:rFonts w:asciiTheme="minorHAnsi" w:hAnsiTheme="minorHAnsi"/>
                <w:color w:val="222222"/>
                <w:sz w:val="17"/>
                <w:szCs w:val="17"/>
              </w:rPr>
              <w:t>przedstawione</w:t>
            </w:r>
            <w:r>
              <w:rPr>
                <w:rFonts w:asciiTheme="minorHAnsi" w:hAnsiTheme="minorHAnsi"/>
                <w:color w:val="222222"/>
                <w:sz w:val="17"/>
                <w:szCs w:val="17"/>
              </w:rPr>
              <w:t xml:space="preserve"> w  Tabeli 12 </w:t>
            </w:r>
            <w:r>
              <w:rPr>
                <w:rStyle w:val="hps"/>
                <w:rFonts w:asciiTheme="minorHAnsi" w:hAnsiTheme="minorHAnsi"/>
                <w:color w:val="222222"/>
                <w:sz w:val="17"/>
                <w:szCs w:val="17"/>
              </w:rPr>
              <w:t xml:space="preserve">w rozdziale 1.11 niniejszej Niebieskiej Księgi </w:t>
            </w:r>
            <w:r w:rsidRPr="00EB6237">
              <w:rPr>
                <w:rStyle w:val="hps"/>
                <w:rFonts w:asciiTheme="minorHAnsi" w:hAnsiTheme="minorHAnsi"/>
                <w:color w:val="222222"/>
                <w:sz w:val="17"/>
                <w:szCs w:val="17"/>
              </w:rPr>
              <w:t>należy przyjmować</w:t>
            </w:r>
            <w:r w:rsidRPr="00EB6237">
              <w:rPr>
                <w:rFonts w:asciiTheme="minorHAnsi" w:hAnsiTheme="minorHAnsi"/>
                <w:color w:val="222222"/>
                <w:sz w:val="17"/>
                <w:szCs w:val="17"/>
              </w:rPr>
              <w:t xml:space="preserve"> </w:t>
            </w:r>
            <w:r w:rsidRPr="00EB6237">
              <w:rPr>
                <w:rStyle w:val="hps"/>
                <w:rFonts w:asciiTheme="minorHAnsi" w:hAnsiTheme="minorHAnsi"/>
                <w:color w:val="222222"/>
                <w:sz w:val="17"/>
                <w:szCs w:val="17"/>
              </w:rPr>
              <w:t>na podstawie</w:t>
            </w:r>
            <w:r w:rsidRPr="00EB6237">
              <w:rPr>
                <w:rFonts w:asciiTheme="minorHAnsi" w:hAnsiTheme="minorHAnsi"/>
                <w:color w:val="222222"/>
                <w:sz w:val="17"/>
                <w:szCs w:val="17"/>
              </w:rPr>
              <w:t xml:space="preserve"> </w:t>
            </w:r>
            <w:r w:rsidRPr="00EB6237">
              <w:rPr>
                <w:rStyle w:val="hps"/>
                <w:rFonts w:asciiTheme="minorHAnsi" w:hAnsiTheme="minorHAnsi"/>
                <w:color w:val="222222"/>
                <w:sz w:val="17"/>
                <w:szCs w:val="17"/>
              </w:rPr>
              <w:t>wiedzy</w:t>
            </w:r>
            <w:r w:rsidRPr="00EB6237">
              <w:rPr>
                <w:rFonts w:asciiTheme="minorHAnsi" w:hAnsiTheme="minorHAnsi"/>
                <w:color w:val="222222"/>
                <w:sz w:val="17"/>
                <w:szCs w:val="17"/>
              </w:rPr>
              <w:t xml:space="preserve"> </w:t>
            </w:r>
            <w:r w:rsidRPr="00EB6237">
              <w:rPr>
                <w:rStyle w:val="hps"/>
                <w:rFonts w:asciiTheme="minorHAnsi" w:hAnsiTheme="minorHAnsi"/>
                <w:color w:val="222222"/>
                <w:sz w:val="17"/>
                <w:szCs w:val="17"/>
              </w:rPr>
              <w:t>sektorowej</w:t>
            </w:r>
            <w:r>
              <w:rPr>
                <w:rFonts w:asciiTheme="minorHAnsi" w:hAnsiTheme="minorHAnsi"/>
                <w:color w:val="222222"/>
                <w:sz w:val="17"/>
                <w:szCs w:val="17"/>
              </w:rPr>
              <w:t xml:space="preserve"> w </w:t>
            </w:r>
            <w:r w:rsidRPr="00EB6237">
              <w:rPr>
                <w:rFonts w:asciiTheme="minorHAnsi" w:hAnsiTheme="minorHAnsi"/>
                <w:color w:val="222222"/>
                <w:sz w:val="17"/>
                <w:szCs w:val="17"/>
              </w:rPr>
              <w:t>zakresie okresowych działań utrzymaniowych</w:t>
            </w:r>
            <w:r w:rsidRPr="00EB6237">
              <w:rPr>
                <w:rFonts w:asciiTheme="minorHAnsi" w:hAnsiTheme="minorHAnsi" w:cs="Arial"/>
                <w:sz w:val="17"/>
                <w:szCs w:val="17"/>
              </w:rPr>
              <w:t>.</w:t>
            </w:r>
          </w:p>
          <w:p w14:paraId="69628B9F" w14:textId="77777777" w:rsidR="00921721" w:rsidRDefault="00921721" w:rsidP="00880D09">
            <w:pPr>
              <w:ind w:right="170"/>
              <w:jc w:val="both"/>
              <w:rPr>
                <w:rFonts w:asciiTheme="minorHAnsi" w:hAnsiTheme="minorHAnsi" w:cs="Arial"/>
                <w:sz w:val="17"/>
                <w:szCs w:val="17"/>
              </w:rPr>
            </w:pPr>
            <w:r w:rsidRPr="00EB6237">
              <w:rPr>
                <w:rFonts w:asciiTheme="minorHAnsi" w:hAnsiTheme="minorHAnsi" w:cs="Arial"/>
                <w:sz w:val="17"/>
                <w:szCs w:val="17"/>
              </w:rPr>
              <w:t>** Dla aktywów których tabela nie uwzględnia, żywotność po 25 latach należy przyjąć jako wartość zerową.</w:t>
            </w:r>
          </w:p>
          <w:p w14:paraId="04934987" w14:textId="77777777" w:rsidR="00921721" w:rsidRDefault="00921721" w:rsidP="00880D09">
            <w:pPr>
              <w:ind w:right="170"/>
              <w:jc w:val="both"/>
              <w:rPr>
                <w:rFonts w:asciiTheme="minorHAnsi" w:hAnsiTheme="minorHAnsi" w:cs="Arial"/>
                <w:sz w:val="17"/>
                <w:szCs w:val="17"/>
              </w:rPr>
            </w:pPr>
          </w:p>
          <w:p w14:paraId="21786FB3" w14:textId="77777777" w:rsidR="00921721" w:rsidRDefault="00921721" w:rsidP="00880D09">
            <w:pPr>
              <w:ind w:right="170"/>
              <w:jc w:val="both"/>
              <w:rPr>
                <w:rFonts w:asciiTheme="minorHAnsi" w:hAnsiTheme="minorHAnsi" w:cs="Arial"/>
                <w:sz w:val="17"/>
                <w:szCs w:val="17"/>
              </w:rPr>
            </w:pPr>
          </w:p>
          <w:p w14:paraId="2461ED96" w14:textId="77777777" w:rsidR="00921721" w:rsidRDefault="00921721" w:rsidP="00880D09">
            <w:pPr>
              <w:ind w:right="170"/>
              <w:jc w:val="both"/>
              <w:rPr>
                <w:rFonts w:asciiTheme="minorHAnsi" w:hAnsiTheme="minorHAnsi" w:cs="Arial"/>
                <w:sz w:val="17"/>
                <w:szCs w:val="17"/>
              </w:rPr>
            </w:pPr>
          </w:p>
          <w:p w14:paraId="5BE458E0" w14:textId="77777777" w:rsidR="00921721" w:rsidRDefault="00921721" w:rsidP="00880D09">
            <w:pPr>
              <w:ind w:right="170"/>
              <w:jc w:val="both"/>
              <w:rPr>
                <w:rFonts w:asciiTheme="minorHAnsi" w:hAnsiTheme="minorHAnsi" w:cs="Arial"/>
                <w:sz w:val="17"/>
                <w:szCs w:val="17"/>
              </w:rPr>
            </w:pPr>
          </w:p>
          <w:p w14:paraId="62326ADB" w14:textId="77777777" w:rsidR="00921721" w:rsidRDefault="00921721" w:rsidP="00880D09">
            <w:pPr>
              <w:ind w:right="170"/>
              <w:jc w:val="both"/>
              <w:rPr>
                <w:rFonts w:asciiTheme="minorHAnsi" w:hAnsiTheme="minorHAnsi" w:cs="Arial"/>
                <w:sz w:val="17"/>
                <w:szCs w:val="17"/>
              </w:rPr>
            </w:pPr>
          </w:p>
          <w:tbl>
            <w:tblPr>
              <w:tblW w:w="6295" w:type="dxa"/>
              <w:jc w:val="center"/>
              <w:tblLayout w:type="fixed"/>
              <w:tblLook w:val="04A0" w:firstRow="1" w:lastRow="0" w:firstColumn="1" w:lastColumn="0" w:noHBand="0" w:noVBand="1"/>
            </w:tblPr>
            <w:tblGrid>
              <w:gridCol w:w="327"/>
              <w:gridCol w:w="2678"/>
              <w:gridCol w:w="3290"/>
            </w:tblGrid>
            <w:tr w:rsidR="00921721" w:rsidRPr="00731E4E" w14:paraId="4969185B" w14:textId="77777777" w:rsidTr="00880D09">
              <w:trPr>
                <w:trHeight w:hRule="exact" w:val="293"/>
                <w:jc w:val="center"/>
              </w:trPr>
              <w:tc>
                <w:tcPr>
                  <w:tcW w:w="3005"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33A3976" w14:textId="77777777" w:rsidR="00921721" w:rsidRPr="00731E4E" w:rsidRDefault="00921721" w:rsidP="00880D09">
                  <w:pPr>
                    <w:jc w:val="center"/>
                    <w:rPr>
                      <w:rFonts w:asciiTheme="minorHAnsi" w:eastAsia="Arial Narrow" w:hAnsiTheme="minorHAnsi" w:cs="Arial Narrow"/>
                      <w:b/>
                      <w:color w:val="FFFFFF"/>
                      <w:spacing w:val="-1"/>
                      <w:w w:val="108"/>
                      <w:position w:val="-1"/>
                      <w:sz w:val="18"/>
                      <w:szCs w:val="18"/>
                    </w:rPr>
                  </w:pPr>
                  <w:r w:rsidRPr="00731E4E">
                    <w:rPr>
                      <w:rFonts w:asciiTheme="minorHAnsi" w:eastAsia="Arial Narrow" w:hAnsiTheme="minorHAnsi" w:cs="Arial Narrow"/>
                      <w:b/>
                      <w:color w:val="FFFFFF"/>
                      <w:spacing w:val="-1"/>
                      <w:w w:val="108"/>
                      <w:position w:val="-1"/>
                      <w:sz w:val="18"/>
                      <w:szCs w:val="18"/>
                    </w:rPr>
                    <w:t>Kroki</w:t>
                  </w:r>
                </w:p>
              </w:tc>
              <w:tc>
                <w:tcPr>
                  <w:tcW w:w="329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BBB3EE8" w14:textId="77777777" w:rsidR="00921721" w:rsidRPr="00731E4E" w:rsidRDefault="00921721" w:rsidP="00880D09">
                  <w:pPr>
                    <w:jc w:val="center"/>
                    <w:rPr>
                      <w:rFonts w:asciiTheme="minorHAnsi" w:eastAsia="Arial Narrow" w:hAnsiTheme="minorHAnsi" w:cs="Arial Narrow"/>
                      <w:b/>
                      <w:color w:val="FFFFFF"/>
                      <w:spacing w:val="-1"/>
                      <w:w w:val="108"/>
                      <w:position w:val="-1"/>
                      <w:sz w:val="18"/>
                      <w:szCs w:val="18"/>
                    </w:rPr>
                  </w:pPr>
                  <w:r w:rsidRPr="00731E4E">
                    <w:rPr>
                      <w:rFonts w:asciiTheme="minorHAnsi" w:eastAsia="Arial Narrow" w:hAnsiTheme="minorHAnsi" w:cs="Arial Narrow"/>
                      <w:b/>
                      <w:color w:val="FFFFFF"/>
                      <w:spacing w:val="-1"/>
                      <w:w w:val="108"/>
                      <w:position w:val="-1"/>
                      <w:sz w:val="18"/>
                      <w:szCs w:val="18"/>
                    </w:rPr>
                    <w:t>Przykład</w:t>
                  </w:r>
                </w:p>
              </w:tc>
            </w:tr>
            <w:tr w:rsidR="00921721" w:rsidRPr="00731E4E" w14:paraId="40D1E706" w14:textId="77777777" w:rsidTr="00880D09">
              <w:trPr>
                <w:trHeight w:val="219"/>
                <w:jc w:val="center"/>
              </w:trPr>
              <w:tc>
                <w:tcPr>
                  <w:tcW w:w="3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5FD83F3C" w14:textId="77777777" w:rsidR="00921721" w:rsidRPr="008526A3" w:rsidRDefault="00921721" w:rsidP="00880D09">
                  <w:pPr>
                    <w:ind w:right="28"/>
                    <w:rPr>
                      <w:rFonts w:asciiTheme="minorHAnsi" w:hAnsiTheme="minorHAnsi"/>
                      <w:color w:val="4F81BD" w:themeColor="accent1"/>
                      <w:sz w:val="18"/>
                    </w:rPr>
                  </w:pPr>
                  <w:r w:rsidRPr="008526A3">
                    <w:rPr>
                      <w:rFonts w:asciiTheme="minorHAnsi" w:hAnsiTheme="minorHAnsi"/>
                      <w:color w:val="4F81BD" w:themeColor="accent1"/>
                      <w:sz w:val="18"/>
                    </w:rPr>
                    <w:t>1</w:t>
                  </w:r>
                </w:p>
              </w:tc>
              <w:tc>
                <w:tcPr>
                  <w:tcW w:w="2678" w:type="dxa"/>
                  <w:tcBorders>
                    <w:top w:val="single" w:sz="4" w:space="0" w:color="FFFFFF"/>
                    <w:left w:val="single" w:sz="4" w:space="0" w:color="FFFFFF"/>
                    <w:bottom w:val="single" w:sz="4" w:space="0" w:color="FFFFFF"/>
                    <w:right w:val="nil"/>
                  </w:tcBorders>
                  <w:shd w:val="clear" w:color="auto" w:fill="DBE5F1" w:themeFill="accent1" w:themeFillTint="33"/>
                  <w:hideMark/>
                </w:tcPr>
                <w:p w14:paraId="05FEDB62" w14:textId="77777777" w:rsidR="00921721" w:rsidRPr="008526A3" w:rsidRDefault="00921721" w:rsidP="00880D09">
                  <w:pPr>
                    <w:ind w:right="28"/>
                    <w:rPr>
                      <w:rFonts w:asciiTheme="minorHAnsi" w:hAnsiTheme="minorHAnsi"/>
                      <w:color w:val="4F81BD" w:themeColor="accent1"/>
                      <w:sz w:val="18"/>
                    </w:rPr>
                  </w:pPr>
                  <w:r w:rsidRPr="008526A3">
                    <w:rPr>
                      <w:rFonts w:asciiTheme="minorHAnsi" w:hAnsiTheme="minorHAnsi"/>
                      <w:color w:val="4F81BD" w:themeColor="accent1"/>
                      <w:sz w:val="18"/>
                    </w:rPr>
                    <w:t>Określenie wartości pozostałego życia aktywów projektu na koniec okresu analizy</w:t>
                  </w:r>
                  <w:r>
                    <w:rPr>
                      <w:rFonts w:asciiTheme="minorHAnsi" w:hAnsiTheme="minorHAnsi"/>
                      <w:color w:val="4F81BD" w:themeColor="accent1"/>
                      <w:sz w:val="18"/>
                    </w:rPr>
                    <w:t xml:space="preserve"> z </w:t>
                  </w:r>
                  <w:r w:rsidRPr="008526A3">
                    <w:rPr>
                      <w:rFonts w:asciiTheme="minorHAnsi" w:hAnsiTheme="minorHAnsi"/>
                      <w:color w:val="4F81BD" w:themeColor="accent1"/>
                      <w:sz w:val="18"/>
                    </w:rPr>
                    <w:t>uwzględnieniem wymian oraz okresów trwałości, zgodnie</w:t>
                  </w:r>
                  <w:r>
                    <w:rPr>
                      <w:rFonts w:asciiTheme="minorHAnsi" w:hAnsiTheme="minorHAnsi"/>
                      <w:color w:val="4F81BD" w:themeColor="accent1"/>
                      <w:sz w:val="18"/>
                    </w:rPr>
                    <w:t xml:space="preserve"> z </w:t>
                  </w:r>
                  <w:r w:rsidRPr="008526A3">
                    <w:rPr>
                      <w:rFonts w:asciiTheme="minorHAnsi" w:hAnsiTheme="minorHAnsi"/>
                      <w:color w:val="4F81BD" w:themeColor="accent1"/>
                      <w:sz w:val="18"/>
                    </w:rPr>
                    <w:t>tabelą 12</w:t>
                  </w:r>
                </w:p>
                <w:p w14:paraId="1D32F860" w14:textId="77777777" w:rsidR="00921721" w:rsidRPr="008526A3" w:rsidRDefault="00921721" w:rsidP="00880D09">
                  <w:pPr>
                    <w:ind w:right="28"/>
                    <w:rPr>
                      <w:rFonts w:asciiTheme="minorHAnsi" w:hAnsiTheme="minorHAnsi"/>
                      <w:color w:val="4F81BD" w:themeColor="accent1"/>
                      <w:sz w:val="18"/>
                    </w:rPr>
                  </w:pPr>
                </w:p>
              </w:tc>
              <w:tc>
                <w:tcPr>
                  <w:tcW w:w="3290" w:type="dxa"/>
                  <w:tcBorders>
                    <w:top w:val="single" w:sz="4" w:space="0" w:color="FFFFFF"/>
                    <w:left w:val="single" w:sz="4" w:space="0" w:color="FFFFFF"/>
                    <w:bottom w:val="single" w:sz="4" w:space="0" w:color="FFFFFF"/>
                    <w:right w:val="nil"/>
                  </w:tcBorders>
                  <w:shd w:val="clear" w:color="auto" w:fill="DBE5F1" w:themeFill="accent1" w:themeFillTint="33"/>
                </w:tcPr>
                <w:p w14:paraId="476F3013" w14:textId="77777777" w:rsidR="00921721" w:rsidRPr="008526A3" w:rsidRDefault="00921721" w:rsidP="00880D09">
                  <w:pPr>
                    <w:ind w:right="28"/>
                    <w:rPr>
                      <w:rFonts w:asciiTheme="minorHAnsi" w:hAnsiTheme="minorHAnsi"/>
                      <w:color w:val="4F81BD" w:themeColor="accent1"/>
                      <w:sz w:val="18"/>
                    </w:rPr>
                  </w:pPr>
                  <w:r w:rsidRPr="008526A3">
                    <w:rPr>
                      <w:rFonts w:asciiTheme="minorHAnsi" w:hAnsiTheme="minorHAnsi"/>
                      <w:color w:val="4F81BD" w:themeColor="accent1"/>
                      <w:sz w:val="18"/>
                    </w:rPr>
                    <w:t>Okres analizy = 25 lat</w:t>
                  </w:r>
                </w:p>
                <w:p w14:paraId="0F942165" w14:textId="77777777" w:rsidR="00921721" w:rsidRPr="008526A3" w:rsidRDefault="00921721" w:rsidP="00880D09">
                  <w:pPr>
                    <w:ind w:right="28"/>
                    <w:rPr>
                      <w:rFonts w:asciiTheme="minorHAnsi" w:hAnsiTheme="minorHAnsi"/>
                      <w:i/>
                      <w:color w:val="4F81BD" w:themeColor="accent1"/>
                      <w:sz w:val="18"/>
                    </w:rPr>
                  </w:pPr>
                </w:p>
              </w:tc>
            </w:tr>
            <w:tr w:rsidR="00921721" w:rsidRPr="00731E4E" w14:paraId="5AC54A05" w14:textId="77777777" w:rsidTr="00880D09">
              <w:trPr>
                <w:trHeight w:val="219"/>
                <w:jc w:val="center"/>
              </w:trPr>
              <w:tc>
                <w:tcPr>
                  <w:tcW w:w="3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4F98A805" w14:textId="77777777" w:rsidR="00921721" w:rsidRPr="008526A3" w:rsidRDefault="00921721" w:rsidP="00880D09">
                  <w:pPr>
                    <w:ind w:right="28"/>
                    <w:rPr>
                      <w:rFonts w:asciiTheme="minorHAnsi" w:hAnsiTheme="minorHAnsi"/>
                      <w:color w:val="4F81BD" w:themeColor="accent1"/>
                      <w:sz w:val="18"/>
                    </w:rPr>
                  </w:pPr>
                  <w:r w:rsidRPr="008526A3">
                    <w:rPr>
                      <w:rFonts w:asciiTheme="minorHAnsi" w:hAnsiTheme="minorHAnsi"/>
                      <w:color w:val="4F81BD" w:themeColor="accent1"/>
                      <w:sz w:val="18"/>
                    </w:rPr>
                    <w:t>2</w:t>
                  </w:r>
                </w:p>
              </w:tc>
              <w:tc>
                <w:tcPr>
                  <w:tcW w:w="2678" w:type="dxa"/>
                  <w:tcBorders>
                    <w:top w:val="single" w:sz="4" w:space="0" w:color="FFFFFF"/>
                    <w:left w:val="single" w:sz="4" w:space="0" w:color="FFFFFF"/>
                    <w:bottom w:val="single" w:sz="4" w:space="0" w:color="FFFFFF"/>
                    <w:right w:val="nil"/>
                  </w:tcBorders>
                  <w:shd w:val="clear" w:color="auto" w:fill="DBE5F1" w:themeFill="accent1" w:themeFillTint="33"/>
                  <w:hideMark/>
                </w:tcPr>
                <w:p w14:paraId="2E72B5AA" w14:textId="77777777" w:rsidR="00921721" w:rsidRPr="008526A3" w:rsidRDefault="00921721" w:rsidP="00880D09">
                  <w:pPr>
                    <w:ind w:right="28"/>
                    <w:rPr>
                      <w:rFonts w:asciiTheme="minorHAnsi" w:hAnsiTheme="minorHAnsi"/>
                      <w:color w:val="4F81BD" w:themeColor="accent1"/>
                      <w:sz w:val="18"/>
                    </w:rPr>
                  </w:pPr>
                  <w:r w:rsidRPr="008526A3">
                    <w:rPr>
                      <w:rFonts w:asciiTheme="minorHAnsi" w:hAnsiTheme="minorHAnsi"/>
                      <w:color w:val="4F81BD" w:themeColor="accent1"/>
                      <w:sz w:val="18"/>
                    </w:rPr>
                    <w:t>Obliczenie wartości rezydualnej projektu</w:t>
                  </w:r>
                  <w:r>
                    <w:rPr>
                      <w:rFonts w:asciiTheme="minorHAnsi" w:hAnsiTheme="minorHAnsi"/>
                      <w:color w:val="4F81BD" w:themeColor="accent1"/>
                      <w:sz w:val="18"/>
                    </w:rPr>
                    <w:t xml:space="preserve"> w </w:t>
                  </w:r>
                  <w:r w:rsidRPr="008526A3">
                    <w:rPr>
                      <w:rFonts w:asciiTheme="minorHAnsi" w:hAnsiTheme="minorHAnsi"/>
                      <w:color w:val="4F81BD" w:themeColor="accent1"/>
                      <w:sz w:val="18"/>
                    </w:rPr>
                    <w:t>oparciu</w:t>
                  </w:r>
                  <w:r>
                    <w:rPr>
                      <w:rFonts w:asciiTheme="minorHAnsi" w:hAnsiTheme="minorHAnsi"/>
                      <w:color w:val="4F81BD" w:themeColor="accent1"/>
                      <w:sz w:val="18"/>
                    </w:rPr>
                    <w:t xml:space="preserve"> o </w:t>
                  </w:r>
                  <w:r w:rsidRPr="008526A3">
                    <w:rPr>
                      <w:rFonts w:asciiTheme="minorHAnsi" w:hAnsiTheme="minorHAnsi"/>
                      <w:color w:val="4F81BD" w:themeColor="accent1"/>
                      <w:sz w:val="18"/>
                    </w:rPr>
                    <w:t>zidentyfikowane powyżej aktywa projektu:</w:t>
                  </w:r>
                </w:p>
                <w:p w14:paraId="01AFF92D" w14:textId="77777777" w:rsidR="00921721" w:rsidRPr="008526A3" w:rsidRDefault="00921721" w:rsidP="00880D09">
                  <w:pPr>
                    <w:ind w:right="28"/>
                    <w:rPr>
                      <w:rFonts w:asciiTheme="minorHAnsi" w:hAnsiTheme="minorHAnsi"/>
                      <w:i/>
                      <w:color w:val="4F81BD" w:themeColor="accent1"/>
                      <w:sz w:val="18"/>
                    </w:rPr>
                  </w:pPr>
                  <w:r w:rsidRPr="008526A3">
                    <w:rPr>
                      <w:rFonts w:asciiTheme="minorHAnsi" w:hAnsiTheme="minorHAnsi"/>
                      <w:color w:val="4F81BD" w:themeColor="accent1"/>
                      <w:sz w:val="18"/>
                    </w:rPr>
                    <w:br/>
                  </w:r>
                  <w:r w:rsidRPr="008526A3">
                    <w:rPr>
                      <w:rFonts w:asciiTheme="minorHAnsi" w:hAnsiTheme="minorHAnsi"/>
                      <w:b/>
                      <w:color w:val="4F81BD" w:themeColor="accent1"/>
                      <w:sz w:val="18"/>
                    </w:rPr>
                    <w:t>Powyższa wartość odpowiada rezydualnej wartości finansowej projektu.</w:t>
                  </w:r>
                  <w:r>
                    <w:rPr>
                      <w:rFonts w:asciiTheme="minorHAnsi" w:hAnsiTheme="minorHAnsi"/>
                      <w:b/>
                      <w:color w:val="4F81BD" w:themeColor="accent1"/>
                      <w:sz w:val="18"/>
                    </w:rPr>
                    <w:t xml:space="preserve"> </w:t>
                  </w:r>
                  <w:r w:rsidRPr="00387FFD">
                    <w:rPr>
                      <w:rFonts w:asciiTheme="minorHAnsi" w:hAnsiTheme="minorHAnsi"/>
                      <w:b/>
                      <w:color w:val="4F81BD" w:themeColor="accent1"/>
                      <w:sz w:val="18"/>
                    </w:rPr>
                    <w:t>W</w:t>
                  </w:r>
                  <w:r>
                    <w:rPr>
                      <w:rFonts w:asciiTheme="minorHAnsi" w:hAnsiTheme="minorHAnsi"/>
                      <w:b/>
                      <w:color w:val="4F81BD" w:themeColor="accent1"/>
                      <w:sz w:val="18"/>
                    </w:rPr>
                    <w:t> </w:t>
                  </w:r>
                  <w:r w:rsidRPr="008526A3">
                    <w:rPr>
                      <w:rFonts w:asciiTheme="minorHAnsi" w:hAnsiTheme="minorHAnsi"/>
                      <w:b/>
                      <w:color w:val="4F81BD" w:themeColor="accent1"/>
                      <w:sz w:val="18"/>
                    </w:rPr>
                    <w:t>celu uzyskania ekonomicznej wartości rezydualnej projektu należy zastosować współczynniki przeliczeniowe CF dla kosztów budowy.</w:t>
                  </w:r>
                </w:p>
              </w:tc>
              <w:tc>
                <w:tcPr>
                  <w:tcW w:w="3290" w:type="dxa"/>
                  <w:tcBorders>
                    <w:top w:val="single" w:sz="4" w:space="0" w:color="FFFFFF"/>
                    <w:left w:val="single" w:sz="4" w:space="0" w:color="FFFFFF"/>
                    <w:bottom w:val="single" w:sz="4" w:space="0" w:color="FFFFFF"/>
                    <w:right w:val="nil"/>
                  </w:tcBorders>
                  <w:shd w:val="clear" w:color="auto" w:fill="DBE5F1" w:themeFill="accent1" w:themeFillTint="33"/>
                  <w:hideMark/>
                </w:tcPr>
                <w:p w14:paraId="56F6F296" w14:textId="77777777" w:rsidR="00921721" w:rsidRPr="008526A3" w:rsidRDefault="00921721" w:rsidP="00880D09">
                  <w:pPr>
                    <w:ind w:right="28"/>
                    <w:rPr>
                      <w:rFonts w:asciiTheme="minorHAnsi" w:hAnsiTheme="minorHAnsi"/>
                      <w:i/>
                      <w:color w:val="4F81BD" w:themeColor="accent1"/>
                      <w:sz w:val="18"/>
                    </w:rPr>
                  </w:pPr>
                  <w:r w:rsidRPr="008526A3">
                    <w:rPr>
                      <w:rFonts w:asciiTheme="minorHAnsi" w:hAnsiTheme="minorHAnsi"/>
                      <w:i/>
                      <w:color w:val="4F81BD" w:themeColor="accent1"/>
                      <w:sz w:val="18"/>
                    </w:rPr>
                    <w:t xml:space="preserve">Wartość rezydualna = 450*38% + 300*67% + 175*50%+40*25%+20*58%+10*33%+50*60%+15*33%+ 80 = </w:t>
                  </w:r>
                  <w:r w:rsidRPr="008526A3">
                    <w:rPr>
                      <w:rFonts w:asciiTheme="minorHAnsi" w:hAnsiTheme="minorHAnsi"/>
                      <w:b/>
                      <w:i/>
                      <w:color w:val="4F81BD" w:themeColor="accent1"/>
                      <w:sz w:val="18"/>
                    </w:rPr>
                    <w:t>596</w:t>
                  </w:r>
                  <w:r w:rsidRPr="00387FFD">
                    <w:rPr>
                      <w:rFonts w:asciiTheme="minorHAnsi" w:hAnsiTheme="minorHAnsi"/>
                      <w:b/>
                      <w:i/>
                      <w:color w:val="4F81BD" w:themeColor="accent1"/>
                      <w:sz w:val="18"/>
                    </w:rPr>
                    <w:t>,25</w:t>
                  </w:r>
                  <w:r w:rsidRPr="008526A3">
                    <w:rPr>
                      <w:rFonts w:asciiTheme="minorHAnsi" w:hAnsiTheme="minorHAnsi"/>
                      <w:b/>
                      <w:i/>
                      <w:color w:val="4F81BD" w:themeColor="accent1"/>
                      <w:sz w:val="18"/>
                    </w:rPr>
                    <w:t xml:space="preserve"> mPLN</w:t>
                  </w:r>
                </w:p>
              </w:tc>
            </w:tr>
          </w:tbl>
          <w:p w14:paraId="5DB59761" w14:textId="77777777" w:rsidR="00921721" w:rsidRPr="00731E4E" w:rsidRDefault="00921721" w:rsidP="00880D09">
            <w:pPr>
              <w:pStyle w:val="anxnormal"/>
              <w:ind w:left="0"/>
              <w:rPr>
                <w:rFonts w:asciiTheme="minorHAnsi" w:hAnsiTheme="minorHAnsi"/>
                <w:lang w:eastAsia="en-US"/>
              </w:rPr>
            </w:pPr>
            <w:r w:rsidRPr="00731E4E">
              <w:rPr>
                <w:rFonts w:asciiTheme="minorHAnsi" w:hAnsiTheme="minorHAnsi"/>
                <w:lang w:eastAsia="en-US"/>
              </w:rPr>
              <w:t>Jeżeli wykonawca analizy pragnie wykorzystać inne wartości jednostkowe należy:</w:t>
            </w:r>
          </w:p>
          <w:p w14:paraId="1A7D3DDB" w14:textId="77777777" w:rsidR="00921721" w:rsidRPr="00731E4E" w:rsidRDefault="00921721" w:rsidP="00D5736B">
            <w:pPr>
              <w:pStyle w:val="anxnormal"/>
              <w:numPr>
                <w:ilvl w:val="0"/>
                <w:numId w:val="91"/>
              </w:numPr>
              <w:snapToGrid w:val="0"/>
              <w:ind w:left="851" w:hanging="851"/>
              <w:rPr>
                <w:rFonts w:asciiTheme="minorHAnsi" w:hAnsiTheme="minorHAnsi"/>
                <w:lang w:eastAsia="en-US"/>
              </w:rPr>
            </w:pPr>
            <w:r w:rsidRPr="00731E4E">
              <w:rPr>
                <w:rFonts w:asciiTheme="minorHAnsi" w:hAnsiTheme="minorHAnsi"/>
                <w:lang w:eastAsia="en-US"/>
              </w:rPr>
              <w:t>zawsze dołączyć uzasadnienie zastosowania wartości alternatywnych,</w:t>
            </w:r>
          </w:p>
          <w:p w14:paraId="51BAB753" w14:textId="77777777" w:rsidR="00921721" w:rsidRPr="00731E4E" w:rsidRDefault="00921721" w:rsidP="00D5736B">
            <w:pPr>
              <w:pStyle w:val="anxnormal"/>
              <w:numPr>
                <w:ilvl w:val="0"/>
                <w:numId w:val="91"/>
              </w:numPr>
              <w:snapToGrid w:val="0"/>
              <w:ind w:left="851" w:hanging="851"/>
              <w:rPr>
                <w:rFonts w:asciiTheme="minorHAnsi" w:hAnsiTheme="minorHAnsi"/>
                <w:lang w:eastAsia="en-US"/>
              </w:rPr>
            </w:pPr>
            <w:r w:rsidRPr="00731E4E">
              <w:rPr>
                <w:rFonts w:asciiTheme="minorHAnsi" w:hAnsiTheme="minorHAnsi"/>
                <w:lang w:eastAsia="en-US"/>
              </w:rPr>
              <w:t>w analizie wrażliwości wykazać skutki wprowadzenia wartości alternatywnych.</w:t>
            </w:r>
          </w:p>
          <w:p w14:paraId="0317D0E9" w14:textId="05FC9AF3" w:rsidR="00921721" w:rsidRPr="00731E4E" w:rsidRDefault="00921721" w:rsidP="00DD0E5A">
            <w:pPr>
              <w:pStyle w:val="anxnormal"/>
              <w:ind w:left="0"/>
              <w:rPr>
                <w:rFonts w:asciiTheme="minorHAnsi" w:eastAsia="Arial" w:hAnsiTheme="minorHAnsi"/>
                <w:b/>
                <w:bCs/>
                <w:color w:val="323299"/>
                <w:spacing w:val="1"/>
                <w:position w:val="-1"/>
              </w:rPr>
            </w:pPr>
            <w:r w:rsidRPr="00731E4E">
              <w:rPr>
                <w:rFonts w:asciiTheme="minorHAnsi" w:hAnsiTheme="minorHAnsi"/>
                <w:lang w:eastAsia="en-US"/>
              </w:rPr>
              <w:t>Dopuszcza się wykorzystanie</w:t>
            </w:r>
            <w:r>
              <w:rPr>
                <w:rFonts w:asciiTheme="minorHAnsi" w:hAnsiTheme="minorHAnsi"/>
                <w:lang w:eastAsia="en-US"/>
              </w:rPr>
              <w:t xml:space="preserve"> w </w:t>
            </w:r>
            <w:r w:rsidRPr="00731E4E">
              <w:rPr>
                <w:rFonts w:asciiTheme="minorHAnsi" w:hAnsiTheme="minorHAnsi"/>
                <w:lang w:eastAsia="en-US"/>
              </w:rPr>
              <w:t>analizie bardziej szczegółowych kosztów jednostkowych utrzymania infrastruktury, uciążliwości dla środowiska, eksploatacji pojazdów</w:t>
            </w:r>
            <w:r>
              <w:rPr>
                <w:rFonts w:asciiTheme="minorHAnsi" w:hAnsiTheme="minorHAnsi"/>
                <w:lang w:eastAsia="en-US"/>
              </w:rPr>
              <w:t xml:space="preserve"> w </w:t>
            </w:r>
            <w:r w:rsidRPr="00731E4E">
              <w:rPr>
                <w:rFonts w:asciiTheme="minorHAnsi" w:hAnsiTheme="minorHAnsi"/>
                <w:lang w:eastAsia="en-US"/>
              </w:rPr>
              <w:t>odniesieniu do stanu nawierzchni wg. klasyfikacji SOSN</w:t>
            </w:r>
            <w:r w:rsidR="001D3DF3">
              <w:rPr>
                <w:rFonts w:asciiTheme="minorHAnsi" w:hAnsiTheme="minorHAnsi"/>
                <w:vertAlign w:val="superscript"/>
                <w:lang w:eastAsia="en-US"/>
              </w:rPr>
              <w:t>2</w:t>
            </w:r>
            <w:r w:rsidR="00DD0E5A">
              <w:rPr>
                <w:rFonts w:asciiTheme="minorHAnsi" w:hAnsiTheme="minorHAnsi"/>
                <w:vertAlign w:val="superscript"/>
                <w:lang w:eastAsia="en-US"/>
              </w:rPr>
              <w:t>2</w:t>
            </w:r>
            <w:r w:rsidRPr="00731E4E">
              <w:rPr>
                <w:rFonts w:asciiTheme="minorHAnsi" w:hAnsiTheme="minorHAnsi"/>
                <w:lang w:eastAsia="en-US"/>
              </w:rPr>
              <w:t xml:space="preserve"> (A, B, C, D), tak jak to ma np. miejsce</w:t>
            </w:r>
            <w:r>
              <w:rPr>
                <w:rFonts w:asciiTheme="minorHAnsi" w:hAnsiTheme="minorHAnsi"/>
                <w:lang w:eastAsia="en-US"/>
              </w:rPr>
              <w:t xml:space="preserve"> w wewnętrznym</w:t>
            </w:r>
            <w:r w:rsidRPr="00731E4E">
              <w:rPr>
                <w:rFonts w:asciiTheme="minorHAnsi" w:hAnsiTheme="minorHAnsi"/>
                <w:lang w:eastAsia="en-US"/>
              </w:rPr>
              <w:t xml:space="preserve"> Przewodniku do AKK (</w:t>
            </w:r>
            <w:r>
              <w:rPr>
                <w:rFonts w:asciiTheme="minorHAnsi" w:hAnsiTheme="minorHAnsi"/>
              </w:rPr>
              <w:t xml:space="preserve">opublikowanym </w:t>
            </w:r>
            <w:r w:rsidRPr="00731E4E">
              <w:rPr>
                <w:rFonts w:asciiTheme="minorHAnsi" w:hAnsiTheme="minorHAnsi"/>
              </w:rPr>
              <w:t>przez GDDKiA</w:t>
            </w:r>
            <w:r>
              <w:rPr>
                <w:rFonts w:asciiTheme="minorHAnsi" w:hAnsiTheme="minorHAnsi"/>
              </w:rPr>
              <w:t xml:space="preserve"> w 2021 r.</w:t>
            </w:r>
            <w:r w:rsidRPr="00731E4E">
              <w:rPr>
                <w:rFonts w:asciiTheme="minorHAnsi" w:hAnsiTheme="minorHAnsi"/>
                <w:lang w:eastAsia="en-US"/>
              </w:rPr>
              <w:t>), zastępującym dotychczas stosowaną Instrukcję IBDiM</w:t>
            </w:r>
            <w:r>
              <w:rPr>
                <w:rFonts w:asciiTheme="minorHAnsi" w:hAnsiTheme="minorHAnsi"/>
                <w:lang w:eastAsia="en-US"/>
              </w:rPr>
              <w:t xml:space="preserve"> z </w:t>
            </w:r>
            <w:r w:rsidRPr="00731E4E">
              <w:rPr>
                <w:rFonts w:asciiTheme="minorHAnsi" w:hAnsiTheme="minorHAnsi"/>
                <w:lang w:eastAsia="en-US"/>
              </w:rPr>
              <w:t>2008 r. Należy w</w:t>
            </w:r>
            <w:r>
              <w:rPr>
                <w:rFonts w:asciiTheme="minorHAnsi" w:hAnsiTheme="minorHAnsi"/>
                <w:lang w:eastAsia="en-US"/>
              </w:rPr>
              <w:t xml:space="preserve"> </w:t>
            </w:r>
            <w:r w:rsidRPr="00731E4E">
              <w:rPr>
                <w:rFonts w:asciiTheme="minorHAnsi" w:hAnsiTheme="minorHAnsi"/>
                <w:lang w:eastAsia="en-US"/>
              </w:rPr>
              <w:t>takim przypadku niezależnie podać również wyniki analizy</w:t>
            </w:r>
            <w:r>
              <w:rPr>
                <w:rFonts w:asciiTheme="minorHAnsi" w:hAnsiTheme="minorHAnsi"/>
                <w:lang w:eastAsia="en-US"/>
              </w:rPr>
              <w:t xml:space="preserve"> z </w:t>
            </w:r>
            <w:r w:rsidRPr="00731E4E">
              <w:rPr>
                <w:rFonts w:asciiTheme="minorHAnsi" w:hAnsiTheme="minorHAnsi"/>
                <w:lang w:eastAsia="en-US"/>
              </w:rPr>
              <w:t>wykorzystaniem wartości przedstawionych</w:t>
            </w:r>
            <w:r>
              <w:rPr>
                <w:rFonts w:asciiTheme="minorHAnsi" w:hAnsiTheme="minorHAnsi"/>
                <w:lang w:eastAsia="en-US"/>
              </w:rPr>
              <w:t xml:space="preserve"> w </w:t>
            </w:r>
            <w:r w:rsidRPr="00731E4E">
              <w:rPr>
                <w:rFonts w:asciiTheme="minorHAnsi" w:hAnsiTheme="minorHAnsi"/>
                <w:lang w:eastAsia="en-US"/>
              </w:rPr>
              <w:t>niniejszym załączniku.</w:t>
            </w:r>
          </w:p>
        </w:tc>
        <w:tc>
          <w:tcPr>
            <w:tcW w:w="2519" w:type="pct"/>
            <w:tcBorders>
              <w:top w:val="nil"/>
              <w:left w:val="single" w:sz="4" w:space="0" w:color="auto"/>
              <w:bottom w:val="nil"/>
              <w:right w:val="nil"/>
            </w:tcBorders>
            <w:tcMar>
              <w:left w:w="284" w:type="dxa"/>
              <w:right w:w="284" w:type="dxa"/>
            </w:tcMar>
          </w:tcPr>
          <w:p w14:paraId="43B62162" w14:textId="77777777" w:rsidR="00921721" w:rsidRPr="00C754F3" w:rsidRDefault="00921721" w:rsidP="00880D09">
            <w:pPr>
              <w:pStyle w:val="anxnormal"/>
              <w:ind w:left="0"/>
              <w:rPr>
                <w:rFonts w:asciiTheme="minorHAnsi" w:hAnsiTheme="minorHAnsi" w:cs="Arial-Narrow,Bold"/>
                <w:b/>
                <w:bCs/>
                <w:color w:val="4F81BD" w:themeColor="accent1"/>
                <w:sz w:val="23"/>
                <w:szCs w:val="23"/>
                <w:lang w:val="en-GB" w:eastAsia="en-GB"/>
              </w:rPr>
            </w:pPr>
            <w:r w:rsidRPr="00C754F3">
              <w:rPr>
                <w:rFonts w:asciiTheme="minorHAnsi" w:hAnsiTheme="minorHAnsi" w:cs="Arial-Narrow,Bold"/>
                <w:b/>
                <w:bCs/>
                <w:color w:val="4F81BD" w:themeColor="accent1"/>
                <w:sz w:val="23"/>
                <w:szCs w:val="23"/>
                <w:lang w:val="en-GB" w:eastAsia="en-GB"/>
              </w:rPr>
              <w:t>1. General considerations</w:t>
            </w:r>
          </w:p>
          <w:p w14:paraId="3D2B82EC" w14:textId="77777777" w:rsidR="00921721" w:rsidRPr="00731E4E"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All unit costs provided in the present appendix refer to prices</w:t>
            </w:r>
            <w:r>
              <w:rPr>
                <w:rFonts w:asciiTheme="minorHAnsi" w:hAnsiTheme="minorHAnsi"/>
                <w:lang w:val="en-GB" w:eastAsia="en-US"/>
              </w:rPr>
              <w:t xml:space="preserve"> of 2021.</w:t>
            </w:r>
          </w:p>
          <w:p w14:paraId="494A6BCE" w14:textId="4EE66588" w:rsidR="00921721" w:rsidRPr="00731E4E"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Unit costs for VoT, accidents, air pollution and noise escalate over time with an</w:t>
            </w:r>
            <w:r>
              <w:rPr>
                <w:rFonts w:asciiTheme="minorHAnsi" w:hAnsiTheme="minorHAnsi"/>
                <w:lang w:val="en-GB" w:eastAsia="en-US"/>
              </w:rPr>
              <w:t xml:space="preserve"> appropriate</w:t>
            </w:r>
            <w:r w:rsidRPr="00731E4E">
              <w:rPr>
                <w:rFonts w:asciiTheme="minorHAnsi" w:hAnsiTheme="minorHAnsi"/>
                <w:lang w:val="en-GB" w:eastAsia="en-US"/>
              </w:rPr>
              <w:t xml:space="preserve"> elasticity</w:t>
            </w:r>
            <w:r>
              <w:rPr>
                <w:rFonts w:asciiTheme="minorHAnsi" w:hAnsiTheme="minorHAnsi"/>
                <w:vertAlign w:val="superscript"/>
                <w:lang w:val="en-GB" w:eastAsia="en-US"/>
              </w:rPr>
              <w:t>1</w:t>
            </w:r>
            <w:r w:rsidR="00F468E2">
              <w:rPr>
                <w:rFonts w:asciiTheme="minorHAnsi" w:hAnsiTheme="minorHAnsi"/>
                <w:vertAlign w:val="superscript"/>
                <w:lang w:val="en-GB" w:eastAsia="en-US"/>
              </w:rPr>
              <w:t>7</w:t>
            </w:r>
            <w:r>
              <w:rPr>
                <w:rFonts w:asciiTheme="minorHAnsi" w:hAnsiTheme="minorHAnsi"/>
                <w:vertAlign w:val="superscript"/>
                <w:lang w:val="en-GB" w:eastAsia="en-US"/>
              </w:rPr>
              <w:t xml:space="preserve"> </w:t>
            </w:r>
            <w:r w:rsidRPr="00731E4E">
              <w:rPr>
                <w:rFonts w:asciiTheme="minorHAnsi" w:hAnsiTheme="minorHAnsi"/>
                <w:lang w:val="en-GB" w:eastAsia="en-US"/>
              </w:rPr>
              <w:t>to GDP growth per capita (</w:t>
            </w:r>
            <w:r>
              <w:rPr>
                <w:rFonts w:asciiTheme="minorHAnsi" w:hAnsiTheme="minorHAnsi"/>
                <w:lang w:val="en-GB" w:eastAsia="en-US"/>
              </w:rPr>
              <w:t>the assumed values of the elasticity parameter for particular categories of economic unit costs are presented in the following chapters of this Appendix A</w:t>
            </w:r>
            <w:r w:rsidRPr="00731E4E">
              <w:rPr>
                <w:rFonts w:asciiTheme="minorHAnsi" w:hAnsiTheme="minorHAnsi"/>
                <w:lang w:val="en-GB" w:eastAsia="en-US"/>
              </w:rPr>
              <w:t xml:space="preserve"> below).</w:t>
            </w:r>
          </w:p>
          <w:p w14:paraId="47169008" w14:textId="77777777" w:rsidR="00921721" w:rsidRPr="00731E4E" w:rsidRDefault="00921721" w:rsidP="00880D09">
            <w:pPr>
              <w:pStyle w:val="anxnormal"/>
              <w:ind w:left="0"/>
              <w:rPr>
                <w:rFonts w:asciiTheme="minorHAnsi" w:hAnsiTheme="minorHAnsi"/>
                <w:lang w:val="en-GB" w:eastAsia="en-US"/>
              </w:rPr>
            </w:pPr>
            <w:r w:rsidRPr="002C6855">
              <w:rPr>
                <w:rFonts w:asciiTheme="minorHAnsi" w:hAnsiTheme="minorHAnsi"/>
                <w:lang w:val="en-GB" w:eastAsia="en-US"/>
              </w:rPr>
              <w:t>For VoT and accident costs, the tables below provide unit values incorporating escalation over time up to 2060. For</w:t>
            </w:r>
            <w:r w:rsidRPr="00731E4E">
              <w:rPr>
                <w:rFonts w:asciiTheme="minorHAnsi" w:hAnsiTheme="minorHAnsi"/>
                <w:lang w:val="en-GB" w:eastAsia="en-US"/>
              </w:rPr>
              <w:t xml:space="preserve"> the other categories, rules for price escalation are described in this </w:t>
            </w:r>
            <w:r>
              <w:rPr>
                <w:rFonts w:asciiTheme="minorHAnsi" w:hAnsiTheme="minorHAnsi"/>
                <w:lang w:val="en-GB" w:eastAsia="en-US"/>
              </w:rPr>
              <w:t>Appendix</w:t>
            </w:r>
            <w:r w:rsidRPr="00731E4E">
              <w:rPr>
                <w:rFonts w:asciiTheme="minorHAnsi" w:hAnsiTheme="minorHAnsi"/>
                <w:lang w:val="en-GB" w:eastAsia="en-US"/>
              </w:rPr>
              <w:t>.</w:t>
            </w:r>
          </w:p>
          <w:p w14:paraId="47A066B6" w14:textId="77777777" w:rsidR="00921721" w:rsidRPr="00731E4E"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Those unit costs depending on vehicle categories (i.e. VOC, air pollution, climate change and noise) are</w:t>
            </w:r>
            <w:r>
              <w:rPr>
                <w:rFonts w:asciiTheme="minorHAnsi" w:hAnsiTheme="minorHAnsi"/>
                <w:lang w:val="en-GB" w:eastAsia="en-US"/>
              </w:rPr>
              <w:t xml:space="preserve"> generally</w:t>
            </w:r>
            <w:r w:rsidRPr="00731E4E">
              <w:rPr>
                <w:rFonts w:asciiTheme="minorHAnsi" w:hAnsiTheme="minorHAnsi"/>
                <w:lang w:val="en-GB" w:eastAsia="en-US"/>
              </w:rPr>
              <w:t xml:space="preserve"> differentiated into 2 vehicle categories (LV and HGV) in all relevant tables</w:t>
            </w:r>
            <w:r>
              <w:rPr>
                <w:rFonts w:asciiTheme="minorHAnsi" w:hAnsiTheme="minorHAnsi"/>
                <w:lang w:val="en-GB" w:eastAsia="en-US"/>
              </w:rPr>
              <w:t xml:space="preserve"> (in some cases more detailed disaggregation is provided, only recommended for specific assessment purposes)</w:t>
            </w:r>
            <w:r w:rsidRPr="00731E4E">
              <w:rPr>
                <w:rFonts w:asciiTheme="minorHAnsi" w:hAnsiTheme="minorHAnsi"/>
                <w:lang w:val="en-GB" w:eastAsia="en-US"/>
              </w:rPr>
              <w:t>. In case that traffic forecasts outputs are provided differentiating the 5 vehicle categories mentioned in chapter 1.8, they need to be considered as follows:</w:t>
            </w:r>
          </w:p>
          <w:p w14:paraId="6F912BDB" w14:textId="77777777" w:rsidR="00921721" w:rsidRPr="00731E4E" w:rsidRDefault="00921721" w:rsidP="00D5736B">
            <w:pPr>
              <w:pStyle w:val="anxnormal"/>
              <w:numPr>
                <w:ilvl w:val="0"/>
                <w:numId w:val="89"/>
              </w:numPr>
              <w:snapToGrid w:val="0"/>
              <w:ind w:left="707" w:hanging="707"/>
              <w:rPr>
                <w:rFonts w:asciiTheme="minorHAnsi" w:hAnsiTheme="minorHAnsi"/>
                <w:lang w:val="en-GB" w:eastAsia="en-US"/>
              </w:rPr>
            </w:pPr>
            <w:r w:rsidRPr="00731E4E">
              <w:rPr>
                <w:rFonts w:asciiTheme="minorHAnsi" w:hAnsiTheme="minorHAnsi"/>
                <w:lang w:val="en-GB" w:eastAsia="en-US"/>
              </w:rPr>
              <w:t>LV unit costs to be applied to: passenger cars (SO) and commercial cars (SD);</w:t>
            </w:r>
          </w:p>
          <w:p w14:paraId="2F4C654C" w14:textId="77777777" w:rsidR="00921721" w:rsidRPr="00731E4E" w:rsidRDefault="00921721" w:rsidP="00D5736B">
            <w:pPr>
              <w:pStyle w:val="anxnormal"/>
              <w:numPr>
                <w:ilvl w:val="0"/>
                <w:numId w:val="89"/>
              </w:numPr>
              <w:snapToGrid w:val="0"/>
              <w:ind w:left="707" w:hanging="707"/>
              <w:rPr>
                <w:rFonts w:asciiTheme="minorHAnsi" w:hAnsiTheme="minorHAnsi"/>
                <w:lang w:val="en-GB" w:eastAsia="en-US"/>
              </w:rPr>
            </w:pPr>
            <w:r w:rsidRPr="00731E4E">
              <w:rPr>
                <w:rFonts w:asciiTheme="minorHAnsi" w:hAnsiTheme="minorHAnsi"/>
                <w:lang w:val="en-GB" w:eastAsia="en-US"/>
              </w:rPr>
              <w:t>HGV unit costs to be applied to: trucks without trailers (SC), trucks with trailers/semi-trailers (SCp) and buses (A).</w:t>
            </w:r>
          </w:p>
          <w:p w14:paraId="20D6EE73" w14:textId="77777777" w:rsidR="00921721" w:rsidRDefault="00921721" w:rsidP="00880D09">
            <w:pPr>
              <w:pStyle w:val="anxnormal"/>
              <w:ind w:left="0"/>
              <w:rPr>
                <w:rFonts w:asciiTheme="minorHAnsi" w:hAnsiTheme="minorHAnsi"/>
                <w:lang w:val="en-GB" w:eastAsia="en-US"/>
              </w:rPr>
            </w:pPr>
          </w:p>
          <w:p w14:paraId="70868372" w14:textId="77777777" w:rsidR="00921721" w:rsidRPr="00731E4E" w:rsidRDefault="00921721" w:rsidP="00880D09">
            <w:pPr>
              <w:pStyle w:val="anxnormal"/>
              <w:ind w:left="0"/>
              <w:rPr>
                <w:rFonts w:asciiTheme="minorHAnsi" w:hAnsiTheme="minorHAnsi"/>
                <w:lang w:val="en-GB" w:eastAsia="en-US"/>
              </w:rPr>
            </w:pPr>
            <w:r>
              <w:rPr>
                <w:rFonts w:asciiTheme="minorHAnsi" w:hAnsiTheme="minorHAnsi"/>
                <w:lang w:val="en-GB" w:eastAsia="en-US"/>
              </w:rPr>
              <w:t xml:space="preserve">Unit costs presented below and associated principles and assumptions for forecasting correspond to the ones included in the related </w:t>
            </w:r>
            <w:r w:rsidRPr="006F51AE">
              <w:rPr>
                <w:rFonts w:asciiTheme="minorHAnsi" w:hAnsiTheme="minorHAnsi"/>
                <w:b/>
                <w:i/>
                <w:highlight w:val="yellow"/>
                <w:lang w:val="en-GB" w:eastAsia="en-US"/>
              </w:rPr>
              <w:t>Excel file</w:t>
            </w:r>
            <w:r w:rsidRPr="006F51AE">
              <w:rPr>
                <w:rFonts w:asciiTheme="minorHAnsi" w:hAnsiTheme="minorHAnsi"/>
                <w:highlight w:val="yellow"/>
                <w:lang w:val="en-GB" w:eastAsia="en-US"/>
              </w:rPr>
              <w:t xml:space="preserve">. CUPT </w:t>
            </w:r>
            <w:r w:rsidRPr="00360E3D">
              <w:rPr>
                <w:rFonts w:asciiTheme="minorHAnsi" w:hAnsiTheme="minorHAnsi"/>
                <w:highlight w:val="yellow"/>
                <w:lang w:val="en-GB" w:eastAsia="en-US"/>
              </w:rPr>
              <w:t>PUBLICATION REFERENCE</w:t>
            </w:r>
          </w:p>
          <w:p w14:paraId="736DAC2A" w14:textId="77777777" w:rsidR="00921721" w:rsidRPr="00731E4E" w:rsidRDefault="00921721" w:rsidP="00880D09">
            <w:pPr>
              <w:pStyle w:val="anxnormal"/>
              <w:ind w:left="0"/>
              <w:rPr>
                <w:rFonts w:asciiTheme="minorHAnsi" w:hAnsiTheme="minorHAnsi"/>
                <w:lang w:val="en-GB" w:eastAsia="en-US"/>
              </w:rPr>
            </w:pPr>
          </w:p>
          <w:p w14:paraId="5172BBEC" w14:textId="77777777" w:rsidR="00921721" w:rsidRPr="00731E4E" w:rsidRDefault="00921721" w:rsidP="00880D09">
            <w:pPr>
              <w:pStyle w:val="anxnormal"/>
              <w:ind w:left="0"/>
              <w:rPr>
                <w:rFonts w:asciiTheme="minorHAnsi" w:hAnsiTheme="minorHAnsi"/>
                <w:lang w:val="en-GB" w:eastAsia="en-US"/>
              </w:rPr>
            </w:pPr>
          </w:p>
          <w:p w14:paraId="39A01F88" w14:textId="77777777" w:rsidR="00921721" w:rsidRPr="00F04E31" w:rsidRDefault="00921721" w:rsidP="00880D09">
            <w:pPr>
              <w:pStyle w:val="anxnormal"/>
              <w:ind w:left="0"/>
              <w:rPr>
                <w:rFonts w:asciiTheme="minorHAnsi" w:hAnsiTheme="minorHAnsi"/>
                <w:lang w:val="en-GB" w:eastAsia="en-US"/>
              </w:rPr>
            </w:pPr>
          </w:p>
          <w:p w14:paraId="4EE6733B" w14:textId="77777777" w:rsidR="00921721" w:rsidRPr="00F04E31" w:rsidRDefault="00921721" w:rsidP="00880D09">
            <w:pPr>
              <w:pStyle w:val="anxnormal"/>
              <w:ind w:left="0"/>
              <w:rPr>
                <w:rFonts w:asciiTheme="minorHAnsi" w:hAnsiTheme="minorHAnsi"/>
                <w:lang w:val="en-GB" w:eastAsia="en-US"/>
              </w:rPr>
            </w:pPr>
          </w:p>
          <w:p w14:paraId="79DF7B91" w14:textId="77777777" w:rsidR="00921721" w:rsidRPr="00F04E31" w:rsidRDefault="00921721" w:rsidP="00880D09">
            <w:pPr>
              <w:pStyle w:val="anxnormal"/>
              <w:ind w:left="0"/>
              <w:rPr>
                <w:rFonts w:asciiTheme="minorHAnsi" w:hAnsiTheme="minorHAnsi"/>
                <w:lang w:val="en-GB" w:eastAsia="en-US"/>
              </w:rPr>
            </w:pPr>
          </w:p>
          <w:p w14:paraId="0D94616A" w14:textId="77777777" w:rsidR="00921721" w:rsidRPr="00F23E44" w:rsidRDefault="00921721" w:rsidP="00880D09">
            <w:pPr>
              <w:pStyle w:val="anxnormal"/>
              <w:ind w:left="0"/>
              <w:rPr>
                <w:rFonts w:asciiTheme="minorHAnsi" w:hAnsiTheme="minorHAnsi"/>
                <w:color w:val="4F81BD" w:themeColor="accent1"/>
                <w:lang w:val="en-GB" w:eastAsia="en-US"/>
              </w:rPr>
            </w:pPr>
            <w:r w:rsidRPr="00F23E44">
              <w:rPr>
                <w:rFonts w:asciiTheme="minorHAnsi" w:hAnsiTheme="minorHAnsi" w:cs="Arial-Narrow,Bold"/>
                <w:b/>
                <w:bCs/>
                <w:color w:val="4F81BD" w:themeColor="accent1"/>
                <w:sz w:val="23"/>
                <w:szCs w:val="23"/>
                <w:lang w:val="en-GB" w:eastAsia="en-GB"/>
              </w:rPr>
              <w:t>2. GDP growth</w:t>
            </w:r>
            <w:r w:rsidRPr="00F23E44">
              <w:rPr>
                <w:rFonts w:asciiTheme="minorHAnsi" w:hAnsiTheme="minorHAnsi"/>
                <w:color w:val="4F81BD" w:themeColor="accent1"/>
                <w:lang w:val="en-GB" w:eastAsia="en-US"/>
              </w:rPr>
              <w:t xml:space="preserve"> </w:t>
            </w:r>
            <w:r w:rsidRPr="00F23E44">
              <w:rPr>
                <w:rFonts w:asciiTheme="minorHAnsi" w:hAnsiTheme="minorHAnsi" w:cs="Arial-Narrow,Bold"/>
                <w:b/>
                <w:bCs/>
                <w:color w:val="4F81BD" w:themeColor="accent1"/>
                <w:sz w:val="23"/>
                <w:szCs w:val="23"/>
                <w:lang w:val="en-GB" w:eastAsia="en-GB"/>
              </w:rPr>
              <w:t>trends</w:t>
            </w:r>
          </w:p>
          <w:p w14:paraId="1069DD2D" w14:textId="77777777" w:rsidR="00921721" w:rsidRPr="00731E4E" w:rsidRDefault="00921721" w:rsidP="00880D09">
            <w:pPr>
              <w:pStyle w:val="anxnormal"/>
              <w:spacing w:after="120"/>
              <w:ind w:left="0"/>
              <w:rPr>
                <w:rFonts w:asciiTheme="minorHAnsi" w:hAnsiTheme="minorHAnsi"/>
                <w:lang w:val="en-GB" w:eastAsia="en-US"/>
              </w:rPr>
            </w:pPr>
            <w:r w:rsidRPr="00CD7B3F">
              <w:rPr>
                <w:rFonts w:asciiTheme="minorHAnsi" w:hAnsiTheme="minorHAnsi"/>
                <w:lang w:val="en-GB" w:eastAsia="en-US"/>
              </w:rPr>
              <w:t xml:space="preserve">GDP growth trends for application in traffic forecasts used by GDDKiA traffic model </w:t>
            </w:r>
          </w:p>
          <w:tbl>
            <w:tblPr>
              <w:tblW w:w="6899" w:type="dxa"/>
              <w:tblLayout w:type="fixed"/>
              <w:tblLook w:val="04A0" w:firstRow="1" w:lastRow="0" w:firstColumn="1" w:lastColumn="0" w:noHBand="0" w:noVBand="1"/>
            </w:tblPr>
            <w:tblGrid>
              <w:gridCol w:w="1117"/>
              <w:gridCol w:w="983"/>
              <w:gridCol w:w="783"/>
              <w:gridCol w:w="783"/>
              <w:gridCol w:w="783"/>
              <w:gridCol w:w="783"/>
              <w:gridCol w:w="884"/>
              <w:gridCol w:w="783"/>
            </w:tblGrid>
            <w:tr w:rsidR="00921721" w:rsidRPr="007463B9" w14:paraId="7DA89A60" w14:textId="77777777" w:rsidTr="00880D09">
              <w:trPr>
                <w:trHeight w:hRule="exact" w:val="522"/>
              </w:trPr>
              <w:tc>
                <w:tcPr>
                  <w:tcW w:w="1117" w:type="dxa"/>
                  <w:tcBorders>
                    <w:top w:val="single" w:sz="8" w:space="0" w:color="FFFFFF"/>
                    <w:left w:val="single" w:sz="8" w:space="0" w:color="FFFFFF"/>
                    <w:bottom w:val="single" w:sz="8" w:space="0" w:color="FFFFFF"/>
                    <w:right w:val="single" w:sz="8" w:space="0" w:color="FFFFFF"/>
                  </w:tcBorders>
                  <w:shd w:val="clear" w:color="auto" w:fill="808080" w:themeFill="background1" w:themeFillShade="80"/>
                  <w:vAlign w:val="center"/>
                  <w:hideMark/>
                </w:tcPr>
                <w:p w14:paraId="4856CDA1"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Period</w:t>
                  </w:r>
                </w:p>
              </w:tc>
              <w:tc>
                <w:tcPr>
                  <w:tcW w:w="983"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451B81DD" w14:textId="77777777" w:rsidR="00921721" w:rsidRPr="00731E4E" w:rsidRDefault="00921721" w:rsidP="00880D09">
                  <w:pPr>
                    <w:jc w:val="center"/>
                    <w:rPr>
                      <w:rFonts w:asciiTheme="minorHAnsi" w:hAnsiTheme="minorHAnsi"/>
                      <w:b/>
                      <w:bCs/>
                      <w:color w:val="FFFFFF"/>
                      <w:sz w:val="18"/>
                      <w:szCs w:val="18"/>
                      <w:lang w:val="en-GB" w:eastAsia="en-GB"/>
                    </w:rPr>
                  </w:pPr>
                </w:p>
              </w:tc>
              <w:tc>
                <w:tcPr>
                  <w:tcW w:w="783"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4B51D619" w14:textId="77777777" w:rsidR="00921721" w:rsidRPr="00731E4E" w:rsidRDefault="00921721" w:rsidP="00880D09">
                  <w:pPr>
                    <w:jc w:val="center"/>
                    <w:rPr>
                      <w:rFonts w:asciiTheme="minorHAnsi" w:hAnsiTheme="minorHAnsi"/>
                      <w:b/>
                      <w:bCs/>
                      <w:color w:val="FFFFFF"/>
                      <w:sz w:val="18"/>
                      <w:szCs w:val="18"/>
                      <w:lang w:val="en-GB" w:eastAsia="en-GB"/>
                    </w:rPr>
                  </w:pPr>
                </w:p>
              </w:tc>
              <w:tc>
                <w:tcPr>
                  <w:tcW w:w="783"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1D8F5C9E" w14:textId="77777777" w:rsidR="00921721" w:rsidRPr="00731E4E" w:rsidRDefault="00921721" w:rsidP="00880D09">
                  <w:pPr>
                    <w:jc w:val="center"/>
                    <w:rPr>
                      <w:rFonts w:asciiTheme="minorHAnsi" w:hAnsiTheme="minorHAnsi"/>
                      <w:b/>
                      <w:bCs/>
                      <w:color w:val="FFFFFF"/>
                      <w:sz w:val="18"/>
                      <w:szCs w:val="18"/>
                      <w:lang w:val="en-GB" w:eastAsia="en-GB"/>
                    </w:rPr>
                  </w:pPr>
                </w:p>
              </w:tc>
              <w:tc>
                <w:tcPr>
                  <w:tcW w:w="783"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1FE0E394" w14:textId="77777777" w:rsidR="00921721" w:rsidRPr="00731E4E" w:rsidRDefault="00921721" w:rsidP="00880D09">
                  <w:pPr>
                    <w:jc w:val="center"/>
                    <w:rPr>
                      <w:rFonts w:asciiTheme="minorHAnsi" w:hAnsiTheme="minorHAnsi"/>
                      <w:b/>
                      <w:bCs/>
                      <w:color w:val="FFFFFF"/>
                      <w:sz w:val="18"/>
                      <w:szCs w:val="18"/>
                      <w:lang w:val="en-GB" w:eastAsia="en-GB"/>
                    </w:rPr>
                  </w:pPr>
                </w:p>
              </w:tc>
              <w:tc>
                <w:tcPr>
                  <w:tcW w:w="783"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118777DD" w14:textId="77777777" w:rsidR="00921721" w:rsidRPr="00731E4E" w:rsidRDefault="00921721" w:rsidP="00880D09">
                  <w:pPr>
                    <w:jc w:val="center"/>
                    <w:rPr>
                      <w:rFonts w:asciiTheme="minorHAnsi" w:hAnsiTheme="minorHAnsi"/>
                      <w:b/>
                      <w:bCs/>
                      <w:color w:val="FFFFFF"/>
                      <w:sz w:val="18"/>
                      <w:szCs w:val="18"/>
                      <w:lang w:val="en-GB" w:eastAsia="en-GB"/>
                    </w:rPr>
                  </w:pPr>
                </w:p>
              </w:tc>
              <w:tc>
                <w:tcPr>
                  <w:tcW w:w="884" w:type="dxa"/>
                  <w:tcBorders>
                    <w:top w:val="single" w:sz="8" w:space="0" w:color="FFFFFF"/>
                    <w:left w:val="nil"/>
                    <w:bottom w:val="single" w:sz="8" w:space="0" w:color="FFFFFF"/>
                    <w:right w:val="single" w:sz="8" w:space="0" w:color="FFFFFF"/>
                  </w:tcBorders>
                  <w:shd w:val="clear" w:color="auto" w:fill="808080" w:themeFill="background1" w:themeFillShade="80"/>
                  <w:vAlign w:val="center"/>
                  <w:hideMark/>
                </w:tcPr>
                <w:p w14:paraId="150E1D9F" w14:textId="77777777" w:rsidR="00921721" w:rsidRPr="00CD7B3F" w:rsidRDefault="00921721" w:rsidP="00880D09">
                  <w:pPr>
                    <w:jc w:val="center"/>
                    <w:rPr>
                      <w:rFonts w:asciiTheme="minorHAnsi" w:hAnsiTheme="minorHAnsi"/>
                      <w:b/>
                      <w:bCs/>
                      <w:color w:val="FFFFFF"/>
                      <w:sz w:val="18"/>
                      <w:szCs w:val="18"/>
                      <w:lang w:val="en-GB" w:eastAsia="en-GB"/>
                    </w:rPr>
                  </w:pPr>
                  <w:r w:rsidRPr="00CD7B3F">
                    <w:rPr>
                      <w:rFonts w:asciiTheme="minorHAnsi" w:hAnsiTheme="minorHAnsi"/>
                      <w:b/>
                      <w:bCs/>
                      <w:color w:val="FFFFFF"/>
                      <w:sz w:val="18"/>
                      <w:szCs w:val="18"/>
                      <w:lang w:val="en-GB" w:eastAsia="en-GB"/>
                    </w:rPr>
                    <w:t>2020</w:t>
                  </w:r>
                </w:p>
              </w:tc>
              <w:tc>
                <w:tcPr>
                  <w:tcW w:w="783" w:type="dxa"/>
                  <w:tcBorders>
                    <w:top w:val="single" w:sz="8" w:space="0" w:color="FFFFFF"/>
                    <w:left w:val="nil"/>
                    <w:bottom w:val="single" w:sz="8" w:space="0" w:color="FFFFFF"/>
                    <w:right w:val="single" w:sz="8" w:space="0" w:color="FFFFFF"/>
                  </w:tcBorders>
                  <w:shd w:val="clear" w:color="auto" w:fill="808080" w:themeFill="background1" w:themeFillShade="80"/>
                  <w:vAlign w:val="center"/>
                  <w:hideMark/>
                </w:tcPr>
                <w:p w14:paraId="5993296A" w14:textId="77777777" w:rsidR="00921721" w:rsidRPr="00CD7B3F" w:rsidRDefault="00921721" w:rsidP="00880D09">
                  <w:pPr>
                    <w:jc w:val="center"/>
                    <w:rPr>
                      <w:rFonts w:asciiTheme="minorHAnsi" w:hAnsiTheme="minorHAnsi"/>
                      <w:b/>
                      <w:bCs/>
                      <w:color w:val="FFFFFF"/>
                      <w:sz w:val="18"/>
                      <w:szCs w:val="18"/>
                      <w:lang w:val="en-GB" w:eastAsia="en-GB"/>
                    </w:rPr>
                  </w:pPr>
                  <w:r w:rsidRPr="00CD7B3F">
                    <w:rPr>
                      <w:rFonts w:asciiTheme="minorHAnsi" w:hAnsiTheme="minorHAnsi"/>
                      <w:b/>
                      <w:bCs/>
                      <w:color w:val="FFFFFF"/>
                      <w:sz w:val="18"/>
                      <w:szCs w:val="18"/>
                      <w:lang w:val="en-GB" w:eastAsia="en-GB"/>
                    </w:rPr>
                    <w:t>2021</w:t>
                  </w:r>
                </w:p>
              </w:tc>
            </w:tr>
            <w:tr w:rsidR="00921721" w:rsidRPr="007463B9" w14:paraId="3A1E4D89" w14:textId="77777777" w:rsidTr="00880D09">
              <w:trPr>
                <w:trHeight w:val="411"/>
              </w:trPr>
              <w:tc>
                <w:tcPr>
                  <w:tcW w:w="1117"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48375108"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GDP growth</w:t>
                  </w:r>
                </w:p>
              </w:tc>
              <w:tc>
                <w:tcPr>
                  <w:tcW w:w="983" w:type="dxa"/>
                  <w:tcBorders>
                    <w:top w:val="nil"/>
                    <w:left w:val="nil"/>
                    <w:bottom w:val="single" w:sz="8" w:space="0" w:color="FFFFFF"/>
                    <w:right w:val="single" w:sz="8" w:space="0" w:color="FFFFFF"/>
                  </w:tcBorders>
                  <w:shd w:val="clear" w:color="auto" w:fill="DBE5F1" w:themeFill="accent1" w:themeFillTint="33"/>
                  <w:vAlign w:val="center"/>
                </w:tcPr>
                <w:p w14:paraId="0D2C7900" w14:textId="77777777" w:rsidR="00921721" w:rsidRPr="00296507" w:rsidRDefault="00921721" w:rsidP="00880D09">
                  <w:pPr>
                    <w:jc w:val="center"/>
                    <w:rPr>
                      <w:rFonts w:asciiTheme="minorHAnsi" w:hAnsiTheme="minorHAnsi"/>
                      <w:color w:val="4F81BD" w:themeColor="accent1"/>
                      <w:sz w:val="18"/>
                      <w:szCs w:val="18"/>
                      <w:lang w:val="en-GB" w:eastAsia="en-GB"/>
                    </w:rPr>
                  </w:pPr>
                </w:p>
              </w:tc>
              <w:tc>
                <w:tcPr>
                  <w:tcW w:w="783" w:type="dxa"/>
                  <w:tcBorders>
                    <w:top w:val="nil"/>
                    <w:left w:val="nil"/>
                    <w:bottom w:val="single" w:sz="8" w:space="0" w:color="FFFFFF"/>
                    <w:right w:val="single" w:sz="8" w:space="0" w:color="FFFFFF"/>
                  </w:tcBorders>
                  <w:shd w:val="clear" w:color="auto" w:fill="DBE5F1" w:themeFill="accent1" w:themeFillTint="33"/>
                  <w:vAlign w:val="center"/>
                </w:tcPr>
                <w:p w14:paraId="7E2AA759" w14:textId="77777777" w:rsidR="00921721" w:rsidRPr="00296507" w:rsidRDefault="00921721" w:rsidP="00880D09">
                  <w:pPr>
                    <w:jc w:val="center"/>
                    <w:rPr>
                      <w:rFonts w:asciiTheme="minorHAnsi" w:hAnsiTheme="minorHAnsi"/>
                      <w:color w:val="4F81BD" w:themeColor="accent1"/>
                      <w:sz w:val="18"/>
                      <w:szCs w:val="18"/>
                      <w:lang w:val="en-GB" w:eastAsia="en-GB"/>
                    </w:rPr>
                  </w:pPr>
                </w:p>
              </w:tc>
              <w:tc>
                <w:tcPr>
                  <w:tcW w:w="783" w:type="dxa"/>
                  <w:tcBorders>
                    <w:top w:val="nil"/>
                    <w:left w:val="nil"/>
                    <w:bottom w:val="single" w:sz="8" w:space="0" w:color="FFFFFF"/>
                    <w:right w:val="single" w:sz="8" w:space="0" w:color="FFFFFF"/>
                  </w:tcBorders>
                  <w:shd w:val="clear" w:color="auto" w:fill="DBE5F1" w:themeFill="accent1" w:themeFillTint="33"/>
                  <w:vAlign w:val="center"/>
                </w:tcPr>
                <w:p w14:paraId="456303EF" w14:textId="77777777" w:rsidR="00921721" w:rsidRPr="00296507" w:rsidRDefault="00921721" w:rsidP="00880D09">
                  <w:pPr>
                    <w:jc w:val="center"/>
                    <w:rPr>
                      <w:rFonts w:asciiTheme="minorHAnsi" w:hAnsiTheme="minorHAnsi"/>
                      <w:color w:val="4F81BD" w:themeColor="accent1"/>
                      <w:sz w:val="18"/>
                      <w:szCs w:val="18"/>
                      <w:lang w:val="en-GB" w:eastAsia="en-GB"/>
                    </w:rPr>
                  </w:pPr>
                </w:p>
              </w:tc>
              <w:tc>
                <w:tcPr>
                  <w:tcW w:w="783" w:type="dxa"/>
                  <w:tcBorders>
                    <w:top w:val="nil"/>
                    <w:left w:val="nil"/>
                    <w:bottom w:val="single" w:sz="8" w:space="0" w:color="FFFFFF"/>
                    <w:right w:val="single" w:sz="8" w:space="0" w:color="FFFFFF"/>
                  </w:tcBorders>
                  <w:shd w:val="clear" w:color="auto" w:fill="DBE5F1" w:themeFill="accent1" w:themeFillTint="33"/>
                  <w:vAlign w:val="center"/>
                </w:tcPr>
                <w:p w14:paraId="029AB262" w14:textId="77777777" w:rsidR="00921721" w:rsidRPr="00296507" w:rsidRDefault="00921721" w:rsidP="00880D09">
                  <w:pPr>
                    <w:jc w:val="center"/>
                    <w:rPr>
                      <w:rFonts w:asciiTheme="minorHAnsi" w:hAnsiTheme="minorHAnsi"/>
                      <w:color w:val="4F81BD" w:themeColor="accent1"/>
                      <w:sz w:val="18"/>
                      <w:szCs w:val="18"/>
                      <w:lang w:val="en-GB" w:eastAsia="en-GB"/>
                    </w:rPr>
                  </w:pPr>
                </w:p>
              </w:tc>
              <w:tc>
                <w:tcPr>
                  <w:tcW w:w="783" w:type="dxa"/>
                  <w:tcBorders>
                    <w:top w:val="nil"/>
                    <w:left w:val="nil"/>
                    <w:bottom w:val="single" w:sz="8" w:space="0" w:color="FFFFFF"/>
                    <w:right w:val="single" w:sz="8" w:space="0" w:color="FFFFFF"/>
                  </w:tcBorders>
                  <w:shd w:val="clear" w:color="auto" w:fill="DBE5F1" w:themeFill="accent1" w:themeFillTint="33"/>
                  <w:vAlign w:val="center"/>
                </w:tcPr>
                <w:p w14:paraId="03BA02D1" w14:textId="77777777" w:rsidR="00921721" w:rsidRPr="00296507" w:rsidRDefault="00921721" w:rsidP="00880D09">
                  <w:pPr>
                    <w:jc w:val="center"/>
                    <w:rPr>
                      <w:rFonts w:asciiTheme="minorHAnsi" w:hAnsiTheme="minorHAnsi"/>
                      <w:color w:val="4F81BD" w:themeColor="accent1"/>
                      <w:sz w:val="18"/>
                      <w:szCs w:val="18"/>
                      <w:lang w:val="en-GB" w:eastAsia="en-GB"/>
                    </w:rPr>
                  </w:pPr>
                </w:p>
              </w:tc>
              <w:tc>
                <w:tcPr>
                  <w:tcW w:w="884" w:type="dxa"/>
                  <w:tcBorders>
                    <w:top w:val="nil"/>
                    <w:left w:val="nil"/>
                    <w:bottom w:val="single" w:sz="8" w:space="0" w:color="FFFFFF"/>
                    <w:right w:val="single" w:sz="8" w:space="0" w:color="FFFFFF"/>
                  </w:tcBorders>
                  <w:shd w:val="clear" w:color="auto" w:fill="DBE5F1" w:themeFill="accent1" w:themeFillTint="33"/>
                  <w:vAlign w:val="center"/>
                  <w:hideMark/>
                </w:tcPr>
                <w:p w14:paraId="120ABBA9" w14:textId="77777777" w:rsidR="00921721" w:rsidRPr="00CD7B3F" w:rsidRDefault="00921721" w:rsidP="00880D09">
                  <w:pPr>
                    <w:jc w:val="center"/>
                    <w:rPr>
                      <w:rFonts w:asciiTheme="minorHAnsi" w:hAnsiTheme="minorHAnsi"/>
                      <w:color w:val="4F81BD" w:themeColor="accent1"/>
                      <w:sz w:val="18"/>
                      <w:szCs w:val="18"/>
                      <w:lang w:val="en-GB" w:eastAsia="en-GB"/>
                    </w:rPr>
                  </w:pPr>
                  <w:r w:rsidRPr="00CD7B3F">
                    <w:rPr>
                      <w:rFonts w:asciiTheme="minorHAnsi" w:hAnsiTheme="minorHAnsi"/>
                      <w:color w:val="4F81BD" w:themeColor="accent1"/>
                      <w:sz w:val="18"/>
                      <w:szCs w:val="18"/>
                      <w:lang w:val="en-GB" w:eastAsia="en-GB"/>
                    </w:rPr>
                    <w:t>3.30%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40CE018D" w14:textId="77777777" w:rsidR="00921721" w:rsidRPr="00CD7B3F" w:rsidRDefault="00921721" w:rsidP="00880D09">
                  <w:pPr>
                    <w:jc w:val="center"/>
                    <w:rPr>
                      <w:rFonts w:asciiTheme="minorHAnsi" w:hAnsiTheme="minorHAnsi"/>
                      <w:color w:val="4F81BD" w:themeColor="accent1"/>
                      <w:sz w:val="18"/>
                      <w:szCs w:val="18"/>
                      <w:lang w:val="en-GB" w:eastAsia="en-GB"/>
                    </w:rPr>
                  </w:pPr>
                  <w:r w:rsidRPr="00CD7B3F">
                    <w:rPr>
                      <w:rFonts w:asciiTheme="minorHAnsi" w:hAnsiTheme="minorHAnsi"/>
                      <w:color w:val="4F81BD" w:themeColor="accent1"/>
                      <w:sz w:val="18"/>
                      <w:szCs w:val="18"/>
                      <w:lang w:val="en-GB" w:eastAsia="en-GB"/>
                    </w:rPr>
                    <w:t>3.20%</w:t>
                  </w:r>
                </w:p>
              </w:tc>
            </w:tr>
            <w:tr w:rsidR="00921721" w:rsidRPr="007463B9" w14:paraId="15F58E98" w14:textId="77777777" w:rsidTr="00880D09">
              <w:trPr>
                <w:trHeight w:hRule="exact" w:val="512"/>
              </w:trPr>
              <w:tc>
                <w:tcPr>
                  <w:tcW w:w="1117" w:type="dxa"/>
                  <w:tcBorders>
                    <w:top w:val="nil"/>
                    <w:left w:val="single" w:sz="8" w:space="0" w:color="FFFFFF"/>
                    <w:bottom w:val="single" w:sz="8" w:space="0" w:color="FFFFFF"/>
                    <w:right w:val="single" w:sz="8" w:space="0" w:color="FFFFFF"/>
                  </w:tcBorders>
                  <w:shd w:val="clear" w:color="auto" w:fill="A6A6A6" w:themeFill="background1" w:themeFillShade="A6"/>
                  <w:vAlign w:val="center"/>
                  <w:hideMark/>
                </w:tcPr>
                <w:p w14:paraId="379151B1"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Period</w:t>
                  </w:r>
                </w:p>
              </w:tc>
              <w:tc>
                <w:tcPr>
                  <w:tcW w:w="983" w:type="dxa"/>
                  <w:tcBorders>
                    <w:top w:val="nil"/>
                    <w:left w:val="nil"/>
                    <w:bottom w:val="single" w:sz="8" w:space="0" w:color="FFFFFF"/>
                    <w:right w:val="single" w:sz="8" w:space="0" w:color="FFFFFF"/>
                  </w:tcBorders>
                  <w:shd w:val="clear" w:color="auto" w:fill="A6A6A6" w:themeFill="background1" w:themeFillShade="A6"/>
                  <w:vAlign w:val="center"/>
                  <w:hideMark/>
                </w:tcPr>
                <w:p w14:paraId="5CF7D3BB"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2022</w:t>
                  </w:r>
                </w:p>
              </w:tc>
              <w:tc>
                <w:tcPr>
                  <w:tcW w:w="783" w:type="dxa"/>
                  <w:tcBorders>
                    <w:top w:val="nil"/>
                    <w:left w:val="nil"/>
                    <w:bottom w:val="single" w:sz="8" w:space="0" w:color="FFFFFF"/>
                    <w:right w:val="single" w:sz="8" w:space="0" w:color="FFFFFF"/>
                  </w:tcBorders>
                  <w:shd w:val="clear" w:color="auto" w:fill="A6A6A6" w:themeFill="background1" w:themeFillShade="A6"/>
                  <w:vAlign w:val="center"/>
                  <w:hideMark/>
                </w:tcPr>
                <w:p w14:paraId="2A82A45F"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2023</w:t>
                  </w:r>
                </w:p>
              </w:tc>
              <w:tc>
                <w:tcPr>
                  <w:tcW w:w="783" w:type="dxa"/>
                  <w:tcBorders>
                    <w:top w:val="nil"/>
                    <w:left w:val="nil"/>
                    <w:bottom w:val="single" w:sz="8" w:space="0" w:color="FFFFFF"/>
                    <w:right w:val="single" w:sz="8" w:space="0" w:color="FFFFFF"/>
                  </w:tcBorders>
                  <w:shd w:val="clear" w:color="auto" w:fill="A6A6A6" w:themeFill="background1" w:themeFillShade="A6"/>
                  <w:vAlign w:val="center"/>
                  <w:hideMark/>
                </w:tcPr>
                <w:p w14:paraId="70E89884"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2024</w:t>
                  </w:r>
                </w:p>
              </w:tc>
              <w:tc>
                <w:tcPr>
                  <w:tcW w:w="783" w:type="dxa"/>
                  <w:tcBorders>
                    <w:top w:val="nil"/>
                    <w:left w:val="nil"/>
                    <w:bottom w:val="single" w:sz="8" w:space="0" w:color="FFFFFF"/>
                    <w:right w:val="single" w:sz="8" w:space="0" w:color="FFFFFF"/>
                  </w:tcBorders>
                  <w:shd w:val="clear" w:color="auto" w:fill="A6A6A6" w:themeFill="background1" w:themeFillShade="A6"/>
                  <w:vAlign w:val="center"/>
                  <w:hideMark/>
                </w:tcPr>
                <w:p w14:paraId="262FEF26"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2025</w:t>
                  </w:r>
                </w:p>
              </w:tc>
              <w:tc>
                <w:tcPr>
                  <w:tcW w:w="783" w:type="dxa"/>
                  <w:tcBorders>
                    <w:top w:val="nil"/>
                    <w:left w:val="nil"/>
                    <w:bottom w:val="single" w:sz="8" w:space="0" w:color="FFFFFF"/>
                    <w:right w:val="single" w:sz="8" w:space="0" w:color="FFFFFF"/>
                  </w:tcBorders>
                  <w:shd w:val="clear" w:color="auto" w:fill="A6A6A6" w:themeFill="background1" w:themeFillShade="A6"/>
                  <w:vAlign w:val="center"/>
                  <w:hideMark/>
                </w:tcPr>
                <w:p w14:paraId="17F64D90"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2026</w:t>
                  </w:r>
                </w:p>
              </w:tc>
              <w:tc>
                <w:tcPr>
                  <w:tcW w:w="884" w:type="dxa"/>
                  <w:tcBorders>
                    <w:top w:val="nil"/>
                    <w:left w:val="nil"/>
                    <w:bottom w:val="single" w:sz="8" w:space="0" w:color="FFFFFF"/>
                    <w:right w:val="single" w:sz="8" w:space="0" w:color="FFFFFF"/>
                  </w:tcBorders>
                  <w:shd w:val="clear" w:color="auto" w:fill="A6A6A6" w:themeFill="background1" w:themeFillShade="A6"/>
                  <w:vAlign w:val="center"/>
                  <w:hideMark/>
                </w:tcPr>
                <w:p w14:paraId="5F0A4F19"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2027</w:t>
                  </w:r>
                </w:p>
              </w:tc>
              <w:tc>
                <w:tcPr>
                  <w:tcW w:w="783" w:type="dxa"/>
                  <w:tcBorders>
                    <w:top w:val="nil"/>
                    <w:left w:val="nil"/>
                    <w:bottom w:val="single" w:sz="8" w:space="0" w:color="FFFFFF"/>
                    <w:right w:val="single" w:sz="8" w:space="0" w:color="FFFFFF"/>
                  </w:tcBorders>
                  <w:shd w:val="clear" w:color="auto" w:fill="A6A6A6" w:themeFill="background1" w:themeFillShade="A6"/>
                  <w:vAlign w:val="center"/>
                  <w:hideMark/>
                </w:tcPr>
                <w:p w14:paraId="29895E5B"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2028</w:t>
                  </w:r>
                </w:p>
              </w:tc>
            </w:tr>
            <w:tr w:rsidR="00921721" w:rsidRPr="007463B9" w14:paraId="2C7BFA25" w14:textId="77777777" w:rsidTr="00880D09">
              <w:trPr>
                <w:trHeight w:val="424"/>
              </w:trPr>
              <w:tc>
                <w:tcPr>
                  <w:tcW w:w="1117"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086C2647"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GDP growth</w:t>
                  </w:r>
                </w:p>
              </w:tc>
              <w:tc>
                <w:tcPr>
                  <w:tcW w:w="983" w:type="dxa"/>
                  <w:tcBorders>
                    <w:top w:val="nil"/>
                    <w:left w:val="nil"/>
                    <w:bottom w:val="single" w:sz="8" w:space="0" w:color="FFFFFF"/>
                    <w:right w:val="single" w:sz="8" w:space="0" w:color="FFFFFF"/>
                  </w:tcBorders>
                  <w:shd w:val="clear" w:color="auto" w:fill="DBE5F1" w:themeFill="accent1" w:themeFillTint="33"/>
                  <w:vAlign w:val="center"/>
                  <w:hideMark/>
                </w:tcPr>
                <w:p w14:paraId="38052917"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3.10%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39063325"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3.00%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3DE4D979"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2.90%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0F77D84B"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2.80%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03B166DA"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2.80%</w:t>
                  </w:r>
                </w:p>
              </w:tc>
              <w:tc>
                <w:tcPr>
                  <w:tcW w:w="884" w:type="dxa"/>
                  <w:tcBorders>
                    <w:top w:val="nil"/>
                    <w:left w:val="nil"/>
                    <w:bottom w:val="single" w:sz="8" w:space="0" w:color="FFFFFF"/>
                    <w:right w:val="single" w:sz="8" w:space="0" w:color="FFFFFF"/>
                  </w:tcBorders>
                  <w:shd w:val="clear" w:color="auto" w:fill="DBE5F1" w:themeFill="accent1" w:themeFillTint="33"/>
                  <w:vAlign w:val="center"/>
                  <w:hideMark/>
                </w:tcPr>
                <w:p w14:paraId="47C3761D"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2.80%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309703DD"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2.70%</w:t>
                  </w:r>
                </w:p>
              </w:tc>
            </w:tr>
            <w:tr w:rsidR="00921721" w:rsidRPr="007463B9" w14:paraId="7C45E98D" w14:textId="77777777" w:rsidTr="00880D09">
              <w:trPr>
                <w:trHeight w:hRule="exact" w:val="548"/>
              </w:trPr>
              <w:tc>
                <w:tcPr>
                  <w:tcW w:w="1117" w:type="dxa"/>
                  <w:tcBorders>
                    <w:top w:val="nil"/>
                    <w:left w:val="single" w:sz="8" w:space="0" w:color="FFFFFF"/>
                    <w:bottom w:val="single" w:sz="8" w:space="0" w:color="FFFFFF"/>
                    <w:right w:val="single" w:sz="8" w:space="0" w:color="FFFFFF"/>
                  </w:tcBorders>
                  <w:shd w:val="clear" w:color="auto" w:fill="BFBFBF" w:themeFill="background1" w:themeFillShade="BF"/>
                  <w:vAlign w:val="center"/>
                  <w:hideMark/>
                </w:tcPr>
                <w:p w14:paraId="2B383482"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Period</w:t>
                  </w:r>
                </w:p>
              </w:tc>
              <w:tc>
                <w:tcPr>
                  <w:tcW w:w="983" w:type="dxa"/>
                  <w:tcBorders>
                    <w:top w:val="nil"/>
                    <w:left w:val="nil"/>
                    <w:bottom w:val="single" w:sz="8" w:space="0" w:color="FFFFFF"/>
                    <w:right w:val="single" w:sz="8" w:space="0" w:color="FFFFFF"/>
                  </w:tcBorders>
                  <w:shd w:val="clear" w:color="auto" w:fill="BFBFBF" w:themeFill="background1" w:themeFillShade="BF"/>
                  <w:vAlign w:val="center"/>
                  <w:hideMark/>
                </w:tcPr>
                <w:p w14:paraId="26433B9D"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2029</w:t>
                  </w:r>
                </w:p>
              </w:tc>
              <w:tc>
                <w:tcPr>
                  <w:tcW w:w="783" w:type="dxa"/>
                  <w:tcBorders>
                    <w:top w:val="nil"/>
                    <w:left w:val="nil"/>
                    <w:bottom w:val="single" w:sz="8" w:space="0" w:color="FFFFFF"/>
                    <w:right w:val="single" w:sz="8" w:space="0" w:color="FFFFFF"/>
                  </w:tcBorders>
                  <w:shd w:val="clear" w:color="auto" w:fill="BFBFBF" w:themeFill="background1" w:themeFillShade="BF"/>
                  <w:vAlign w:val="center"/>
                  <w:hideMark/>
                </w:tcPr>
                <w:p w14:paraId="7C52CE72"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2030</w:t>
                  </w:r>
                </w:p>
              </w:tc>
              <w:tc>
                <w:tcPr>
                  <w:tcW w:w="783" w:type="dxa"/>
                  <w:tcBorders>
                    <w:top w:val="nil"/>
                    <w:left w:val="nil"/>
                    <w:bottom w:val="single" w:sz="8" w:space="0" w:color="FFFFFF"/>
                    <w:right w:val="single" w:sz="8" w:space="0" w:color="FFFFFF"/>
                  </w:tcBorders>
                  <w:shd w:val="clear" w:color="auto" w:fill="BFBFBF" w:themeFill="background1" w:themeFillShade="BF"/>
                  <w:vAlign w:val="center"/>
                  <w:hideMark/>
                </w:tcPr>
                <w:p w14:paraId="0FC6F882"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2031</w:t>
                  </w:r>
                </w:p>
              </w:tc>
              <w:tc>
                <w:tcPr>
                  <w:tcW w:w="783" w:type="dxa"/>
                  <w:tcBorders>
                    <w:top w:val="nil"/>
                    <w:left w:val="nil"/>
                    <w:bottom w:val="single" w:sz="8" w:space="0" w:color="FFFFFF"/>
                    <w:right w:val="single" w:sz="8" w:space="0" w:color="FFFFFF"/>
                  </w:tcBorders>
                  <w:shd w:val="clear" w:color="auto" w:fill="BFBFBF" w:themeFill="background1" w:themeFillShade="BF"/>
                  <w:vAlign w:val="center"/>
                  <w:hideMark/>
                </w:tcPr>
                <w:p w14:paraId="5F3847E6"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2032</w:t>
                  </w:r>
                </w:p>
              </w:tc>
              <w:tc>
                <w:tcPr>
                  <w:tcW w:w="783" w:type="dxa"/>
                  <w:tcBorders>
                    <w:top w:val="nil"/>
                    <w:left w:val="nil"/>
                    <w:bottom w:val="single" w:sz="8" w:space="0" w:color="FFFFFF"/>
                    <w:right w:val="single" w:sz="8" w:space="0" w:color="FFFFFF"/>
                  </w:tcBorders>
                  <w:shd w:val="clear" w:color="auto" w:fill="BFBFBF" w:themeFill="background1" w:themeFillShade="BF"/>
                  <w:vAlign w:val="center"/>
                  <w:hideMark/>
                </w:tcPr>
                <w:p w14:paraId="0D2B36FF"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2033</w:t>
                  </w:r>
                </w:p>
              </w:tc>
              <w:tc>
                <w:tcPr>
                  <w:tcW w:w="884" w:type="dxa"/>
                  <w:tcBorders>
                    <w:top w:val="nil"/>
                    <w:left w:val="nil"/>
                    <w:bottom w:val="single" w:sz="8" w:space="0" w:color="FFFFFF"/>
                    <w:right w:val="single" w:sz="8" w:space="0" w:color="FFFFFF"/>
                  </w:tcBorders>
                  <w:shd w:val="clear" w:color="auto" w:fill="BFBFBF" w:themeFill="background1" w:themeFillShade="BF"/>
                  <w:vAlign w:val="center"/>
                  <w:hideMark/>
                </w:tcPr>
                <w:p w14:paraId="4DE99274"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2034</w:t>
                  </w:r>
                </w:p>
              </w:tc>
              <w:tc>
                <w:tcPr>
                  <w:tcW w:w="783" w:type="dxa"/>
                  <w:tcBorders>
                    <w:top w:val="nil"/>
                    <w:left w:val="nil"/>
                    <w:bottom w:val="single" w:sz="8" w:space="0" w:color="FFFFFF"/>
                    <w:right w:val="single" w:sz="8" w:space="0" w:color="FFFFFF"/>
                  </w:tcBorders>
                  <w:shd w:val="clear" w:color="auto" w:fill="BFBFBF" w:themeFill="background1" w:themeFillShade="BF"/>
                  <w:vAlign w:val="center"/>
                  <w:hideMark/>
                </w:tcPr>
                <w:p w14:paraId="14A4405D" w14:textId="77777777" w:rsidR="00921721" w:rsidRPr="00731E4E" w:rsidRDefault="00921721" w:rsidP="00880D09">
                  <w:pPr>
                    <w:jc w:val="center"/>
                    <w:rPr>
                      <w:rFonts w:asciiTheme="minorHAnsi" w:hAnsiTheme="minorHAnsi"/>
                      <w:b/>
                      <w:bCs/>
                      <w:color w:val="FFFFFF"/>
                      <w:sz w:val="18"/>
                      <w:szCs w:val="18"/>
                      <w:lang w:val="en-GB" w:eastAsia="en-GB"/>
                    </w:rPr>
                  </w:pPr>
                  <w:r w:rsidRPr="00731E4E">
                    <w:rPr>
                      <w:rFonts w:asciiTheme="minorHAnsi" w:hAnsiTheme="minorHAnsi"/>
                      <w:b/>
                      <w:bCs/>
                      <w:color w:val="FFFFFF"/>
                      <w:sz w:val="18"/>
                      <w:szCs w:val="18"/>
                      <w:lang w:val="en-GB" w:eastAsia="en-GB"/>
                    </w:rPr>
                    <w:t>2035</w:t>
                  </w:r>
                </w:p>
              </w:tc>
            </w:tr>
            <w:tr w:rsidR="00921721" w:rsidRPr="007463B9" w14:paraId="44D6CFEF" w14:textId="77777777" w:rsidTr="00880D09">
              <w:trPr>
                <w:trHeight w:val="392"/>
              </w:trPr>
              <w:tc>
                <w:tcPr>
                  <w:tcW w:w="1117"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211DC827"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GDP growth</w:t>
                  </w:r>
                </w:p>
              </w:tc>
              <w:tc>
                <w:tcPr>
                  <w:tcW w:w="983" w:type="dxa"/>
                  <w:tcBorders>
                    <w:top w:val="nil"/>
                    <w:left w:val="nil"/>
                    <w:bottom w:val="single" w:sz="8" w:space="0" w:color="FFFFFF"/>
                    <w:right w:val="single" w:sz="8" w:space="0" w:color="FFFFFF"/>
                  </w:tcBorders>
                  <w:shd w:val="clear" w:color="auto" w:fill="DBE5F1" w:themeFill="accent1" w:themeFillTint="33"/>
                  <w:vAlign w:val="center"/>
                  <w:hideMark/>
                </w:tcPr>
                <w:p w14:paraId="0E943273"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2.70%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666014AE"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2.70%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0F064C2D"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2.60%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7FA52293"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2.60%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7D2C657F"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2.60%</w:t>
                  </w:r>
                </w:p>
              </w:tc>
              <w:tc>
                <w:tcPr>
                  <w:tcW w:w="884" w:type="dxa"/>
                  <w:tcBorders>
                    <w:top w:val="nil"/>
                    <w:left w:val="nil"/>
                    <w:bottom w:val="single" w:sz="8" w:space="0" w:color="FFFFFF"/>
                    <w:right w:val="single" w:sz="8" w:space="0" w:color="FFFFFF"/>
                  </w:tcBorders>
                  <w:shd w:val="clear" w:color="auto" w:fill="DBE5F1" w:themeFill="accent1" w:themeFillTint="33"/>
                  <w:vAlign w:val="center"/>
                  <w:hideMark/>
                </w:tcPr>
                <w:p w14:paraId="2B3EC255"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2.50%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21B200D6"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2.50%</w:t>
                  </w:r>
                </w:p>
              </w:tc>
            </w:tr>
            <w:tr w:rsidR="00921721" w:rsidRPr="007463B9" w14:paraId="43D317F2" w14:textId="77777777" w:rsidTr="00880D09">
              <w:trPr>
                <w:trHeight w:hRule="exact" w:val="538"/>
              </w:trPr>
              <w:tc>
                <w:tcPr>
                  <w:tcW w:w="1117" w:type="dxa"/>
                  <w:tcBorders>
                    <w:top w:val="nil"/>
                    <w:left w:val="single" w:sz="8" w:space="0" w:color="FFFFFF"/>
                    <w:bottom w:val="single" w:sz="8" w:space="0" w:color="FFFFFF"/>
                    <w:right w:val="single" w:sz="8" w:space="0" w:color="FFFFFF"/>
                  </w:tcBorders>
                  <w:shd w:val="clear" w:color="auto" w:fill="D9D9D9" w:themeFill="background1" w:themeFillShade="D9"/>
                  <w:vAlign w:val="center"/>
                  <w:hideMark/>
                </w:tcPr>
                <w:p w14:paraId="7FF3D485" w14:textId="77777777" w:rsidR="00921721" w:rsidRPr="009D596D" w:rsidRDefault="00921721" w:rsidP="00880D09">
                  <w:pPr>
                    <w:jc w:val="center"/>
                    <w:rPr>
                      <w:rFonts w:asciiTheme="minorHAnsi" w:hAnsiTheme="minorHAnsi"/>
                      <w:b/>
                      <w:bCs/>
                      <w:color w:val="808080" w:themeColor="background1" w:themeShade="80"/>
                      <w:sz w:val="18"/>
                      <w:szCs w:val="18"/>
                      <w:lang w:val="en-GB" w:eastAsia="en-GB"/>
                    </w:rPr>
                  </w:pPr>
                  <w:r w:rsidRPr="009D596D">
                    <w:rPr>
                      <w:rFonts w:asciiTheme="minorHAnsi" w:hAnsiTheme="minorHAnsi"/>
                      <w:b/>
                      <w:bCs/>
                      <w:color w:val="808080" w:themeColor="background1" w:themeShade="80"/>
                      <w:sz w:val="18"/>
                      <w:szCs w:val="18"/>
                      <w:lang w:val="en-GB" w:eastAsia="en-GB"/>
                    </w:rPr>
                    <w:t>Period</w:t>
                  </w:r>
                </w:p>
              </w:tc>
              <w:tc>
                <w:tcPr>
                  <w:tcW w:w="983" w:type="dxa"/>
                  <w:tcBorders>
                    <w:top w:val="nil"/>
                    <w:left w:val="nil"/>
                    <w:bottom w:val="single" w:sz="8" w:space="0" w:color="FFFFFF"/>
                    <w:right w:val="single" w:sz="8" w:space="0" w:color="FFFFFF"/>
                  </w:tcBorders>
                  <w:shd w:val="clear" w:color="auto" w:fill="D9D9D9" w:themeFill="background1" w:themeFillShade="D9"/>
                  <w:vAlign w:val="center"/>
                  <w:hideMark/>
                </w:tcPr>
                <w:p w14:paraId="482CE435" w14:textId="77777777" w:rsidR="00921721" w:rsidRPr="009D596D" w:rsidRDefault="00921721" w:rsidP="00880D09">
                  <w:pPr>
                    <w:jc w:val="center"/>
                    <w:rPr>
                      <w:rFonts w:asciiTheme="minorHAnsi" w:hAnsiTheme="minorHAnsi"/>
                      <w:b/>
                      <w:bCs/>
                      <w:color w:val="808080" w:themeColor="background1" w:themeShade="80"/>
                      <w:sz w:val="18"/>
                      <w:szCs w:val="18"/>
                      <w:lang w:val="en-GB" w:eastAsia="en-GB"/>
                    </w:rPr>
                  </w:pPr>
                  <w:r w:rsidRPr="009D596D">
                    <w:rPr>
                      <w:rFonts w:asciiTheme="minorHAnsi" w:hAnsiTheme="minorHAnsi"/>
                      <w:b/>
                      <w:bCs/>
                      <w:color w:val="808080" w:themeColor="background1" w:themeShade="80"/>
                      <w:sz w:val="18"/>
                      <w:szCs w:val="18"/>
                      <w:lang w:val="en-GB" w:eastAsia="en-GB"/>
                    </w:rPr>
                    <w:t>2036</w:t>
                  </w:r>
                </w:p>
              </w:tc>
              <w:tc>
                <w:tcPr>
                  <w:tcW w:w="783" w:type="dxa"/>
                  <w:tcBorders>
                    <w:top w:val="nil"/>
                    <w:left w:val="nil"/>
                    <w:bottom w:val="single" w:sz="8" w:space="0" w:color="FFFFFF"/>
                    <w:right w:val="single" w:sz="8" w:space="0" w:color="FFFFFF"/>
                  </w:tcBorders>
                  <w:shd w:val="clear" w:color="auto" w:fill="D9D9D9" w:themeFill="background1" w:themeFillShade="D9"/>
                  <w:vAlign w:val="center"/>
                  <w:hideMark/>
                </w:tcPr>
                <w:p w14:paraId="7D3BA2B0" w14:textId="77777777" w:rsidR="00921721" w:rsidRPr="009D596D" w:rsidRDefault="00921721" w:rsidP="00880D09">
                  <w:pPr>
                    <w:jc w:val="center"/>
                    <w:rPr>
                      <w:rFonts w:asciiTheme="minorHAnsi" w:hAnsiTheme="minorHAnsi"/>
                      <w:b/>
                      <w:bCs/>
                      <w:color w:val="808080" w:themeColor="background1" w:themeShade="80"/>
                      <w:sz w:val="18"/>
                      <w:szCs w:val="18"/>
                      <w:lang w:val="en-GB" w:eastAsia="en-GB"/>
                    </w:rPr>
                  </w:pPr>
                  <w:r w:rsidRPr="009D596D">
                    <w:rPr>
                      <w:rFonts w:asciiTheme="minorHAnsi" w:hAnsiTheme="minorHAnsi"/>
                      <w:b/>
                      <w:bCs/>
                      <w:color w:val="808080" w:themeColor="background1" w:themeShade="80"/>
                      <w:sz w:val="18"/>
                      <w:szCs w:val="18"/>
                      <w:lang w:val="en-GB" w:eastAsia="en-GB"/>
                    </w:rPr>
                    <w:t>2037</w:t>
                  </w:r>
                </w:p>
              </w:tc>
              <w:tc>
                <w:tcPr>
                  <w:tcW w:w="783" w:type="dxa"/>
                  <w:tcBorders>
                    <w:top w:val="nil"/>
                    <w:left w:val="nil"/>
                    <w:bottom w:val="single" w:sz="8" w:space="0" w:color="FFFFFF"/>
                    <w:right w:val="single" w:sz="8" w:space="0" w:color="FFFFFF"/>
                  </w:tcBorders>
                  <w:shd w:val="clear" w:color="auto" w:fill="D9D9D9" w:themeFill="background1" w:themeFillShade="D9"/>
                  <w:vAlign w:val="center"/>
                  <w:hideMark/>
                </w:tcPr>
                <w:p w14:paraId="73DD272E" w14:textId="77777777" w:rsidR="00921721" w:rsidRPr="009D596D" w:rsidRDefault="00921721" w:rsidP="00880D09">
                  <w:pPr>
                    <w:jc w:val="center"/>
                    <w:rPr>
                      <w:rFonts w:asciiTheme="minorHAnsi" w:hAnsiTheme="minorHAnsi"/>
                      <w:b/>
                      <w:bCs/>
                      <w:color w:val="808080" w:themeColor="background1" w:themeShade="80"/>
                      <w:sz w:val="18"/>
                      <w:szCs w:val="18"/>
                      <w:lang w:val="en-GB" w:eastAsia="en-GB"/>
                    </w:rPr>
                  </w:pPr>
                  <w:r w:rsidRPr="009D596D">
                    <w:rPr>
                      <w:rFonts w:asciiTheme="minorHAnsi" w:hAnsiTheme="minorHAnsi"/>
                      <w:b/>
                      <w:bCs/>
                      <w:color w:val="808080" w:themeColor="background1" w:themeShade="80"/>
                      <w:sz w:val="18"/>
                      <w:szCs w:val="18"/>
                      <w:lang w:val="en-GB" w:eastAsia="en-GB"/>
                    </w:rPr>
                    <w:t>2038</w:t>
                  </w:r>
                </w:p>
              </w:tc>
              <w:tc>
                <w:tcPr>
                  <w:tcW w:w="783" w:type="dxa"/>
                  <w:tcBorders>
                    <w:top w:val="nil"/>
                    <w:left w:val="nil"/>
                    <w:bottom w:val="single" w:sz="8" w:space="0" w:color="FFFFFF"/>
                    <w:right w:val="single" w:sz="8" w:space="0" w:color="FFFFFF"/>
                  </w:tcBorders>
                  <w:shd w:val="clear" w:color="auto" w:fill="D9D9D9" w:themeFill="background1" w:themeFillShade="D9"/>
                  <w:vAlign w:val="center"/>
                  <w:hideMark/>
                </w:tcPr>
                <w:p w14:paraId="063509A0" w14:textId="77777777" w:rsidR="00921721" w:rsidRPr="009D596D" w:rsidRDefault="00921721" w:rsidP="00880D09">
                  <w:pPr>
                    <w:jc w:val="center"/>
                    <w:rPr>
                      <w:rFonts w:asciiTheme="minorHAnsi" w:hAnsiTheme="minorHAnsi"/>
                      <w:b/>
                      <w:bCs/>
                      <w:color w:val="808080" w:themeColor="background1" w:themeShade="80"/>
                      <w:sz w:val="18"/>
                      <w:szCs w:val="18"/>
                      <w:lang w:val="en-GB" w:eastAsia="en-GB"/>
                    </w:rPr>
                  </w:pPr>
                  <w:r w:rsidRPr="009D596D">
                    <w:rPr>
                      <w:rFonts w:asciiTheme="minorHAnsi" w:hAnsiTheme="minorHAnsi"/>
                      <w:b/>
                      <w:bCs/>
                      <w:color w:val="808080" w:themeColor="background1" w:themeShade="80"/>
                      <w:sz w:val="18"/>
                      <w:szCs w:val="18"/>
                      <w:lang w:val="en-GB" w:eastAsia="en-GB"/>
                    </w:rPr>
                    <w:t>2039</w:t>
                  </w:r>
                </w:p>
              </w:tc>
              <w:tc>
                <w:tcPr>
                  <w:tcW w:w="783" w:type="dxa"/>
                  <w:tcBorders>
                    <w:top w:val="nil"/>
                    <w:left w:val="nil"/>
                    <w:bottom w:val="single" w:sz="8" w:space="0" w:color="FFFFFF"/>
                    <w:right w:val="single" w:sz="8" w:space="0" w:color="FFFFFF"/>
                  </w:tcBorders>
                  <w:shd w:val="clear" w:color="auto" w:fill="D9D9D9" w:themeFill="background1" w:themeFillShade="D9"/>
                  <w:vAlign w:val="center"/>
                  <w:hideMark/>
                </w:tcPr>
                <w:p w14:paraId="3BBEE09E" w14:textId="77777777" w:rsidR="00921721" w:rsidRPr="009D596D" w:rsidRDefault="00921721" w:rsidP="00880D09">
                  <w:pPr>
                    <w:jc w:val="center"/>
                    <w:rPr>
                      <w:rFonts w:asciiTheme="minorHAnsi" w:hAnsiTheme="minorHAnsi"/>
                      <w:b/>
                      <w:bCs/>
                      <w:color w:val="808080" w:themeColor="background1" w:themeShade="80"/>
                      <w:sz w:val="18"/>
                      <w:szCs w:val="18"/>
                      <w:lang w:val="en-GB" w:eastAsia="en-GB"/>
                    </w:rPr>
                  </w:pPr>
                  <w:r w:rsidRPr="009D596D">
                    <w:rPr>
                      <w:rFonts w:asciiTheme="minorHAnsi" w:hAnsiTheme="minorHAnsi"/>
                      <w:b/>
                      <w:bCs/>
                      <w:color w:val="808080" w:themeColor="background1" w:themeShade="80"/>
                      <w:sz w:val="18"/>
                      <w:szCs w:val="18"/>
                      <w:lang w:val="en-GB" w:eastAsia="en-GB"/>
                    </w:rPr>
                    <w:t>2040</w:t>
                  </w:r>
                </w:p>
              </w:tc>
              <w:tc>
                <w:tcPr>
                  <w:tcW w:w="884" w:type="dxa"/>
                  <w:tcBorders>
                    <w:top w:val="nil"/>
                    <w:left w:val="nil"/>
                    <w:bottom w:val="single" w:sz="8" w:space="0" w:color="FFFFFF"/>
                    <w:right w:val="single" w:sz="8" w:space="0" w:color="FFFFFF"/>
                  </w:tcBorders>
                  <w:shd w:val="clear" w:color="auto" w:fill="D9D9D9" w:themeFill="background1" w:themeFillShade="D9"/>
                  <w:vAlign w:val="center"/>
                  <w:hideMark/>
                </w:tcPr>
                <w:p w14:paraId="24BBEEA8" w14:textId="77777777" w:rsidR="00921721" w:rsidRPr="009D596D" w:rsidRDefault="00921721" w:rsidP="00880D09">
                  <w:pPr>
                    <w:jc w:val="center"/>
                    <w:rPr>
                      <w:rFonts w:asciiTheme="minorHAnsi" w:hAnsiTheme="minorHAnsi"/>
                      <w:b/>
                      <w:bCs/>
                      <w:color w:val="808080" w:themeColor="background1" w:themeShade="80"/>
                      <w:sz w:val="18"/>
                      <w:szCs w:val="18"/>
                      <w:lang w:val="en-GB" w:eastAsia="en-GB"/>
                    </w:rPr>
                  </w:pPr>
                  <w:r w:rsidRPr="009D596D">
                    <w:rPr>
                      <w:rFonts w:asciiTheme="minorHAnsi" w:hAnsiTheme="minorHAnsi"/>
                      <w:b/>
                      <w:bCs/>
                      <w:color w:val="808080" w:themeColor="background1" w:themeShade="80"/>
                      <w:sz w:val="18"/>
                      <w:szCs w:val="18"/>
                      <w:lang w:val="en-GB" w:eastAsia="en-GB"/>
                    </w:rPr>
                    <w:t>2041</w:t>
                  </w:r>
                </w:p>
              </w:tc>
              <w:tc>
                <w:tcPr>
                  <w:tcW w:w="783" w:type="dxa"/>
                  <w:tcBorders>
                    <w:top w:val="nil"/>
                    <w:left w:val="nil"/>
                    <w:bottom w:val="single" w:sz="8" w:space="0" w:color="FFFFFF"/>
                    <w:right w:val="single" w:sz="8" w:space="0" w:color="FFFFFF"/>
                  </w:tcBorders>
                  <w:shd w:val="clear" w:color="auto" w:fill="D9D9D9" w:themeFill="background1" w:themeFillShade="D9"/>
                  <w:vAlign w:val="center"/>
                  <w:hideMark/>
                </w:tcPr>
                <w:p w14:paraId="58BF7407" w14:textId="77777777" w:rsidR="00921721" w:rsidRPr="009D596D" w:rsidRDefault="00921721" w:rsidP="00880D09">
                  <w:pPr>
                    <w:jc w:val="center"/>
                    <w:rPr>
                      <w:rFonts w:asciiTheme="minorHAnsi" w:hAnsiTheme="minorHAnsi"/>
                      <w:b/>
                      <w:bCs/>
                      <w:color w:val="808080" w:themeColor="background1" w:themeShade="80"/>
                      <w:sz w:val="18"/>
                      <w:szCs w:val="18"/>
                      <w:lang w:val="en-GB" w:eastAsia="en-GB"/>
                    </w:rPr>
                  </w:pPr>
                  <w:r w:rsidRPr="009D596D">
                    <w:rPr>
                      <w:rFonts w:asciiTheme="minorHAnsi" w:hAnsiTheme="minorHAnsi"/>
                      <w:b/>
                      <w:bCs/>
                      <w:color w:val="808080" w:themeColor="background1" w:themeShade="80"/>
                      <w:sz w:val="18"/>
                      <w:szCs w:val="18"/>
                      <w:lang w:val="en-GB" w:eastAsia="en-GB"/>
                    </w:rPr>
                    <w:t>2042</w:t>
                  </w:r>
                </w:p>
              </w:tc>
            </w:tr>
            <w:tr w:rsidR="00921721" w:rsidRPr="007463B9" w14:paraId="02722895" w14:textId="77777777" w:rsidTr="00880D09">
              <w:trPr>
                <w:trHeight w:val="405"/>
              </w:trPr>
              <w:tc>
                <w:tcPr>
                  <w:tcW w:w="1117"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144A6BDE"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GDP growth</w:t>
                  </w:r>
                </w:p>
              </w:tc>
              <w:tc>
                <w:tcPr>
                  <w:tcW w:w="983" w:type="dxa"/>
                  <w:tcBorders>
                    <w:top w:val="nil"/>
                    <w:left w:val="nil"/>
                    <w:bottom w:val="single" w:sz="8" w:space="0" w:color="FFFFFF"/>
                    <w:right w:val="single" w:sz="8" w:space="0" w:color="FFFFFF"/>
                  </w:tcBorders>
                  <w:shd w:val="clear" w:color="auto" w:fill="DBE5F1" w:themeFill="accent1" w:themeFillTint="33"/>
                  <w:vAlign w:val="center"/>
                  <w:hideMark/>
                </w:tcPr>
                <w:p w14:paraId="0618EC08"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2.40%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0523B438"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2.40%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45C57C7E"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2.30%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4445D7CC"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2.20%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467487C6"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2.10%</w:t>
                  </w:r>
                </w:p>
              </w:tc>
              <w:tc>
                <w:tcPr>
                  <w:tcW w:w="884" w:type="dxa"/>
                  <w:tcBorders>
                    <w:top w:val="nil"/>
                    <w:left w:val="nil"/>
                    <w:bottom w:val="single" w:sz="8" w:space="0" w:color="FFFFFF"/>
                    <w:right w:val="single" w:sz="8" w:space="0" w:color="FFFFFF"/>
                  </w:tcBorders>
                  <w:shd w:val="clear" w:color="auto" w:fill="DBE5F1" w:themeFill="accent1" w:themeFillTint="33"/>
                  <w:vAlign w:val="center"/>
                  <w:hideMark/>
                </w:tcPr>
                <w:p w14:paraId="7F898886"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1.00%</w:t>
                  </w:r>
                </w:p>
              </w:tc>
              <w:tc>
                <w:tcPr>
                  <w:tcW w:w="783" w:type="dxa"/>
                  <w:tcBorders>
                    <w:top w:val="nil"/>
                    <w:left w:val="nil"/>
                    <w:bottom w:val="single" w:sz="8" w:space="0" w:color="FFFFFF"/>
                    <w:right w:val="single" w:sz="8" w:space="0" w:color="FFFFFF"/>
                  </w:tcBorders>
                  <w:shd w:val="clear" w:color="auto" w:fill="DBE5F1" w:themeFill="accent1" w:themeFillTint="33"/>
                  <w:vAlign w:val="center"/>
                  <w:hideMark/>
                </w:tcPr>
                <w:p w14:paraId="5A477576" w14:textId="77777777" w:rsidR="00921721" w:rsidRPr="00296507" w:rsidRDefault="00921721" w:rsidP="00880D09">
                  <w:pPr>
                    <w:jc w:val="center"/>
                    <w:rPr>
                      <w:rFonts w:asciiTheme="minorHAnsi" w:hAnsiTheme="minorHAnsi"/>
                      <w:color w:val="4F81BD" w:themeColor="accent1"/>
                      <w:sz w:val="18"/>
                      <w:szCs w:val="18"/>
                      <w:lang w:val="en-GB" w:eastAsia="en-GB"/>
                    </w:rPr>
                  </w:pPr>
                  <w:r w:rsidRPr="00296507">
                    <w:rPr>
                      <w:rFonts w:asciiTheme="minorHAnsi" w:hAnsiTheme="minorHAnsi"/>
                      <w:color w:val="4F81BD" w:themeColor="accent1"/>
                      <w:sz w:val="18"/>
                      <w:szCs w:val="18"/>
                      <w:lang w:val="en-GB" w:eastAsia="en-GB"/>
                    </w:rPr>
                    <w:t>1.00%</w:t>
                  </w:r>
                </w:p>
              </w:tc>
            </w:tr>
          </w:tbl>
          <w:p w14:paraId="708B8124" w14:textId="77777777" w:rsidR="00921721" w:rsidRPr="00921721" w:rsidRDefault="00921721" w:rsidP="00880D09">
            <w:pPr>
              <w:spacing w:before="120"/>
              <w:ind w:right="170"/>
              <w:jc w:val="both"/>
              <w:rPr>
                <w:rFonts w:asciiTheme="minorHAnsi" w:hAnsiTheme="minorHAnsi" w:cs="Arial"/>
                <w:sz w:val="16"/>
                <w:szCs w:val="16"/>
                <w:lang w:val="en-GB"/>
              </w:rPr>
            </w:pPr>
            <w:r w:rsidRPr="00921721">
              <w:rPr>
                <w:rFonts w:asciiTheme="minorHAnsi" w:hAnsiTheme="minorHAnsi" w:cs="Arial"/>
                <w:b/>
                <w:i/>
                <w:sz w:val="16"/>
                <w:szCs w:val="16"/>
                <w:lang w:val="en-GB"/>
              </w:rPr>
              <w:t xml:space="preserve">Source: Prognozy wskaźnika wzrostu PKB na okres 2008-2040,  GDDKiA, </w:t>
            </w:r>
            <w:hyperlink r:id="rId143" w:history="1">
              <w:r w:rsidRPr="00921721">
                <w:rPr>
                  <w:rStyle w:val="Hipercze"/>
                  <w:rFonts w:asciiTheme="minorHAnsi" w:hAnsiTheme="minorHAnsi"/>
                  <w:sz w:val="16"/>
                  <w:szCs w:val="16"/>
                  <w:lang w:val="en-GB"/>
                </w:rPr>
                <w:t>http://www.gddkia.gov.pl/pl/992/zalozenia-do-prognoz-ruchu</w:t>
              </w:r>
            </w:hyperlink>
            <w:r w:rsidRPr="00921721">
              <w:rPr>
                <w:rFonts w:asciiTheme="minorHAnsi" w:hAnsiTheme="minorHAnsi" w:cs="Arial"/>
                <w:sz w:val="16"/>
                <w:szCs w:val="16"/>
                <w:lang w:val="en-GB"/>
              </w:rPr>
              <w:t xml:space="preserve"> . </w:t>
            </w:r>
          </w:p>
          <w:p w14:paraId="32E637F2" w14:textId="77777777" w:rsidR="00921721" w:rsidRPr="00296507" w:rsidRDefault="00921721" w:rsidP="00880D09">
            <w:pPr>
              <w:ind w:right="170"/>
              <w:jc w:val="both"/>
              <w:rPr>
                <w:rFonts w:asciiTheme="minorHAnsi" w:hAnsiTheme="minorHAnsi" w:cs="Arial"/>
                <w:sz w:val="16"/>
                <w:szCs w:val="16"/>
                <w:lang w:val="en-GB"/>
              </w:rPr>
            </w:pPr>
            <w:r w:rsidRPr="00731E4E">
              <w:rPr>
                <w:rFonts w:asciiTheme="minorHAnsi" w:hAnsiTheme="minorHAnsi" w:cs="Arial"/>
                <w:sz w:val="16"/>
                <w:szCs w:val="16"/>
                <w:lang w:val="en-GB"/>
              </w:rPr>
              <w:t>From 2041-2042,</w:t>
            </w:r>
            <w:r>
              <w:rPr>
                <w:rFonts w:asciiTheme="minorHAnsi" w:hAnsiTheme="minorHAnsi" w:cs="Arial"/>
                <w:sz w:val="16"/>
                <w:szCs w:val="16"/>
                <w:lang w:val="en-GB"/>
              </w:rPr>
              <w:t xml:space="preserve"> a </w:t>
            </w:r>
            <w:r w:rsidRPr="00731E4E">
              <w:rPr>
                <w:rFonts w:asciiTheme="minorHAnsi" w:hAnsiTheme="minorHAnsi" w:cs="Arial"/>
                <w:sz w:val="16"/>
                <w:szCs w:val="16"/>
                <w:lang w:val="en-GB"/>
              </w:rPr>
              <w:t>conservative assumption of 1% GDP growth has been made.</w:t>
            </w:r>
          </w:p>
          <w:p w14:paraId="44FCFEAE" w14:textId="77777777" w:rsidR="00921721" w:rsidRPr="006321BC" w:rsidRDefault="00921721" w:rsidP="00880D09">
            <w:pPr>
              <w:pStyle w:val="anxnormal"/>
              <w:ind w:left="0"/>
              <w:rPr>
                <w:rFonts w:asciiTheme="minorHAnsi" w:hAnsiTheme="minorHAnsi"/>
                <w:lang w:val="en-GB" w:eastAsia="en-US"/>
              </w:rPr>
            </w:pPr>
            <w:r w:rsidRPr="00296507">
              <w:rPr>
                <w:rFonts w:asciiTheme="minorHAnsi" w:hAnsiTheme="minorHAnsi"/>
                <w:lang w:val="en-GB" w:eastAsia="en-US"/>
              </w:rPr>
              <w:t>For regional GDP growth rates (voivod</w:t>
            </w:r>
            <w:r>
              <w:rPr>
                <w:rFonts w:asciiTheme="minorHAnsi" w:hAnsiTheme="minorHAnsi"/>
                <w:lang w:val="en-GB" w:eastAsia="en-US"/>
              </w:rPr>
              <w:t>e</w:t>
            </w:r>
            <w:r w:rsidRPr="00296507">
              <w:rPr>
                <w:rFonts w:asciiTheme="minorHAnsi" w:hAnsiTheme="minorHAnsi"/>
                <w:lang w:val="en-GB" w:eastAsia="en-US"/>
              </w:rPr>
              <w:t xml:space="preserve">ship or agglomeration level), please refer to the same source above:  “Analysis of the forecast of GDP until 2040 for the purpose of traffic forecast”, prepared in 2012 for GDDKiA, </w:t>
            </w:r>
            <w:hyperlink r:id="rId144" w:history="1">
              <w:r w:rsidRPr="00296507">
                <w:rPr>
                  <w:rStyle w:val="Hipercze"/>
                  <w:rFonts w:asciiTheme="minorHAnsi" w:hAnsiTheme="minorHAnsi"/>
                  <w:lang w:val="en-GB" w:eastAsia="en-GB"/>
                </w:rPr>
                <w:t>http://www.gddkia.gov.pl/pl/992/zalozenia-do-prognoz-ruchu</w:t>
              </w:r>
            </w:hyperlink>
            <w:r w:rsidRPr="006321BC">
              <w:rPr>
                <w:rFonts w:asciiTheme="minorHAnsi" w:hAnsiTheme="minorHAnsi"/>
                <w:lang w:val="en-GB" w:eastAsia="en-US"/>
              </w:rPr>
              <w:t>.</w:t>
            </w:r>
          </w:p>
          <w:p w14:paraId="38C322CB" w14:textId="77777777" w:rsidR="00921721" w:rsidRPr="006321BC" w:rsidRDefault="00921721" w:rsidP="00880D09">
            <w:pPr>
              <w:pStyle w:val="anxnormal"/>
              <w:spacing w:after="120"/>
              <w:ind w:left="0"/>
              <w:rPr>
                <w:rFonts w:asciiTheme="minorHAnsi" w:hAnsiTheme="minorHAnsi"/>
                <w:lang w:val="en-GB" w:eastAsia="en-US"/>
              </w:rPr>
            </w:pPr>
          </w:p>
          <w:p w14:paraId="311A8776" w14:textId="77777777" w:rsidR="00921721" w:rsidRPr="006321BC" w:rsidRDefault="00921721" w:rsidP="00880D09">
            <w:pPr>
              <w:pStyle w:val="anxnormal"/>
              <w:spacing w:after="120"/>
              <w:ind w:left="0"/>
              <w:rPr>
                <w:rFonts w:asciiTheme="minorHAnsi" w:hAnsiTheme="minorHAnsi"/>
                <w:lang w:val="en-GB" w:eastAsia="en-US"/>
              </w:rPr>
            </w:pPr>
          </w:p>
          <w:p w14:paraId="61CB78CE" w14:textId="77777777" w:rsidR="00921721" w:rsidRPr="006321BC" w:rsidRDefault="00921721" w:rsidP="00880D09">
            <w:pPr>
              <w:pStyle w:val="anxnormal"/>
              <w:spacing w:after="120"/>
              <w:ind w:left="0"/>
              <w:rPr>
                <w:rFonts w:asciiTheme="minorHAnsi" w:hAnsiTheme="minorHAnsi"/>
                <w:lang w:val="en-GB" w:eastAsia="en-US"/>
              </w:rPr>
            </w:pPr>
          </w:p>
          <w:p w14:paraId="55E666DA" w14:textId="77777777" w:rsidR="00921721" w:rsidRPr="00921721" w:rsidRDefault="00921721" w:rsidP="00880D09">
            <w:pPr>
              <w:pStyle w:val="anxnormal"/>
              <w:spacing w:after="120"/>
              <w:ind w:left="0"/>
              <w:rPr>
                <w:rFonts w:asciiTheme="minorHAnsi" w:hAnsiTheme="minorHAnsi"/>
                <w:lang w:val="en-US" w:eastAsia="en-US"/>
              </w:rPr>
            </w:pPr>
            <w:r w:rsidRPr="00921721">
              <w:rPr>
                <w:rFonts w:asciiTheme="minorHAnsi" w:hAnsiTheme="minorHAnsi"/>
                <w:lang w:val="en-US" w:eastAsia="en-US"/>
              </w:rPr>
              <w:t>GDP per capita growth to be used for unit costs indexation, as described above.</w:t>
            </w:r>
          </w:p>
          <w:p w14:paraId="0304A83E" w14:textId="77777777" w:rsidR="00921721" w:rsidRPr="00731E4E" w:rsidRDefault="00921721" w:rsidP="00880D09">
            <w:pPr>
              <w:pStyle w:val="anxnormal"/>
              <w:ind w:left="0"/>
              <w:rPr>
                <w:rFonts w:asciiTheme="minorHAnsi" w:hAnsiTheme="minorHAnsi"/>
                <w:lang w:val="en-GB" w:eastAsia="en-US"/>
              </w:rPr>
            </w:pPr>
          </w:p>
          <w:tbl>
            <w:tblPr>
              <w:tblW w:w="6936" w:type="dxa"/>
              <w:tblLayout w:type="fixed"/>
              <w:tblLook w:val="04A0" w:firstRow="1" w:lastRow="0" w:firstColumn="1" w:lastColumn="0" w:noHBand="0" w:noVBand="1"/>
            </w:tblPr>
            <w:tblGrid>
              <w:gridCol w:w="808"/>
              <w:gridCol w:w="876"/>
              <w:gridCol w:w="875"/>
              <w:gridCol w:w="875"/>
              <w:gridCol w:w="876"/>
              <w:gridCol w:w="875"/>
              <w:gridCol w:w="875"/>
              <w:gridCol w:w="876"/>
            </w:tblGrid>
            <w:tr w:rsidR="00921721" w:rsidRPr="00132C08" w14:paraId="664F0D46" w14:textId="77777777" w:rsidTr="00880D09">
              <w:trPr>
                <w:trHeight w:val="186"/>
              </w:trPr>
              <w:tc>
                <w:tcPr>
                  <w:tcW w:w="808" w:type="dxa"/>
                  <w:tcBorders>
                    <w:top w:val="single" w:sz="8" w:space="0" w:color="FFFFFF"/>
                    <w:left w:val="single" w:sz="8" w:space="0" w:color="FFFFFF"/>
                    <w:bottom w:val="single" w:sz="8" w:space="0" w:color="FFFFFF"/>
                    <w:right w:val="single" w:sz="8" w:space="0" w:color="FFFFFF"/>
                  </w:tcBorders>
                  <w:shd w:val="clear" w:color="auto" w:fill="808080" w:themeFill="background1" w:themeFillShade="80"/>
                  <w:vAlign w:val="center"/>
                  <w:hideMark/>
                </w:tcPr>
                <w:p w14:paraId="64B70D57"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 xml:space="preserve">Year </w:t>
                  </w:r>
                </w:p>
              </w:tc>
              <w:tc>
                <w:tcPr>
                  <w:tcW w:w="876"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5D87B300"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202</w:t>
                  </w:r>
                  <w:r>
                    <w:rPr>
                      <w:rFonts w:asciiTheme="minorHAnsi" w:hAnsiTheme="minorHAnsi"/>
                      <w:b/>
                      <w:bCs/>
                      <w:color w:val="FFFFFF"/>
                      <w:sz w:val="18"/>
                      <w:szCs w:val="18"/>
                      <w:lang w:val="en-GB" w:eastAsia="en-GB"/>
                    </w:rPr>
                    <w:t>1</w:t>
                  </w:r>
                </w:p>
              </w:tc>
              <w:tc>
                <w:tcPr>
                  <w:tcW w:w="875"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39EAE32A"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202</w:t>
                  </w:r>
                  <w:r>
                    <w:rPr>
                      <w:rFonts w:asciiTheme="minorHAnsi" w:hAnsiTheme="minorHAnsi"/>
                      <w:b/>
                      <w:bCs/>
                      <w:color w:val="FFFFFF"/>
                      <w:sz w:val="18"/>
                      <w:szCs w:val="18"/>
                      <w:lang w:val="en-GB" w:eastAsia="en-GB"/>
                    </w:rPr>
                    <w:t>2</w:t>
                  </w:r>
                </w:p>
              </w:tc>
              <w:tc>
                <w:tcPr>
                  <w:tcW w:w="875"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031985C6"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2023</w:t>
                  </w:r>
                </w:p>
              </w:tc>
              <w:tc>
                <w:tcPr>
                  <w:tcW w:w="876"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052DA34C"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2024</w:t>
                  </w:r>
                </w:p>
              </w:tc>
              <w:tc>
                <w:tcPr>
                  <w:tcW w:w="875"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42DE4E16"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2025</w:t>
                  </w:r>
                </w:p>
              </w:tc>
              <w:tc>
                <w:tcPr>
                  <w:tcW w:w="875"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65668AA8"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2026</w:t>
                  </w:r>
                </w:p>
              </w:tc>
              <w:tc>
                <w:tcPr>
                  <w:tcW w:w="876" w:type="dxa"/>
                  <w:tcBorders>
                    <w:top w:val="single" w:sz="8" w:space="0" w:color="FFFFFF"/>
                    <w:left w:val="nil"/>
                    <w:bottom w:val="single" w:sz="8" w:space="0" w:color="FFFFFF"/>
                    <w:right w:val="single" w:sz="8" w:space="0" w:color="FFFFFF"/>
                  </w:tcBorders>
                  <w:shd w:val="clear" w:color="auto" w:fill="808080" w:themeFill="background1" w:themeFillShade="80"/>
                  <w:vAlign w:val="center"/>
                </w:tcPr>
                <w:p w14:paraId="29E2366F" w14:textId="77777777" w:rsidR="00921721" w:rsidRPr="002C6855" w:rsidRDefault="00921721" w:rsidP="00880D09">
                  <w:pPr>
                    <w:jc w:val="center"/>
                    <w:rPr>
                      <w:rFonts w:asciiTheme="minorHAnsi" w:hAnsiTheme="minorHAnsi"/>
                      <w:b/>
                      <w:bCs/>
                      <w:color w:val="FFFFFF"/>
                      <w:sz w:val="18"/>
                      <w:szCs w:val="18"/>
                      <w:lang w:val="en-GB" w:eastAsia="en-GB"/>
                    </w:rPr>
                  </w:pPr>
                  <w:r>
                    <w:rPr>
                      <w:rFonts w:asciiTheme="minorHAnsi" w:hAnsiTheme="minorHAnsi"/>
                      <w:b/>
                      <w:bCs/>
                      <w:color w:val="FFFFFF"/>
                      <w:sz w:val="18"/>
                      <w:szCs w:val="18"/>
                      <w:lang w:val="en-GB" w:eastAsia="en-GB"/>
                    </w:rPr>
                    <w:t>2027</w:t>
                  </w:r>
                </w:p>
              </w:tc>
            </w:tr>
            <w:tr w:rsidR="00921721" w:rsidRPr="00132C08" w14:paraId="58586835" w14:textId="77777777" w:rsidTr="00880D09">
              <w:trPr>
                <w:trHeight w:val="186"/>
              </w:trPr>
              <w:tc>
                <w:tcPr>
                  <w:tcW w:w="808"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01BD252E" w14:textId="77777777" w:rsidR="00921721" w:rsidRPr="002C6855" w:rsidRDefault="00921721" w:rsidP="00880D09">
                  <w:pPr>
                    <w:jc w:val="center"/>
                    <w:rPr>
                      <w:rFonts w:asciiTheme="minorHAnsi" w:hAnsiTheme="minorHAnsi"/>
                      <w:color w:val="4F81BD" w:themeColor="accent1"/>
                      <w:sz w:val="18"/>
                      <w:szCs w:val="18"/>
                      <w:lang w:val="en-GB" w:eastAsia="en-GB"/>
                    </w:rPr>
                  </w:pPr>
                  <w:r w:rsidRPr="002C6855">
                    <w:rPr>
                      <w:rFonts w:asciiTheme="minorHAnsi" w:hAnsiTheme="minorHAnsi"/>
                      <w:color w:val="4F81BD" w:themeColor="accent1"/>
                      <w:sz w:val="18"/>
                      <w:szCs w:val="18"/>
                      <w:lang w:val="en-GB" w:eastAsia="en-GB"/>
                    </w:rPr>
                    <w:t>GDP per capita</w:t>
                  </w:r>
                </w:p>
              </w:tc>
              <w:tc>
                <w:tcPr>
                  <w:tcW w:w="876" w:type="dxa"/>
                  <w:tcBorders>
                    <w:top w:val="nil"/>
                    <w:left w:val="nil"/>
                    <w:bottom w:val="single" w:sz="8" w:space="0" w:color="FFFFFF"/>
                    <w:right w:val="single" w:sz="8" w:space="0" w:color="FFFFFF"/>
                  </w:tcBorders>
                  <w:shd w:val="clear" w:color="auto" w:fill="DBE5F1" w:themeFill="accent1" w:themeFillTint="33"/>
                </w:tcPr>
                <w:p w14:paraId="5047F4A8"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1.051</w:t>
                  </w:r>
                </w:p>
              </w:tc>
              <w:tc>
                <w:tcPr>
                  <w:tcW w:w="875" w:type="dxa"/>
                  <w:tcBorders>
                    <w:top w:val="nil"/>
                    <w:left w:val="nil"/>
                    <w:bottom w:val="single" w:sz="8" w:space="0" w:color="FFFFFF"/>
                    <w:right w:val="single" w:sz="8" w:space="0" w:color="FFFFFF"/>
                  </w:tcBorders>
                  <w:shd w:val="clear" w:color="auto" w:fill="DBE5F1" w:themeFill="accent1" w:themeFillTint="33"/>
                </w:tcPr>
                <w:p w14:paraId="7381AB8B"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1.048</w:t>
                  </w:r>
                </w:p>
              </w:tc>
              <w:tc>
                <w:tcPr>
                  <w:tcW w:w="875" w:type="dxa"/>
                  <w:tcBorders>
                    <w:top w:val="nil"/>
                    <w:left w:val="nil"/>
                    <w:bottom w:val="single" w:sz="8" w:space="0" w:color="FFFFFF"/>
                    <w:right w:val="single" w:sz="8" w:space="0" w:color="FFFFFF"/>
                  </w:tcBorders>
                  <w:shd w:val="clear" w:color="auto" w:fill="DBE5F1" w:themeFill="accent1" w:themeFillTint="33"/>
                </w:tcPr>
                <w:p w14:paraId="509EF486"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1.039</w:t>
                  </w:r>
                </w:p>
              </w:tc>
              <w:tc>
                <w:tcPr>
                  <w:tcW w:w="876" w:type="dxa"/>
                  <w:tcBorders>
                    <w:top w:val="nil"/>
                    <w:left w:val="nil"/>
                    <w:bottom w:val="single" w:sz="8" w:space="0" w:color="FFFFFF"/>
                    <w:right w:val="single" w:sz="8" w:space="0" w:color="FFFFFF"/>
                  </w:tcBorders>
                  <w:shd w:val="clear" w:color="auto" w:fill="DBE5F1" w:themeFill="accent1" w:themeFillTint="33"/>
                </w:tcPr>
                <w:p w14:paraId="7D178A6C"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1.037</w:t>
                  </w:r>
                </w:p>
              </w:tc>
              <w:tc>
                <w:tcPr>
                  <w:tcW w:w="875" w:type="dxa"/>
                  <w:tcBorders>
                    <w:top w:val="nil"/>
                    <w:left w:val="nil"/>
                    <w:bottom w:val="single" w:sz="8" w:space="0" w:color="FFFFFF"/>
                    <w:right w:val="single" w:sz="8" w:space="0" w:color="FFFFFF"/>
                  </w:tcBorders>
                  <w:shd w:val="clear" w:color="auto" w:fill="DBE5F1" w:themeFill="accent1" w:themeFillTint="33"/>
                </w:tcPr>
                <w:p w14:paraId="0B2657F6"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1.038</w:t>
                  </w:r>
                </w:p>
              </w:tc>
              <w:tc>
                <w:tcPr>
                  <w:tcW w:w="875" w:type="dxa"/>
                  <w:tcBorders>
                    <w:top w:val="nil"/>
                    <w:left w:val="nil"/>
                    <w:bottom w:val="single" w:sz="8" w:space="0" w:color="FFFFFF"/>
                    <w:right w:val="single" w:sz="8" w:space="0" w:color="FFFFFF"/>
                  </w:tcBorders>
                  <w:shd w:val="clear" w:color="auto" w:fill="DBE5F1" w:themeFill="accent1" w:themeFillTint="33"/>
                  <w:hideMark/>
                </w:tcPr>
                <w:p w14:paraId="59091C42"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1.038</w:t>
                  </w:r>
                </w:p>
              </w:tc>
              <w:tc>
                <w:tcPr>
                  <w:tcW w:w="876" w:type="dxa"/>
                  <w:tcBorders>
                    <w:top w:val="nil"/>
                    <w:left w:val="nil"/>
                    <w:bottom w:val="single" w:sz="8" w:space="0" w:color="FFFFFF"/>
                    <w:right w:val="single" w:sz="8" w:space="0" w:color="FFFFFF"/>
                  </w:tcBorders>
                  <w:shd w:val="clear" w:color="auto" w:fill="DBE5F1" w:themeFill="accent1" w:themeFillTint="33"/>
                  <w:hideMark/>
                </w:tcPr>
                <w:p w14:paraId="4D8DEA0A"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1.037</w:t>
                  </w:r>
                </w:p>
              </w:tc>
            </w:tr>
            <w:tr w:rsidR="00921721" w:rsidRPr="00132C08" w14:paraId="117B9F95" w14:textId="77777777" w:rsidTr="00880D09">
              <w:trPr>
                <w:trHeight w:val="186"/>
              </w:trPr>
              <w:tc>
                <w:tcPr>
                  <w:tcW w:w="808" w:type="dxa"/>
                  <w:tcBorders>
                    <w:top w:val="nil"/>
                    <w:left w:val="single" w:sz="8" w:space="0" w:color="FFFFFF"/>
                    <w:bottom w:val="single" w:sz="8" w:space="0" w:color="FFFFFF"/>
                    <w:right w:val="single" w:sz="8" w:space="0" w:color="FFFFFF"/>
                  </w:tcBorders>
                  <w:shd w:val="clear" w:color="auto" w:fill="808080" w:themeFill="background1" w:themeFillShade="80"/>
                  <w:vAlign w:val="center"/>
                  <w:hideMark/>
                </w:tcPr>
                <w:p w14:paraId="52A2ACA5"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Year</w:t>
                  </w:r>
                </w:p>
              </w:tc>
              <w:tc>
                <w:tcPr>
                  <w:tcW w:w="876" w:type="dxa"/>
                  <w:tcBorders>
                    <w:top w:val="nil"/>
                    <w:left w:val="nil"/>
                    <w:bottom w:val="single" w:sz="8" w:space="0" w:color="FFFFFF"/>
                    <w:right w:val="single" w:sz="8" w:space="0" w:color="FFFFFF"/>
                  </w:tcBorders>
                  <w:shd w:val="clear" w:color="auto" w:fill="808080" w:themeFill="background1" w:themeFillShade="80"/>
                  <w:vAlign w:val="center"/>
                  <w:hideMark/>
                </w:tcPr>
                <w:p w14:paraId="45C6054A"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2028</w:t>
                  </w:r>
                </w:p>
              </w:tc>
              <w:tc>
                <w:tcPr>
                  <w:tcW w:w="875" w:type="dxa"/>
                  <w:tcBorders>
                    <w:top w:val="nil"/>
                    <w:left w:val="nil"/>
                    <w:bottom w:val="single" w:sz="8" w:space="0" w:color="FFFFFF"/>
                    <w:right w:val="single" w:sz="8" w:space="0" w:color="FFFFFF"/>
                  </w:tcBorders>
                  <w:shd w:val="clear" w:color="auto" w:fill="808080" w:themeFill="background1" w:themeFillShade="80"/>
                  <w:vAlign w:val="center"/>
                </w:tcPr>
                <w:p w14:paraId="58C5CF6F"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2029</w:t>
                  </w:r>
                </w:p>
              </w:tc>
              <w:tc>
                <w:tcPr>
                  <w:tcW w:w="875" w:type="dxa"/>
                  <w:tcBorders>
                    <w:top w:val="nil"/>
                    <w:left w:val="nil"/>
                    <w:bottom w:val="single" w:sz="8" w:space="0" w:color="FFFFFF"/>
                    <w:right w:val="single" w:sz="8" w:space="0" w:color="FFFFFF"/>
                  </w:tcBorders>
                  <w:shd w:val="clear" w:color="auto" w:fill="808080" w:themeFill="background1" w:themeFillShade="80"/>
                  <w:vAlign w:val="center"/>
                </w:tcPr>
                <w:p w14:paraId="37B3B037"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2030</w:t>
                  </w:r>
                </w:p>
              </w:tc>
              <w:tc>
                <w:tcPr>
                  <w:tcW w:w="876" w:type="dxa"/>
                  <w:tcBorders>
                    <w:top w:val="nil"/>
                    <w:left w:val="nil"/>
                    <w:bottom w:val="single" w:sz="8" w:space="0" w:color="FFFFFF"/>
                    <w:right w:val="single" w:sz="8" w:space="0" w:color="FFFFFF"/>
                  </w:tcBorders>
                  <w:shd w:val="clear" w:color="auto" w:fill="808080" w:themeFill="background1" w:themeFillShade="80"/>
                  <w:vAlign w:val="center"/>
                </w:tcPr>
                <w:p w14:paraId="037BEE20"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2031</w:t>
                  </w:r>
                </w:p>
              </w:tc>
              <w:tc>
                <w:tcPr>
                  <w:tcW w:w="875" w:type="dxa"/>
                  <w:tcBorders>
                    <w:top w:val="nil"/>
                    <w:left w:val="nil"/>
                    <w:bottom w:val="single" w:sz="8" w:space="0" w:color="FFFFFF"/>
                    <w:right w:val="single" w:sz="8" w:space="0" w:color="FFFFFF"/>
                  </w:tcBorders>
                  <w:shd w:val="clear" w:color="auto" w:fill="808080" w:themeFill="background1" w:themeFillShade="80"/>
                  <w:vAlign w:val="center"/>
                </w:tcPr>
                <w:p w14:paraId="446AE152"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2032</w:t>
                  </w:r>
                </w:p>
              </w:tc>
              <w:tc>
                <w:tcPr>
                  <w:tcW w:w="875" w:type="dxa"/>
                  <w:tcBorders>
                    <w:top w:val="nil"/>
                    <w:left w:val="nil"/>
                    <w:bottom w:val="single" w:sz="8" w:space="0" w:color="FFFFFF"/>
                    <w:right w:val="single" w:sz="8" w:space="0" w:color="FFFFFF"/>
                  </w:tcBorders>
                  <w:shd w:val="clear" w:color="auto" w:fill="808080" w:themeFill="background1" w:themeFillShade="80"/>
                  <w:vAlign w:val="center"/>
                </w:tcPr>
                <w:p w14:paraId="5352DA42"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2033</w:t>
                  </w:r>
                </w:p>
              </w:tc>
              <w:tc>
                <w:tcPr>
                  <w:tcW w:w="876" w:type="dxa"/>
                  <w:tcBorders>
                    <w:top w:val="nil"/>
                    <w:left w:val="nil"/>
                    <w:bottom w:val="single" w:sz="8" w:space="0" w:color="FFFFFF"/>
                    <w:right w:val="single" w:sz="8" w:space="0" w:color="FFFFFF"/>
                  </w:tcBorders>
                  <w:shd w:val="clear" w:color="auto" w:fill="808080" w:themeFill="background1" w:themeFillShade="80"/>
                  <w:vAlign w:val="center"/>
                </w:tcPr>
                <w:p w14:paraId="2C8BFD28" w14:textId="77777777" w:rsidR="00921721" w:rsidRPr="002C6855" w:rsidRDefault="00921721" w:rsidP="00880D09">
                  <w:pPr>
                    <w:jc w:val="center"/>
                    <w:rPr>
                      <w:rFonts w:asciiTheme="minorHAnsi" w:hAnsiTheme="minorHAnsi"/>
                      <w:b/>
                      <w:bCs/>
                      <w:color w:val="FFFFFF"/>
                      <w:sz w:val="18"/>
                      <w:szCs w:val="18"/>
                      <w:lang w:val="en-GB" w:eastAsia="en-GB"/>
                    </w:rPr>
                  </w:pPr>
                  <w:r>
                    <w:rPr>
                      <w:rFonts w:asciiTheme="minorHAnsi" w:hAnsiTheme="minorHAnsi"/>
                      <w:b/>
                      <w:bCs/>
                      <w:color w:val="FFFFFF"/>
                      <w:sz w:val="18"/>
                      <w:szCs w:val="18"/>
                      <w:lang w:val="en-GB" w:eastAsia="en-GB"/>
                    </w:rPr>
                    <w:t>2034</w:t>
                  </w:r>
                </w:p>
              </w:tc>
            </w:tr>
            <w:tr w:rsidR="00921721" w:rsidRPr="00132C08" w14:paraId="6004C16F" w14:textId="77777777" w:rsidTr="00880D09">
              <w:trPr>
                <w:trHeight w:val="201"/>
              </w:trPr>
              <w:tc>
                <w:tcPr>
                  <w:tcW w:w="808"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4EA5C582" w14:textId="77777777" w:rsidR="00921721" w:rsidRPr="002C6855" w:rsidRDefault="00921721" w:rsidP="00880D09">
                  <w:pPr>
                    <w:jc w:val="center"/>
                    <w:rPr>
                      <w:rFonts w:asciiTheme="minorHAnsi" w:hAnsiTheme="minorHAnsi"/>
                      <w:color w:val="4F81BD" w:themeColor="accent1"/>
                      <w:sz w:val="18"/>
                      <w:szCs w:val="18"/>
                      <w:lang w:val="en-GB" w:eastAsia="en-GB"/>
                    </w:rPr>
                  </w:pPr>
                  <w:r w:rsidRPr="002C6855">
                    <w:rPr>
                      <w:rFonts w:asciiTheme="minorHAnsi" w:hAnsiTheme="minorHAnsi"/>
                      <w:color w:val="4F81BD" w:themeColor="accent1"/>
                      <w:sz w:val="18"/>
                      <w:szCs w:val="18"/>
                      <w:lang w:val="en-GB" w:eastAsia="en-GB"/>
                    </w:rPr>
                    <w:t>GDP per capita</w:t>
                  </w:r>
                </w:p>
              </w:tc>
              <w:tc>
                <w:tcPr>
                  <w:tcW w:w="876" w:type="dxa"/>
                  <w:tcBorders>
                    <w:top w:val="nil"/>
                    <w:left w:val="nil"/>
                    <w:bottom w:val="single" w:sz="8" w:space="0" w:color="FFFFFF"/>
                    <w:right w:val="single" w:sz="8" w:space="0" w:color="FFFFFF"/>
                  </w:tcBorders>
                  <w:shd w:val="clear" w:color="auto" w:fill="DBE5F1" w:themeFill="accent1" w:themeFillTint="33"/>
                  <w:vAlign w:val="bottom"/>
                  <w:hideMark/>
                </w:tcPr>
                <w:p w14:paraId="4896F6C6"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1.036</w:t>
                  </w:r>
                </w:p>
              </w:tc>
              <w:tc>
                <w:tcPr>
                  <w:tcW w:w="875" w:type="dxa"/>
                  <w:tcBorders>
                    <w:top w:val="nil"/>
                    <w:left w:val="nil"/>
                    <w:bottom w:val="single" w:sz="8" w:space="0" w:color="FFFFFF"/>
                    <w:right w:val="single" w:sz="8" w:space="0" w:color="FFFFFF"/>
                  </w:tcBorders>
                  <w:shd w:val="clear" w:color="auto" w:fill="DBE5F1" w:themeFill="accent1" w:themeFillTint="33"/>
                  <w:vAlign w:val="bottom"/>
                  <w:hideMark/>
                </w:tcPr>
                <w:p w14:paraId="6285EF02"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1.034</w:t>
                  </w:r>
                </w:p>
              </w:tc>
              <w:tc>
                <w:tcPr>
                  <w:tcW w:w="875" w:type="dxa"/>
                  <w:tcBorders>
                    <w:top w:val="nil"/>
                    <w:left w:val="nil"/>
                    <w:bottom w:val="single" w:sz="8" w:space="0" w:color="FFFFFF"/>
                    <w:right w:val="single" w:sz="8" w:space="0" w:color="FFFFFF"/>
                  </w:tcBorders>
                  <w:shd w:val="clear" w:color="auto" w:fill="DBE5F1" w:themeFill="accent1" w:themeFillTint="33"/>
                  <w:vAlign w:val="bottom"/>
                  <w:hideMark/>
                </w:tcPr>
                <w:p w14:paraId="472EFAD7"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1.032</w:t>
                  </w:r>
                </w:p>
              </w:tc>
              <w:tc>
                <w:tcPr>
                  <w:tcW w:w="876" w:type="dxa"/>
                  <w:tcBorders>
                    <w:top w:val="nil"/>
                    <w:left w:val="nil"/>
                    <w:bottom w:val="single" w:sz="8" w:space="0" w:color="FFFFFF"/>
                    <w:right w:val="single" w:sz="8" w:space="0" w:color="FFFFFF"/>
                  </w:tcBorders>
                  <w:shd w:val="clear" w:color="auto" w:fill="DBE5F1" w:themeFill="accent1" w:themeFillTint="33"/>
                  <w:vAlign w:val="bottom"/>
                  <w:hideMark/>
                </w:tcPr>
                <w:p w14:paraId="7059DF25"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1.032</w:t>
                  </w:r>
                </w:p>
              </w:tc>
              <w:tc>
                <w:tcPr>
                  <w:tcW w:w="875" w:type="dxa"/>
                  <w:tcBorders>
                    <w:top w:val="nil"/>
                    <w:left w:val="nil"/>
                    <w:bottom w:val="single" w:sz="8" w:space="0" w:color="FFFFFF"/>
                    <w:right w:val="single" w:sz="8" w:space="0" w:color="FFFFFF"/>
                  </w:tcBorders>
                  <w:shd w:val="clear" w:color="auto" w:fill="DBE5F1" w:themeFill="accent1" w:themeFillTint="33"/>
                  <w:vAlign w:val="bottom"/>
                  <w:hideMark/>
                </w:tcPr>
                <w:p w14:paraId="42D294DD"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1.031</w:t>
                  </w:r>
                </w:p>
              </w:tc>
              <w:tc>
                <w:tcPr>
                  <w:tcW w:w="875" w:type="dxa"/>
                  <w:tcBorders>
                    <w:top w:val="nil"/>
                    <w:left w:val="nil"/>
                    <w:bottom w:val="single" w:sz="8" w:space="0" w:color="FFFFFF"/>
                    <w:right w:val="single" w:sz="8" w:space="0" w:color="FFFFFF"/>
                  </w:tcBorders>
                  <w:shd w:val="clear" w:color="auto" w:fill="DBE5F1" w:themeFill="accent1" w:themeFillTint="33"/>
                  <w:vAlign w:val="bottom"/>
                  <w:hideMark/>
                </w:tcPr>
                <w:p w14:paraId="23A5B708"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1.030</w:t>
                  </w:r>
                </w:p>
              </w:tc>
              <w:tc>
                <w:tcPr>
                  <w:tcW w:w="876" w:type="dxa"/>
                  <w:tcBorders>
                    <w:top w:val="nil"/>
                    <w:left w:val="nil"/>
                    <w:bottom w:val="single" w:sz="8" w:space="0" w:color="FFFFFF"/>
                    <w:right w:val="single" w:sz="8" w:space="0" w:color="FFFFFF"/>
                  </w:tcBorders>
                  <w:shd w:val="clear" w:color="auto" w:fill="DBE5F1" w:themeFill="accent1" w:themeFillTint="33"/>
                  <w:vAlign w:val="bottom"/>
                  <w:hideMark/>
                </w:tcPr>
                <w:p w14:paraId="276B7218"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1.029</w:t>
                  </w:r>
                </w:p>
              </w:tc>
            </w:tr>
            <w:tr w:rsidR="00921721" w:rsidRPr="00132C08" w14:paraId="7B0E8A24" w14:textId="77777777" w:rsidTr="00880D09">
              <w:trPr>
                <w:trHeight w:val="186"/>
              </w:trPr>
              <w:tc>
                <w:tcPr>
                  <w:tcW w:w="808" w:type="dxa"/>
                  <w:tcBorders>
                    <w:top w:val="nil"/>
                    <w:left w:val="single" w:sz="8" w:space="0" w:color="FFFFFF"/>
                    <w:bottom w:val="single" w:sz="8" w:space="0" w:color="FFFFFF"/>
                    <w:right w:val="single" w:sz="8" w:space="0" w:color="FFFFFF"/>
                  </w:tcBorders>
                  <w:shd w:val="clear" w:color="auto" w:fill="808080" w:themeFill="background1" w:themeFillShade="80"/>
                  <w:vAlign w:val="center"/>
                  <w:hideMark/>
                </w:tcPr>
                <w:p w14:paraId="317D9A70"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Year</w:t>
                  </w:r>
                </w:p>
              </w:tc>
              <w:tc>
                <w:tcPr>
                  <w:tcW w:w="876" w:type="dxa"/>
                  <w:tcBorders>
                    <w:top w:val="nil"/>
                    <w:left w:val="nil"/>
                    <w:bottom w:val="single" w:sz="8" w:space="0" w:color="FFFFFF"/>
                    <w:right w:val="single" w:sz="8" w:space="0" w:color="FFFFFF"/>
                  </w:tcBorders>
                  <w:shd w:val="clear" w:color="auto" w:fill="808080" w:themeFill="background1" w:themeFillShade="80"/>
                  <w:vAlign w:val="center"/>
                  <w:hideMark/>
                </w:tcPr>
                <w:p w14:paraId="3A9A8FBB"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2035</w:t>
                  </w:r>
                </w:p>
              </w:tc>
              <w:tc>
                <w:tcPr>
                  <w:tcW w:w="875" w:type="dxa"/>
                  <w:tcBorders>
                    <w:top w:val="nil"/>
                    <w:left w:val="nil"/>
                    <w:bottom w:val="single" w:sz="8" w:space="0" w:color="FFFFFF"/>
                    <w:right w:val="single" w:sz="8" w:space="0" w:color="FFFFFF"/>
                  </w:tcBorders>
                  <w:shd w:val="clear" w:color="auto" w:fill="808080" w:themeFill="background1" w:themeFillShade="80"/>
                  <w:vAlign w:val="center"/>
                </w:tcPr>
                <w:p w14:paraId="5688D8FE"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2036</w:t>
                  </w:r>
                </w:p>
              </w:tc>
              <w:tc>
                <w:tcPr>
                  <w:tcW w:w="875" w:type="dxa"/>
                  <w:tcBorders>
                    <w:top w:val="nil"/>
                    <w:left w:val="nil"/>
                    <w:bottom w:val="single" w:sz="8" w:space="0" w:color="FFFFFF"/>
                    <w:right w:val="single" w:sz="8" w:space="0" w:color="FFFFFF"/>
                  </w:tcBorders>
                  <w:shd w:val="clear" w:color="auto" w:fill="808080" w:themeFill="background1" w:themeFillShade="80"/>
                  <w:vAlign w:val="center"/>
                </w:tcPr>
                <w:p w14:paraId="5AF95CDE"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2037</w:t>
                  </w:r>
                </w:p>
              </w:tc>
              <w:tc>
                <w:tcPr>
                  <w:tcW w:w="876" w:type="dxa"/>
                  <w:tcBorders>
                    <w:top w:val="nil"/>
                    <w:left w:val="nil"/>
                    <w:bottom w:val="single" w:sz="8" w:space="0" w:color="FFFFFF"/>
                    <w:right w:val="single" w:sz="8" w:space="0" w:color="FFFFFF"/>
                  </w:tcBorders>
                  <w:shd w:val="clear" w:color="auto" w:fill="808080" w:themeFill="background1" w:themeFillShade="80"/>
                  <w:vAlign w:val="center"/>
                </w:tcPr>
                <w:p w14:paraId="2B6C8D43"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2038</w:t>
                  </w:r>
                </w:p>
              </w:tc>
              <w:tc>
                <w:tcPr>
                  <w:tcW w:w="875" w:type="dxa"/>
                  <w:tcBorders>
                    <w:top w:val="nil"/>
                    <w:left w:val="nil"/>
                    <w:bottom w:val="single" w:sz="8" w:space="0" w:color="FFFFFF"/>
                    <w:right w:val="single" w:sz="8" w:space="0" w:color="FFFFFF"/>
                  </w:tcBorders>
                  <w:shd w:val="clear" w:color="auto" w:fill="808080" w:themeFill="background1" w:themeFillShade="80"/>
                  <w:vAlign w:val="center"/>
                </w:tcPr>
                <w:p w14:paraId="7E740A4B"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2039</w:t>
                  </w:r>
                </w:p>
              </w:tc>
              <w:tc>
                <w:tcPr>
                  <w:tcW w:w="875" w:type="dxa"/>
                  <w:tcBorders>
                    <w:top w:val="nil"/>
                    <w:left w:val="nil"/>
                    <w:bottom w:val="single" w:sz="8" w:space="0" w:color="FFFFFF"/>
                    <w:right w:val="single" w:sz="8" w:space="0" w:color="FFFFFF"/>
                  </w:tcBorders>
                  <w:shd w:val="clear" w:color="auto" w:fill="808080" w:themeFill="background1" w:themeFillShade="80"/>
                  <w:vAlign w:val="center"/>
                </w:tcPr>
                <w:p w14:paraId="44BBDFF9" w14:textId="77777777" w:rsidR="00921721" w:rsidRPr="002C6855"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2040</w:t>
                  </w:r>
                </w:p>
              </w:tc>
              <w:tc>
                <w:tcPr>
                  <w:tcW w:w="876" w:type="dxa"/>
                  <w:tcBorders>
                    <w:top w:val="nil"/>
                    <w:left w:val="nil"/>
                    <w:bottom w:val="single" w:sz="8" w:space="0" w:color="FFFFFF"/>
                    <w:right w:val="single" w:sz="8" w:space="0" w:color="FFFFFF"/>
                  </w:tcBorders>
                  <w:shd w:val="clear" w:color="auto" w:fill="808080" w:themeFill="background1" w:themeFillShade="80"/>
                  <w:vAlign w:val="center"/>
                </w:tcPr>
                <w:p w14:paraId="768C2FB1" w14:textId="77777777" w:rsidR="00921721" w:rsidRPr="002C6855" w:rsidRDefault="00921721" w:rsidP="00880D09">
                  <w:pPr>
                    <w:jc w:val="center"/>
                    <w:rPr>
                      <w:rFonts w:asciiTheme="minorHAnsi" w:hAnsiTheme="minorHAnsi"/>
                      <w:b/>
                      <w:bCs/>
                      <w:color w:val="FFFFFF"/>
                      <w:sz w:val="18"/>
                      <w:szCs w:val="18"/>
                      <w:lang w:val="en-GB" w:eastAsia="en-GB"/>
                    </w:rPr>
                  </w:pPr>
                  <w:r>
                    <w:rPr>
                      <w:rFonts w:asciiTheme="minorHAnsi" w:hAnsiTheme="minorHAnsi"/>
                      <w:b/>
                      <w:bCs/>
                      <w:color w:val="FFFFFF"/>
                      <w:sz w:val="18"/>
                      <w:szCs w:val="18"/>
                      <w:lang w:val="en-GB" w:eastAsia="en-GB"/>
                    </w:rPr>
                    <w:t>2041</w:t>
                  </w:r>
                </w:p>
              </w:tc>
            </w:tr>
            <w:tr w:rsidR="00921721" w:rsidRPr="00132C08" w14:paraId="70917627" w14:textId="77777777" w:rsidTr="00880D09">
              <w:trPr>
                <w:trHeight w:val="186"/>
              </w:trPr>
              <w:tc>
                <w:tcPr>
                  <w:tcW w:w="808" w:type="dxa"/>
                  <w:tcBorders>
                    <w:top w:val="nil"/>
                    <w:left w:val="single" w:sz="8" w:space="0" w:color="FFFFFF"/>
                    <w:bottom w:val="single" w:sz="8" w:space="0" w:color="FFFFFF"/>
                    <w:right w:val="single" w:sz="8" w:space="0" w:color="FFFFFF"/>
                  </w:tcBorders>
                  <w:shd w:val="clear" w:color="auto" w:fill="DBE5F1" w:themeFill="accent1" w:themeFillTint="33"/>
                  <w:vAlign w:val="center"/>
                  <w:hideMark/>
                </w:tcPr>
                <w:p w14:paraId="77D67632" w14:textId="77777777" w:rsidR="00921721" w:rsidRPr="002C6855" w:rsidRDefault="00921721" w:rsidP="00880D09">
                  <w:pPr>
                    <w:jc w:val="center"/>
                    <w:rPr>
                      <w:rFonts w:asciiTheme="minorHAnsi" w:hAnsiTheme="minorHAnsi"/>
                      <w:color w:val="4F81BD" w:themeColor="accent1"/>
                      <w:sz w:val="18"/>
                      <w:szCs w:val="18"/>
                      <w:lang w:val="en-GB" w:eastAsia="en-GB"/>
                    </w:rPr>
                  </w:pPr>
                  <w:r w:rsidRPr="002C6855">
                    <w:rPr>
                      <w:rFonts w:asciiTheme="minorHAnsi" w:hAnsiTheme="minorHAnsi"/>
                      <w:color w:val="4F81BD" w:themeColor="accent1"/>
                      <w:sz w:val="18"/>
                      <w:szCs w:val="18"/>
                      <w:lang w:val="en-GB" w:eastAsia="en-GB"/>
                    </w:rPr>
                    <w:t>GDP per capita</w:t>
                  </w:r>
                </w:p>
              </w:tc>
              <w:tc>
                <w:tcPr>
                  <w:tcW w:w="876" w:type="dxa"/>
                  <w:tcBorders>
                    <w:top w:val="nil"/>
                    <w:left w:val="nil"/>
                    <w:bottom w:val="single" w:sz="8" w:space="0" w:color="FFFFFF"/>
                    <w:right w:val="single" w:sz="8" w:space="0" w:color="FFFFFF"/>
                  </w:tcBorders>
                  <w:shd w:val="clear" w:color="auto" w:fill="DBE5F1" w:themeFill="accent1" w:themeFillTint="33"/>
                  <w:vAlign w:val="bottom"/>
                  <w:hideMark/>
                </w:tcPr>
                <w:p w14:paraId="79814463"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1.029</w:t>
                  </w:r>
                </w:p>
              </w:tc>
              <w:tc>
                <w:tcPr>
                  <w:tcW w:w="875" w:type="dxa"/>
                  <w:tcBorders>
                    <w:top w:val="nil"/>
                    <w:left w:val="nil"/>
                    <w:bottom w:val="single" w:sz="8" w:space="0" w:color="FFFFFF"/>
                    <w:right w:val="single" w:sz="8" w:space="0" w:color="FFFFFF"/>
                  </w:tcBorders>
                  <w:shd w:val="clear" w:color="auto" w:fill="DBE5F1" w:themeFill="accent1" w:themeFillTint="33"/>
                  <w:vAlign w:val="bottom"/>
                  <w:hideMark/>
                </w:tcPr>
                <w:p w14:paraId="6F297D47"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1.028</w:t>
                  </w:r>
                </w:p>
              </w:tc>
              <w:tc>
                <w:tcPr>
                  <w:tcW w:w="875" w:type="dxa"/>
                  <w:tcBorders>
                    <w:top w:val="nil"/>
                    <w:left w:val="nil"/>
                    <w:bottom w:val="single" w:sz="8" w:space="0" w:color="FFFFFF"/>
                    <w:right w:val="single" w:sz="8" w:space="0" w:color="FFFFFF"/>
                  </w:tcBorders>
                  <w:shd w:val="clear" w:color="auto" w:fill="DBE5F1" w:themeFill="accent1" w:themeFillTint="33"/>
                  <w:vAlign w:val="bottom"/>
                  <w:hideMark/>
                </w:tcPr>
                <w:p w14:paraId="25B7FB9D"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1.028</w:t>
                  </w:r>
                </w:p>
              </w:tc>
              <w:tc>
                <w:tcPr>
                  <w:tcW w:w="876" w:type="dxa"/>
                  <w:tcBorders>
                    <w:top w:val="nil"/>
                    <w:left w:val="nil"/>
                    <w:bottom w:val="single" w:sz="8" w:space="0" w:color="FFFFFF"/>
                    <w:right w:val="single" w:sz="8" w:space="0" w:color="FFFFFF"/>
                  </w:tcBorders>
                  <w:shd w:val="clear" w:color="auto" w:fill="DBE5F1" w:themeFill="accent1" w:themeFillTint="33"/>
                  <w:vAlign w:val="bottom"/>
                  <w:hideMark/>
                </w:tcPr>
                <w:p w14:paraId="1E3C8264"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1.027</w:t>
                  </w:r>
                </w:p>
              </w:tc>
              <w:tc>
                <w:tcPr>
                  <w:tcW w:w="875" w:type="dxa"/>
                  <w:tcBorders>
                    <w:top w:val="nil"/>
                    <w:left w:val="nil"/>
                    <w:bottom w:val="single" w:sz="8" w:space="0" w:color="FFFFFF"/>
                    <w:right w:val="single" w:sz="8" w:space="0" w:color="FFFFFF"/>
                  </w:tcBorders>
                  <w:shd w:val="clear" w:color="auto" w:fill="DBE5F1" w:themeFill="accent1" w:themeFillTint="33"/>
                  <w:vAlign w:val="bottom"/>
                  <w:hideMark/>
                </w:tcPr>
                <w:p w14:paraId="1262ED54"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1.026</w:t>
                  </w:r>
                </w:p>
              </w:tc>
              <w:tc>
                <w:tcPr>
                  <w:tcW w:w="875" w:type="dxa"/>
                  <w:tcBorders>
                    <w:top w:val="nil"/>
                    <w:left w:val="nil"/>
                    <w:bottom w:val="single" w:sz="8" w:space="0" w:color="FFFFFF"/>
                    <w:right w:val="single" w:sz="8" w:space="0" w:color="FFFFFF"/>
                  </w:tcBorders>
                  <w:shd w:val="clear" w:color="auto" w:fill="DBE5F1" w:themeFill="accent1" w:themeFillTint="33"/>
                  <w:vAlign w:val="bottom"/>
                  <w:hideMark/>
                </w:tcPr>
                <w:p w14:paraId="78376F6D"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1.025</w:t>
                  </w:r>
                </w:p>
              </w:tc>
              <w:tc>
                <w:tcPr>
                  <w:tcW w:w="876" w:type="dxa"/>
                  <w:tcBorders>
                    <w:top w:val="nil"/>
                    <w:left w:val="nil"/>
                    <w:bottom w:val="single" w:sz="8" w:space="0" w:color="FFFFFF"/>
                    <w:right w:val="single" w:sz="8" w:space="0" w:color="FFFFFF"/>
                  </w:tcBorders>
                  <w:shd w:val="clear" w:color="auto" w:fill="DBE5F1" w:themeFill="accent1" w:themeFillTint="33"/>
                  <w:vAlign w:val="bottom"/>
                  <w:hideMark/>
                </w:tcPr>
                <w:p w14:paraId="01BAA67B" w14:textId="77777777" w:rsidR="00921721" w:rsidRPr="002C6855"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1.024</w:t>
                  </w:r>
                </w:p>
              </w:tc>
            </w:tr>
            <w:tr w:rsidR="00921721" w:rsidRPr="00132C08" w14:paraId="14C9630C" w14:textId="77777777" w:rsidTr="00880D09">
              <w:trPr>
                <w:trHeight w:val="186"/>
              </w:trPr>
              <w:tc>
                <w:tcPr>
                  <w:tcW w:w="808" w:type="dxa"/>
                  <w:tcBorders>
                    <w:top w:val="nil"/>
                    <w:left w:val="single" w:sz="8" w:space="0" w:color="FFFFFF"/>
                    <w:bottom w:val="single" w:sz="8" w:space="0" w:color="FFFFFF" w:themeColor="background1"/>
                    <w:right w:val="single" w:sz="8" w:space="0" w:color="FFFFFF"/>
                  </w:tcBorders>
                  <w:shd w:val="clear" w:color="auto" w:fill="808080" w:themeFill="background1" w:themeFillShade="80"/>
                  <w:vAlign w:val="center"/>
                  <w:hideMark/>
                </w:tcPr>
                <w:p w14:paraId="176E9C3A" w14:textId="77777777" w:rsidR="00921721" w:rsidRPr="00300B32" w:rsidRDefault="00921721" w:rsidP="00880D09">
                  <w:pPr>
                    <w:jc w:val="center"/>
                    <w:rPr>
                      <w:rFonts w:asciiTheme="minorHAnsi" w:hAnsiTheme="minorHAnsi"/>
                      <w:b/>
                      <w:bCs/>
                      <w:color w:val="FFFFFF"/>
                      <w:sz w:val="18"/>
                      <w:szCs w:val="18"/>
                      <w:lang w:val="en-GB" w:eastAsia="en-GB"/>
                    </w:rPr>
                  </w:pPr>
                  <w:r w:rsidRPr="002C6855">
                    <w:rPr>
                      <w:rFonts w:asciiTheme="minorHAnsi" w:hAnsiTheme="minorHAnsi"/>
                      <w:b/>
                      <w:bCs/>
                      <w:color w:val="FFFFFF"/>
                      <w:sz w:val="18"/>
                      <w:szCs w:val="18"/>
                      <w:lang w:val="en-GB" w:eastAsia="en-GB"/>
                    </w:rPr>
                    <w:t>Year</w:t>
                  </w:r>
                </w:p>
              </w:tc>
              <w:tc>
                <w:tcPr>
                  <w:tcW w:w="876" w:type="dxa"/>
                  <w:tcBorders>
                    <w:top w:val="nil"/>
                    <w:left w:val="nil"/>
                    <w:bottom w:val="single" w:sz="8" w:space="0" w:color="FFFFFF" w:themeColor="background1"/>
                    <w:right w:val="single" w:sz="8" w:space="0" w:color="FFFFFF"/>
                  </w:tcBorders>
                  <w:shd w:val="clear" w:color="auto" w:fill="808080" w:themeFill="background1" w:themeFillShade="80"/>
                  <w:vAlign w:val="center"/>
                  <w:hideMark/>
                </w:tcPr>
                <w:p w14:paraId="096C1066" w14:textId="77777777" w:rsidR="00921721" w:rsidRPr="00300B32" w:rsidRDefault="00921721" w:rsidP="00880D09">
                  <w:pPr>
                    <w:jc w:val="center"/>
                    <w:rPr>
                      <w:rFonts w:asciiTheme="minorHAnsi" w:hAnsiTheme="minorHAnsi"/>
                      <w:b/>
                      <w:bCs/>
                      <w:color w:val="FFFFFF"/>
                      <w:sz w:val="18"/>
                      <w:szCs w:val="18"/>
                      <w:lang w:val="en-GB" w:eastAsia="en-GB"/>
                    </w:rPr>
                  </w:pPr>
                  <w:r w:rsidRPr="00300B32">
                    <w:rPr>
                      <w:rFonts w:asciiTheme="minorHAnsi" w:hAnsiTheme="minorHAnsi"/>
                      <w:b/>
                      <w:bCs/>
                      <w:color w:val="FFFFFF"/>
                      <w:sz w:val="18"/>
                      <w:szCs w:val="18"/>
                      <w:lang w:val="en-GB" w:eastAsia="en-GB"/>
                    </w:rPr>
                    <w:t>2042</w:t>
                  </w:r>
                </w:p>
              </w:tc>
              <w:tc>
                <w:tcPr>
                  <w:tcW w:w="875" w:type="dxa"/>
                  <w:tcBorders>
                    <w:top w:val="nil"/>
                    <w:left w:val="nil"/>
                    <w:bottom w:val="single" w:sz="8" w:space="0" w:color="FFFFFF" w:themeColor="background1"/>
                    <w:right w:val="single" w:sz="8" w:space="0" w:color="FFFFFF"/>
                  </w:tcBorders>
                  <w:shd w:val="clear" w:color="auto" w:fill="808080" w:themeFill="background1" w:themeFillShade="80"/>
                  <w:vAlign w:val="center"/>
                </w:tcPr>
                <w:p w14:paraId="11BDDCCB" w14:textId="77777777" w:rsidR="00921721" w:rsidRPr="00300B32" w:rsidRDefault="00921721" w:rsidP="00880D09">
                  <w:pPr>
                    <w:jc w:val="center"/>
                    <w:rPr>
                      <w:rFonts w:asciiTheme="minorHAnsi" w:hAnsiTheme="minorHAnsi"/>
                      <w:b/>
                      <w:bCs/>
                      <w:color w:val="FFFFFF"/>
                      <w:sz w:val="18"/>
                      <w:szCs w:val="18"/>
                      <w:lang w:val="en-GB" w:eastAsia="en-GB"/>
                    </w:rPr>
                  </w:pPr>
                  <w:r w:rsidRPr="00300B32">
                    <w:rPr>
                      <w:rFonts w:asciiTheme="minorHAnsi" w:hAnsiTheme="minorHAnsi"/>
                      <w:b/>
                      <w:bCs/>
                      <w:color w:val="FFFFFF"/>
                      <w:sz w:val="18"/>
                      <w:szCs w:val="18"/>
                      <w:lang w:val="en-GB" w:eastAsia="en-GB"/>
                    </w:rPr>
                    <w:t>2043</w:t>
                  </w:r>
                </w:p>
              </w:tc>
              <w:tc>
                <w:tcPr>
                  <w:tcW w:w="875" w:type="dxa"/>
                  <w:tcBorders>
                    <w:top w:val="nil"/>
                    <w:left w:val="nil"/>
                    <w:bottom w:val="single" w:sz="8" w:space="0" w:color="FFFFFF" w:themeColor="background1"/>
                    <w:right w:val="single" w:sz="8" w:space="0" w:color="FFFFFF"/>
                  </w:tcBorders>
                  <w:shd w:val="clear" w:color="auto" w:fill="808080" w:themeFill="background1" w:themeFillShade="80"/>
                  <w:vAlign w:val="center"/>
                </w:tcPr>
                <w:p w14:paraId="3BCC1304" w14:textId="77777777" w:rsidR="00921721" w:rsidRPr="00300B32" w:rsidRDefault="00921721" w:rsidP="00880D09">
                  <w:pPr>
                    <w:jc w:val="center"/>
                    <w:rPr>
                      <w:rFonts w:asciiTheme="minorHAnsi" w:hAnsiTheme="minorHAnsi"/>
                      <w:b/>
                      <w:bCs/>
                      <w:color w:val="FFFFFF"/>
                      <w:sz w:val="18"/>
                      <w:szCs w:val="18"/>
                      <w:lang w:val="en-GB" w:eastAsia="en-GB"/>
                    </w:rPr>
                  </w:pPr>
                  <w:r w:rsidRPr="00300B32">
                    <w:rPr>
                      <w:rFonts w:asciiTheme="minorHAnsi" w:hAnsiTheme="minorHAnsi"/>
                      <w:b/>
                      <w:bCs/>
                      <w:color w:val="FFFFFF"/>
                      <w:sz w:val="18"/>
                      <w:szCs w:val="18"/>
                      <w:lang w:val="en-GB" w:eastAsia="en-GB"/>
                    </w:rPr>
                    <w:t>2044</w:t>
                  </w:r>
                </w:p>
              </w:tc>
              <w:tc>
                <w:tcPr>
                  <w:tcW w:w="876" w:type="dxa"/>
                  <w:tcBorders>
                    <w:top w:val="nil"/>
                    <w:left w:val="nil"/>
                    <w:bottom w:val="single" w:sz="8" w:space="0" w:color="FFFFFF" w:themeColor="background1"/>
                    <w:right w:val="single" w:sz="8" w:space="0" w:color="FFFFFF"/>
                  </w:tcBorders>
                  <w:shd w:val="clear" w:color="auto" w:fill="808080" w:themeFill="background1" w:themeFillShade="80"/>
                  <w:vAlign w:val="center"/>
                </w:tcPr>
                <w:p w14:paraId="1F024DEE" w14:textId="77777777" w:rsidR="00921721" w:rsidRPr="00300B32" w:rsidRDefault="00921721" w:rsidP="00880D09">
                  <w:pPr>
                    <w:jc w:val="center"/>
                    <w:rPr>
                      <w:rFonts w:asciiTheme="minorHAnsi" w:hAnsiTheme="minorHAnsi"/>
                      <w:b/>
                      <w:bCs/>
                      <w:color w:val="FFFFFF"/>
                      <w:sz w:val="18"/>
                      <w:szCs w:val="18"/>
                      <w:lang w:val="en-GB" w:eastAsia="en-GB"/>
                    </w:rPr>
                  </w:pPr>
                  <w:r w:rsidRPr="00300B32">
                    <w:rPr>
                      <w:rFonts w:asciiTheme="minorHAnsi" w:hAnsiTheme="minorHAnsi"/>
                      <w:b/>
                      <w:bCs/>
                      <w:color w:val="FFFFFF"/>
                      <w:sz w:val="18"/>
                      <w:szCs w:val="18"/>
                      <w:lang w:val="en-GB" w:eastAsia="en-GB"/>
                    </w:rPr>
                    <w:t>2045</w:t>
                  </w:r>
                </w:p>
              </w:tc>
              <w:tc>
                <w:tcPr>
                  <w:tcW w:w="875" w:type="dxa"/>
                  <w:tcBorders>
                    <w:top w:val="nil"/>
                    <w:left w:val="nil"/>
                    <w:bottom w:val="single" w:sz="8" w:space="0" w:color="FFFFFF" w:themeColor="background1"/>
                    <w:right w:val="single" w:sz="8" w:space="0" w:color="FFFFFF"/>
                  </w:tcBorders>
                  <w:shd w:val="clear" w:color="auto" w:fill="808080" w:themeFill="background1" w:themeFillShade="80"/>
                  <w:vAlign w:val="center"/>
                </w:tcPr>
                <w:p w14:paraId="36747642"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2046</w:t>
                  </w:r>
                </w:p>
              </w:tc>
              <w:tc>
                <w:tcPr>
                  <w:tcW w:w="875" w:type="dxa"/>
                  <w:tcBorders>
                    <w:top w:val="nil"/>
                    <w:left w:val="nil"/>
                    <w:bottom w:val="single" w:sz="8" w:space="0" w:color="FFFFFF" w:themeColor="background1"/>
                    <w:right w:val="single" w:sz="8" w:space="0" w:color="FFFFFF"/>
                  </w:tcBorders>
                  <w:shd w:val="clear" w:color="auto" w:fill="808080" w:themeFill="background1" w:themeFillShade="80"/>
                  <w:vAlign w:val="center"/>
                </w:tcPr>
                <w:p w14:paraId="2CE990CD"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2047</w:t>
                  </w:r>
                </w:p>
              </w:tc>
              <w:tc>
                <w:tcPr>
                  <w:tcW w:w="876" w:type="dxa"/>
                  <w:tcBorders>
                    <w:top w:val="nil"/>
                    <w:left w:val="nil"/>
                    <w:bottom w:val="single" w:sz="8" w:space="0" w:color="FFFFFF" w:themeColor="background1"/>
                    <w:right w:val="single" w:sz="8" w:space="0" w:color="FFFFFF"/>
                  </w:tcBorders>
                  <w:shd w:val="clear" w:color="auto" w:fill="808080" w:themeFill="background1" w:themeFillShade="80"/>
                  <w:vAlign w:val="center"/>
                </w:tcPr>
                <w:p w14:paraId="1764E59C"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2048</w:t>
                  </w:r>
                </w:p>
              </w:tc>
            </w:tr>
            <w:tr w:rsidR="00921721" w:rsidRPr="00132C08" w14:paraId="4C8F9CD3" w14:textId="77777777" w:rsidTr="00880D09">
              <w:trPr>
                <w:trHeight w:val="186"/>
              </w:trPr>
              <w:tc>
                <w:tcPr>
                  <w:tcW w:w="8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center"/>
                  <w:hideMark/>
                </w:tcPr>
                <w:p w14:paraId="0CE980E1" w14:textId="77777777" w:rsidR="00921721" w:rsidRPr="00030FCB" w:rsidRDefault="00921721" w:rsidP="00880D09">
                  <w:pPr>
                    <w:jc w:val="center"/>
                    <w:rPr>
                      <w:rFonts w:asciiTheme="minorHAnsi" w:hAnsiTheme="minorHAnsi"/>
                      <w:color w:val="4F81BD" w:themeColor="accent1"/>
                      <w:sz w:val="18"/>
                      <w:szCs w:val="18"/>
                      <w:lang w:val="en-GB" w:eastAsia="en-GB"/>
                    </w:rPr>
                  </w:pPr>
                  <w:r w:rsidRPr="00030FCB">
                    <w:rPr>
                      <w:rFonts w:asciiTheme="minorHAnsi" w:hAnsiTheme="minorHAnsi"/>
                      <w:color w:val="4F81BD" w:themeColor="accent1"/>
                      <w:sz w:val="18"/>
                      <w:szCs w:val="18"/>
                      <w:lang w:val="en-GB" w:eastAsia="en-GB"/>
                    </w:rPr>
                    <w:t>GDP per capita</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hideMark/>
                </w:tcPr>
                <w:p w14:paraId="7501F015"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1.023</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hideMark/>
                </w:tcPr>
                <w:p w14:paraId="6664463E"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1.023</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hideMark/>
                </w:tcPr>
                <w:p w14:paraId="2FE7B907"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1.022</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hideMark/>
                </w:tcPr>
                <w:p w14:paraId="67B208B9"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1.021</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hideMark/>
                </w:tcPr>
                <w:p w14:paraId="3405907A"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1.021</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hideMark/>
                </w:tcPr>
                <w:p w14:paraId="5484680B"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1.020</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hideMark/>
                </w:tcPr>
                <w:p w14:paraId="76985206"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1.020</w:t>
                  </w:r>
                </w:p>
              </w:tc>
            </w:tr>
            <w:tr w:rsidR="00921721" w:rsidRPr="00132C08" w14:paraId="3259F80B" w14:textId="77777777" w:rsidTr="00880D09">
              <w:trPr>
                <w:trHeight w:val="186"/>
              </w:trPr>
              <w:tc>
                <w:tcPr>
                  <w:tcW w:w="8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14:paraId="3C80332E"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Year</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1D382E1A"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2049</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0F4D4C60"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2050</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2377C9CE"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2051</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4585AFE3"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2052</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34B97F51"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2053</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4B5616D3"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2054</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40B672AC"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2055</w:t>
                  </w:r>
                </w:p>
              </w:tc>
            </w:tr>
            <w:tr w:rsidR="00921721" w:rsidRPr="00132C08" w14:paraId="3E2C7A71" w14:textId="77777777" w:rsidTr="00880D09">
              <w:trPr>
                <w:trHeight w:val="186"/>
              </w:trPr>
              <w:tc>
                <w:tcPr>
                  <w:tcW w:w="8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center"/>
                </w:tcPr>
                <w:p w14:paraId="408D8361" w14:textId="77777777" w:rsidR="00921721" w:rsidRPr="00030FCB" w:rsidRDefault="00921721" w:rsidP="00880D09">
                  <w:pPr>
                    <w:jc w:val="center"/>
                    <w:rPr>
                      <w:rFonts w:asciiTheme="minorHAnsi" w:hAnsiTheme="minorHAnsi"/>
                      <w:color w:val="4F81BD" w:themeColor="accent1"/>
                      <w:sz w:val="18"/>
                      <w:szCs w:val="18"/>
                      <w:lang w:val="en-GB" w:eastAsia="en-GB"/>
                    </w:rPr>
                  </w:pPr>
                  <w:r w:rsidRPr="00030FCB">
                    <w:rPr>
                      <w:rFonts w:asciiTheme="minorHAnsi" w:hAnsiTheme="minorHAnsi"/>
                      <w:color w:val="4F81BD" w:themeColor="accent1"/>
                      <w:sz w:val="18"/>
                      <w:szCs w:val="18"/>
                      <w:lang w:val="en-GB" w:eastAsia="en-GB"/>
                    </w:rPr>
                    <w:t>GDP per capita</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0FF601B9"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1.020</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6BACD5BE"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1.019</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6090DB6C"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1.019</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303EB2C0"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1.019</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705C3488"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1.019</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1C583BDF"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1.019</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7FFD943A"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1.019</w:t>
                  </w:r>
                </w:p>
              </w:tc>
            </w:tr>
            <w:tr w:rsidR="00921721" w:rsidRPr="00132C08" w14:paraId="318194DD" w14:textId="77777777" w:rsidTr="00880D09">
              <w:trPr>
                <w:trHeight w:val="186"/>
              </w:trPr>
              <w:tc>
                <w:tcPr>
                  <w:tcW w:w="8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14:paraId="4B62272D"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Year</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0F85D94B"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2056</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1CEDD3F6"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2057</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6AE9434E"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2058</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11C7F75B"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2059</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3F6926D0" w14:textId="77777777" w:rsidR="00921721" w:rsidRPr="00030FCB" w:rsidRDefault="00921721" w:rsidP="00880D09">
                  <w:pPr>
                    <w:jc w:val="center"/>
                    <w:rPr>
                      <w:rFonts w:asciiTheme="minorHAnsi" w:hAnsiTheme="minorHAnsi"/>
                      <w:b/>
                      <w:bCs/>
                      <w:color w:val="FFFFFF"/>
                      <w:sz w:val="18"/>
                      <w:szCs w:val="18"/>
                      <w:lang w:val="en-GB" w:eastAsia="en-GB"/>
                    </w:rPr>
                  </w:pPr>
                  <w:r w:rsidRPr="00030FCB">
                    <w:rPr>
                      <w:rFonts w:asciiTheme="minorHAnsi" w:hAnsiTheme="minorHAnsi"/>
                      <w:b/>
                      <w:bCs/>
                      <w:color w:val="FFFFFF"/>
                      <w:sz w:val="18"/>
                      <w:szCs w:val="18"/>
                      <w:lang w:val="en-GB" w:eastAsia="en-GB"/>
                    </w:rPr>
                    <w:t>2060</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4002E1B7" w14:textId="77777777" w:rsidR="00921721" w:rsidRPr="00030FCB" w:rsidRDefault="00921721" w:rsidP="00880D09">
                  <w:pPr>
                    <w:jc w:val="center"/>
                    <w:rPr>
                      <w:rFonts w:asciiTheme="minorHAnsi" w:hAnsiTheme="minorHAnsi"/>
                      <w:b/>
                      <w:bCs/>
                      <w:color w:val="FFFFFF"/>
                      <w:sz w:val="18"/>
                      <w:szCs w:val="18"/>
                      <w:lang w:val="en-GB" w:eastAsia="en-GB"/>
                    </w:rPr>
                  </w:pP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bottom"/>
                </w:tcPr>
                <w:p w14:paraId="4999EF63" w14:textId="77777777" w:rsidR="00921721" w:rsidRPr="00030FCB" w:rsidRDefault="00921721" w:rsidP="00880D09">
                  <w:pPr>
                    <w:jc w:val="center"/>
                    <w:rPr>
                      <w:rFonts w:asciiTheme="minorHAnsi" w:hAnsiTheme="minorHAnsi"/>
                      <w:b/>
                      <w:bCs/>
                      <w:color w:val="FFFFFF"/>
                      <w:sz w:val="18"/>
                      <w:szCs w:val="18"/>
                      <w:lang w:val="en-GB" w:eastAsia="en-GB"/>
                    </w:rPr>
                  </w:pPr>
                </w:p>
              </w:tc>
            </w:tr>
            <w:tr w:rsidR="00921721" w:rsidRPr="00132C08" w14:paraId="1C97521E" w14:textId="77777777" w:rsidTr="00880D09">
              <w:trPr>
                <w:trHeight w:val="186"/>
              </w:trPr>
              <w:tc>
                <w:tcPr>
                  <w:tcW w:w="8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center"/>
                </w:tcPr>
                <w:p w14:paraId="5338AB57" w14:textId="77777777" w:rsidR="00921721" w:rsidRPr="00030FCB" w:rsidRDefault="00921721" w:rsidP="00880D09">
                  <w:pPr>
                    <w:jc w:val="center"/>
                    <w:rPr>
                      <w:rFonts w:asciiTheme="minorHAnsi" w:hAnsiTheme="minorHAnsi"/>
                      <w:color w:val="4F81BD" w:themeColor="accent1"/>
                      <w:sz w:val="18"/>
                      <w:szCs w:val="18"/>
                      <w:lang w:val="en-GB" w:eastAsia="en-GB"/>
                    </w:rPr>
                  </w:pPr>
                  <w:r w:rsidRPr="00030FCB">
                    <w:rPr>
                      <w:rFonts w:asciiTheme="minorHAnsi" w:hAnsiTheme="minorHAnsi"/>
                      <w:color w:val="4F81BD" w:themeColor="accent1"/>
                      <w:sz w:val="18"/>
                      <w:szCs w:val="18"/>
                      <w:lang w:val="en-GB" w:eastAsia="en-GB"/>
                    </w:rPr>
                    <w:t>GDP per capita</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40120644"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1.019</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0E873A7E"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1.020</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74DBBACD"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1.020</w:t>
                  </w: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2C9A522B" w14:textId="77777777" w:rsidR="00921721" w:rsidRPr="00030FCB" w:rsidRDefault="00921721" w:rsidP="00880D09">
                  <w:pPr>
                    <w:jc w:val="center"/>
                    <w:rPr>
                      <w:rFonts w:asciiTheme="minorHAnsi" w:hAnsiTheme="minorHAnsi"/>
                      <w:color w:val="4F81BD" w:themeColor="accent1"/>
                      <w:sz w:val="18"/>
                      <w:szCs w:val="18"/>
                      <w:lang w:val="en-GB" w:eastAsia="en-GB"/>
                    </w:rPr>
                  </w:pPr>
                  <w:r w:rsidRPr="00F13EAB">
                    <w:rPr>
                      <w:rFonts w:asciiTheme="minorHAnsi" w:hAnsiTheme="minorHAnsi"/>
                      <w:color w:val="4F81BD" w:themeColor="accent1"/>
                      <w:sz w:val="18"/>
                      <w:szCs w:val="18"/>
                      <w:lang w:val="en-GB" w:eastAsia="en-GB"/>
                    </w:rPr>
                    <w:t>1.020</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374F13AA" w14:textId="77777777" w:rsidR="00921721" w:rsidRPr="007463B9" w:rsidRDefault="00921721" w:rsidP="00880D09">
                  <w:pPr>
                    <w:jc w:val="center"/>
                    <w:rPr>
                      <w:rFonts w:asciiTheme="minorHAnsi" w:hAnsiTheme="minorHAnsi"/>
                      <w:color w:val="4F81BD" w:themeColor="accent1"/>
                      <w:sz w:val="18"/>
                      <w:szCs w:val="18"/>
                      <w:lang w:eastAsia="en-GB"/>
                    </w:rPr>
                  </w:pPr>
                  <w:r w:rsidRPr="007463B9">
                    <w:rPr>
                      <w:rFonts w:asciiTheme="minorHAnsi" w:hAnsiTheme="minorHAnsi"/>
                      <w:color w:val="4F81BD" w:themeColor="accent1"/>
                      <w:sz w:val="18"/>
                      <w:szCs w:val="18"/>
                      <w:lang w:eastAsia="en-GB"/>
                    </w:rPr>
                    <w:t>1.021</w:t>
                  </w:r>
                </w:p>
              </w:tc>
              <w:tc>
                <w:tcPr>
                  <w:tcW w:w="8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6FB224A4" w14:textId="77777777" w:rsidR="00921721" w:rsidRPr="007463B9" w:rsidRDefault="00921721" w:rsidP="00880D09">
                  <w:pPr>
                    <w:jc w:val="center"/>
                    <w:rPr>
                      <w:rFonts w:asciiTheme="minorHAnsi" w:hAnsiTheme="minorHAnsi"/>
                      <w:color w:val="4F81BD" w:themeColor="accent1"/>
                      <w:sz w:val="18"/>
                      <w:szCs w:val="18"/>
                      <w:lang w:eastAsia="en-GB"/>
                    </w:rPr>
                  </w:pPr>
                </w:p>
              </w:tc>
              <w:tc>
                <w:tcPr>
                  <w:tcW w:w="8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5F1" w:themeFill="accent1" w:themeFillTint="33"/>
                  <w:vAlign w:val="bottom"/>
                </w:tcPr>
                <w:p w14:paraId="20349726" w14:textId="77777777" w:rsidR="00921721" w:rsidRPr="007463B9" w:rsidRDefault="00921721" w:rsidP="00880D09">
                  <w:pPr>
                    <w:jc w:val="center"/>
                    <w:rPr>
                      <w:rFonts w:asciiTheme="minorHAnsi" w:hAnsiTheme="minorHAnsi"/>
                      <w:color w:val="4F81BD" w:themeColor="accent1"/>
                      <w:sz w:val="18"/>
                      <w:szCs w:val="18"/>
                      <w:lang w:eastAsia="en-GB"/>
                    </w:rPr>
                  </w:pPr>
                </w:p>
              </w:tc>
            </w:tr>
          </w:tbl>
          <w:p w14:paraId="7435FD0C" w14:textId="77777777" w:rsidR="00921721" w:rsidRPr="007463B9" w:rsidRDefault="00921721" w:rsidP="00880D09">
            <w:pPr>
              <w:spacing w:before="120"/>
              <w:ind w:right="170"/>
              <w:jc w:val="both"/>
              <w:rPr>
                <w:rFonts w:asciiTheme="minorHAnsi" w:hAnsiTheme="minorHAnsi" w:cs="Arial"/>
                <w:b/>
                <w:i/>
                <w:sz w:val="16"/>
                <w:szCs w:val="16"/>
              </w:rPr>
            </w:pPr>
            <w:r w:rsidRPr="007463B9">
              <w:rPr>
                <w:rFonts w:asciiTheme="minorHAnsi" w:hAnsiTheme="minorHAnsi" w:cs="Arial"/>
                <w:b/>
                <w:i/>
                <w:sz w:val="16"/>
                <w:szCs w:val="16"/>
              </w:rPr>
              <w:t xml:space="preserve">Source: CUPT own work based on Wytyczne dotyczące stosowania jednolitych wskaźników makroekonomicznych będących podstawą oszacowania skutków finansowych projektowanych ustaw, Minister Finansów, 31 sierpnia 2021 r. https://www.gov.pl/web/finanse/wytyczne-sytuacja-makroekonomiczna </w:t>
            </w:r>
          </w:p>
          <w:p w14:paraId="56399F62" w14:textId="77777777" w:rsidR="00921721" w:rsidRPr="007463B9" w:rsidRDefault="00921721" w:rsidP="00880D09">
            <w:pPr>
              <w:ind w:right="170"/>
              <w:jc w:val="both"/>
              <w:rPr>
                <w:rFonts w:asciiTheme="minorHAnsi" w:hAnsiTheme="minorHAnsi" w:cs="Arial"/>
                <w:sz w:val="16"/>
                <w:szCs w:val="16"/>
              </w:rPr>
            </w:pPr>
          </w:p>
          <w:p w14:paraId="7BA44D56" w14:textId="77777777" w:rsidR="00921721" w:rsidRPr="007463B9" w:rsidRDefault="00921721" w:rsidP="00880D09">
            <w:pPr>
              <w:ind w:right="170"/>
              <w:jc w:val="both"/>
              <w:rPr>
                <w:rFonts w:asciiTheme="minorHAnsi" w:hAnsiTheme="minorHAnsi" w:cs="Arial"/>
                <w:sz w:val="16"/>
                <w:szCs w:val="16"/>
              </w:rPr>
            </w:pPr>
          </w:p>
          <w:p w14:paraId="6937DB2B" w14:textId="77777777" w:rsidR="00921721" w:rsidRPr="007463B9" w:rsidRDefault="00921721" w:rsidP="00880D09">
            <w:pPr>
              <w:ind w:right="170"/>
              <w:jc w:val="both"/>
              <w:rPr>
                <w:rFonts w:asciiTheme="minorHAnsi" w:hAnsiTheme="minorHAnsi" w:cs="Arial"/>
                <w:sz w:val="16"/>
                <w:szCs w:val="16"/>
              </w:rPr>
            </w:pPr>
          </w:p>
          <w:p w14:paraId="1EDFF570" w14:textId="77777777" w:rsidR="00921721" w:rsidRPr="007463B9" w:rsidRDefault="00921721" w:rsidP="00880D09">
            <w:pPr>
              <w:ind w:right="170"/>
              <w:jc w:val="both"/>
              <w:rPr>
                <w:rFonts w:asciiTheme="minorHAnsi" w:hAnsiTheme="minorHAnsi" w:cs="Arial"/>
                <w:sz w:val="16"/>
                <w:szCs w:val="16"/>
              </w:rPr>
            </w:pPr>
          </w:p>
          <w:p w14:paraId="10D783FC" w14:textId="77777777" w:rsidR="00921721" w:rsidRPr="007463B9" w:rsidRDefault="00921721" w:rsidP="00880D09">
            <w:pPr>
              <w:ind w:right="170"/>
              <w:jc w:val="both"/>
              <w:rPr>
                <w:rFonts w:asciiTheme="minorHAnsi" w:hAnsiTheme="minorHAnsi" w:cs="Arial"/>
                <w:sz w:val="16"/>
                <w:szCs w:val="16"/>
              </w:rPr>
            </w:pPr>
          </w:p>
          <w:p w14:paraId="36EF1A29" w14:textId="77777777" w:rsidR="00921721" w:rsidRPr="007463B9" w:rsidRDefault="00921721" w:rsidP="00880D09">
            <w:pPr>
              <w:ind w:right="170"/>
              <w:jc w:val="both"/>
              <w:rPr>
                <w:rFonts w:asciiTheme="minorHAnsi" w:hAnsiTheme="minorHAnsi" w:cs="Arial"/>
                <w:sz w:val="16"/>
                <w:szCs w:val="16"/>
              </w:rPr>
            </w:pPr>
          </w:p>
          <w:p w14:paraId="0DCB78E7" w14:textId="77777777" w:rsidR="00921721" w:rsidRPr="007463B9" w:rsidRDefault="00921721" w:rsidP="00880D09">
            <w:pPr>
              <w:ind w:right="170"/>
              <w:jc w:val="both"/>
              <w:rPr>
                <w:rFonts w:asciiTheme="minorHAnsi" w:hAnsiTheme="minorHAnsi" w:cs="Arial"/>
                <w:sz w:val="16"/>
                <w:szCs w:val="16"/>
              </w:rPr>
            </w:pPr>
          </w:p>
          <w:p w14:paraId="51E9FFDF" w14:textId="77777777" w:rsidR="00921721" w:rsidRPr="007463B9" w:rsidRDefault="00921721" w:rsidP="00880D09">
            <w:pPr>
              <w:ind w:right="170"/>
              <w:jc w:val="both"/>
              <w:rPr>
                <w:rFonts w:asciiTheme="minorHAnsi" w:hAnsiTheme="minorHAnsi" w:cs="Arial"/>
                <w:sz w:val="16"/>
                <w:szCs w:val="16"/>
              </w:rPr>
            </w:pPr>
          </w:p>
          <w:p w14:paraId="1909F291" w14:textId="77777777" w:rsidR="00921721" w:rsidRPr="007463B9" w:rsidRDefault="00921721" w:rsidP="00880D09">
            <w:pPr>
              <w:ind w:right="170"/>
              <w:jc w:val="both"/>
              <w:rPr>
                <w:rFonts w:asciiTheme="minorHAnsi" w:hAnsiTheme="minorHAnsi" w:cs="Arial"/>
                <w:sz w:val="16"/>
                <w:szCs w:val="16"/>
              </w:rPr>
            </w:pPr>
          </w:p>
          <w:p w14:paraId="2DAB7560" w14:textId="77777777" w:rsidR="00921721" w:rsidRPr="007463B9" w:rsidRDefault="00921721" w:rsidP="00880D09">
            <w:pPr>
              <w:ind w:right="170"/>
              <w:jc w:val="both"/>
              <w:rPr>
                <w:rFonts w:asciiTheme="minorHAnsi" w:hAnsiTheme="minorHAnsi" w:cs="Arial"/>
                <w:sz w:val="16"/>
                <w:szCs w:val="16"/>
              </w:rPr>
            </w:pPr>
          </w:p>
          <w:p w14:paraId="25C2AF68" w14:textId="77777777" w:rsidR="00921721" w:rsidRPr="007463B9" w:rsidRDefault="00921721" w:rsidP="00880D09">
            <w:pPr>
              <w:ind w:right="170"/>
              <w:jc w:val="both"/>
              <w:rPr>
                <w:rFonts w:asciiTheme="minorHAnsi" w:hAnsiTheme="minorHAnsi" w:cs="Arial"/>
                <w:sz w:val="16"/>
                <w:szCs w:val="16"/>
              </w:rPr>
            </w:pPr>
          </w:p>
          <w:p w14:paraId="38CFDFDB" w14:textId="77777777" w:rsidR="00921721" w:rsidRPr="007463B9" w:rsidRDefault="00921721" w:rsidP="00880D09">
            <w:pPr>
              <w:ind w:right="170"/>
              <w:jc w:val="both"/>
              <w:rPr>
                <w:rFonts w:asciiTheme="minorHAnsi" w:hAnsiTheme="minorHAnsi" w:cs="Arial"/>
                <w:sz w:val="16"/>
                <w:szCs w:val="16"/>
              </w:rPr>
            </w:pPr>
          </w:p>
          <w:p w14:paraId="19CB9B72" w14:textId="77777777" w:rsidR="00921721" w:rsidRPr="00296507" w:rsidRDefault="00921721" w:rsidP="00880D09">
            <w:pPr>
              <w:pStyle w:val="anxnormal"/>
              <w:spacing w:before="0"/>
              <w:ind w:left="0"/>
              <w:rPr>
                <w:rFonts w:asciiTheme="minorHAnsi" w:hAnsiTheme="minorHAnsi" w:cs="Arial-Narrow,Bold"/>
                <w:b/>
                <w:bCs/>
                <w:color w:val="4F81BD" w:themeColor="accent1"/>
                <w:sz w:val="23"/>
                <w:szCs w:val="23"/>
                <w:lang w:val="en-GB" w:eastAsia="en-GB"/>
              </w:rPr>
            </w:pPr>
            <w:r w:rsidRPr="00296507">
              <w:rPr>
                <w:rFonts w:asciiTheme="minorHAnsi" w:hAnsiTheme="minorHAnsi" w:cs="Arial-Narrow,Bold"/>
                <w:b/>
                <w:bCs/>
                <w:color w:val="4F81BD" w:themeColor="accent1"/>
                <w:sz w:val="23"/>
                <w:szCs w:val="23"/>
                <w:lang w:val="en-GB" w:eastAsia="en-GB"/>
              </w:rPr>
              <w:t>3. Costs of</w:t>
            </w:r>
            <w:r>
              <w:rPr>
                <w:rFonts w:asciiTheme="minorHAnsi" w:hAnsiTheme="minorHAnsi" w:cs="Arial-Narrow,Bold"/>
                <w:b/>
                <w:bCs/>
                <w:color w:val="4F81BD" w:themeColor="accent1"/>
                <w:sz w:val="23"/>
                <w:szCs w:val="23"/>
                <w:lang w:val="en-GB" w:eastAsia="en-GB"/>
              </w:rPr>
              <w:t xml:space="preserve"> transport</w:t>
            </w:r>
            <w:r w:rsidRPr="00296507">
              <w:rPr>
                <w:rFonts w:asciiTheme="minorHAnsi" w:hAnsiTheme="minorHAnsi" w:cs="Arial-Narrow,Bold"/>
                <w:b/>
                <w:bCs/>
                <w:color w:val="4F81BD" w:themeColor="accent1"/>
                <w:sz w:val="23"/>
                <w:szCs w:val="23"/>
                <w:lang w:val="en-GB" w:eastAsia="en-GB"/>
              </w:rPr>
              <w:t xml:space="preserve"> </w:t>
            </w:r>
            <w:r>
              <w:rPr>
                <w:rFonts w:asciiTheme="minorHAnsi" w:hAnsiTheme="minorHAnsi" w:cs="Arial-Narrow,Bold"/>
                <w:b/>
                <w:bCs/>
                <w:color w:val="4F81BD" w:themeColor="accent1"/>
                <w:sz w:val="23"/>
                <w:szCs w:val="23"/>
                <w:lang w:val="en-GB" w:eastAsia="en-GB"/>
              </w:rPr>
              <w:t>infrastructure users’</w:t>
            </w:r>
            <w:r w:rsidRPr="00296507">
              <w:rPr>
                <w:rFonts w:asciiTheme="minorHAnsi" w:hAnsiTheme="minorHAnsi" w:cs="Arial-Narrow,Bold"/>
                <w:b/>
                <w:bCs/>
                <w:color w:val="4F81BD" w:themeColor="accent1"/>
                <w:sz w:val="23"/>
                <w:szCs w:val="23"/>
                <w:lang w:val="en-GB" w:eastAsia="en-GB"/>
              </w:rPr>
              <w:t xml:space="preserve"> time</w:t>
            </w:r>
          </w:p>
          <w:p w14:paraId="33171172" w14:textId="77777777" w:rsidR="00921721" w:rsidRPr="00F13EAB" w:rsidRDefault="00921721" w:rsidP="00880D09">
            <w:pPr>
              <w:pStyle w:val="anxnormal"/>
              <w:spacing w:before="60" w:after="60"/>
              <w:ind w:left="0"/>
              <w:rPr>
                <w:rFonts w:asciiTheme="minorHAnsi" w:hAnsiTheme="minorHAnsi"/>
                <w:lang w:val="en-GB" w:eastAsia="en-US"/>
              </w:rPr>
            </w:pPr>
            <w:r w:rsidRPr="00F13EAB">
              <w:rPr>
                <w:rFonts w:asciiTheme="minorHAnsi" w:hAnsiTheme="minorHAnsi"/>
                <w:lang w:val="en-GB" w:eastAsia="en-US"/>
              </w:rPr>
              <w:t>Unit costs of time (PLN/h), prices 2021</w:t>
            </w:r>
          </w:p>
          <w:tbl>
            <w:tblPr>
              <w:tblW w:w="6892" w:type="dxa"/>
              <w:tblLayout w:type="fixed"/>
              <w:tblLook w:val="04A0" w:firstRow="1" w:lastRow="0" w:firstColumn="1" w:lastColumn="0" w:noHBand="0" w:noVBand="1"/>
            </w:tblPr>
            <w:tblGrid>
              <w:gridCol w:w="640"/>
              <w:gridCol w:w="1366"/>
              <w:gridCol w:w="1378"/>
              <w:gridCol w:w="1356"/>
              <w:gridCol w:w="2152"/>
            </w:tblGrid>
            <w:tr w:rsidR="00921721" w:rsidRPr="007463B9" w14:paraId="6DE60920" w14:textId="77777777" w:rsidTr="00880D09">
              <w:trPr>
                <w:trHeight w:val="334"/>
              </w:trPr>
              <w:tc>
                <w:tcPr>
                  <w:tcW w:w="640"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70522A0" w14:textId="77777777" w:rsidR="00921721" w:rsidRPr="00F13EAB" w:rsidRDefault="00921721" w:rsidP="00880D09">
                  <w:pPr>
                    <w:snapToGrid w:val="0"/>
                    <w:jc w:val="center"/>
                    <w:rPr>
                      <w:rFonts w:asciiTheme="minorHAnsi" w:hAnsiTheme="minorHAnsi" w:cs="Arial"/>
                      <w:b/>
                      <w:bCs/>
                      <w:color w:val="FFFFFF"/>
                      <w:sz w:val="15"/>
                      <w:szCs w:val="15"/>
                    </w:rPr>
                  </w:pPr>
                  <w:r w:rsidRPr="00F13EAB">
                    <w:rPr>
                      <w:rFonts w:asciiTheme="minorHAnsi" w:hAnsiTheme="minorHAnsi" w:cs="Arial"/>
                      <w:b/>
                      <w:bCs/>
                      <w:color w:val="FFFFFF"/>
                      <w:sz w:val="15"/>
                      <w:szCs w:val="15"/>
                    </w:rPr>
                    <w:t>Years</w:t>
                  </w:r>
                </w:p>
              </w:tc>
              <w:tc>
                <w:tcPr>
                  <w:tcW w:w="4100" w:type="dxa"/>
                  <w:gridSpan w:val="3"/>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B0E104B" w14:textId="77777777" w:rsidR="00921721" w:rsidRPr="00F13EAB" w:rsidRDefault="00921721" w:rsidP="00880D09">
                  <w:pPr>
                    <w:snapToGrid w:val="0"/>
                    <w:jc w:val="center"/>
                    <w:rPr>
                      <w:rFonts w:asciiTheme="minorHAnsi" w:hAnsiTheme="minorHAnsi" w:cs="Arial"/>
                      <w:b/>
                      <w:bCs/>
                      <w:color w:val="FFFFFF"/>
                      <w:sz w:val="15"/>
                      <w:szCs w:val="15"/>
                      <w:lang w:val="en-GB"/>
                    </w:rPr>
                  </w:pPr>
                  <w:r w:rsidRPr="00F13EAB">
                    <w:rPr>
                      <w:rFonts w:asciiTheme="minorHAnsi" w:hAnsiTheme="minorHAnsi" w:cs="Arial"/>
                      <w:b/>
                      <w:bCs/>
                      <w:color w:val="FFFFFF"/>
                      <w:sz w:val="15"/>
                      <w:szCs w:val="15"/>
                      <w:lang w:val="en-GB"/>
                    </w:rPr>
                    <w:t>The hourly rate of passengers and drivers travel (PLN/h)</w:t>
                  </w:r>
                </w:p>
              </w:tc>
              <w:tc>
                <w:tcPr>
                  <w:tcW w:w="2152"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593E19E" w14:textId="77777777" w:rsidR="00921721" w:rsidRDefault="00921721" w:rsidP="00880D09">
                  <w:pPr>
                    <w:snapToGrid w:val="0"/>
                    <w:jc w:val="center"/>
                    <w:rPr>
                      <w:rFonts w:asciiTheme="minorHAnsi" w:hAnsiTheme="minorHAnsi" w:cs="Arial"/>
                      <w:b/>
                      <w:bCs/>
                      <w:color w:val="FFFFFF"/>
                      <w:sz w:val="15"/>
                      <w:szCs w:val="15"/>
                      <w:lang w:val="en-GB"/>
                    </w:rPr>
                  </w:pPr>
                  <w:r w:rsidRPr="00F13EAB">
                    <w:rPr>
                      <w:rFonts w:asciiTheme="minorHAnsi" w:hAnsiTheme="minorHAnsi" w:cs="Arial"/>
                      <w:b/>
                      <w:bCs/>
                      <w:color w:val="FFFFFF"/>
                      <w:sz w:val="15"/>
                      <w:szCs w:val="15"/>
                      <w:lang w:val="en-GB"/>
                    </w:rPr>
                    <w:t>The hourly rate of</w:t>
                  </w:r>
                  <w:r>
                    <w:rPr>
                      <w:rFonts w:asciiTheme="minorHAnsi" w:hAnsiTheme="minorHAnsi" w:cs="Arial"/>
                      <w:b/>
                      <w:bCs/>
                      <w:color w:val="FFFFFF"/>
                      <w:sz w:val="15"/>
                      <w:szCs w:val="15"/>
                      <w:lang w:val="en-GB"/>
                    </w:rPr>
                    <w:t xml:space="preserve"> road</w:t>
                  </w:r>
                  <w:r w:rsidRPr="00F13EAB">
                    <w:rPr>
                      <w:rFonts w:asciiTheme="minorHAnsi" w:hAnsiTheme="minorHAnsi" w:cs="Arial"/>
                      <w:b/>
                      <w:bCs/>
                      <w:color w:val="FFFFFF"/>
                      <w:sz w:val="15"/>
                      <w:szCs w:val="15"/>
                      <w:lang w:val="en-GB"/>
                    </w:rPr>
                    <w:t xml:space="preserve"> </w:t>
                  </w:r>
                </w:p>
                <w:p w14:paraId="3543321B" w14:textId="77777777" w:rsidR="00921721" w:rsidRPr="00F13EAB" w:rsidRDefault="00921721" w:rsidP="00880D09">
                  <w:pPr>
                    <w:snapToGrid w:val="0"/>
                    <w:jc w:val="center"/>
                    <w:rPr>
                      <w:rFonts w:asciiTheme="minorHAnsi" w:hAnsiTheme="minorHAnsi" w:cs="Arial"/>
                      <w:b/>
                      <w:bCs/>
                      <w:color w:val="FFFFFF"/>
                      <w:sz w:val="15"/>
                      <w:szCs w:val="15"/>
                      <w:lang w:val="en-GB"/>
                    </w:rPr>
                  </w:pPr>
                  <w:r w:rsidRPr="00F13EAB">
                    <w:rPr>
                      <w:rFonts w:asciiTheme="minorHAnsi" w:hAnsiTheme="minorHAnsi" w:cs="Arial"/>
                      <w:b/>
                      <w:bCs/>
                      <w:color w:val="FFFFFF"/>
                      <w:sz w:val="15"/>
                      <w:szCs w:val="15"/>
                      <w:lang w:val="en-GB"/>
                    </w:rPr>
                    <w:t>freight (PLN/h)</w:t>
                  </w:r>
                </w:p>
              </w:tc>
            </w:tr>
            <w:tr w:rsidR="00921721" w:rsidRPr="007463B9" w14:paraId="6FD2F963" w14:textId="77777777" w:rsidTr="00880D09">
              <w:trPr>
                <w:trHeight w:hRule="exact" w:val="377"/>
              </w:trPr>
              <w:tc>
                <w:tcPr>
                  <w:tcW w:w="640"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CF9103B" w14:textId="77777777" w:rsidR="00921721" w:rsidRPr="00F13EAB" w:rsidRDefault="00921721" w:rsidP="00880D09">
                  <w:pPr>
                    <w:jc w:val="center"/>
                    <w:rPr>
                      <w:rFonts w:asciiTheme="minorHAnsi" w:hAnsiTheme="minorHAnsi" w:cs="Arial"/>
                      <w:b/>
                      <w:bCs/>
                      <w:color w:val="FFFFFF"/>
                      <w:sz w:val="15"/>
                      <w:szCs w:val="15"/>
                      <w:lang w:val="en-GB"/>
                    </w:rPr>
                  </w:pPr>
                </w:p>
              </w:tc>
              <w:tc>
                <w:tcPr>
                  <w:tcW w:w="136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9F067CB" w14:textId="77777777" w:rsidR="00921721" w:rsidRPr="00F13EAB" w:rsidRDefault="00921721" w:rsidP="00880D09">
                  <w:pPr>
                    <w:snapToGrid w:val="0"/>
                    <w:jc w:val="center"/>
                    <w:rPr>
                      <w:rFonts w:asciiTheme="minorHAnsi" w:hAnsiTheme="minorHAnsi" w:cs="Arial"/>
                      <w:b/>
                      <w:bCs/>
                      <w:color w:val="FFFFFF"/>
                      <w:sz w:val="15"/>
                      <w:szCs w:val="15"/>
                      <w:lang w:val="en-GB"/>
                    </w:rPr>
                  </w:pPr>
                  <w:r w:rsidRPr="00F13EAB">
                    <w:rPr>
                      <w:rFonts w:asciiTheme="minorHAnsi" w:hAnsiTheme="minorHAnsi" w:cs="Arial"/>
                      <w:b/>
                      <w:bCs/>
                      <w:color w:val="FFFFFF"/>
                      <w:sz w:val="15"/>
                      <w:szCs w:val="15"/>
                      <w:lang w:val="en-GB"/>
                    </w:rPr>
                    <w:t>Business</w:t>
                  </w:r>
                </w:p>
              </w:tc>
              <w:tc>
                <w:tcPr>
                  <w:tcW w:w="137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6CAD812" w14:textId="77777777" w:rsidR="00921721" w:rsidRPr="00F13EAB" w:rsidRDefault="00921721" w:rsidP="00880D09">
                  <w:pPr>
                    <w:snapToGrid w:val="0"/>
                    <w:jc w:val="center"/>
                    <w:rPr>
                      <w:rFonts w:asciiTheme="minorHAnsi" w:hAnsiTheme="minorHAnsi" w:cs="Arial"/>
                      <w:b/>
                      <w:bCs/>
                      <w:color w:val="FFFFFF"/>
                      <w:sz w:val="15"/>
                      <w:szCs w:val="15"/>
                      <w:lang w:val="en-GB"/>
                    </w:rPr>
                  </w:pPr>
                  <w:r w:rsidRPr="00F13EAB">
                    <w:rPr>
                      <w:rFonts w:asciiTheme="minorHAnsi" w:hAnsiTheme="minorHAnsi" w:cs="Arial"/>
                      <w:b/>
                      <w:bCs/>
                      <w:color w:val="FFFFFF"/>
                      <w:sz w:val="15"/>
                      <w:szCs w:val="15"/>
                      <w:lang w:val="en-GB"/>
                    </w:rPr>
                    <w:t>Commuting</w:t>
                  </w:r>
                </w:p>
              </w:tc>
              <w:tc>
                <w:tcPr>
                  <w:tcW w:w="135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ED01802" w14:textId="77777777" w:rsidR="00921721" w:rsidRPr="00F13EAB" w:rsidRDefault="00921721" w:rsidP="00880D09">
                  <w:pPr>
                    <w:snapToGrid w:val="0"/>
                    <w:jc w:val="center"/>
                    <w:rPr>
                      <w:rFonts w:asciiTheme="minorHAnsi" w:hAnsiTheme="minorHAnsi" w:cs="Arial"/>
                      <w:b/>
                      <w:bCs/>
                      <w:color w:val="FFFFFF"/>
                      <w:sz w:val="15"/>
                      <w:szCs w:val="15"/>
                      <w:lang w:val="en-GB"/>
                    </w:rPr>
                  </w:pPr>
                  <w:r w:rsidRPr="00F13EAB">
                    <w:rPr>
                      <w:rFonts w:asciiTheme="minorHAnsi" w:hAnsiTheme="minorHAnsi" w:cs="Arial"/>
                      <w:b/>
                      <w:bCs/>
                      <w:color w:val="FFFFFF"/>
                      <w:sz w:val="15"/>
                      <w:szCs w:val="15"/>
                      <w:lang w:val="en-GB"/>
                    </w:rPr>
                    <w:t>Other</w:t>
                  </w:r>
                </w:p>
              </w:tc>
              <w:tc>
                <w:tcPr>
                  <w:tcW w:w="2152"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035ED07" w14:textId="77777777" w:rsidR="00921721" w:rsidRPr="00F13EAB" w:rsidRDefault="00921721" w:rsidP="00880D09">
                  <w:pPr>
                    <w:jc w:val="center"/>
                    <w:rPr>
                      <w:rFonts w:asciiTheme="minorHAnsi" w:hAnsiTheme="minorHAnsi" w:cs="Arial"/>
                      <w:b/>
                      <w:bCs/>
                      <w:color w:val="FFFFFF"/>
                      <w:sz w:val="15"/>
                      <w:szCs w:val="15"/>
                      <w:lang w:val="en-GB"/>
                    </w:rPr>
                  </w:pPr>
                </w:p>
              </w:tc>
            </w:tr>
            <w:tr w:rsidR="00921721" w:rsidRPr="007463B9" w14:paraId="639D3B32"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BB62E9F"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2021</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72753B7"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103.10</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AC37808"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52.27</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7E0C1F7"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46.51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47E129F"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103.10</w:t>
                  </w:r>
                </w:p>
              </w:tc>
            </w:tr>
            <w:tr w:rsidR="00921721" w:rsidRPr="007463B9" w14:paraId="52409DB3"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1F4DA69"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2022</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96BC18A"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105.73</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5ECAB57"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53.60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3760B2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47.69</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2961217"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105.73</w:t>
                  </w:r>
                </w:p>
              </w:tc>
            </w:tr>
            <w:tr w:rsidR="00921721" w:rsidRPr="007463B9" w14:paraId="71EEE4F2"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3EEAF5A"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2023</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6C9D99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108.26</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8ACB9FD"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54.88</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567F3BB"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48.84</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FFE1817"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108.26</w:t>
                  </w:r>
                </w:p>
              </w:tc>
            </w:tr>
            <w:tr w:rsidR="00921721" w:rsidRPr="007463B9" w14:paraId="12AD384B"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4D219C3"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2024</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B3345CD"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110.38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9099BF8"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55.96</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0B1526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49.79</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DB34D66"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110.38</w:t>
                  </w:r>
                </w:p>
              </w:tc>
            </w:tr>
            <w:tr w:rsidR="00921721" w:rsidRPr="007463B9" w14:paraId="67E2D1F5"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A556100"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2025</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87708FA"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112.44</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9A03FB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57.00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3B8B0E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50.72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F67B04A"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112.44</w:t>
                  </w:r>
                </w:p>
              </w:tc>
            </w:tr>
            <w:tr w:rsidR="00921721" w:rsidRPr="007463B9" w14:paraId="1CBC2BB4"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39DA45C"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2026</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1B716AB"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114.55</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7ED6F44"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58.07</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AD2790A"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51.67</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77A5FDB"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114.55</w:t>
                  </w:r>
                </w:p>
              </w:tc>
            </w:tr>
            <w:tr w:rsidR="00921721" w:rsidRPr="007463B9" w14:paraId="658F04AF"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9E55561"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2027</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E0964E5"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116.71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9708C5D"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59.17</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DC5D0A1"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52.65</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8E1B2A3"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116.71</w:t>
                  </w:r>
                </w:p>
              </w:tc>
            </w:tr>
            <w:tr w:rsidR="00921721" w:rsidRPr="007463B9" w14:paraId="16269B15"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AB395E0"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2028</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689863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118.87</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4EEF600"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60.26</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E6027CE"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53.62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9E3E074"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118.87</w:t>
                  </w:r>
                </w:p>
              </w:tc>
            </w:tr>
            <w:tr w:rsidR="00921721" w:rsidRPr="007463B9" w14:paraId="7CC2320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2183F68"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2029</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7455D42"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121.01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B179D12"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61.34</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3F18B2F"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54.59</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4758D80"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121.01</w:t>
                  </w:r>
                </w:p>
              </w:tc>
            </w:tr>
            <w:tr w:rsidR="00921721" w:rsidRPr="007463B9" w14:paraId="6ECDA8F8"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10712A9"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2030</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763B3A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123.08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6EF50AD"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62.39</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5F6DC3B"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55.52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A6BA60A"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123.08</w:t>
                  </w:r>
                </w:p>
              </w:tc>
            </w:tr>
            <w:tr w:rsidR="00921721" w:rsidRPr="007463B9" w14:paraId="2EB864E4"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2D81C0A"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2031</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7B8A5D8"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125.08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1BF0CC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63.41</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9595EA5"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56.42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490B68F"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125.08</w:t>
                  </w:r>
                </w:p>
              </w:tc>
            </w:tr>
            <w:tr w:rsidR="00921721" w:rsidRPr="007463B9" w14:paraId="26CE6753"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303499B"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2032</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02BA3C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127.06</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5374631"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64.41</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48C760E"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57.31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B99D008"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127.06</w:t>
                  </w:r>
                </w:p>
              </w:tc>
            </w:tr>
            <w:tr w:rsidR="00921721" w:rsidRPr="007463B9" w14:paraId="2BD11883"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75E9944"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2033</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32AB5CB"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129.01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88D22C1"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65.40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97B498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58.19</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9C0FDAF"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129.01</w:t>
                  </w:r>
                </w:p>
              </w:tc>
            </w:tr>
            <w:tr w:rsidR="00921721" w:rsidRPr="007463B9" w14:paraId="150FB26A"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FA62FB0"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2034</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5801B1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130.95</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E9C75B5"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66.38</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35C82AF"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59.07</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F0E5CEC"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130.95</w:t>
                  </w:r>
                </w:p>
              </w:tc>
            </w:tr>
            <w:tr w:rsidR="00921721" w:rsidRPr="007463B9" w14:paraId="09135318"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63C368C"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2035</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F054884"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132.85</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8BBB78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67.35</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47BE1F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59.93</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F98EEF0"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132.85</w:t>
                  </w:r>
                </w:p>
              </w:tc>
            </w:tr>
            <w:tr w:rsidR="00921721" w:rsidRPr="007463B9" w14:paraId="1B1A80C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5677465"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2036</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CE914C5"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134.80</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4CE876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68.33</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22C8ED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60.80</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26FEE6D"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134.80</w:t>
                  </w:r>
                </w:p>
              </w:tc>
            </w:tr>
            <w:tr w:rsidR="00921721" w:rsidRPr="007463B9" w14:paraId="7D42D45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2CC0199"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2037</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7662791"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136.71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508CF7A"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69.30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E0C4114"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61.67</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7297A3A"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136.71</w:t>
                  </w:r>
                </w:p>
              </w:tc>
            </w:tr>
            <w:tr w:rsidR="00921721" w:rsidRPr="007463B9" w14:paraId="5CA75964"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7D9F710"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2038</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FE7DD47"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138.59</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D20DD0A"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70.26</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0CC7FDB"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62.51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051C962"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138.59</w:t>
                  </w:r>
                </w:p>
              </w:tc>
            </w:tr>
            <w:tr w:rsidR="00921721" w:rsidRPr="007463B9" w14:paraId="7BDEDAC5"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B1D324A"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2039</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A1F0465"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140.43</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2F8636C"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71.19</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E0AD9B6"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63.35</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14EECC9"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140.43</w:t>
                  </w:r>
                </w:p>
              </w:tc>
            </w:tr>
            <w:tr w:rsidR="00921721" w:rsidRPr="007463B9" w14:paraId="13DC5A2A"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F7BAC3B"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2040</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68B263B"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142.24</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346744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72.10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0E6E51E"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64.16</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4F05AE9"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142.24</w:t>
                  </w:r>
                </w:p>
              </w:tc>
            </w:tr>
            <w:tr w:rsidR="00921721" w:rsidRPr="007463B9" w14:paraId="5E679FF8"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77BB59C"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2041</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FF2C590"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144.00</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F91FF61"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73.00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EFEEC73" w14:textId="77777777" w:rsidR="00921721" w:rsidRPr="00F13EAB" w:rsidRDefault="00921721" w:rsidP="00880D09">
                  <w:pPr>
                    <w:jc w:val="center"/>
                    <w:rPr>
                      <w:rFonts w:asciiTheme="minorHAnsi" w:hAnsiTheme="minorHAnsi"/>
                      <w:color w:val="4F81BD" w:themeColor="accent1"/>
                      <w:sz w:val="15"/>
                      <w:szCs w:val="15"/>
                      <w:lang w:val="en-GB"/>
                    </w:rPr>
                  </w:pPr>
                  <w:r>
                    <w:rPr>
                      <w:rFonts w:asciiTheme="minorHAnsi" w:hAnsiTheme="minorHAnsi"/>
                      <w:color w:val="4F81BD" w:themeColor="accent1"/>
                      <w:sz w:val="15"/>
                      <w:szCs w:val="15"/>
                      <w:lang w:val="en-GB"/>
                    </w:rPr>
                    <w:t>64.96</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4C1EB2B"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144.00</w:t>
                  </w:r>
                </w:p>
              </w:tc>
            </w:tr>
            <w:tr w:rsidR="00921721" w:rsidRPr="007463B9" w14:paraId="66677825"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870D4A5"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2042</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B9A98D5"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145.71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4E5E384"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73.87</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2562B5F"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65.73</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ECAD559"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145.71</w:t>
                  </w:r>
                </w:p>
              </w:tc>
            </w:tr>
            <w:tr w:rsidR="00921721" w:rsidRPr="007463B9" w14:paraId="153A15B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A7901DA"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2043</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F48DCF0"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147.38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950CDBD"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74.71</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BF18A87"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66.48</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C5C1FBB"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147.38</w:t>
                  </w:r>
                </w:p>
              </w:tc>
            </w:tr>
            <w:tr w:rsidR="00921721" w:rsidRPr="007463B9" w14:paraId="2ED102E9"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060AE1A"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2044</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8040F5C"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149.07</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ECE1642"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75.57</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338DA04"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67.24</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7107E7A"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149.07</w:t>
                  </w:r>
                </w:p>
              </w:tc>
            </w:tr>
            <w:tr w:rsidR="00921721" w:rsidRPr="007463B9" w14:paraId="6817FB63"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3697066"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2045</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F09C50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150.71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4D8A4CA"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76.40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636ADE8"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67.98</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ABA4C90"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150.71</w:t>
                  </w:r>
                </w:p>
              </w:tc>
            </w:tr>
            <w:tr w:rsidR="00921721" w:rsidRPr="007463B9" w14:paraId="01B6D7A1"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B140550"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2046</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A1CD40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152.29</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EFF2E6B"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77.20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EA48DD9"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676915">
                    <w:rPr>
                      <w:rFonts w:asciiTheme="minorHAnsi" w:hAnsiTheme="minorHAnsi"/>
                      <w:color w:val="4F81BD" w:themeColor="accent1"/>
                      <w:sz w:val="15"/>
                      <w:szCs w:val="15"/>
                      <w:lang w:val="en-GB"/>
                    </w:rPr>
                    <w:t>68.70</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9E2828A"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152.29</w:t>
                  </w:r>
                </w:p>
              </w:tc>
            </w:tr>
            <w:tr w:rsidR="00921721" w:rsidRPr="007463B9" w14:paraId="6D974451"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E7AF9C1"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2047</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ECC38C8"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153.90</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BAB2F10"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78.01</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13973EC"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69.42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420E8FF"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153.90</w:t>
                  </w:r>
                </w:p>
              </w:tc>
            </w:tr>
            <w:tr w:rsidR="00921721" w:rsidRPr="007463B9" w14:paraId="38B2B9FB"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F24D4C7"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2048</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303D227"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155.44</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4A1DF4F"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78.80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100BBEE"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676915">
                    <w:rPr>
                      <w:rFonts w:asciiTheme="minorHAnsi" w:hAnsiTheme="minorHAnsi"/>
                      <w:color w:val="4F81BD" w:themeColor="accent1"/>
                      <w:sz w:val="15"/>
                      <w:szCs w:val="15"/>
                      <w:lang w:val="en-GB"/>
                    </w:rPr>
                    <w:t>70.1</w:t>
                  </w:r>
                  <w:r>
                    <w:rPr>
                      <w:rFonts w:asciiTheme="minorHAnsi" w:hAnsiTheme="minorHAnsi"/>
                      <w:color w:val="4F81BD" w:themeColor="accent1"/>
                      <w:sz w:val="15"/>
                      <w:szCs w:val="15"/>
                      <w:lang w:val="en-GB"/>
                    </w:rPr>
                    <w:t>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4367853"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155.44</w:t>
                  </w:r>
                </w:p>
              </w:tc>
            </w:tr>
            <w:tr w:rsidR="00921721" w:rsidRPr="007463B9" w14:paraId="7D265B38"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B95A402"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2049</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6C1A1B0"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157.01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D64C948"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79.59</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E8AC22C"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70.82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C47E4EE"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157.01</w:t>
                  </w:r>
                </w:p>
              </w:tc>
            </w:tr>
            <w:tr w:rsidR="00921721" w:rsidRPr="007463B9" w14:paraId="0F1B5529"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3866E9A"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2050</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74DDC25"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158.59</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10334E3"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80.39</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31099D8"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71.54</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EEAC1D7"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158.59</w:t>
                  </w:r>
                </w:p>
              </w:tc>
            </w:tr>
            <w:tr w:rsidR="00921721" w:rsidRPr="007463B9" w14:paraId="73164F8E"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69EC9B5"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2051</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4ACE6FE"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160.11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82667A0"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81.17</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4625EA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72.22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CD644B2"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160.11</w:t>
                  </w:r>
                </w:p>
              </w:tc>
            </w:tr>
            <w:tr w:rsidR="00921721" w:rsidRPr="007463B9" w14:paraId="49F4519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9F6F432"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2052</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202F482"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161.63</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66B10F7"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81.94</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476C997"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72.91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C209B58"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161.63</w:t>
                  </w:r>
                </w:p>
              </w:tc>
            </w:tr>
            <w:tr w:rsidR="00921721" w:rsidRPr="007463B9" w14:paraId="5C9AD5A2"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CEBDB49"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2053</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F4864E6"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163.17</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7539C2D"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82.72</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D9B5545"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73.60</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B2319A0"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163.17</w:t>
                  </w:r>
                </w:p>
              </w:tc>
            </w:tr>
            <w:tr w:rsidR="00921721" w:rsidRPr="007463B9" w14:paraId="65A8B063"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B027EC5"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2054</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9C61A04"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164.72</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FE0EC1C"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83.50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2CED427"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74.30</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3AD97E2"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164.72</w:t>
                  </w:r>
                </w:p>
              </w:tc>
            </w:tr>
            <w:tr w:rsidR="00921721" w:rsidRPr="007463B9" w14:paraId="66BD2E7B"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383A667"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2055</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C936821"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166.29</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E0E81FE"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84.30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D9DDC78"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75.01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C1FB059"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166.29</w:t>
                  </w:r>
                </w:p>
              </w:tc>
            </w:tr>
            <w:tr w:rsidR="00921721" w:rsidRPr="007463B9" w14:paraId="5B10438D"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2AD111C"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2056</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4760C47"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676915">
                    <w:rPr>
                      <w:rFonts w:asciiTheme="minorHAnsi" w:hAnsiTheme="minorHAnsi"/>
                      <w:color w:val="4F81BD" w:themeColor="accent1"/>
                      <w:sz w:val="15"/>
                      <w:szCs w:val="15"/>
                      <w:lang w:val="en-GB"/>
                    </w:rPr>
                    <w:t>167.87</w:t>
                  </w:r>
                </w:p>
                <w:p w14:paraId="7FC1E6F8" w14:textId="77777777" w:rsidR="00921721" w:rsidRPr="00F13EAB" w:rsidRDefault="00921721" w:rsidP="00880D09">
                  <w:pPr>
                    <w:spacing w:before="20"/>
                    <w:jc w:val="center"/>
                    <w:rPr>
                      <w:rFonts w:asciiTheme="minorHAnsi" w:hAnsiTheme="minorHAnsi"/>
                      <w:color w:val="4F81BD" w:themeColor="accent1"/>
                      <w:sz w:val="15"/>
                      <w:szCs w:val="15"/>
                      <w:lang w:val="en-GB"/>
                    </w:rPr>
                  </w:pP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CC6AD82"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85.10</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CFB1FFA"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75.72</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906AC29" w14:textId="77777777" w:rsidR="00921721" w:rsidRPr="00D069CA" w:rsidRDefault="00921721" w:rsidP="00880D09">
                  <w:pPr>
                    <w:spacing w:before="20"/>
                    <w:jc w:val="center"/>
                    <w:rPr>
                      <w:rFonts w:asciiTheme="minorHAnsi" w:hAnsiTheme="minorHAnsi"/>
                      <w:color w:val="4F81BD" w:themeColor="accent1"/>
                      <w:sz w:val="15"/>
                      <w:szCs w:val="15"/>
                      <w:lang w:val="en-GB"/>
                    </w:rPr>
                  </w:pPr>
                  <w:r w:rsidRPr="00676915">
                    <w:rPr>
                      <w:rFonts w:asciiTheme="minorHAnsi" w:hAnsiTheme="minorHAnsi"/>
                      <w:color w:val="4F81BD" w:themeColor="accent1"/>
                      <w:sz w:val="15"/>
                      <w:szCs w:val="15"/>
                      <w:lang w:val="en-GB"/>
                    </w:rPr>
                    <w:t>167.87</w:t>
                  </w:r>
                </w:p>
                <w:p w14:paraId="200781EE" w14:textId="77777777" w:rsidR="00921721" w:rsidRPr="00F13EAB" w:rsidRDefault="00921721" w:rsidP="00880D09">
                  <w:pPr>
                    <w:spacing w:before="20"/>
                    <w:jc w:val="center"/>
                    <w:rPr>
                      <w:rFonts w:asciiTheme="minorHAnsi" w:hAnsiTheme="minorHAnsi" w:cs="Arial"/>
                      <w:color w:val="4F81BD" w:themeColor="accent1"/>
                      <w:sz w:val="15"/>
                      <w:szCs w:val="15"/>
                      <w:lang w:val="en-GB"/>
                    </w:rPr>
                  </w:pPr>
                </w:p>
              </w:tc>
            </w:tr>
            <w:tr w:rsidR="00921721" w:rsidRPr="007463B9" w14:paraId="694E1B72"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9FC6BFD" w14:textId="77777777" w:rsidR="00921721" w:rsidRPr="00F13EAB" w:rsidRDefault="00921721" w:rsidP="00880D09">
                  <w:pPr>
                    <w:spacing w:before="20"/>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2057</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3C794BE"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169.47</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AA1E99C"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85.91</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08BBC12"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76.44</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BBAD36F" w14:textId="77777777" w:rsidR="00921721" w:rsidRPr="004A641D"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169.47</w:t>
                  </w:r>
                </w:p>
              </w:tc>
            </w:tr>
            <w:tr w:rsidR="00921721" w:rsidRPr="007463B9" w14:paraId="2F17E7D8"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47FC13F" w14:textId="77777777" w:rsidR="00921721" w:rsidRPr="00D0444B" w:rsidRDefault="00921721" w:rsidP="00880D09">
                  <w:pPr>
                    <w:spacing w:before="20"/>
                    <w:jc w:val="center"/>
                    <w:rPr>
                      <w:rFonts w:asciiTheme="minorHAnsi" w:hAnsiTheme="minorHAnsi"/>
                      <w:color w:val="4F81BD" w:themeColor="accent1"/>
                      <w:sz w:val="15"/>
                      <w:szCs w:val="15"/>
                      <w:lang w:val="en-GB"/>
                    </w:rPr>
                  </w:pPr>
                  <w:r>
                    <w:rPr>
                      <w:rFonts w:asciiTheme="minorHAnsi" w:hAnsiTheme="minorHAnsi"/>
                      <w:color w:val="4F81BD" w:themeColor="accent1"/>
                      <w:sz w:val="15"/>
                      <w:szCs w:val="15"/>
                      <w:lang w:val="en-GB"/>
                    </w:rPr>
                    <w:t>2058</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425901C"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171.16</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01676B0"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86.77</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8D402B9"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77.21</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79434F" w14:textId="77777777" w:rsidR="00921721" w:rsidRPr="00D0444B"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171.16</w:t>
                  </w:r>
                </w:p>
              </w:tc>
            </w:tr>
            <w:tr w:rsidR="00921721" w:rsidRPr="007463B9" w14:paraId="4EB46376"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3262182" w14:textId="77777777" w:rsidR="00921721" w:rsidRPr="00D0444B" w:rsidRDefault="00921721" w:rsidP="00880D09">
                  <w:pPr>
                    <w:spacing w:before="20"/>
                    <w:jc w:val="center"/>
                    <w:rPr>
                      <w:rFonts w:asciiTheme="minorHAnsi" w:hAnsiTheme="minorHAnsi"/>
                      <w:color w:val="4F81BD" w:themeColor="accent1"/>
                      <w:sz w:val="15"/>
                      <w:szCs w:val="15"/>
                      <w:lang w:val="en-GB"/>
                    </w:rPr>
                  </w:pPr>
                  <w:r>
                    <w:rPr>
                      <w:rFonts w:asciiTheme="minorHAnsi" w:hAnsiTheme="minorHAnsi"/>
                      <w:color w:val="4F81BD" w:themeColor="accent1"/>
                      <w:sz w:val="15"/>
                      <w:szCs w:val="15"/>
                      <w:lang w:val="en-GB"/>
                    </w:rPr>
                    <w:t>2059</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8E0627A"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172.88</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32EAB86"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87.64</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0771F46"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77.98</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4F7BA57" w14:textId="77777777" w:rsidR="00921721" w:rsidRPr="00D0444B"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172.88</w:t>
                  </w:r>
                </w:p>
              </w:tc>
            </w:tr>
            <w:tr w:rsidR="00921721" w:rsidRPr="007463B9" w14:paraId="76F14B82" w14:textId="77777777" w:rsidTr="00880D09">
              <w:trPr>
                <w:trHeight w:hRule="exact" w:val="261"/>
              </w:trPr>
              <w:tc>
                <w:tcPr>
                  <w:tcW w:w="640"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958871F" w14:textId="77777777" w:rsidR="00921721" w:rsidRPr="00D0444B" w:rsidRDefault="00921721" w:rsidP="00880D09">
                  <w:pPr>
                    <w:spacing w:before="20"/>
                    <w:jc w:val="center"/>
                    <w:rPr>
                      <w:rFonts w:asciiTheme="minorHAnsi" w:hAnsiTheme="minorHAnsi"/>
                      <w:color w:val="4F81BD" w:themeColor="accent1"/>
                      <w:sz w:val="15"/>
                      <w:szCs w:val="15"/>
                      <w:lang w:val="en-GB"/>
                    </w:rPr>
                  </w:pPr>
                  <w:r>
                    <w:rPr>
                      <w:rFonts w:asciiTheme="minorHAnsi" w:hAnsiTheme="minorHAnsi"/>
                      <w:color w:val="4F81BD" w:themeColor="accent1"/>
                      <w:sz w:val="15"/>
                      <w:szCs w:val="15"/>
                      <w:lang w:val="en-GB"/>
                    </w:rPr>
                    <w:t>2060</w:t>
                  </w:r>
                </w:p>
              </w:tc>
              <w:tc>
                <w:tcPr>
                  <w:tcW w:w="136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444A79F"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174.61</w:t>
                  </w:r>
                </w:p>
              </w:tc>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8DF663C"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88.51</w:t>
                  </w:r>
                </w:p>
              </w:tc>
              <w:tc>
                <w:tcPr>
                  <w:tcW w:w="1355"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D620614" w14:textId="77777777" w:rsidR="00921721" w:rsidRPr="00F13EAB" w:rsidRDefault="00921721" w:rsidP="00880D09">
                  <w:pPr>
                    <w:jc w:val="center"/>
                    <w:rPr>
                      <w:rFonts w:asciiTheme="minorHAnsi" w:hAnsiTheme="minorHAnsi"/>
                      <w:color w:val="4F81BD" w:themeColor="accent1"/>
                      <w:sz w:val="15"/>
                      <w:szCs w:val="15"/>
                      <w:lang w:val="en-GB"/>
                    </w:rPr>
                  </w:pPr>
                  <w:r w:rsidRPr="00F13EAB">
                    <w:rPr>
                      <w:rFonts w:asciiTheme="minorHAnsi" w:hAnsiTheme="minorHAnsi"/>
                      <w:color w:val="4F81BD" w:themeColor="accent1"/>
                      <w:sz w:val="15"/>
                      <w:szCs w:val="15"/>
                      <w:lang w:val="en-GB"/>
                    </w:rPr>
                    <w:t>78.76</w:t>
                  </w:r>
                </w:p>
              </w:tc>
              <w:tc>
                <w:tcPr>
                  <w:tcW w:w="215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49017E4" w14:textId="77777777" w:rsidR="00921721" w:rsidRPr="00D0444B" w:rsidRDefault="00921721" w:rsidP="00880D09">
                  <w:pPr>
                    <w:jc w:val="center"/>
                    <w:rPr>
                      <w:rFonts w:asciiTheme="minorHAnsi" w:hAnsiTheme="minorHAnsi"/>
                      <w:color w:val="4F81BD" w:themeColor="accent1"/>
                      <w:sz w:val="15"/>
                      <w:szCs w:val="15"/>
                      <w:lang w:val="en-GB"/>
                    </w:rPr>
                  </w:pPr>
                  <w:r w:rsidRPr="00D069CA">
                    <w:rPr>
                      <w:rFonts w:asciiTheme="minorHAnsi" w:hAnsiTheme="minorHAnsi"/>
                      <w:color w:val="4F81BD" w:themeColor="accent1"/>
                      <w:sz w:val="15"/>
                      <w:szCs w:val="15"/>
                      <w:lang w:val="en-GB"/>
                    </w:rPr>
                    <w:t>174.61</w:t>
                  </w:r>
                </w:p>
              </w:tc>
            </w:tr>
          </w:tbl>
          <w:p w14:paraId="21EAB795" w14:textId="77777777" w:rsidR="00921721" w:rsidRDefault="00921721" w:rsidP="00880D09">
            <w:pPr>
              <w:spacing w:before="60"/>
              <w:ind w:right="170"/>
              <w:jc w:val="both"/>
              <w:rPr>
                <w:rFonts w:asciiTheme="minorHAnsi" w:hAnsiTheme="minorHAnsi" w:cs="Arial"/>
                <w:b/>
                <w:i/>
                <w:sz w:val="16"/>
                <w:szCs w:val="16"/>
                <w:lang w:val="en-GB"/>
              </w:rPr>
            </w:pPr>
            <w:r w:rsidRPr="00676915">
              <w:rPr>
                <w:rFonts w:asciiTheme="minorHAnsi" w:hAnsiTheme="minorHAnsi" w:cs="Arial"/>
                <w:b/>
                <w:i/>
                <w:sz w:val="16"/>
                <w:szCs w:val="16"/>
                <w:lang w:val="en-GB"/>
              </w:rPr>
              <w:t xml:space="preserve">Source: JASPERS contracted study on “Determination of the Value of Time (VOT) for passengers (in PLN/h)“, </w:t>
            </w:r>
            <w:r>
              <w:rPr>
                <w:rFonts w:asciiTheme="minorHAnsi" w:hAnsiTheme="minorHAnsi" w:cs="Arial"/>
                <w:b/>
                <w:i/>
                <w:sz w:val="16"/>
                <w:szCs w:val="16"/>
                <w:lang w:val="en-GB"/>
              </w:rPr>
              <w:t xml:space="preserve">Deloitte, 2021 </w:t>
            </w:r>
            <w:r w:rsidRPr="00676915">
              <w:rPr>
                <w:rFonts w:asciiTheme="minorHAnsi" w:hAnsiTheme="minorHAnsi" w:cs="Arial"/>
                <w:b/>
                <w:i/>
                <w:sz w:val="16"/>
                <w:szCs w:val="16"/>
                <w:lang w:val="en-GB"/>
              </w:rPr>
              <w:t>based on GC survey contrac</w:t>
            </w:r>
            <w:r>
              <w:rPr>
                <w:rFonts w:asciiTheme="minorHAnsi" w:hAnsiTheme="minorHAnsi" w:cs="Arial"/>
                <w:b/>
                <w:i/>
                <w:sz w:val="16"/>
                <w:szCs w:val="16"/>
                <w:lang w:val="en-GB"/>
              </w:rPr>
              <w:t>ted by CUPT</w:t>
            </w:r>
            <w:r w:rsidRPr="00731E4E">
              <w:rPr>
                <w:rFonts w:asciiTheme="minorHAnsi" w:hAnsiTheme="minorHAnsi" w:cs="Arial"/>
                <w:b/>
                <w:i/>
                <w:sz w:val="16"/>
                <w:szCs w:val="16"/>
                <w:lang w:val="en-GB"/>
              </w:rPr>
              <w:t>.</w:t>
            </w:r>
          </w:p>
          <w:p w14:paraId="4491A49F" w14:textId="77777777" w:rsidR="00921721" w:rsidRPr="00731E4E" w:rsidRDefault="00921721" w:rsidP="00880D09">
            <w:pPr>
              <w:pStyle w:val="anxnormal"/>
              <w:ind w:left="0"/>
              <w:rPr>
                <w:rFonts w:asciiTheme="minorHAnsi" w:hAnsiTheme="minorHAnsi"/>
                <w:u w:val="single"/>
                <w:lang w:val="en-GB" w:eastAsia="en-US"/>
              </w:rPr>
            </w:pPr>
            <w:r w:rsidRPr="00731E4E">
              <w:rPr>
                <w:rFonts w:asciiTheme="minorHAnsi" w:hAnsiTheme="minorHAnsi"/>
                <w:u w:val="single"/>
                <w:lang w:val="en-GB" w:eastAsia="en-US"/>
              </w:rPr>
              <w:t>Unit cost evolution over time</w:t>
            </w:r>
          </w:p>
          <w:p w14:paraId="22654B45" w14:textId="77777777" w:rsidR="00921721" w:rsidRPr="00731E4E"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Unit time cost (VoT) evolution over time (forecasts in the table above) is based on GDP per capita g</w:t>
            </w:r>
            <w:r>
              <w:rPr>
                <w:rFonts w:asciiTheme="minorHAnsi" w:hAnsiTheme="minorHAnsi"/>
                <w:lang w:val="en-GB" w:eastAsia="en-US"/>
              </w:rPr>
              <w:t>rowth (values provided in point </w:t>
            </w:r>
            <w:r w:rsidRPr="00731E4E">
              <w:rPr>
                <w:rFonts w:asciiTheme="minorHAnsi" w:hAnsiTheme="minorHAnsi"/>
                <w:lang w:val="en-GB" w:eastAsia="en-US"/>
              </w:rPr>
              <w:t>2) with an elasticity of 0.</w:t>
            </w:r>
            <w:r>
              <w:rPr>
                <w:rFonts w:asciiTheme="minorHAnsi" w:hAnsiTheme="minorHAnsi"/>
                <w:lang w:val="en-GB" w:eastAsia="en-US"/>
              </w:rPr>
              <w:t xml:space="preserve">5 </w:t>
            </w:r>
            <w:r>
              <w:rPr>
                <w:rFonts w:asciiTheme="minorHAnsi" w:hAnsiTheme="minorHAnsi"/>
                <w:lang w:val="en-GB"/>
              </w:rPr>
              <w:t>(as per DG </w:t>
            </w:r>
            <w:r w:rsidRPr="00570700">
              <w:rPr>
                <w:rFonts w:asciiTheme="minorHAnsi" w:hAnsiTheme="minorHAnsi"/>
                <w:lang w:val="en-GB"/>
              </w:rPr>
              <w:t>Regio CBA Guide</w:t>
            </w:r>
            <w:r>
              <w:rPr>
                <w:rFonts w:asciiTheme="minorHAnsi" w:hAnsiTheme="minorHAnsi"/>
                <w:lang w:val="en-GB"/>
              </w:rPr>
              <w:t>)</w:t>
            </w:r>
            <w:r w:rsidRPr="00731E4E">
              <w:rPr>
                <w:rFonts w:asciiTheme="minorHAnsi" w:hAnsiTheme="minorHAnsi"/>
                <w:lang w:val="en-GB" w:eastAsia="en-US"/>
              </w:rPr>
              <w:t>.</w:t>
            </w:r>
          </w:p>
          <w:p w14:paraId="230551F0" w14:textId="77777777" w:rsidR="00921721" w:rsidRPr="00731E4E" w:rsidRDefault="00921721" w:rsidP="00880D09">
            <w:pPr>
              <w:pStyle w:val="anxnormal"/>
              <w:spacing w:before="0"/>
              <w:ind w:left="0"/>
              <w:rPr>
                <w:rFonts w:asciiTheme="minorHAnsi" w:hAnsiTheme="minorHAnsi"/>
                <w:lang w:val="en-GB" w:eastAsia="en-US"/>
              </w:rPr>
            </w:pPr>
          </w:p>
          <w:p w14:paraId="1E251CB0" w14:textId="77777777" w:rsidR="00921721" w:rsidRPr="00521591" w:rsidRDefault="00921721" w:rsidP="00880D09">
            <w:pPr>
              <w:pStyle w:val="anxnormal"/>
              <w:ind w:left="0"/>
              <w:rPr>
                <w:rFonts w:asciiTheme="minorHAnsi" w:hAnsiTheme="minorHAnsi" w:cs="Arial-Narrow,Bold"/>
                <w:b/>
                <w:bCs/>
                <w:color w:val="4F81BD" w:themeColor="accent1"/>
                <w:sz w:val="23"/>
                <w:szCs w:val="23"/>
                <w:lang w:val="en-GB" w:eastAsia="en-GB"/>
              </w:rPr>
            </w:pPr>
            <w:r w:rsidRPr="00521591">
              <w:rPr>
                <w:rFonts w:asciiTheme="minorHAnsi" w:hAnsiTheme="minorHAnsi" w:cs="Arial-Narrow,Bold"/>
                <w:b/>
                <w:bCs/>
                <w:color w:val="4F81BD" w:themeColor="accent1"/>
                <w:sz w:val="23"/>
                <w:szCs w:val="23"/>
                <w:lang w:val="en-GB" w:eastAsia="en-GB"/>
              </w:rPr>
              <w:t>4. Vehicle operating costs</w:t>
            </w:r>
          </w:p>
          <w:p w14:paraId="10CA3DC5" w14:textId="77777777" w:rsidR="00921721" w:rsidRDefault="00921721" w:rsidP="00880D09">
            <w:pPr>
              <w:pStyle w:val="anxnormal"/>
              <w:spacing w:after="120"/>
              <w:ind w:left="0"/>
              <w:rPr>
                <w:rFonts w:asciiTheme="minorHAnsi" w:hAnsiTheme="minorHAnsi"/>
                <w:lang w:val="en-GB" w:eastAsia="en-US"/>
              </w:rPr>
            </w:pPr>
            <w:r>
              <w:rPr>
                <w:rFonts w:asciiTheme="minorHAnsi" w:hAnsiTheme="minorHAnsi"/>
                <w:lang w:val="en-GB" w:eastAsia="en-US"/>
              </w:rPr>
              <w:t>Tables below present the unit vehicle operating costs for LV and HGV for the currently adopted base year (2021). It is assumed that</w:t>
            </w:r>
            <w:r>
              <w:rPr>
                <w:rFonts w:asciiTheme="minorHAnsi" w:hAnsiTheme="minorHAnsi"/>
                <w:lang w:val="en-GB"/>
              </w:rPr>
              <w:t xml:space="preserve"> current road fleet</w:t>
            </w:r>
            <w:r>
              <w:rPr>
                <w:rFonts w:asciiTheme="minorHAnsi" w:hAnsiTheme="minorHAnsi"/>
                <w:lang w:val="en-GB" w:eastAsia="en-US"/>
              </w:rPr>
              <w:t xml:space="preserve"> fuel type composition </w:t>
            </w:r>
            <w:r>
              <w:rPr>
                <w:rFonts w:asciiTheme="minorHAnsi" w:hAnsiTheme="minorHAnsi"/>
                <w:lang w:val="en-GB"/>
              </w:rPr>
              <w:t>is mainly: petrol and Diesel for LV, and exclusively Diesel for HGV.</w:t>
            </w:r>
            <w:r>
              <w:rPr>
                <w:rFonts w:asciiTheme="minorHAnsi" w:hAnsiTheme="minorHAnsi"/>
                <w:lang w:val="en-GB" w:eastAsia="en-US"/>
              </w:rPr>
              <w:t xml:space="preserve"> </w:t>
            </w:r>
          </w:p>
          <w:p w14:paraId="39B05A07" w14:textId="77777777" w:rsidR="00921721" w:rsidRDefault="00921721" w:rsidP="00880D09">
            <w:pPr>
              <w:pStyle w:val="anxnormal"/>
              <w:spacing w:after="120"/>
              <w:ind w:left="0"/>
              <w:rPr>
                <w:rFonts w:asciiTheme="minorHAnsi" w:hAnsiTheme="minorHAnsi"/>
                <w:lang w:val="en-GB" w:eastAsia="en-US"/>
              </w:rPr>
            </w:pPr>
            <w:r>
              <w:rPr>
                <w:rFonts w:asciiTheme="minorHAnsi" w:hAnsiTheme="minorHAnsi"/>
                <w:lang w:val="en-GB" w:eastAsia="en-US"/>
              </w:rPr>
              <w:t xml:space="preserve">Those unit VOC costs were calculated considering petrol and Diesel vehicles: fuel consumption costs and other costs of those vehicles, and relevant data on road vehicle fleet (details on determination of VOC calculations and related assumptions are presented </w:t>
            </w:r>
            <w:r w:rsidRPr="00870A32">
              <w:rPr>
                <w:rFonts w:asciiTheme="minorHAnsi" w:hAnsiTheme="minorHAnsi"/>
                <w:lang w:val="en-GB" w:eastAsia="en-US"/>
              </w:rPr>
              <w:t xml:space="preserve">in </w:t>
            </w:r>
            <w:r>
              <w:rPr>
                <w:rFonts w:asciiTheme="minorHAnsi" w:hAnsiTheme="minorHAnsi"/>
                <w:lang w:val="en-GB" w:eastAsia="en-US"/>
              </w:rPr>
              <w:t>Appendix </w:t>
            </w:r>
            <w:r w:rsidRPr="00870A32">
              <w:rPr>
                <w:rFonts w:asciiTheme="minorHAnsi" w:hAnsiTheme="minorHAnsi"/>
                <w:lang w:val="en-GB" w:eastAsia="en-US"/>
              </w:rPr>
              <w:t>D). The</w:t>
            </w:r>
            <w:r>
              <w:rPr>
                <w:rFonts w:asciiTheme="minorHAnsi" w:hAnsiTheme="minorHAnsi"/>
                <w:lang w:val="en-GB" w:eastAsia="en-US"/>
              </w:rPr>
              <w:t xml:space="preserve"> unit VOC in the table below refer to flat terrain conditions and good road pavement conditions (i.e. after construction/ rehabilitation), and in the following one to road with deteriorated pavement. Factors related to road gradient influence are also provided.</w:t>
            </w:r>
          </w:p>
          <w:p w14:paraId="3D7A7F82" w14:textId="77777777" w:rsidR="00921721" w:rsidRPr="00B72029" w:rsidRDefault="00921721" w:rsidP="00880D09">
            <w:pPr>
              <w:pStyle w:val="anxnormal"/>
              <w:spacing w:after="120"/>
              <w:ind w:left="0"/>
              <w:rPr>
                <w:rFonts w:asciiTheme="minorHAnsi" w:hAnsiTheme="minorHAnsi"/>
                <w:lang w:val="en-US" w:eastAsia="en-US"/>
              </w:rPr>
            </w:pPr>
            <w:r w:rsidRPr="00C22769">
              <w:rPr>
                <w:rFonts w:asciiTheme="minorHAnsi" w:hAnsiTheme="minorHAnsi"/>
                <w:lang w:val="en-US" w:eastAsia="en-US"/>
              </w:rPr>
              <w:t>The unit values specified below are for combustion motor vehicles only. Values for electric vehicles are in one of the following tables.</w:t>
            </w:r>
          </w:p>
          <w:p w14:paraId="1F7A6436" w14:textId="77777777" w:rsidR="00921721" w:rsidRDefault="00921721" w:rsidP="00880D09">
            <w:pPr>
              <w:pStyle w:val="anxnormal"/>
              <w:spacing w:after="120"/>
              <w:ind w:left="0"/>
              <w:rPr>
                <w:rFonts w:asciiTheme="minorHAnsi" w:hAnsiTheme="minorHAnsi"/>
                <w:lang w:val="en-GB" w:eastAsia="en-US"/>
              </w:rPr>
            </w:pPr>
          </w:p>
          <w:p w14:paraId="3563381F" w14:textId="77777777" w:rsidR="00921721" w:rsidRDefault="00921721" w:rsidP="00880D09">
            <w:pPr>
              <w:pStyle w:val="anxnormal"/>
              <w:spacing w:after="120"/>
              <w:ind w:left="0"/>
              <w:rPr>
                <w:rFonts w:asciiTheme="minorHAnsi" w:hAnsiTheme="minorHAnsi"/>
                <w:lang w:val="en-GB" w:eastAsia="en-US"/>
              </w:rPr>
            </w:pPr>
          </w:p>
          <w:p w14:paraId="3A6CC232" w14:textId="77777777" w:rsidR="00921721" w:rsidRDefault="00921721" w:rsidP="00880D09">
            <w:pPr>
              <w:pStyle w:val="anxnormal"/>
              <w:spacing w:after="120"/>
              <w:ind w:left="0"/>
              <w:rPr>
                <w:rFonts w:asciiTheme="minorHAnsi" w:hAnsiTheme="minorHAnsi"/>
                <w:lang w:val="en-GB" w:eastAsia="en-US"/>
              </w:rPr>
            </w:pPr>
          </w:p>
          <w:p w14:paraId="7962D632" w14:textId="77777777" w:rsidR="00921721" w:rsidRDefault="00921721" w:rsidP="00880D09">
            <w:pPr>
              <w:pStyle w:val="anxnormal"/>
              <w:spacing w:after="120"/>
              <w:ind w:left="0"/>
              <w:rPr>
                <w:rFonts w:asciiTheme="minorHAnsi" w:hAnsiTheme="minorHAnsi"/>
                <w:lang w:val="en-GB" w:eastAsia="en-US"/>
              </w:rPr>
            </w:pPr>
          </w:p>
          <w:p w14:paraId="5FC03ACB" w14:textId="77777777" w:rsidR="00921721" w:rsidRDefault="00921721" w:rsidP="00880D09">
            <w:pPr>
              <w:pStyle w:val="anxnormal"/>
              <w:spacing w:after="120"/>
              <w:ind w:left="0"/>
              <w:rPr>
                <w:rFonts w:asciiTheme="minorHAnsi" w:hAnsiTheme="minorHAnsi"/>
                <w:lang w:val="en-GB" w:eastAsia="en-US"/>
              </w:rPr>
            </w:pPr>
          </w:p>
          <w:p w14:paraId="6C9C56AF" w14:textId="77777777" w:rsidR="00921721" w:rsidRDefault="00921721" w:rsidP="00880D09">
            <w:pPr>
              <w:pStyle w:val="anxnormal"/>
              <w:spacing w:after="120"/>
              <w:ind w:left="0"/>
              <w:rPr>
                <w:rFonts w:asciiTheme="minorHAnsi" w:hAnsiTheme="minorHAnsi"/>
                <w:lang w:val="en-GB" w:eastAsia="en-US"/>
              </w:rPr>
            </w:pPr>
          </w:p>
          <w:p w14:paraId="44B668B7" w14:textId="77777777" w:rsidR="00921721" w:rsidRPr="0077080B" w:rsidRDefault="00921721" w:rsidP="00880D09">
            <w:pPr>
              <w:spacing w:before="120" w:after="120"/>
              <w:jc w:val="both"/>
              <w:rPr>
                <w:rFonts w:asciiTheme="minorHAnsi" w:hAnsiTheme="minorHAnsi"/>
                <w:sz w:val="20"/>
                <w:lang w:val="en-GB" w:eastAsia="en-US"/>
              </w:rPr>
            </w:pPr>
            <w:r w:rsidRPr="0077080B">
              <w:rPr>
                <w:rFonts w:asciiTheme="minorHAnsi" w:hAnsiTheme="minorHAnsi"/>
                <w:sz w:val="20"/>
                <w:lang w:val="en-GB" w:eastAsia="en-US"/>
              </w:rPr>
              <w:t>Unit vehicle operating costs for combustion motor vehicles (PLN/veh-km), prices 2021</w:t>
            </w:r>
          </w:p>
          <w:tbl>
            <w:tblPr>
              <w:tblW w:w="6843" w:type="dxa"/>
              <w:tblLayout w:type="fixed"/>
              <w:tblLook w:val="04A0" w:firstRow="1" w:lastRow="0" w:firstColumn="1" w:lastColumn="0" w:noHBand="0" w:noVBand="1"/>
            </w:tblPr>
            <w:tblGrid>
              <w:gridCol w:w="1311"/>
              <w:gridCol w:w="2736"/>
              <w:gridCol w:w="2796"/>
            </w:tblGrid>
            <w:tr w:rsidR="00921721" w:rsidRPr="007463B9" w14:paraId="0DF7E584" w14:textId="77777777" w:rsidTr="00880D09">
              <w:trPr>
                <w:trHeight w:hRule="exact" w:val="562"/>
              </w:trPr>
              <w:tc>
                <w:tcPr>
                  <w:tcW w:w="1311"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4DC191C" w14:textId="77777777" w:rsidR="00921721" w:rsidRPr="00E819C9" w:rsidRDefault="00921721" w:rsidP="00880D09">
                  <w:pPr>
                    <w:snapToGrid w:val="0"/>
                    <w:spacing w:before="20" w:after="20"/>
                    <w:jc w:val="center"/>
                    <w:rPr>
                      <w:rFonts w:asciiTheme="minorHAnsi" w:hAnsiTheme="minorHAnsi" w:cs="Arial"/>
                      <w:b/>
                      <w:bCs/>
                      <w:color w:val="FFFFFF"/>
                      <w:sz w:val="18"/>
                      <w:szCs w:val="18"/>
                      <w:lang w:val="en-GB"/>
                    </w:rPr>
                  </w:pPr>
                  <w:r w:rsidRPr="00E819C9">
                    <w:rPr>
                      <w:rFonts w:asciiTheme="minorHAnsi" w:hAnsiTheme="minorHAnsi" w:cs="Arial"/>
                      <w:b/>
                      <w:bCs/>
                      <w:color w:val="FFFFFF"/>
                      <w:sz w:val="18"/>
                      <w:szCs w:val="18"/>
                      <w:lang w:val="en-GB"/>
                    </w:rPr>
                    <w:t>Speed (km/h)</w:t>
                  </w:r>
                </w:p>
              </w:tc>
              <w:tc>
                <w:tcPr>
                  <w:tcW w:w="5532"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ABC1ED7" w14:textId="77777777" w:rsidR="00921721" w:rsidRPr="00E819C9" w:rsidRDefault="00921721" w:rsidP="00880D09">
                  <w:pPr>
                    <w:snapToGrid w:val="0"/>
                    <w:spacing w:before="20" w:after="20"/>
                    <w:jc w:val="center"/>
                    <w:rPr>
                      <w:rFonts w:asciiTheme="minorHAnsi" w:hAnsiTheme="minorHAnsi" w:cs="Arial"/>
                      <w:b/>
                      <w:bCs/>
                      <w:color w:val="FFFFFF"/>
                      <w:sz w:val="18"/>
                      <w:szCs w:val="18"/>
                      <w:lang w:val="en-GB"/>
                    </w:rPr>
                  </w:pPr>
                  <w:r w:rsidRPr="00E819C9">
                    <w:rPr>
                      <w:rFonts w:asciiTheme="minorHAnsi" w:hAnsiTheme="minorHAnsi" w:cs="Arial"/>
                      <w:b/>
                      <w:bCs/>
                      <w:color w:val="FFFFFF"/>
                      <w:sz w:val="18"/>
                      <w:szCs w:val="18"/>
                      <w:lang w:val="en-GB"/>
                    </w:rPr>
                    <w:t>Unit vehicle operating costs – PLN/veh-km</w:t>
                  </w:r>
                  <w:r>
                    <w:rPr>
                      <w:rFonts w:asciiTheme="minorHAnsi" w:hAnsiTheme="minorHAnsi" w:cs="Arial"/>
                      <w:b/>
                      <w:bCs/>
                      <w:color w:val="FFFFFF"/>
                      <w:sz w:val="18"/>
                      <w:szCs w:val="18"/>
                      <w:lang w:val="en-GB"/>
                    </w:rPr>
                    <w:t xml:space="preserve"> </w:t>
                  </w:r>
                  <w:r w:rsidRPr="00E819C9">
                    <w:rPr>
                      <w:rFonts w:asciiTheme="minorHAnsi" w:hAnsiTheme="minorHAnsi" w:cs="Arial"/>
                      <w:b/>
                      <w:bCs/>
                      <w:color w:val="FFFFFF"/>
                      <w:sz w:val="18"/>
                      <w:szCs w:val="18"/>
                      <w:lang w:val="en-GB"/>
                    </w:rPr>
                    <w:t>–</w:t>
                  </w:r>
                  <w:r>
                    <w:rPr>
                      <w:rFonts w:asciiTheme="minorHAnsi" w:hAnsiTheme="minorHAnsi" w:cs="Arial"/>
                      <w:b/>
                      <w:bCs/>
                      <w:color w:val="FFFFFF"/>
                      <w:sz w:val="18"/>
                      <w:szCs w:val="18"/>
                      <w:lang w:val="en-GB"/>
                    </w:rPr>
                    <w:t xml:space="preserve"> </w:t>
                  </w:r>
                  <w:r w:rsidRPr="00E819C9">
                    <w:rPr>
                      <w:rFonts w:asciiTheme="minorHAnsi" w:hAnsiTheme="minorHAnsi" w:cs="Arial"/>
                      <w:b/>
                      <w:bCs/>
                      <w:color w:val="FFFFFF"/>
                      <w:sz w:val="18"/>
                      <w:szCs w:val="18"/>
                      <w:lang w:val="en-GB"/>
                    </w:rPr>
                    <w:t>flat terrain (pavement after rehabilitation/</w:t>
                  </w:r>
                  <w:r>
                    <w:rPr>
                      <w:rFonts w:asciiTheme="minorHAnsi" w:hAnsiTheme="minorHAnsi" w:cs="Arial"/>
                      <w:b/>
                      <w:bCs/>
                      <w:color w:val="FFFFFF"/>
                      <w:sz w:val="18"/>
                      <w:szCs w:val="18"/>
                      <w:lang w:val="en-GB"/>
                    </w:rPr>
                    <w:t xml:space="preserve"> </w:t>
                  </w:r>
                  <w:r w:rsidRPr="00E819C9">
                    <w:rPr>
                      <w:rFonts w:asciiTheme="minorHAnsi" w:hAnsiTheme="minorHAnsi" w:cs="Arial"/>
                      <w:b/>
                      <w:bCs/>
                      <w:color w:val="FFFFFF"/>
                      <w:sz w:val="18"/>
                      <w:szCs w:val="18"/>
                      <w:lang w:val="en-GB"/>
                    </w:rPr>
                    <w:t>construction)</w:t>
                  </w:r>
                </w:p>
              </w:tc>
            </w:tr>
            <w:tr w:rsidR="00921721" w:rsidRPr="007463B9" w14:paraId="153C045E" w14:textId="77777777" w:rsidTr="00880D09">
              <w:trPr>
                <w:trHeight w:hRule="exact" w:val="391"/>
              </w:trPr>
              <w:tc>
                <w:tcPr>
                  <w:tcW w:w="1311"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A2CB066" w14:textId="77777777" w:rsidR="00921721" w:rsidRPr="006A71F9" w:rsidRDefault="00921721" w:rsidP="00880D09">
                  <w:pPr>
                    <w:jc w:val="center"/>
                    <w:rPr>
                      <w:rFonts w:asciiTheme="minorHAnsi" w:hAnsiTheme="minorHAnsi" w:cs="Arial"/>
                      <w:b/>
                      <w:bCs/>
                      <w:color w:val="FFFFFF"/>
                      <w:sz w:val="18"/>
                      <w:szCs w:val="18"/>
                      <w:lang w:val="en-GB"/>
                    </w:rPr>
                  </w:pPr>
                </w:p>
              </w:tc>
              <w:tc>
                <w:tcPr>
                  <w:tcW w:w="273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F7822C8" w14:textId="77777777" w:rsidR="00921721" w:rsidRPr="006A71F9" w:rsidRDefault="00921721" w:rsidP="00880D09">
                  <w:pPr>
                    <w:snapToGrid w:val="0"/>
                    <w:spacing w:before="20" w:after="20"/>
                    <w:jc w:val="center"/>
                    <w:rPr>
                      <w:rFonts w:asciiTheme="minorHAnsi" w:hAnsiTheme="minorHAnsi" w:cs="Arial"/>
                      <w:b/>
                      <w:bCs/>
                      <w:color w:val="FFFFFF"/>
                      <w:sz w:val="18"/>
                      <w:szCs w:val="18"/>
                      <w:lang w:val="en-GB"/>
                    </w:rPr>
                  </w:pPr>
                  <w:r w:rsidRPr="006A71F9">
                    <w:rPr>
                      <w:rFonts w:asciiTheme="minorHAnsi" w:hAnsiTheme="minorHAnsi" w:cs="Arial"/>
                      <w:b/>
                      <w:bCs/>
                      <w:color w:val="FFFFFF"/>
                      <w:sz w:val="18"/>
                      <w:szCs w:val="18"/>
                      <w:lang w:val="en-GB"/>
                    </w:rPr>
                    <w:t>LV</w:t>
                  </w:r>
                </w:p>
              </w:tc>
              <w:tc>
                <w:tcPr>
                  <w:tcW w:w="279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EDB1185" w14:textId="77777777" w:rsidR="00921721" w:rsidRPr="006A71F9" w:rsidRDefault="00921721" w:rsidP="00880D09">
                  <w:pPr>
                    <w:snapToGrid w:val="0"/>
                    <w:spacing w:before="20" w:after="20"/>
                    <w:jc w:val="center"/>
                    <w:rPr>
                      <w:rFonts w:asciiTheme="minorHAnsi" w:hAnsiTheme="minorHAnsi" w:cs="Arial"/>
                      <w:b/>
                      <w:bCs/>
                      <w:color w:val="FFFFFF"/>
                      <w:sz w:val="18"/>
                      <w:szCs w:val="18"/>
                      <w:lang w:val="en-GB"/>
                    </w:rPr>
                  </w:pPr>
                  <w:r w:rsidRPr="006A71F9">
                    <w:rPr>
                      <w:rFonts w:asciiTheme="minorHAnsi" w:hAnsiTheme="minorHAnsi" w:cs="Arial"/>
                      <w:b/>
                      <w:bCs/>
                      <w:color w:val="FFFFFF"/>
                      <w:sz w:val="18"/>
                      <w:szCs w:val="18"/>
                      <w:lang w:val="en-GB"/>
                    </w:rPr>
                    <w:t>HGV</w:t>
                  </w:r>
                </w:p>
              </w:tc>
            </w:tr>
            <w:tr w:rsidR="00921721" w:rsidRPr="007463B9" w14:paraId="50755442"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A8056F3"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0-10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8948915"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1.406</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55BDE8C"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2.978</w:t>
                  </w:r>
                </w:p>
              </w:tc>
            </w:tr>
            <w:tr w:rsidR="00921721" w:rsidRPr="007463B9" w14:paraId="442BEB8A"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02E590B"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11-20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D1AD882"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1.188</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9F0C114"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2.303</w:t>
                  </w:r>
                </w:p>
              </w:tc>
            </w:tr>
            <w:tr w:rsidR="00921721" w:rsidRPr="007463B9" w14:paraId="2A8678B7"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3F7EDB7"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21-30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967647E"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1.098</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E86F589"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2.100</w:t>
                  </w:r>
                </w:p>
              </w:tc>
            </w:tr>
            <w:tr w:rsidR="00921721" w:rsidRPr="007463B9" w14:paraId="4E8FC1E9"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3D1C632"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31-40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1AD2B1B"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1.044</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B5B7477"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1.997</w:t>
                  </w:r>
                </w:p>
              </w:tc>
            </w:tr>
            <w:tr w:rsidR="00921721" w:rsidRPr="007463B9" w14:paraId="4F0B36E4"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C0EE8D3"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41-50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306D70B"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1.009</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874AC85"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1.940</w:t>
                  </w:r>
                </w:p>
              </w:tc>
            </w:tr>
            <w:tr w:rsidR="00921721" w:rsidRPr="007463B9" w14:paraId="74BE230A"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C45BB17"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51-60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A2761A3"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0.985</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3D95C7D"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1.910</w:t>
                  </w:r>
                </w:p>
              </w:tc>
            </w:tr>
            <w:tr w:rsidR="00921721" w:rsidRPr="007463B9" w14:paraId="4C2E89A9"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D532BBF"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61-70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AC214A1"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0.970</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29E40F3"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1.896</w:t>
                  </w:r>
                </w:p>
              </w:tc>
            </w:tr>
            <w:tr w:rsidR="00921721" w:rsidRPr="007463B9" w14:paraId="56B47E7F"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063FB00"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71-80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6A10A57"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0.962</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B166F30"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1.892</w:t>
                  </w:r>
                </w:p>
              </w:tc>
            </w:tr>
            <w:tr w:rsidR="00921721" w:rsidRPr="007463B9" w14:paraId="3559E889"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565A3ED"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81-90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74EBA7B"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0.959</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254AC10"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1.896</w:t>
                  </w:r>
                </w:p>
              </w:tc>
            </w:tr>
            <w:tr w:rsidR="00921721" w:rsidRPr="007463B9" w14:paraId="42674179"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53A9A06"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91-100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433B23E"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0.962</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E49DB1B"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1.912</w:t>
                  </w:r>
                </w:p>
              </w:tc>
            </w:tr>
            <w:tr w:rsidR="00921721" w:rsidRPr="007463B9" w14:paraId="3F5ABB33"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E478E4F"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101-110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A2B2DE2"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0.969</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58C385B"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1.982</w:t>
                  </w:r>
                </w:p>
              </w:tc>
            </w:tr>
            <w:tr w:rsidR="00921721" w:rsidRPr="007463B9" w14:paraId="236418E8"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6CC5997"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111-120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895A2F7"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0.981</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F999E8B"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2.051</w:t>
                  </w:r>
                </w:p>
              </w:tc>
            </w:tr>
            <w:tr w:rsidR="00921721" w:rsidRPr="007463B9" w14:paraId="234AD46B"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21C5106"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121-130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35D3DBB"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0.996</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B15EDA6"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2.120</w:t>
                  </w:r>
                </w:p>
              </w:tc>
            </w:tr>
            <w:tr w:rsidR="00921721" w:rsidRPr="007463B9" w14:paraId="6B2CE02D" w14:textId="77777777" w:rsidTr="00880D09">
              <w:trPr>
                <w:trHeight w:val="328"/>
              </w:trPr>
              <w:tc>
                <w:tcPr>
                  <w:tcW w:w="131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8C3E1EB"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131-140</w:t>
                  </w:r>
                </w:p>
              </w:tc>
              <w:tc>
                <w:tcPr>
                  <w:tcW w:w="273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DBEAE10"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1.015</w:t>
                  </w:r>
                </w:p>
              </w:tc>
              <w:tc>
                <w:tcPr>
                  <w:tcW w:w="279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72896C4" w14:textId="77777777" w:rsidR="00921721" w:rsidRPr="00E819C9"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2.189</w:t>
                  </w:r>
                </w:p>
              </w:tc>
            </w:tr>
          </w:tbl>
          <w:p w14:paraId="33A10BAB" w14:textId="77777777" w:rsidR="00921721" w:rsidRPr="00731E4E" w:rsidRDefault="00921721" w:rsidP="00880D09">
            <w:pPr>
              <w:ind w:right="170"/>
              <w:jc w:val="both"/>
              <w:rPr>
                <w:rFonts w:asciiTheme="minorHAnsi" w:hAnsiTheme="minorHAnsi" w:cs="Arial"/>
                <w:b/>
                <w:i/>
                <w:sz w:val="16"/>
                <w:szCs w:val="16"/>
                <w:lang w:val="en-GB"/>
              </w:rPr>
            </w:pPr>
            <w:r w:rsidRPr="00495C1D">
              <w:rPr>
                <w:rFonts w:asciiTheme="minorHAnsi" w:hAnsiTheme="minorHAnsi" w:cs="Arial"/>
                <w:b/>
                <w:i/>
                <w:sz w:val="16"/>
                <w:szCs w:val="16"/>
                <w:lang w:val="en-GB"/>
              </w:rPr>
              <w:t xml:space="preserve">Source: </w:t>
            </w:r>
            <w:r w:rsidRPr="00983DF9">
              <w:rPr>
                <w:rFonts w:asciiTheme="minorHAnsi" w:hAnsiTheme="minorHAnsi" w:cs="Arial"/>
                <w:b/>
                <w:i/>
                <w:sz w:val="16"/>
                <w:szCs w:val="16"/>
                <w:lang w:val="en-GB"/>
              </w:rPr>
              <w:t>CUPT-JASPERS</w:t>
            </w:r>
            <w:r w:rsidRPr="00495C1D">
              <w:rPr>
                <w:rFonts w:asciiTheme="minorHAnsi" w:hAnsiTheme="minorHAnsi" w:cs="Arial"/>
                <w:b/>
                <w:i/>
                <w:sz w:val="16"/>
                <w:szCs w:val="16"/>
                <w:lang w:val="en-GB"/>
              </w:rPr>
              <w:t xml:space="preserve"> work</w:t>
            </w:r>
            <w:r>
              <w:rPr>
                <w:rFonts w:asciiTheme="minorHAnsi" w:hAnsiTheme="minorHAnsi" w:cs="Arial"/>
                <w:b/>
                <w:i/>
                <w:sz w:val="16"/>
                <w:szCs w:val="16"/>
                <w:lang w:val="en-GB"/>
              </w:rPr>
              <w:t>,</w:t>
            </w:r>
            <w:r w:rsidRPr="00495C1D">
              <w:rPr>
                <w:rFonts w:asciiTheme="minorHAnsi" w:hAnsiTheme="minorHAnsi" w:cs="Arial"/>
                <w:b/>
                <w:i/>
                <w:sz w:val="16"/>
                <w:szCs w:val="16"/>
                <w:lang w:val="en-GB"/>
              </w:rPr>
              <w:t xml:space="preserve"> </w:t>
            </w:r>
            <w:r>
              <w:rPr>
                <w:rFonts w:asciiTheme="minorHAnsi" w:hAnsiTheme="minorHAnsi" w:cs="Arial"/>
                <w:b/>
                <w:i/>
                <w:sz w:val="16"/>
                <w:szCs w:val="16"/>
                <w:lang w:val="en-GB"/>
              </w:rPr>
              <w:t>details</w:t>
            </w:r>
            <w:r w:rsidRPr="00495C1D">
              <w:rPr>
                <w:rFonts w:asciiTheme="minorHAnsi" w:hAnsiTheme="minorHAnsi" w:cs="Arial"/>
                <w:b/>
                <w:i/>
                <w:sz w:val="16"/>
                <w:szCs w:val="16"/>
                <w:lang w:val="en-GB"/>
              </w:rPr>
              <w:t xml:space="preserve"> in Appendix</w:t>
            </w:r>
            <w:r>
              <w:rPr>
                <w:rFonts w:asciiTheme="minorHAnsi" w:hAnsiTheme="minorHAnsi" w:cs="Arial"/>
                <w:b/>
                <w:i/>
                <w:sz w:val="16"/>
                <w:szCs w:val="16"/>
                <w:lang w:val="en-GB"/>
              </w:rPr>
              <w:t> D.</w:t>
            </w:r>
          </w:p>
          <w:p w14:paraId="4449798F" w14:textId="77777777" w:rsidR="00921721" w:rsidRPr="00731E4E" w:rsidRDefault="00921721" w:rsidP="00880D09">
            <w:pPr>
              <w:ind w:right="170"/>
              <w:jc w:val="both"/>
              <w:rPr>
                <w:rFonts w:asciiTheme="minorHAnsi" w:hAnsiTheme="minorHAnsi" w:cs="Arial"/>
                <w:b/>
                <w:i/>
                <w:sz w:val="16"/>
                <w:szCs w:val="16"/>
                <w:lang w:val="en-GB"/>
              </w:rPr>
            </w:pPr>
          </w:p>
          <w:p w14:paraId="51C94601" w14:textId="77777777" w:rsidR="00921721" w:rsidRDefault="00921721" w:rsidP="00880D09">
            <w:pPr>
              <w:ind w:right="170"/>
              <w:jc w:val="both"/>
              <w:rPr>
                <w:rFonts w:asciiTheme="minorHAnsi" w:hAnsiTheme="minorHAnsi" w:cs="Arial"/>
                <w:b/>
                <w:i/>
                <w:sz w:val="16"/>
                <w:szCs w:val="16"/>
                <w:lang w:val="en-GB"/>
              </w:rPr>
            </w:pPr>
          </w:p>
          <w:p w14:paraId="318F7326" w14:textId="77777777" w:rsidR="00921721" w:rsidRDefault="00921721" w:rsidP="00880D09">
            <w:pPr>
              <w:ind w:right="170"/>
              <w:jc w:val="both"/>
              <w:rPr>
                <w:rFonts w:asciiTheme="minorHAnsi" w:hAnsiTheme="minorHAnsi" w:cs="Arial"/>
                <w:b/>
                <w:i/>
                <w:sz w:val="16"/>
                <w:szCs w:val="16"/>
                <w:lang w:val="en-GB"/>
              </w:rPr>
            </w:pPr>
          </w:p>
          <w:p w14:paraId="67414A06" w14:textId="77777777" w:rsidR="00921721" w:rsidRDefault="00921721" w:rsidP="00880D09">
            <w:pPr>
              <w:ind w:right="170"/>
              <w:jc w:val="both"/>
              <w:rPr>
                <w:rFonts w:asciiTheme="minorHAnsi" w:hAnsiTheme="minorHAnsi" w:cs="Arial"/>
                <w:b/>
                <w:i/>
                <w:sz w:val="16"/>
                <w:szCs w:val="16"/>
                <w:lang w:val="en-GB"/>
              </w:rPr>
            </w:pPr>
          </w:p>
          <w:p w14:paraId="4EC1C47C" w14:textId="77777777" w:rsidR="00921721" w:rsidRDefault="00921721" w:rsidP="00880D09">
            <w:pPr>
              <w:ind w:right="170"/>
              <w:jc w:val="both"/>
              <w:rPr>
                <w:rFonts w:asciiTheme="minorHAnsi" w:hAnsiTheme="minorHAnsi" w:cs="Arial"/>
                <w:b/>
                <w:i/>
                <w:sz w:val="16"/>
                <w:szCs w:val="16"/>
                <w:lang w:val="en-GB"/>
              </w:rPr>
            </w:pPr>
          </w:p>
          <w:p w14:paraId="7A9BAFFF" w14:textId="77777777" w:rsidR="00921721" w:rsidRDefault="00921721" w:rsidP="00880D09">
            <w:pPr>
              <w:ind w:right="170"/>
              <w:jc w:val="both"/>
              <w:rPr>
                <w:rFonts w:asciiTheme="minorHAnsi" w:hAnsiTheme="minorHAnsi" w:cs="Arial"/>
                <w:b/>
                <w:i/>
                <w:sz w:val="16"/>
                <w:szCs w:val="16"/>
                <w:lang w:val="en-GB"/>
              </w:rPr>
            </w:pPr>
          </w:p>
          <w:p w14:paraId="41BBB981" w14:textId="77777777" w:rsidR="00921721" w:rsidRPr="00731E4E" w:rsidRDefault="00921721" w:rsidP="00880D09">
            <w:pPr>
              <w:ind w:right="170"/>
              <w:jc w:val="both"/>
              <w:rPr>
                <w:rFonts w:asciiTheme="minorHAnsi" w:hAnsiTheme="minorHAnsi" w:cs="Arial"/>
                <w:b/>
                <w:i/>
                <w:sz w:val="16"/>
                <w:szCs w:val="16"/>
                <w:lang w:val="en-GB"/>
              </w:rPr>
            </w:pPr>
          </w:p>
          <w:tbl>
            <w:tblPr>
              <w:tblW w:w="6939" w:type="dxa"/>
              <w:tblLayout w:type="fixed"/>
              <w:tblLook w:val="04A0" w:firstRow="1" w:lastRow="0" w:firstColumn="1" w:lastColumn="0" w:noHBand="0" w:noVBand="1"/>
            </w:tblPr>
            <w:tblGrid>
              <w:gridCol w:w="2119"/>
              <w:gridCol w:w="2410"/>
              <w:gridCol w:w="2410"/>
            </w:tblGrid>
            <w:tr w:rsidR="00921721" w:rsidRPr="007463B9" w14:paraId="6407427C" w14:textId="77777777" w:rsidTr="00880D09">
              <w:trPr>
                <w:trHeight w:hRule="exact" w:val="577"/>
              </w:trPr>
              <w:tc>
                <w:tcPr>
                  <w:tcW w:w="2119"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9C86B0B" w14:textId="77777777" w:rsidR="00921721" w:rsidRPr="00495C1D" w:rsidRDefault="00921721" w:rsidP="00880D09">
                  <w:pPr>
                    <w:snapToGrid w:val="0"/>
                    <w:spacing w:before="20" w:after="20"/>
                    <w:jc w:val="center"/>
                    <w:rPr>
                      <w:rFonts w:asciiTheme="minorHAnsi" w:hAnsiTheme="minorHAnsi" w:cs="Arial"/>
                      <w:b/>
                      <w:bCs/>
                      <w:color w:val="FFFFFF"/>
                      <w:sz w:val="18"/>
                      <w:szCs w:val="18"/>
                    </w:rPr>
                  </w:pPr>
                  <w:r w:rsidRPr="00495C1D">
                    <w:rPr>
                      <w:rFonts w:asciiTheme="minorHAnsi" w:hAnsiTheme="minorHAnsi" w:cs="Arial"/>
                      <w:b/>
                      <w:bCs/>
                      <w:color w:val="FFFFFF"/>
                      <w:sz w:val="18"/>
                      <w:szCs w:val="18"/>
                    </w:rPr>
                    <w:t>Speed (km/h)</w:t>
                  </w:r>
                </w:p>
              </w:tc>
              <w:tc>
                <w:tcPr>
                  <w:tcW w:w="4820"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8BF7563" w14:textId="77777777" w:rsidR="00921721" w:rsidRPr="00495C1D" w:rsidRDefault="00921721" w:rsidP="00880D09">
                  <w:pPr>
                    <w:snapToGrid w:val="0"/>
                    <w:spacing w:before="20" w:after="20"/>
                    <w:jc w:val="center"/>
                    <w:rPr>
                      <w:rFonts w:asciiTheme="minorHAnsi" w:hAnsiTheme="minorHAnsi" w:cs="Arial"/>
                      <w:b/>
                      <w:bCs/>
                      <w:color w:val="FFFFFF"/>
                      <w:sz w:val="18"/>
                      <w:szCs w:val="18"/>
                      <w:lang w:val="en-GB"/>
                    </w:rPr>
                  </w:pPr>
                  <w:r w:rsidRPr="00495C1D">
                    <w:rPr>
                      <w:rFonts w:asciiTheme="minorHAnsi" w:hAnsiTheme="minorHAnsi" w:cs="Arial"/>
                      <w:b/>
                      <w:bCs/>
                      <w:color w:val="FFFFFF"/>
                      <w:sz w:val="18"/>
                      <w:szCs w:val="18"/>
                      <w:lang w:val="en-GB"/>
                    </w:rPr>
                    <w:t>Unit vehicle operating costs – PLN/veh-km –</w:t>
                  </w:r>
                  <w:r>
                    <w:rPr>
                      <w:rFonts w:asciiTheme="minorHAnsi" w:hAnsiTheme="minorHAnsi" w:cs="Arial"/>
                      <w:b/>
                      <w:bCs/>
                      <w:color w:val="FFFFFF"/>
                      <w:sz w:val="18"/>
                      <w:szCs w:val="18"/>
                      <w:lang w:val="en-GB"/>
                    </w:rPr>
                    <w:t xml:space="preserve"> </w:t>
                  </w:r>
                  <w:r w:rsidRPr="00495C1D">
                    <w:rPr>
                      <w:rFonts w:asciiTheme="minorHAnsi" w:hAnsiTheme="minorHAnsi" w:cs="Arial"/>
                      <w:b/>
                      <w:bCs/>
                      <w:color w:val="FFFFFF"/>
                      <w:sz w:val="18"/>
                      <w:szCs w:val="18"/>
                      <w:lang w:val="en-GB"/>
                    </w:rPr>
                    <w:t>flat terrain (deteriorated pavement)</w:t>
                  </w:r>
                </w:p>
              </w:tc>
            </w:tr>
            <w:tr w:rsidR="00921721" w:rsidRPr="007463B9" w14:paraId="1F28E42A" w14:textId="77777777" w:rsidTr="00880D09">
              <w:trPr>
                <w:trHeight w:hRule="exact" w:val="313"/>
              </w:trPr>
              <w:tc>
                <w:tcPr>
                  <w:tcW w:w="2119"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58E8211" w14:textId="77777777" w:rsidR="00921721" w:rsidRPr="006A71F9" w:rsidRDefault="00921721" w:rsidP="00880D09">
                  <w:pPr>
                    <w:jc w:val="center"/>
                    <w:rPr>
                      <w:rFonts w:asciiTheme="minorHAnsi" w:hAnsiTheme="minorHAnsi" w:cs="Arial"/>
                      <w:b/>
                      <w:bCs/>
                      <w:color w:val="FFFFFF"/>
                      <w:sz w:val="18"/>
                      <w:szCs w:val="18"/>
                      <w:lang w:val="en-GB"/>
                    </w:rPr>
                  </w:pPr>
                </w:p>
              </w:tc>
              <w:tc>
                <w:tcPr>
                  <w:tcW w:w="241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72072AF" w14:textId="77777777" w:rsidR="00921721" w:rsidRPr="006A71F9" w:rsidRDefault="00921721" w:rsidP="00880D09">
                  <w:pPr>
                    <w:snapToGrid w:val="0"/>
                    <w:spacing w:before="20" w:after="20"/>
                    <w:jc w:val="center"/>
                    <w:rPr>
                      <w:rFonts w:asciiTheme="minorHAnsi" w:hAnsiTheme="minorHAnsi" w:cs="Arial"/>
                      <w:b/>
                      <w:bCs/>
                      <w:color w:val="FFFFFF"/>
                      <w:sz w:val="18"/>
                      <w:szCs w:val="18"/>
                      <w:lang w:val="en-GB"/>
                    </w:rPr>
                  </w:pPr>
                  <w:r w:rsidRPr="006A71F9">
                    <w:rPr>
                      <w:rFonts w:asciiTheme="minorHAnsi" w:hAnsiTheme="minorHAnsi" w:cs="Arial"/>
                      <w:b/>
                      <w:bCs/>
                      <w:color w:val="FFFFFF"/>
                      <w:sz w:val="18"/>
                      <w:szCs w:val="18"/>
                      <w:lang w:val="en-GB"/>
                    </w:rPr>
                    <w:t>LV</w:t>
                  </w:r>
                </w:p>
              </w:tc>
              <w:tc>
                <w:tcPr>
                  <w:tcW w:w="241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2DC795E" w14:textId="77777777" w:rsidR="00921721" w:rsidRPr="006A71F9" w:rsidRDefault="00921721" w:rsidP="00880D09">
                  <w:pPr>
                    <w:snapToGrid w:val="0"/>
                    <w:spacing w:before="20" w:after="20"/>
                    <w:jc w:val="center"/>
                    <w:rPr>
                      <w:rFonts w:asciiTheme="minorHAnsi" w:hAnsiTheme="minorHAnsi" w:cs="Arial"/>
                      <w:b/>
                      <w:bCs/>
                      <w:color w:val="FFFFFF"/>
                      <w:sz w:val="18"/>
                      <w:szCs w:val="18"/>
                      <w:lang w:val="en-GB"/>
                    </w:rPr>
                  </w:pPr>
                  <w:r w:rsidRPr="006A71F9">
                    <w:rPr>
                      <w:rFonts w:asciiTheme="minorHAnsi" w:hAnsiTheme="minorHAnsi" w:cs="Arial"/>
                      <w:b/>
                      <w:bCs/>
                      <w:color w:val="FFFFFF"/>
                      <w:sz w:val="18"/>
                      <w:szCs w:val="18"/>
                      <w:lang w:val="en-GB"/>
                    </w:rPr>
                    <w:t>HGV</w:t>
                  </w:r>
                </w:p>
              </w:tc>
            </w:tr>
            <w:tr w:rsidR="00921721" w:rsidRPr="007463B9" w14:paraId="12158AEF"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EC5F100"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0-10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ABB93BA"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1.565</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91EEA76"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3.350</w:t>
                  </w:r>
                </w:p>
              </w:tc>
            </w:tr>
            <w:tr w:rsidR="00921721" w:rsidRPr="007463B9" w14:paraId="4BBBE593"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F7FB309"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11-20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10453A9"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1.322</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E0A49BE"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2.591</w:t>
                  </w:r>
                </w:p>
              </w:tc>
            </w:tr>
            <w:tr w:rsidR="00921721" w:rsidRPr="007463B9" w14:paraId="67A380A7"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263134B"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21-30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DE7E463"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1.222</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4317007"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2.362</w:t>
                  </w:r>
                </w:p>
              </w:tc>
            </w:tr>
            <w:tr w:rsidR="00921721" w:rsidRPr="007463B9" w14:paraId="396F89B3"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68B64C8"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31-40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CA60587"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1.162</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82EE0B5"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2.246</w:t>
                  </w:r>
                </w:p>
              </w:tc>
            </w:tr>
            <w:tr w:rsidR="00921721" w:rsidRPr="007463B9" w14:paraId="32F106E4"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7025AF1"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41-50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0678AE6"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1.122</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F4847A3"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2.182</w:t>
                  </w:r>
                </w:p>
              </w:tc>
            </w:tr>
            <w:tr w:rsidR="00921721" w:rsidRPr="007463B9" w14:paraId="6BC67B13"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3A23669"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51-60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10E5553"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1.114</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DEC42AA"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2.188</w:t>
                  </w:r>
                </w:p>
              </w:tc>
            </w:tr>
            <w:tr w:rsidR="00921721" w:rsidRPr="007463B9" w14:paraId="6A4FEAE2"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86C89E7"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61-70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6F34274"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1.115</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D492652"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2.212</w:t>
                  </w:r>
                </w:p>
              </w:tc>
            </w:tr>
            <w:tr w:rsidR="00921721" w:rsidRPr="007463B9" w14:paraId="5DE4A314"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6F2CACD"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71-80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B5AE71F"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1.124</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961897E"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2.246</w:t>
                  </w:r>
                </w:p>
              </w:tc>
            </w:tr>
            <w:tr w:rsidR="00921721" w:rsidRPr="007463B9" w14:paraId="3AC3779D"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7511D38"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81-90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DDAB6D9"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1.139</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AA583F0"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2.291</w:t>
                  </w:r>
                </w:p>
              </w:tc>
            </w:tr>
            <w:tr w:rsidR="00921721" w:rsidRPr="007463B9" w14:paraId="4B181A1C"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7D08B63"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91-100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6804E80"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1.160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3504FF4"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2.351</w:t>
                  </w:r>
                </w:p>
              </w:tc>
            </w:tr>
            <w:tr w:rsidR="00921721" w:rsidRPr="007463B9" w14:paraId="6D7B0182"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6AE6F2C"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101-110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CEBE45F"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1.187</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0A4CDE1"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2.477</w:t>
                  </w:r>
                </w:p>
              </w:tc>
            </w:tr>
            <w:tr w:rsidR="00921721" w:rsidRPr="007463B9" w14:paraId="4BCA1BC5"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2F5D117"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111-120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B631262"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1.201</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2C507D4"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2.564</w:t>
                  </w:r>
                </w:p>
              </w:tc>
            </w:tr>
            <w:tr w:rsidR="00921721" w:rsidRPr="007463B9" w14:paraId="29F96E1F"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398208C"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121-130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E255561"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1.220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9493EC3"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2.650</w:t>
                  </w:r>
                </w:p>
              </w:tc>
            </w:tr>
            <w:tr w:rsidR="00921721" w:rsidRPr="007463B9" w14:paraId="596A1D29" w14:textId="77777777" w:rsidTr="00880D09">
              <w:trPr>
                <w:trHeight w:val="262"/>
              </w:trPr>
              <w:tc>
                <w:tcPr>
                  <w:tcW w:w="211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1026657"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sidRPr="006A71F9">
                    <w:rPr>
                      <w:rFonts w:asciiTheme="minorHAnsi" w:hAnsiTheme="minorHAnsi" w:cs="Arial"/>
                      <w:color w:val="4F81BD" w:themeColor="accent1"/>
                      <w:sz w:val="18"/>
                      <w:szCs w:val="18"/>
                      <w:lang w:val="en-GB"/>
                    </w:rPr>
                    <w:t>131-140</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41CF198"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1.243</w:t>
                  </w:r>
                </w:p>
              </w:tc>
              <w:tc>
                <w:tcPr>
                  <w:tcW w:w="241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56D33D4" w14:textId="77777777" w:rsidR="00921721" w:rsidRPr="00495C1D"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2.737</w:t>
                  </w:r>
                </w:p>
              </w:tc>
            </w:tr>
          </w:tbl>
          <w:p w14:paraId="56EDA33B" w14:textId="77777777" w:rsidR="00921721" w:rsidRPr="00B72029" w:rsidRDefault="00921721" w:rsidP="00880D09">
            <w:pPr>
              <w:ind w:right="170"/>
              <w:jc w:val="both"/>
              <w:rPr>
                <w:rFonts w:asciiTheme="minorHAnsi" w:hAnsiTheme="minorHAnsi" w:cs="Arial"/>
                <w:b/>
                <w:i/>
                <w:sz w:val="16"/>
                <w:szCs w:val="16"/>
                <w:lang w:val="en-GB"/>
              </w:rPr>
            </w:pPr>
            <w:r w:rsidRPr="00B72029">
              <w:rPr>
                <w:rFonts w:asciiTheme="minorHAnsi" w:hAnsiTheme="minorHAnsi" w:cs="Arial"/>
                <w:b/>
                <w:i/>
                <w:sz w:val="16"/>
                <w:szCs w:val="16"/>
                <w:lang w:val="en-GB"/>
              </w:rPr>
              <w:t>Source: CUPT-JASPERS work</w:t>
            </w:r>
            <w:r>
              <w:rPr>
                <w:rFonts w:asciiTheme="minorHAnsi" w:hAnsiTheme="minorHAnsi" w:cs="Arial"/>
                <w:b/>
                <w:i/>
                <w:sz w:val="16"/>
                <w:szCs w:val="16"/>
                <w:lang w:val="en-GB"/>
              </w:rPr>
              <w:t>,</w:t>
            </w:r>
            <w:r w:rsidRPr="00B72029">
              <w:rPr>
                <w:rFonts w:asciiTheme="minorHAnsi" w:hAnsiTheme="minorHAnsi" w:cs="Arial"/>
                <w:b/>
                <w:i/>
                <w:sz w:val="16"/>
                <w:szCs w:val="16"/>
                <w:lang w:val="en-GB"/>
              </w:rPr>
              <w:t xml:space="preserve"> </w:t>
            </w:r>
            <w:r>
              <w:rPr>
                <w:rFonts w:asciiTheme="minorHAnsi" w:hAnsiTheme="minorHAnsi" w:cs="Arial"/>
                <w:b/>
                <w:i/>
                <w:sz w:val="16"/>
                <w:szCs w:val="16"/>
                <w:lang w:val="en-GB"/>
              </w:rPr>
              <w:t>details</w:t>
            </w:r>
            <w:r w:rsidRPr="00B72029">
              <w:rPr>
                <w:rFonts w:asciiTheme="minorHAnsi" w:hAnsiTheme="minorHAnsi" w:cs="Arial"/>
                <w:b/>
                <w:i/>
                <w:sz w:val="16"/>
                <w:szCs w:val="16"/>
                <w:lang w:val="en-GB"/>
              </w:rPr>
              <w:t xml:space="preserve"> in Appendix</w:t>
            </w:r>
            <w:r>
              <w:rPr>
                <w:rFonts w:asciiTheme="minorHAnsi" w:hAnsiTheme="minorHAnsi" w:cs="Arial"/>
                <w:b/>
                <w:i/>
                <w:sz w:val="16"/>
                <w:szCs w:val="16"/>
                <w:lang w:val="en-GB"/>
              </w:rPr>
              <w:t> D</w:t>
            </w:r>
            <w:r w:rsidRPr="00B72029">
              <w:rPr>
                <w:rFonts w:asciiTheme="minorHAnsi" w:hAnsiTheme="minorHAnsi" w:cs="Arial"/>
                <w:b/>
                <w:i/>
                <w:sz w:val="16"/>
                <w:szCs w:val="16"/>
                <w:lang w:val="en-GB"/>
              </w:rPr>
              <w:t>.</w:t>
            </w:r>
          </w:p>
          <w:p w14:paraId="759BF981" w14:textId="77777777" w:rsidR="00921721" w:rsidRPr="00731E4E" w:rsidRDefault="00921721" w:rsidP="00880D09">
            <w:pPr>
              <w:pStyle w:val="anxnormal"/>
              <w:spacing w:after="120"/>
              <w:ind w:left="0"/>
              <w:rPr>
                <w:rFonts w:asciiTheme="minorHAnsi" w:hAnsiTheme="minorHAnsi"/>
                <w:lang w:val="en-GB" w:eastAsia="en-US"/>
              </w:rPr>
            </w:pPr>
            <w:r w:rsidRPr="00731E4E">
              <w:rPr>
                <w:rFonts w:asciiTheme="minorHAnsi" w:hAnsiTheme="minorHAnsi"/>
                <w:lang w:val="en-GB" w:eastAsia="en-US"/>
              </w:rPr>
              <w:t xml:space="preserve">Vehicle operating costs </w:t>
            </w:r>
            <w:r>
              <w:rPr>
                <w:rFonts w:asciiTheme="minorHAnsi" w:hAnsiTheme="minorHAnsi"/>
                <w:lang w:val="en-GB" w:eastAsia="en-US"/>
              </w:rPr>
              <w:t>multiplying</w:t>
            </w:r>
            <w:r w:rsidRPr="00731E4E">
              <w:rPr>
                <w:rFonts w:asciiTheme="minorHAnsi" w:hAnsiTheme="minorHAnsi"/>
                <w:lang w:val="en-GB" w:eastAsia="en-US"/>
              </w:rPr>
              <w:t xml:space="preserve"> indicators depending on type of terrain</w:t>
            </w:r>
            <w:r w:rsidRPr="00B72029">
              <w:rPr>
                <w:lang w:val="en-US"/>
              </w:rPr>
              <w:t xml:space="preserve"> </w:t>
            </w:r>
            <w:r>
              <w:rPr>
                <w:rFonts w:asciiTheme="minorHAnsi" w:hAnsiTheme="minorHAnsi"/>
                <w:lang w:val="en-GB" w:eastAsia="en-US"/>
              </w:rPr>
              <w:t>for combustion motor vehicles</w:t>
            </w:r>
            <w:r w:rsidRPr="00C22769">
              <w:rPr>
                <w:rFonts w:asciiTheme="minorHAnsi" w:hAnsiTheme="minorHAnsi"/>
                <w:lang w:val="en-GB" w:eastAsia="en-US"/>
              </w:rPr>
              <w:t>. These multiplying factors are to be applied to overall VOC:</w:t>
            </w:r>
          </w:p>
          <w:tbl>
            <w:tblPr>
              <w:tblW w:w="3111" w:type="dxa"/>
              <w:tblLayout w:type="fixed"/>
              <w:tblLook w:val="04A0" w:firstRow="1" w:lastRow="0" w:firstColumn="1" w:lastColumn="0" w:noHBand="0" w:noVBand="1"/>
            </w:tblPr>
            <w:tblGrid>
              <w:gridCol w:w="1410"/>
              <w:gridCol w:w="800"/>
              <w:gridCol w:w="901"/>
            </w:tblGrid>
            <w:tr w:rsidR="00921721" w:rsidRPr="007463B9" w14:paraId="0F557897" w14:textId="77777777" w:rsidTr="00880D09">
              <w:trPr>
                <w:trHeight w:hRule="exact" w:val="309"/>
              </w:trPr>
              <w:tc>
                <w:tcPr>
                  <w:tcW w:w="141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BBFB95A"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Type of terrain</w:t>
                  </w:r>
                </w:p>
              </w:tc>
              <w:tc>
                <w:tcPr>
                  <w:tcW w:w="80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536BCB1"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LV</w:t>
                  </w:r>
                </w:p>
              </w:tc>
              <w:tc>
                <w:tcPr>
                  <w:tcW w:w="90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FF183AE"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HGV</w:t>
                  </w:r>
                </w:p>
              </w:tc>
            </w:tr>
            <w:tr w:rsidR="00921721" w:rsidRPr="007463B9" w14:paraId="5745A0DB" w14:textId="77777777" w:rsidTr="00880D09">
              <w:trPr>
                <w:trHeight w:val="258"/>
              </w:trPr>
              <w:tc>
                <w:tcPr>
                  <w:tcW w:w="14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CFFEC2E" w14:textId="77777777" w:rsidR="00921721" w:rsidRPr="00495C1D" w:rsidRDefault="00921721" w:rsidP="00880D09">
                  <w:pPr>
                    <w:spacing w:before="20"/>
                    <w:jc w:val="center"/>
                    <w:rPr>
                      <w:rFonts w:asciiTheme="minorHAnsi" w:hAnsiTheme="minorHAnsi" w:cs="Calibri"/>
                      <w:color w:val="4F81BD" w:themeColor="accent1"/>
                      <w:sz w:val="18"/>
                      <w:szCs w:val="18"/>
                      <w:lang w:val="en-GB"/>
                    </w:rPr>
                  </w:pPr>
                  <w:r>
                    <w:rPr>
                      <w:rFonts w:asciiTheme="minorHAnsi" w:hAnsiTheme="minorHAnsi" w:cs="Arial"/>
                      <w:color w:val="4F81BD" w:themeColor="accent1"/>
                      <w:sz w:val="18"/>
                      <w:szCs w:val="18"/>
                      <w:lang w:val="en-GB"/>
                    </w:rPr>
                    <w:t>Flat</w:t>
                  </w:r>
                </w:p>
              </w:tc>
              <w:tc>
                <w:tcPr>
                  <w:tcW w:w="80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1148ACF" w14:textId="77777777" w:rsidR="00921721" w:rsidRPr="00EB4BA2" w:rsidRDefault="00921721" w:rsidP="00880D09">
                  <w:pPr>
                    <w:spacing w:before="20"/>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C1E08D4" w14:textId="77777777" w:rsidR="00921721" w:rsidRPr="00495C1D" w:rsidRDefault="00921721" w:rsidP="00880D09">
                  <w:pPr>
                    <w:spacing w:before="20"/>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r>
            <w:tr w:rsidR="00921721" w:rsidRPr="007463B9" w14:paraId="2CD611F0" w14:textId="77777777" w:rsidTr="00880D09">
              <w:trPr>
                <w:trHeight w:val="258"/>
              </w:trPr>
              <w:tc>
                <w:tcPr>
                  <w:tcW w:w="141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538C482" w14:textId="77777777" w:rsidR="00921721" w:rsidRPr="006A71F9"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Rolling</w:t>
                  </w:r>
                </w:p>
              </w:tc>
              <w:tc>
                <w:tcPr>
                  <w:tcW w:w="80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DD765A1" w14:textId="77777777" w:rsidR="00921721" w:rsidRPr="00495C1D" w:rsidRDefault="00921721" w:rsidP="00880D09">
                  <w:pPr>
                    <w:spacing w:before="20"/>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1.032</w:t>
                  </w:r>
                </w:p>
              </w:tc>
              <w:tc>
                <w:tcPr>
                  <w:tcW w:w="90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B628005" w14:textId="77777777" w:rsidR="00921721" w:rsidRPr="00EB4BA2" w:rsidRDefault="00921721" w:rsidP="00880D09">
                  <w:pPr>
                    <w:spacing w:before="20"/>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1.200</w:t>
                  </w:r>
                </w:p>
              </w:tc>
            </w:tr>
          </w:tbl>
          <w:p w14:paraId="2B7B0106" w14:textId="77777777" w:rsidR="00921721" w:rsidRPr="00B72029" w:rsidRDefault="00921721" w:rsidP="00880D09">
            <w:pPr>
              <w:ind w:right="170"/>
              <w:jc w:val="both"/>
              <w:rPr>
                <w:rFonts w:asciiTheme="minorHAnsi" w:hAnsiTheme="minorHAnsi" w:cs="Arial"/>
                <w:b/>
                <w:i/>
                <w:sz w:val="16"/>
                <w:szCs w:val="16"/>
                <w:lang w:val="en-GB"/>
              </w:rPr>
            </w:pPr>
            <w:r w:rsidRPr="00B72029">
              <w:rPr>
                <w:rFonts w:asciiTheme="minorHAnsi" w:hAnsiTheme="minorHAnsi" w:cs="Arial"/>
                <w:b/>
                <w:i/>
                <w:sz w:val="16"/>
                <w:szCs w:val="16"/>
                <w:lang w:val="en-GB"/>
              </w:rPr>
              <w:t>Source: CUPT-JASPERS work</w:t>
            </w:r>
            <w:r>
              <w:rPr>
                <w:rFonts w:asciiTheme="minorHAnsi" w:hAnsiTheme="minorHAnsi" w:cs="Arial"/>
                <w:b/>
                <w:i/>
                <w:sz w:val="16"/>
                <w:szCs w:val="16"/>
                <w:lang w:val="en-GB"/>
              </w:rPr>
              <w:t>,</w:t>
            </w:r>
            <w:r w:rsidRPr="00B72029">
              <w:rPr>
                <w:rFonts w:asciiTheme="minorHAnsi" w:hAnsiTheme="minorHAnsi" w:cs="Arial"/>
                <w:b/>
                <w:i/>
                <w:sz w:val="16"/>
                <w:szCs w:val="16"/>
                <w:lang w:val="en-GB"/>
              </w:rPr>
              <w:t xml:space="preserve"> </w:t>
            </w:r>
            <w:r>
              <w:rPr>
                <w:rFonts w:asciiTheme="minorHAnsi" w:hAnsiTheme="minorHAnsi" w:cs="Arial"/>
                <w:b/>
                <w:i/>
                <w:sz w:val="16"/>
                <w:szCs w:val="16"/>
                <w:lang w:val="en-GB"/>
              </w:rPr>
              <w:t>details</w:t>
            </w:r>
            <w:r w:rsidRPr="00B72029">
              <w:rPr>
                <w:rFonts w:asciiTheme="minorHAnsi" w:hAnsiTheme="minorHAnsi" w:cs="Arial"/>
                <w:b/>
                <w:i/>
                <w:sz w:val="16"/>
                <w:szCs w:val="16"/>
                <w:lang w:val="en-GB"/>
              </w:rPr>
              <w:t xml:space="preserve"> in Appendix</w:t>
            </w:r>
            <w:r>
              <w:rPr>
                <w:rFonts w:asciiTheme="minorHAnsi" w:hAnsiTheme="minorHAnsi" w:cs="Arial"/>
                <w:b/>
                <w:i/>
                <w:sz w:val="16"/>
                <w:szCs w:val="16"/>
                <w:lang w:val="en-GB"/>
              </w:rPr>
              <w:t> D</w:t>
            </w:r>
            <w:r w:rsidRPr="00B72029">
              <w:rPr>
                <w:rFonts w:asciiTheme="minorHAnsi" w:hAnsiTheme="minorHAnsi" w:cs="Arial"/>
                <w:b/>
                <w:i/>
                <w:sz w:val="16"/>
                <w:szCs w:val="16"/>
                <w:lang w:val="en-GB"/>
              </w:rPr>
              <w:t xml:space="preserve">. </w:t>
            </w:r>
          </w:p>
          <w:p w14:paraId="28E31F0B" w14:textId="77777777" w:rsidR="00921721" w:rsidRDefault="00921721" w:rsidP="00880D09">
            <w:pPr>
              <w:pStyle w:val="anxnormal"/>
              <w:ind w:left="0"/>
              <w:rPr>
                <w:rFonts w:asciiTheme="minorHAnsi" w:hAnsiTheme="minorHAnsi"/>
                <w:lang w:val="en-GB" w:eastAsia="en-US"/>
              </w:rPr>
            </w:pPr>
            <w:r w:rsidRPr="002C6855">
              <w:rPr>
                <w:rFonts w:asciiTheme="minorHAnsi" w:hAnsiTheme="minorHAnsi"/>
                <w:lang w:val="en-GB" w:eastAsia="en-US"/>
              </w:rPr>
              <w:t xml:space="preserve">Factors for mountainous terrain (with a road gradient exceeding 6%) are not provided because they are not material for the CBA assessment of transport projects to be executed in Poland. Most notably, expressways and motorways </w:t>
            </w:r>
            <w:r>
              <w:rPr>
                <w:rFonts w:asciiTheme="minorHAnsi" w:hAnsiTheme="minorHAnsi"/>
                <w:lang w:val="en-GB" w:eastAsia="en-US"/>
              </w:rPr>
              <w:t xml:space="preserve">(road categories A and S) </w:t>
            </w:r>
            <w:r w:rsidRPr="002C6855">
              <w:rPr>
                <w:rFonts w:asciiTheme="minorHAnsi" w:hAnsiTheme="minorHAnsi"/>
                <w:lang w:val="en-GB" w:eastAsia="en-US"/>
              </w:rPr>
              <w:t>in Poland are as a principle not designed with a gradient exceeding 6% (mountainous).</w:t>
            </w:r>
            <w:r w:rsidRPr="00681812">
              <w:rPr>
                <w:rFonts w:asciiTheme="minorHAnsi" w:hAnsiTheme="minorHAnsi"/>
                <w:lang w:val="en-GB" w:eastAsia="en-US"/>
              </w:rPr>
              <w:t xml:space="preserve"> </w:t>
            </w:r>
          </w:p>
          <w:p w14:paraId="2C2AB6FF" w14:textId="77777777" w:rsidR="00921721" w:rsidRDefault="00921721" w:rsidP="00880D09">
            <w:pPr>
              <w:pStyle w:val="anxnormal"/>
              <w:ind w:left="0"/>
              <w:rPr>
                <w:rFonts w:asciiTheme="minorHAnsi" w:hAnsiTheme="minorHAnsi"/>
                <w:u w:val="single"/>
                <w:lang w:val="en-GB" w:eastAsia="en-US"/>
              </w:rPr>
            </w:pPr>
          </w:p>
          <w:p w14:paraId="7DBB31D8" w14:textId="77777777" w:rsidR="00921721" w:rsidRDefault="00921721" w:rsidP="00880D09">
            <w:pPr>
              <w:pStyle w:val="anxnormal"/>
              <w:ind w:left="0"/>
              <w:rPr>
                <w:rFonts w:asciiTheme="minorHAnsi" w:hAnsiTheme="minorHAnsi"/>
                <w:u w:val="single"/>
                <w:lang w:val="en-GB" w:eastAsia="en-US"/>
              </w:rPr>
            </w:pPr>
          </w:p>
          <w:p w14:paraId="11742A2D" w14:textId="77777777" w:rsidR="00921721" w:rsidRDefault="00921721" w:rsidP="00880D09">
            <w:pPr>
              <w:pStyle w:val="anxnormal"/>
              <w:ind w:left="0"/>
              <w:rPr>
                <w:rFonts w:asciiTheme="minorHAnsi" w:hAnsiTheme="minorHAnsi"/>
                <w:u w:val="single"/>
                <w:lang w:val="en-GB" w:eastAsia="en-US"/>
              </w:rPr>
            </w:pPr>
          </w:p>
          <w:p w14:paraId="3082B9D2" w14:textId="77777777" w:rsidR="00921721" w:rsidRDefault="00921721" w:rsidP="00880D09">
            <w:pPr>
              <w:pStyle w:val="anxnormal"/>
              <w:ind w:left="0"/>
              <w:rPr>
                <w:rFonts w:asciiTheme="minorHAnsi" w:hAnsiTheme="minorHAnsi"/>
                <w:u w:val="single"/>
                <w:lang w:val="en-GB" w:eastAsia="en-US"/>
              </w:rPr>
            </w:pPr>
            <w:r>
              <w:rPr>
                <w:rFonts w:asciiTheme="minorHAnsi" w:hAnsiTheme="minorHAnsi"/>
                <w:u w:val="single"/>
                <w:lang w:val="en-GB" w:eastAsia="en-US"/>
              </w:rPr>
              <w:t>Electric LV – VOC</w:t>
            </w:r>
          </w:p>
          <w:p w14:paraId="221F6CFB" w14:textId="77777777" w:rsidR="00921721" w:rsidRDefault="00921721" w:rsidP="00880D09">
            <w:pPr>
              <w:pStyle w:val="anxnormal"/>
              <w:ind w:left="0"/>
              <w:rPr>
                <w:rFonts w:asciiTheme="minorHAnsi" w:hAnsiTheme="minorHAnsi"/>
                <w:lang w:val="en-GB" w:eastAsia="en-US"/>
              </w:rPr>
            </w:pPr>
            <w:r>
              <w:rPr>
                <w:rFonts w:asciiTheme="minorHAnsi" w:hAnsiTheme="minorHAnsi"/>
                <w:lang w:val="en-GB" w:eastAsia="en-US"/>
              </w:rPr>
              <w:t>Since a continuous increase of electric vehicles as part of Polish road fleet is expected, it needs to be reflected in VOC. The VOC for electric vehicles will be constituted of similar components as other LV:</w:t>
            </w:r>
          </w:p>
          <w:p w14:paraId="2AA49BCC" w14:textId="77777777" w:rsidR="00921721" w:rsidRPr="00EB4BA2" w:rsidRDefault="00921721" w:rsidP="00D5736B">
            <w:pPr>
              <w:pStyle w:val="anxnormal"/>
              <w:numPr>
                <w:ilvl w:val="0"/>
                <w:numId w:val="86"/>
              </w:numPr>
              <w:ind w:left="795" w:hanging="795"/>
              <w:rPr>
                <w:rFonts w:asciiTheme="minorHAnsi" w:hAnsiTheme="minorHAnsi"/>
                <w:lang w:val="en-GB"/>
              </w:rPr>
            </w:pPr>
            <w:r>
              <w:rPr>
                <w:rFonts w:asciiTheme="minorHAnsi" w:hAnsiTheme="minorHAnsi"/>
                <w:lang w:val="en-GB"/>
              </w:rPr>
              <w:t>Electricity consumption</w:t>
            </w:r>
            <w:r w:rsidRPr="00731E4E">
              <w:rPr>
                <w:rFonts w:asciiTheme="minorHAnsi" w:hAnsiTheme="minorHAnsi"/>
                <w:lang w:val="en-GB"/>
              </w:rPr>
              <w:t xml:space="preserve"> costs: </w:t>
            </w:r>
            <w:r>
              <w:rPr>
                <w:rFonts w:asciiTheme="minorHAnsi" w:hAnsiTheme="minorHAnsi"/>
                <w:lang w:val="en-GB"/>
              </w:rPr>
              <w:t xml:space="preserve">an estimated average consumption rate for an average LV of 0.233 kWh/vehkm to be multiplied by the electricity cost that it is considered at </w:t>
            </w:r>
            <w:r w:rsidRPr="00EB4BA2">
              <w:rPr>
                <w:rFonts w:asciiTheme="minorHAnsi" w:hAnsiTheme="minorHAnsi"/>
                <w:lang w:val="en-GB"/>
              </w:rPr>
              <w:t>0.2044 PLN/kWh</w:t>
            </w:r>
            <w:r w:rsidRPr="00EB4BA2">
              <w:rPr>
                <w:rStyle w:val="Odwoanieprzypisudolnego"/>
                <w:rFonts w:asciiTheme="minorHAnsi" w:hAnsiTheme="minorHAnsi"/>
                <w:lang w:val="en-GB"/>
              </w:rPr>
              <w:footnoteReference w:id="18"/>
            </w:r>
            <w:r w:rsidRPr="00EB4BA2">
              <w:rPr>
                <w:rFonts w:asciiTheme="minorHAnsi" w:hAnsiTheme="minorHAnsi"/>
                <w:lang w:val="en-GB"/>
              </w:rPr>
              <w:t>;</w:t>
            </w:r>
            <w:r>
              <w:rPr>
                <w:rFonts w:asciiTheme="minorHAnsi" w:hAnsiTheme="minorHAnsi"/>
                <w:lang w:val="en-GB"/>
              </w:rPr>
              <w:t xml:space="preserve"> and</w:t>
            </w:r>
          </w:p>
          <w:p w14:paraId="07F9A6F2" w14:textId="77777777" w:rsidR="00921721" w:rsidRDefault="00921721" w:rsidP="00D5736B">
            <w:pPr>
              <w:pStyle w:val="anxnormal"/>
              <w:numPr>
                <w:ilvl w:val="0"/>
                <w:numId w:val="86"/>
              </w:numPr>
              <w:ind w:left="795" w:hanging="795"/>
              <w:rPr>
                <w:rFonts w:asciiTheme="minorHAnsi" w:hAnsiTheme="minorHAnsi"/>
                <w:lang w:val="en-GB"/>
              </w:rPr>
            </w:pPr>
            <w:r w:rsidRPr="00731E4E">
              <w:rPr>
                <w:rFonts w:asciiTheme="minorHAnsi" w:hAnsiTheme="minorHAnsi"/>
                <w:lang w:val="en-GB"/>
              </w:rPr>
              <w:t>Other co</w:t>
            </w:r>
            <w:r>
              <w:rPr>
                <w:rFonts w:asciiTheme="minorHAnsi" w:hAnsiTheme="minorHAnsi"/>
                <w:lang w:val="en-GB"/>
              </w:rPr>
              <w:t>s</w:t>
            </w:r>
            <w:r w:rsidRPr="00731E4E">
              <w:rPr>
                <w:rFonts w:asciiTheme="minorHAnsi" w:hAnsiTheme="minorHAnsi"/>
                <w:lang w:val="en-GB"/>
              </w:rPr>
              <w:t xml:space="preserve">ts: </w:t>
            </w:r>
            <w:r>
              <w:rPr>
                <w:rFonts w:asciiTheme="minorHAnsi" w:hAnsiTheme="minorHAnsi"/>
                <w:lang w:val="en-GB"/>
              </w:rPr>
              <w:t>same fixed costs as for other LV (0.8110 PLN/vehkm).</w:t>
            </w:r>
          </w:p>
          <w:p w14:paraId="0F86507C" w14:textId="77777777" w:rsidR="00921721" w:rsidRDefault="00921721" w:rsidP="00880D09">
            <w:pPr>
              <w:pStyle w:val="anxnormal"/>
              <w:spacing w:after="120"/>
              <w:ind w:left="0"/>
              <w:rPr>
                <w:rFonts w:asciiTheme="minorHAnsi" w:hAnsiTheme="minorHAnsi"/>
                <w:lang w:val="en-GB"/>
              </w:rPr>
            </w:pPr>
            <w:r>
              <w:rPr>
                <w:rFonts w:asciiTheme="minorHAnsi" w:hAnsiTheme="minorHAnsi"/>
                <w:lang w:val="en-GB"/>
              </w:rPr>
              <w:t xml:space="preserve">Total VOC costs for an average electric LV </w:t>
            </w:r>
            <w:r w:rsidRPr="00EF55D4">
              <w:rPr>
                <w:rFonts w:asciiTheme="minorHAnsi" w:hAnsiTheme="minorHAnsi"/>
                <w:lang w:val="en-GB"/>
              </w:rPr>
              <w:t>results at 0.888PLN</w:t>
            </w:r>
            <w:r>
              <w:rPr>
                <w:rFonts w:asciiTheme="minorHAnsi" w:hAnsiTheme="minorHAnsi"/>
                <w:lang w:val="en-GB"/>
              </w:rPr>
              <w:t xml:space="preserve">/vehkm for a road in flat terrain and under good conditions (i.e. after construction/ rehabilitation) at 2021 price level. Multiplier factors related to road condition and type of terrain for petrol/ Diesel LV are also applicable for LV electric vehicles: </w:t>
            </w:r>
          </w:p>
          <w:p w14:paraId="2ECA4BDC" w14:textId="77777777" w:rsidR="00921721" w:rsidRDefault="00921721" w:rsidP="00880D09">
            <w:pPr>
              <w:pStyle w:val="anxnormal"/>
              <w:spacing w:after="120"/>
              <w:ind w:left="0"/>
              <w:rPr>
                <w:rFonts w:asciiTheme="minorHAnsi" w:hAnsiTheme="minorHAnsi"/>
                <w:lang w:val="en-GB" w:eastAsia="en-US"/>
              </w:rPr>
            </w:pPr>
          </w:p>
          <w:p w14:paraId="21CD1436" w14:textId="77777777" w:rsidR="00921721" w:rsidRDefault="00921721" w:rsidP="00880D09">
            <w:pPr>
              <w:pStyle w:val="anxnormal"/>
              <w:spacing w:after="120"/>
              <w:ind w:left="0"/>
              <w:rPr>
                <w:rFonts w:asciiTheme="minorHAnsi" w:hAnsiTheme="minorHAnsi"/>
                <w:lang w:val="en-GB" w:eastAsia="en-US"/>
              </w:rPr>
            </w:pPr>
          </w:p>
          <w:p w14:paraId="538D1490" w14:textId="77777777" w:rsidR="00921721" w:rsidRDefault="00921721" w:rsidP="00880D09">
            <w:pPr>
              <w:pStyle w:val="anxnormal"/>
              <w:spacing w:after="120"/>
              <w:ind w:left="0"/>
              <w:rPr>
                <w:rFonts w:asciiTheme="minorHAnsi" w:hAnsiTheme="minorHAnsi"/>
                <w:lang w:val="en-GB" w:eastAsia="en-US"/>
              </w:rPr>
            </w:pPr>
          </w:p>
          <w:p w14:paraId="665AB3F3" w14:textId="77777777" w:rsidR="00921721" w:rsidRPr="00731E4E" w:rsidRDefault="00921721" w:rsidP="00880D09">
            <w:pPr>
              <w:pStyle w:val="anxnormal"/>
              <w:spacing w:after="120"/>
              <w:ind w:left="0"/>
              <w:rPr>
                <w:rFonts w:asciiTheme="minorHAnsi" w:hAnsiTheme="minorHAnsi"/>
                <w:lang w:val="en-GB" w:eastAsia="en-US"/>
              </w:rPr>
            </w:pPr>
            <w:r w:rsidRPr="00731E4E">
              <w:rPr>
                <w:rFonts w:asciiTheme="minorHAnsi" w:hAnsiTheme="minorHAnsi"/>
                <w:lang w:val="en-GB" w:eastAsia="en-US"/>
              </w:rPr>
              <w:t xml:space="preserve">Costs </w:t>
            </w:r>
            <w:r>
              <w:rPr>
                <w:rFonts w:asciiTheme="minorHAnsi" w:hAnsiTheme="minorHAnsi"/>
                <w:lang w:val="en-GB" w:eastAsia="en-US"/>
              </w:rPr>
              <w:t>multiplying</w:t>
            </w:r>
            <w:r w:rsidRPr="00731E4E">
              <w:rPr>
                <w:rFonts w:asciiTheme="minorHAnsi" w:hAnsiTheme="minorHAnsi"/>
                <w:lang w:val="en-GB" w:eastAsia="en-US"/>
              </w:rPr>
              <w:t xml:space="preserve"> indicators depending on type of terrain</w:t>
            </w:r>
            <w:r w:rsidRPr="00B72029">
              <w:rPr>
                <w:lang w:val="en-US"/>
              </w:rPr>
              <w:t xml:space="preserve"> </w:t>
            </w:r>
            <w:r w:rsidRPr="008A42F6">
              <w:rPr>
                <w:rFonts w:asciiTheme="minorHAnsi" w:hAnsiTheme="minorHAnsi"/>
                <w:lang w:val="en-GB" w:eastAsia="en-US"/>
              </w:rPr>
              <w:t>for electric vehicles. These multiplying factors are to be applied to overall VOC:</w:t>
            </w:r>
          </w:p>
          <w:tbl>
            <w:tblPr>
              <w:tblW w:w="3395" w:type="dxa"/>
              <w:tblLayout w:type="fixed"/>
              <w:tblLook w:val="04A0" w:firstRow="1" w:lastRow="0" w:firstColumn="1" w:lastColumn="0" w:noHBand="0" w:noVBand="1"/>
            </w:tblPr>
            <w:tblGrid>
              <w:gridCol w:w="1694"/>
              <w:gridCol w:w="850"/>
              <w:gridCol w:w="851"/>
            </w:tblGrid>
            <w:tr w:rsidR="00921721" w:rsidRPr="007463B9" w14:paraId="4D81A265"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0B650BC"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Type of terrain</w:t>
                  </w: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D4425DF"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LV</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A6DB33B"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HGV</w:t>
                  </w:r>
                </w:p>
              </w:tc>
            </w:tr>
            <w:tr w:rsidR="00921721" w:rsidRPr="007463B9" w14:paraId="44AA4D9A"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13FCCDE" w14:textId="77777777" w:rsidR="00921721" w:rsidRPr="000105CD"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Flat</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7A321C4" w14:textId="77777777" w:rsidR="00921721" w:rsidRPr="00D22938"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1.000</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85309C3" w14:textId="77777777" w:rsidR="00921721" w:rsidRPr="00D22938"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1.000</w:t>
                  </w:r>
                </w:p>
              </w:tc>
            </w:tr>
            <w:tr w:rsidR="00921721" w:rsidRPr="007463B9" w14:paraId="22C889AE"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46FE147"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Rolling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3223828" w14:textId="77777777" w:rsidR="00921721" w:rsidRPr="00D22938"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1.032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2D14ECB" w14:textId="77777777" w:rsidR="00921721" w:rsidRPr="00D22938"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1.200</w:t>
                  </w:r>
                </w:p>
              </w:tc>
            </w:tr>
          </w:tbl>
          <w:p w14:paraId="02569A14" w14:textId="77777777" w:rsidR="00921721" w:rsidRDefault="00921721" w:rsidP="00880D09">
            <w:pPr>
              <w:ind w:right="170"/>
              <w:jc w:val="both"/>
              <w:rPr>
                <w:rFonts w:asciiTheme="minorHAnsi" w:hAnsiTheme="minorHAnsi" w:cs="Arial"/>
                <w:b/>
                <w:i/>
                <w:sz w:val="16"/>
                <w:szCs w:val="16"/>
                <w:lang w:val="en-GB"/>
              </w:rPr>
            </w:pPr>
            <w:r w:rsidRPr="00731E4E">
              <w:rPr>
                <w:rFonts w:asciiTheme="minorHAnsi" w:hAnsiTheme="minorHAnsi" w:cs="Arial"/>
                <w:b/>
                <w:i/>
                <w:sz w:val="16"/>
                <w:szCs w:val="16"/>
                <w:lang w:val="en-GB"/>
              </w:rPr>
              <w:t xml:space="preserve">Source: </w:t>
            </w:r>
            <w:r>
              <w:rPr>
                <w:rFonts w:asciiTheme="minorHAnsi" w:hAnsiTheme="minorHAnsi" w:cs="Arial"/>
                <w:b/>
                <w:i/>
                <w:sz w:val="16"/>
                <w:szCs w:val="16"/>
                <w:lang w:val="en-GB"/>
              </w:rPr>
              <w:t>CUPT-JASPERS work.</w:t>
            </w:r>
          </w:p>
          <w:p w14:paraId="4F6197C7" w14:textId="77777777" w:rsidR="00921721" w:rsidRDefault="00921721" w:rsidP="00880D09">
            <w:pPr>
              <w:pStyle w:val="anxnormal"/>
              <w:spacing w:after="120"/>
              <w:ind w:left="0"/>
              <w:rPr>
                <w:rFonts w:asciiTheme="minorHAnsi" w:hAnsiTheme="minorHAnsi"/>
                <w:lang w:val="en-GB" w:eastAsia="en-US"/>
              </w:rPr>
            </w:pPr>
          </w:p>
          <w:p w14:paraId="6E089512" w14:textId="77777777" w:rsidR="00921721" w:rsidRDefault="00921721" w:rsidP="00880D09">
            <w:pPr>
              <w:pStyle w:val="anxnormal"/>
              <w:spacing w:after="120"/>
              <w:ind w:left="0"/>
              <w:rPr>
                <w:rFonts w:asciiTheme="minorHAnsi" w:hAnsiTheme="minorHAnsi"/>
                <w:lang w:val="en-GB" w:eastAsia="en-US"/>
              </w:rPr>
            </w:pPr>
          </w:p>
          <w:p w14:paraId="5A4BB3F8" w14:textId="77777777" w:rsidR="00921721" w:rsidRPr="00731E4E" w:rsidRDefault="00921721" w:rsidP="00880D09">
            <w:pPr>
              <w:pStyle w:val="anxnormal"/>
              <w:spacing w:after="120"/>
              <w:ind w:left="0"/>
              <w:rPr>
                <w:rFonts w:asciiTheme="minorHAnsi" w:hAnsiTheme="minorHAnsi"/>
                <w:lang w:val="en-GB" w:eastAsia="en-US"/>
              </w:rPr>
            </w:pPr>
            <w:r>
              <w:rPr>
                <w:rFonts w:asciiTheme="minorHAnsi" w:hAnsiTheme="minorHAnsi"/>
                <w:lang w:val="en-GB" w:eastAsia="en-US"/>
              </w:rPr>
              <w:t xml:space="preserve">Costs </w:t>
            </w:r>
            <w:r w:rsidRPr="00E06F74">
              <w:rPr>
                <w:rFonts w:asciiTheme="minorHAnsi" w:hAnsiTheme="minorHAnsi"/>
                <w:lang w:val="en-GB" w:eastAsia="en-US"/>
              </w:rPr>
              <w:t xml:space="preserve">multiplying indicators depending on </w:t>
            </w:r>
            <w:r>
              <w:rPr>
                <w:rFonts w:asciiTheme="minorHAnsi" w:hAnsiTheme="minorHAnsi"/>
                <w:lang w:val="en-GB" w:eastAsia="en-US"/>
              </w:rPr>
              <w:t>pavement</w:t>
            </w:r>
            <w:r w:rsidRPr="00E06F74">
              <w:rPr>
                <w:rFonts w:asciiTheme="minorHAnsi" w:hAnsiTheme="minorHAnsi"/>
                <w:lang w:val="en-GB" w:eastAsia="en-US"/>
              </w:rPr>
              <w:t xml:space="preserve"> condition for electric and hybrid vehicles. </w:t>
            </w:r>
            <w:r w:rsidRPr="00E06F74">
              <w:rPr>
                <w:rFonts w:asciiTheme="minorHAnsi" w:hAnsiTheme="minorHAnsi"/>
                <w:bCs/>
                <w:lang w:val="en-GB" w:eastAsia="en-US"/>
              </w:rPr>
              <w:t>The multiplying factors presented below are applied to overall VOC:</w:t>
            </w:r>
          </w:p>
          <w:tbl>
            <w:tblPr>
              <w:tblW w:w="5358" w:type="dxa"/>
              <w:tblLayout w:type="fixed"/>
              <w:tblLook w:val="04A0" w:firstRow="1" w:lastRow="0" w:firstColumn="1" w:lastColumn="0" w:noHBand="0" w:noVBand="1"/>
            </w:tblPr>
            <w:tblGrid>
              <w:gridCol w:w="2674"/>
              <w:gridCol w:w="1341"/>
              <w:gridCol w:w="1343"/>
            </w:tblGrid>
            <w:tr w:rsidR="00921721" w:rsidRPr="007463B9" w14:paraId="0A153A91" w14:textId="77777777" w:rsidTr="00880D09">
              <w:trPr>
                <w:trHeight w:hRule="exact" w:val="256"/>
              </w:trPr>
              <w:tc>
                <w:tcPr>
                  <w:tcW w:w="267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544289B"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Pavement condition</w:t>
                  </w:r>
                </w:p>
              </w:tc>
              <w:tc>
                <w:tcPr>
                  <w:tcW w:w="134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2D69148"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LV</w:t>
                  </w:r>
                </w:p>
              </w:tc>
              <w:tc>
                <w:tcPr>
                  <w:tcW w:w="134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C90623B"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HGV</w:t>
                  </w:r>
                </w:p>
              </w:tc>
            </w:tr>
            <w:tr w:rsidR="00921721" w:rsidRPr="007463B9" w14:paraId="42AA1160" w14:textId="77777777" w:rsidTr="00880D09">
              <w:trPr>
                <w:trHeight w:val="214"/>
              </w:trPr>
              <w:tc>
                <w:tcPr>
                  <w:tcW w:w="267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B748AF0" w14:textId="77777777" w:rsidR="00921721" w:rsidRPr="00CA444D" w:rsidRDefault="00921721" w:rsidP="00880D09">
                  <w:pPr>
                    <w:spacing w:before="20"/>
                    <w:jc w:val="center"/>
                    <w:rPr>
                      <w:rFonts w:asciiTheme="minorHAnsi" w:hAnsiTheme="minorHAnsi" w:cs="Calibri"/>
                      <w:color w:val="4F81BD" w:themeColor="accent1"/>
                      <w:sz w:val="18"/>
                      <w:szCs w:val="18"/>
                      <w:lang w:val="en-GB"/>
                    </w:rPr>
                  </w:pPr>
                  <w:r>
                    <w:rPr>
                      <w:rFonts w:asciiTheme="minorHAnsi" w:hAnsiTheme="minorHAnsi" w:cs="Arial"/>
                      <w:color w:val="4F81BD" w:themeColor="accent1"/>
                      <w:sz w:val="18"/>
                      <w:szCs w:val="18"/>
                      <w:lang w:val="en-GB"/>
                    </w:rPr>
                    <w:t>Good (rehabilitated/ reconstructed)</w:t>
                  </w:r>
                </w:p>
              </w:tc>
              <w:tc>
                <w:tcPr>
                  <w:tcW w:w="134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1031737"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1.000</w:t>
                  </w:r>
                </w:p>
              </w:tc>
              <w:tc>
                <w:tcPr>
                  <w:tcW w:w="1343"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E9E86E7"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1.000</w:t>
                  </w:r>
                </w:p>
              </w:tc>
            </w:tr>
            <w:tr w:rsidR="00921721" w:rsidRPr="007463B9" w14:paraId="40C95BB7" w14:textId="77777777" w:rsidTr="00880D09">
              <w:trPr>
                <w:trHeight w:val="214"/>
              </w:trPr>
              <w:tc>
                <w:tcPr>
                  <w:tcW w:w="267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1697854"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Degraded</w:t>
                  </w:r>
                </w:p>
              </w:tc>
              <w:tc>
                <w:tcPr>
                  <w:tcW w:w="134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639E9F0"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1.169</w:t>
                  </w:r>
                </w:p>
              </w:tc>
              <w:tc>
                <w:tcPr>
                  <w:tcW w:w="1343"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6D0513D"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1.188</w:t>
                  </w:r>
                </w:p>
              </w:tc>
            </w:tr>
          </w:tbl>
          <w:p w14:paraId="07D04B0F" w14:textId="77777777" w:rsidR="00921721" w:rsidRDefault="00921721" w:rsidP="00880D09">
            <w:pPr>
              <w:spacing w:after="120"/>
              <w:ind w:right="170"/>
              <w:jc w:val="both"/>
              <w:rPr>
                <w:rFonts w:asciiTheme="minorHAnsi" w:hAnsiTheme="minorHAnsi" w:cs="Arial"/>
                <w:b/>
                <w:i/>
                <w:sz w:val="16"/>
                <w:szCs w:val="16"/>
                <w:lang w:val="en-GB"/>
              </w:rPr>
            </w:pPr>
            <w:r w:rsidRPr="00731E4E">
              <w:rPr>
                <w:rFonts w:asciiTheme="minorHAnsi" w:hAnsiTheme="minorHAnsi" w:cs="Arial"/>
                <w:b/>
                <w:i/>
                <w:sz w:val="16"/>
                <w:szCs w:val="16"/>
                <w:lang w:val="en-GB"/>
              </w:rPr>
              <w:t xml:space="preserve">Source: </w:t>
            </w:r>
            <w:r>
              <w:rPr>
                <w:rFonts w:asciiTheme="minorHAnsi" w:hAnsiTheme="minorHAnsi" w:cs="Arial"/>
                <w:b/>
                <w:i/>
                <w:sz w:val="16"/>
                <w:szCs w:val="16"/>
                <w:lang w:val="en-GB"/>
              </w:rPr>
              <w:t xml:space="preserve">CUPT-JASPERS work based on </w:t>
            </w:r>
            <w:r w:rsidRPr="00B90582">
              <w:rPr>
                <w:rFonts w:asciiTheme="minorHAnsi" w:hAnsiTheme="minorHAnsi" w:cs="Arial"/>
                <w:b/>
                <w:i/>
                <w:sz w:val="16"/>
                <w:szCs w:val="16"/>
                <w:lang w:val="en-GB"/>
              </w:rPr>
              <w:t>"Optimisation of Maintenance", OECD/ITF 2012</w:t>
            </w:r>
            <w:r>
              <w:rPr>
                <w:rFonts w:asciiTheme="minorHAnsi" w:hAnsiTheme="minorHAnsi" w:cs="Arial"/>
                <w:b/>
                <w:i/>
                <w:sz w:val="16"/>
                <w:szCs w:val="16"/>
                <w:lang w:val="en-GB"/>
              </w:rPr>
              <w:t>.</w:t>
            </w:r>
          </w:p>
          <w:p w14:paraId="5CDC2E2D" w14:textId="77777777" w:rsidR="00921721" w:rsidRDefault="00921721" w:rsidP="00880D09">
            <w:pPr>
              <w:pStyle w:val="anxnormal"/>
              <w:ind w:left="0"/>
              <w:rPr>
                <w:rFonts w:asciiTheme="minorHAnsi" w:hAnsiTheme="minorHAnsi"/>
                <w:u w:val="single"/>
                <w:lang w:val="en-GB" w:eastAsia="en-US"/>
              </w:rPr>
            </w:pPr>
          </w:p>
          <w:p w14:paraId="05E4693D" w14:textId="77777777" w:rsidR="00921721" w:rsidRDefault="00921721" w:rsidP="00880D09">
            <w:pPr>
              <w:pStyle w:val="anxnormal"/>
              <w:ind w:left="0"/>
              <w:rPr>
                <w:rFonts w:asciiTheme="minorHAnsi" w:hAnsiTheme="minorHAnsi"/>
                <w:u w:val="single"/>
                <w:lang w:val="en-GB" w:eastAsia="en-US"/>
              </w:rPr>
            </w:pPr>
            <w:r>
              <w:rPr>
                <w:rFonts w:asciiTheme="minorHAnsi" w:hAnsiTheme="minorHAnsi"/>
                <w:u w:val="single"/>
                <w:lang w:val="en-GB" w:eastAsia="en-US"/>
              </w:rPr>
              <w:t>LV – Fleet composition</w:t>
            </w:r>
          </w:p>
          <w:p w14:paraId="26A60A6D" w14:textId="77777777" w:rsidR="00921721" w:rsidRDefault="00921721" w:rsidP="00880D09">
            <w:pPr>
              <w:pStyle w:val="anxnormal"/>
              <w:ind w:left="0"/>
              <w:rPr>
                <w:rFonts w:asciiTheme="minorHAnsi" w:hAnsiTheme="minorHAnsi"/>
                <w:lang w:val="en-GB" w:eastAsia="en-US"/>
              </w:rPr>
            </w:pPr>
            <w:r>
              <w:rPr>
                <w:rFonts w:asciiTheme="minorHAnsi" w:hAnsiTheme="minorHAnsi"/>
                <w:lang w:val="en-GB" w:eastAsia="en-US"/>
              </w:rPr>
              <w:t>U</w:t>
            </w:r>
            <w:r w:rsidRPr="00983DF9">
              <w:rPr>
                <w:rFonts w:asciiTheme="minorHAnsi" w:hAnsiTheme="minorHAnsi"/>
                <w:lang w:val="en-GB" w:eastAsia="en-US"/>
              </w:rPr>
              <w:t xml:space="preserve">nit VOC </w:t>
            </w:r>
            <w:r>
              <w:rPr>
                <w:rFonts w:asciiTheme="minorHAnsi" w:hAnsiTheme="minorHAnsi"/>
                <w:lang w:val="en-GB" w:eastAsia="en-US"/>
              </w:rPr>
              <w:t xml:space="preserve">in the table </w:t>
            </w:r>
            <w:r w:rsidRPr="00983DF9">
              <w:rPr>
                <w:rFonts w:asciiTheme="minorHAnsi" w:hAnsiTheme="minorHAnsi"/>
                <w:lang w:val="en-GB" w:eastAsia="en-US"/>
              </w:rPr>
              <w:t>above are based on</w:t>
            </w:r>
            <w:r>
              <w:rPr>
                <w:rFonts w:asciiTheme="minorHAnsi" w:hAnsiTheme="minorHAnsi"/>
                <w:lang w:val="en-GB" w:eastAsia="en-US"/>
              </w:rPr>
              <w:t xml:space="preserve"> current</w:t>
            </w:r>
            <w:r w:rsidRPr="00983DF9">
              <w:rPr>
                <w:rFonts w:asciiTheme="minorHAnsi" w:hAnsiTheme="minorHAnsi"/>
                <w:lang w:val="en-GB" w:eastAsia="en-US"/>
              </w:rPr>
              <w:t xml:space="preserve"> </w:t>
            </w:r>
            <w:r>
              <w:rPr>
                <w:rFonts w:asciiTheme="minorHAnsi" w:hAnsiTheme="minorHAnsi"/>
                <w:lang w:val="en-GB" w:eastAsia="en-US"/>
              </w:rPr>
              <w:t xml:space="preserve">vehicle fleet composition regarding type of </w:t>
            </w:r>
            <w:r w:rsidRPr="001162A3">
              <w:rPr>
                <w:rFonts w:asciiTheme="minorHAnsi" w:hAnsiTheme="minorHAnsi"/>
                <w:lang w:val="en-GB" w:eastAsia="en-US"/>
              </w:rPr>
              <w:t>fuel consumption</w:t>
            </w:r>
            <w:r>
              <w:rPr>
                <w:rFonts w:asciiTheme="minorHAnsi" w:hAnsiTheme="minorHAnsi"/>
                <w:lang w:val="en-GB" w:eastAsia="en-US"/>
              </w:rPr>
              <w:t>, assumed as</w:t>
            </w:r>
            <w:r w:rsidRPr="001162A3">
              <w:rPr>
                <w:rFonts w:asciiTheme="minorHAnsi" w:hAnsiTheme="minorHAnsi"/>
                <w:lang w:val="en-GB" w:eastAsia="en-US"/>
              </w:rPr>
              <w:t xml:space="preserve">: petrol </w:t>
            </w:r>
            <w:r>
              <w:rPr>
                <w:rFonts w:asciiTheme="minorHAnsi" w:hAnsiTheme="minorHAnsi"/>
                <w:lang w:val="en-GB" w:eastAsia="en-US"/>
              </w:rPr>
              <w:t xml:space="preserve">(67.9%) </w:t>
            </w:r>
            <w:r w:rsidRPr="001162A3">
              <w:rPr>
                <w:rFonts w:asciiTheme="minorHAnsi" w:hAnsiTheme="minorHAnsi"/>
                <w:lang w:val="en-GB" w:eastAsia="en-US"/>
              </w:rPr>
              <w:t>and Diesel</w:t>
            </w:r>
            <w:r>
              <w:rPr>
                <w:rFonts w:asciiTheme="minorHAnsi" w:hAnsiTheme="minorHAnsi"/>
                <w:lang w:val="en-GB" w:eastAsia="en-US"/>
              </w:rPr>
              <w:t xml:space="preserve"> (32.1%)</w:t>
            </w:r>
            <w:r w:rsidRPr="001162A3">
              <w:rPr>
                <w:rFonts w:asciiTheme="minorHAnsi" w:hAnsiTheme="minorHAnsi"/>
                <w:lang w:val="en-GB" w:eastAsia="en-US"/>
              </w:rPr>
              <w:t>.</w:t>
            </w:r>
            <w:r>
              <w:rPr>
                <w:rFonts w:asciiTheme="minorHAnsi" w:hAnsiTheme="minorHAnsi"/>
                <w:lang w:val="en-GB" w:eastAsia="en-US"/>
              </w:rPr>
              <w:t xml:space="preserve"> A more detailed fleet composition (including all types of fuel consumption present in Polish LV fleet) is presented below together with respective forecasts. For the purposes of CBA calculations, it is assumed that proposed simplification (i.e. petrol and Diesel only, with shares referred above) is adequate and assumed to match the constant fuel combustion motor LV shares in future.</w:t>
            </w:r>
          </w:p>
          <w:p w14:paraId="4AEAB317" w14:textId="77777777" w:rsidR="00921721" w:rsidRPr="00731E4E" w:rsidRDefault="00921721" w:rsidP="00880D09">
            <w:pPr>
              <w:pStyle w:val="anxnormal"/>
              <w:spacing w:after="120"/>
              <w:ind w:left="0"/>
              <w:rPr>
                <w:rFonts w:asciiTheme="minorHAnsi" w:hAnsiTheme="minorHAnsi"/>
                <w:lang w:val="en-GB" w:eastAsia="en-US"/>
              </w:rPr>
            </w:pPr>
          </w:p>
          <w:tbl>
            <w:tblPr>
              <w:tblW w:w="5553" w:type="dxa"/>
              <w:tblLayout w:type="fixed"/>
              <w:tblLook w:val="04A0" w:firstRow="1" w:lastRow="0" w:firstColumn="1" w:lastColumn="0" w:noHBand="0" w:noVBand="1"/>
            </w:tblPr>
            <w:tblGrid>
              <w:gridCol w:w="3698"/>
              <w:gridCol w:w="1855"/>
            </w:tblGrid>
            <w:tr w:rsidR="00921721" w:rsidRPr="007463B9" w14:paraId="67F7F0AA" w14:textId="77777777" w:rsidTr="00880D09">
              <w:trPr>
                <w:trHeight w:hRule="exact" w:val="753"/>
              </w:trPr>
              <w:tc>
                <w:tcPr>
                  <w:tcW w:w="369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8E55BBD"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LV fleet composition</w:t>
                  </w:r>
                  <w:r w:rsidRPr="00D4006A">
                    <w:rPr>
                      <w:rFonts w:asciiTheme="minorHAnsi" w:hAnsiTheme="minorHAnsi" w:cs="Arial"/>
                      <w:b/>
                      <w:bCs/>
                      <w:color w:val="FFFFFF"/>
                      <w:sz w:val="18"/>
                      <w:szCs w:val="18"/>
                      <w:lang w:val="en-GB"/>
                    </w:rPr>
                    <w:t xml:space="preserve"> </w:t>
                  </w:r>
                  <w:r w:rsidRPr="00D04EFD">
                    <w:rPr>
                      <w:rFonts w:asciiTheme="minorHAnsi" w:hAnsiTheme="minorHAnsi" w:cs="Arial"/>
                      <w:b/>
                      <w:bCs/>
                      <w:color w:val="FFFFFF"/>
                      <w:sz w:val="18"/>
                      <w:szCs w:val="18"/>
                      <w:lang w:val="en-GB"/>
                    </w:rPr>
                    <w:t xml:space="preserve">regarding </w:t>
                  </w:r>
                  <w:r>
                    <w:rPr>
                      <w:rFonts w:asciiTheme="minorHAnsi" w:hAnsiTheme="minorHAnsi" w:cs="Arial"/>
                      <w:b/>
                      <w:bCs/>
                      <w:color w:val="FFFFFF"/>
                      <w:sz w:val="18"/>
                      <w:szCs w:val="18"/>
                      <w:lang w:val="en-GB"/>
                    </w:rPr>
                    <w:t xml:space="preserve">type of </w:t>
                  </w:r>
                  <w:r w:rsidRPr="00D04EFD">
                    <w:rPr>
                      <w:rFonts w:asciiTheme="minorHAnsi" w:hAnsiTheme="minorHAnsi" w:cs="Arial"/>
                      <w:b/>
                      <w:bCs/>
                      <w:color w:val="FFFFFF"/>
                      <w:sz w:val="18"/>
                      <w:szCs w:val="18"/>
                      <w:lang w:val="en-GB"/>
                    </w:rPr>
                    <w:t>fuel</w:t>
                  </w:r>
                </w:p>
              </w:tc>
              <w:tc>
                <w:tcPr>
                  <w:tcW w:w="185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1FD2819"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End 2019</w:t>
                  </w:r>
                </w:p>
              </w:tc>
            </w:tr>
            <w:tr w:rsidR="00921721" w:rsidRPr="007463B9" w14:paraId="21BAF5ED" w14:textId="77777777" w:rsidTr="00880D09">
              <w:trPr>
                <w:trHeight w:val="176"/>
              </w:trPr>
              <w:tc>
                <w:tcPr>
                  <w:tcW w:w="3698" w:type="dxa"/>
                  <w:tcBorders>
                    <w:top w:val="single" w:sz="4" w:space="0" w:color="FFFFFF"/>
                    <w:left w:val="single" w:sz="4" w:space="0" w:color="FFFFFF"/>
                    <w:bottom w:val="single" w:sz="4" w:space="0" w:color="FFFFFF"/>
                    <w:right w:val="nil"/>
                  </w:tcBorders>
                  <w:shd w:val="clear" w:color="auto" w:fill="DBE5F1" w:themeFill="accent1" w:themeFillTint="33"/>
                  <w:hideMark/>
                </w:tcPr>
                <w:p w14:paraId="2DD8A2B2" w14:textId="77777777" w:rsidR="00921721" w:rsidRPr="000105CD"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Diesel</w:t>
                  </w:r>
                </w:p>
              </w:tc>
              <w:tc>
                <w:tcPr>
                  <w:tcW w:w="1855" w:type="dxa"/>
                  <w:tcBorders>
                    <w:top w:val="single" w:sz="4" w:space="0" w:color="FFFFFF"/>
                    <w:left w:val="single" w:sz="4" w:space="0" w:color="FFFFFF"/>
                    <w:bottom w:val="single" w:sz="4" w:space="0" w:color="FFFFFF"/>
                    <w:right w:val="nil"/>
                  </w:tcBorders>
                  <w:shd w:val="clear" w:color="auto" w:fill="DBE5F1" w:themeFill="accent1" w:themeFillTint="33"/>
                  <w:hideMark/>
                </w:tcPr>
                <w:p w14:paraId="6AE65796" w14:textId="77777777" w:rsidR="00921721" w:rsidRPr="00D22938"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32.06%</w:t>
                  </w:r>
                </w:p>
              </w:tc>
            </w:tr>
            <w:tr w:rsidR="00921721" w:rsidRPr="007463B9" w14:paraId="595F4BFE" w14:textId="77777777" w:rsidTr="00880D09">
              <w:trPr>
                <w:trHeight w:val="304"/>
              </w:trPr>
              <w:tc>
                <w:tcPr>
                  <w:tcW w:w="3698" w:type="dxa"/>
                  <w:tcBorders>
                    <w:top w:val="single" w:sz="4" w:space="0" w:color="FFFFFF"/>
                    <w:left w:val="single" w:sz="4" w:space="0" w:color="FFFFFF"/>
                    <w:bottom w:val="single" w:sz="4" w:space="0" w:color="FFFFFF"/>
                    <w:right w:val="nil"/>
                  </w:tcBorders>
                  <w:shd w:val="clear" w:color="auto" w:fill="DBE5F1" w:themeFill="accent1" w:themeFillTint="33"/>
                  <w:hideMark/>
                </w:tcPr>
                <w:p w14:paraId="1C79563F" w14:textId="77777777" w:rsidR="00921721" w:rsidRPr="00CA444D"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CNG</w:t>
                  </w:r>
                </w:p>
              </w:tc>
              <w:tc>
                <w:tcPr>
                  <w:tcW w:w="1855" w:type="dxa"/>
                  <w:tcBorders>
                    <w:top w:val="single" w:sz="4" w:space="0" w:color="FFFFFF"/>
                    <w:left w:val="single" w:sz="4" w:space="0" w:color="FFFFFF"/>
                    <w:bottom w:val="single" w:sz="4" w:space="0" w:color="FFFFFF"/>
                    <w:right w:val="nil"/>
                  </w:tcBorders>
                  <w:shd w:val="clear" w:color="auto" w:fill="DBE5F1" w:themeFill="accent1" w:themeFillTint="33"/>
                  <w:hideMark/>
                </w:tcPr>
                <w:p w14:paraId="75EE7DDC" w14:textId="77777777" w:rsidR="00921721" w:rsidRPr="00D22938"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0.02%</w:t>
                  </w:r>
                </w:p>
              </w:tc>
            </w:tr>
            <w:tr w:rsidR="00921721" w:rsidRPr="007463B9" w14:paraId="728131EF" w14:textId="77777777" w:rsidTr="00880D09">
              <w:trPr>
                <w:trHeight w:val="296"/>
              </w:trPr>
              <w:tc>
                <w:tcPr>
                  <w:tcW w:w="3698" w:type="dxa"/>
                  <w:tcBorders>
                    <w:top w:val="single" w:sz="4" w:space="0" w:color="FFFFFF"/>
                    <w:left w:val="single" w:sz="4" w:space="0" w:color="FFFFFF"/>
                    <w:bottom w:val="single" w:sz="4" w:space="0" w:color="FFFFFF"/>
                    <w:right w:val="nil"/>
                  </w:tcBorders>
                  <w:shd w:val="clear" w:color="auto" w:fill="DBE5F1" w:themeFill="accent1" w:themeFillTint="33"/>
                </w:tcPr>
                <w:p w14:paraId="37F33ED8" w14:textId="77777777" w:rsidR="00921721"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LPG</w:t>
                  </w:r>
                </w:p>
              </w:tc>
              <w:tc>
                <w:tcPr>
                  <w:tcW w:w="1855" w:type="dxa"/>
                  <w:tcBorders>
                    <w:top w:val="single" w:sz="4" w:space="0" w:color="FFFFFF"/>
                    <w:left w:val="single" w:sz="4" w:space="0" w:color="FFFFFF"/>
                    <w:bottom w:val="single" w:sz="4" w:space="0" w:color="FFFFFF"/>
                    <w:right w:val="nil"/>
                  </w:tcBorders>
                  <w:shd w:val="clear" w:color="auto" w:fill="DBE5F1" w:themeFill="accent1" w:themeFillTint="33"/>
                </w:tcPr>
                <w:p w14:paraId="09BEA9B5" w14:textId="77777777" w:rsidR="00921721" w:rsidRPr="000105CD"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14.00%</w:t>
                  </w:r>
                </w:p>
              </w:tc>
            </w:tr>
            <w:tr w:rsidR="00921721" w:rsidRPr="007463B9" w14:paraId="0E3DDB77" w14:textId="77777777" w:rsidTr="00880D09">
              <w:trPr>
                <w:trHeight w:val="288"/>
              </w:trPr>
              <w:tc>
                <w:tcPr>
                  <w:tcW w:w="3698" w:type="dxa"/>
                  <w:tcBorders>
                    <w:top w:val="single" w:sz="4" w:space="0" w:color="FFFFFF"/>
                    <w:left w:val="single" w:sz="4" w:space="0" w:color="FFFFFF"/>
                    <w:bottom w:val="single" w:sz="4" w:space="0" w:color="FFFFFF"/>
                    <w:right w:val="nil"/>
                  </w:tcBorders>
                  <w:shd w:val="clear" w:color="auto" w:fill="DBE5F1" w:themeFill="accent1" w:themeFillTint="33"/>
                </w:tcPr>
                <w:p w14:paraId="61658BF8" w14:textId="77777777" w:rsidR="00921721"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Petrol</w:t>
                  </w:r>
                </w:p>
              </w:tc>
              <w:tc>
                <w:tcPr>
                  <w:tcW w:w="1855" w:type="dxa"/>
                  <w:tcBorders>
                    <w:top w:val="single" w:sz="4" w:space="0" w:color="FFFFFF"/>
                    <w:left w:val="single" w:sz="4" w:space="0" w:color="FFFFFF"/>
                    <w:bottom w:val="single" w:sz="4" w:space="0" w:color="FFFFFF"/>
                    <w:right w:val="nil"/>
                  </w:tcBorders>
                  <w:shd w:val="clear" w:color="auto" w:fill="DBE5F1" w:themeFill="accent1" w:themeFillTint="33"/>
                </w:tcPr>
                <w:p w14:paraId="0FB78389" w14:textId="77777777" w:rsidR="00921721" w:rsidRPr="000105CD"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53.80%</w:t>
                  </w:r>
                </w:p>
              </w:tc>
            </w:tr>
            <w:tr w:rsidR="00921721" w:rsidRPr="007463B9" w14:paraId="3D3B17C5" w14:textId="77777777" w:rsidTr="00880D09">
              <w:trPr>
                <w:trHeight w:val="281"/>
              </w:trPr>
              <w:tc>
                <w:tcPr>
                  <w:tcW w:w="3698" w:type="dxa"/>
                  <w:tcBorders>
                    <w:top w:val="single" w:sz="4" w:space="0" w:color="FFFFFF"/>
                    <w:left w:val="single" w:sz="4" w:space="0" w:color="FFFFFF"/>
                    <w:bottom w:val="single" w:sz="4" w:space="0" w:color="FFFFFF"/>
                    <w:right w:val="nil"/>
                  </w:tcBorders>
                  <w:shd w:val="clear" w:color="auto" w:fill="DBE5F1" w:themeFill="accent1" w:themeFillTint="33"/>
                </w:tcPr>
                <w:p w14:paraId="76191CA6" w14:textId="77777777" w:rsidR="00921721"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 xml:space="preserve">Hybrid </w:t>
                  </w:r>
                </w:p>
              </w:tc>
              <w:tc>
                <w:tcPr>
                  <w:tcW w:w="1855" w:type="dxa"/>
                  <w:tcBorders>
                    <w:top w:val="single" w:sz="4" w:space="0" w:color="FFFFFF"/>
                    <w:left w:val="single" w:sz="4" w:space="0" w:color="FFFFFF"/>
                    <w:bottom w:val="single" w:sz="4" w:space="0" w:color="FFFFFF"/>
                    <w:right w:val="nil"/>
                  </w:tcBorders>
                  <w:shd w:val="clear" w:color="auto" w:fill="DBE5F1" w:themeFill="accent1" w:themeFillTint="33"/>
                </w:tcPr>
                <w:p w14:paraId="3C6D03E4" w14:textId="77777777" w:rsidR="00921721" w:rsidRPr="000105CD"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0.11%</w:t>
                  </w:r>
                </w:p>
              </w:tc>
            </w:tr>
            <w:tr w:rsidR="00921721" w:rsidRPr="007463B9" w14:paraId="5C631365" w14:textId="77777777" w:rsidTr="00880D09">
              <w:trPr>
                <w:trHeight w:val="184"/>
              </w:trPr>
              <w:tc>
                <w:tcPr>
                  <w:tcW w:w="3698" w:type="dxa"/>
                  <w:tcBorders>
                    <w:top w:val="single" w:sz="4" w:space="0" w:color="FFFFFF"/>
                    <w:left w:val="single" w:sz="4" w:space="0" w:color="FFFFFF"/>
                    <w:bottom w:val="single" w:sz="4" w:space="0" w:color="FFFFFF"/>
                    <w:right w:val="nil"/>
                  </w:tcBorders>
                  <w:shd w:val="clear" w:color="auto" w:fill="DBE5F1" w:themeFill="accent1" w:themeFillTint="33"/>
                </w:tcPr>
                <w:p w14:paraId="1F0BC785" w14:textId="77777777" w:rsidR="00921721"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Electric</w:t>
                  </w:r>
                </w:p>
              </w:tc>
              <w:tc>
                <w:tcPr>
                  <w:tcW w:w="1855" w:type="dxa"/>
                  <w:tcBorders>
                    <w:top w:val="single" w:sz="4" w:space="0" w:color="FFFFFF"/>
                    <w:left w:val="single" w:sz="4" w:space="0" w:color="FFFFFF"/>
                    <w:bottom w:val="single" w:sz="4" w:space="0" w:color="FFFFFF"/>
                    <w:right w:val="nil"/>
                  </w:tcBorders>
                  <w:shd w:val="clear" w:color="auto" w:fill="DBE5F1" w:themeFill="accent1" w:themeFillTint="33"/>
                </w:tcPr>
                <w:p w14:paraId="21F202D3" w14:textId="77777777" w:rsidR="00921721" w:rsidRPr="000105CD" w:rsidRDefault="00921721" w:rsidP="00880D09">
                  <w:pPr>
                    <w:jc w:val="center"/>
                    <w:rPr>
                      <w:rFonts w:asciiTheme="minorHAnsi" w:hAnsiTheme="minorHAnsi" w:cs="Arial"/>
                      <w:color w:val="4F81BD" w:themeColor="accent1"/>
                      <w:sz w:val="18"/>
                      <w:szCs w:val="18"/>
                      <w:lang w:val="en-GB"/>
                    </w:rPr>
                  </w:pPr>
                  <w:r w:rsidRPr="000105CD">
                    <w:rPr>
                      <w:rFonts w:asciiTheme="minorHAnsi" w:hAnsiTheme="minorHAnsi" w:cs="Arial"/>
                      <w:color w:val="4F81BD" w:themeColor="accent1"/>
                      <w:sz w:val="18"/>
                      <w:szCs w:val="18"/>
                      <w:lang w:val="en-GB"/>
                    </w:rPr>
                    <w:t>0.02%</w:t>
                  </w:r>
                </w:p>
              </w:tc>
            </w:tr>
          </w:tbl>
          <w:p w14:paraId="5FEBF31D" w14:textId="77777777" w:rsidR="00921721" w:rsidRPr="00921721" w:rsidRDefault="00921721" w:rsidP="00880D09">
            <w:pPr>
              <w:ind w:right="170"/>
              <w:jc w:val="both"/>
              <w:rPr>
                <w:rFonts w:asciiTheme="minorHAnsi" w:hAnsiTheme="minorHAnsi"/>
                <w:b/>
                <w:i/>
                <w:sz w:val="16"/>
                <w:szCs w:val="16"/>
                <w:lang w:val="en-GB"/>
              </w:rPr>
            </w:pPr>
            <w:r w:rsidRPr="00921721">
              <w:rPr>
                <w:rFonts w:asciiTheme="minorHAnsi" w:hAnsiTheme="minorHAnsi" w:cs="Arial"/>
                <w:b/>
                <w:i/>
                <w:sz w:val="16"/>
                <w:szCs w:val="16"/>
                <w:lang w:val="en-GB"/>
              </w:rPr>
              <w:t>Source: "Transport – wyniki działalności w 2019 r. Transport – activity results in 2019", GUS, 2020 and forecasts for 2030 and 2050: "Ścieżki redukcji emisji CO2 w sektorze transportu w Polsce w kontekście „Europejskiego Zielonego Ładu”" CAKE/KOBiZE, October 2020.</w:t>
            </w:r>
          </w:p>
          <w:p w14:paraId="79DA8F2D" w14:textId="77777777" w:rsidR="00921721" w:rsidRPr="00921721" w:rsidRDefault="00921721" w:rsidP="00880D09">
            <w:pPr>
              <w:pStyle w:val="anxnormal"/>
              <w:ind w:left="0"/>
              <w:rPr>
                <w:rFonts w:asciiTheme="minorHAnsi" w:hAnsiTheme="minorHAnsi"/>
                <w:lang w:val="en-GB" w:eastAsia="en-US"/>
              </w:rPr>
            </w:pPr>
          </w:p>
          <w:p w14:paraId="50B3A3EA" w14:textId="77777777" w:rsidR="00921721" w:rsidRPr="00921721" w:rsidRDefault="00921721" w:rsidP="00880D09">
            <w:pPr>
              <w:pStyle w:val="anxnormal"/>
              <w:ind w:left="0"/>
              <w:rPr>
                <w:rFonts w:asciiTheme="minorHAnsi" w:hAnsiTheme="minorHAnsi"/>
                <w:lang w:val="en-GB" w:eastAsia="en-US"/>
              </w:rPr>
            </w:pPr>
          </w:p>
          <w:p w14:paraId="16A41782" w14:textId="77777777" w:rsidR="00921721" w:rsidRPr="00921721" w:rsidRDefault="00921721" w:rsidP="00880D09">
            <w:pPr>
              <w:pStyle w:val="anxnormal"/>
              <w:ind w:left="0"/>
              <w:rPr>
                <w:rFonts w:asciiTheme="minorHAnsi" w:hAnsiTheme="minorHAnsi"/>
                <w:lang w:val="en-GB" w:eastAsia="en-US"/>
              </w:rPr>
            </w:pPr>
          </w:p>
          <w:p w14:paraId="3026A55A" w14:textId="77777777" w:rsidR="00921721" w:rsidRPr="00921721" w:rsidRDefault="00921721" w:rsidP="00880D09">
            <w:pPr>
              <w:pStyle w:val="anxnormal"/>
              <w:ind w:left="0"/>
              <w:rPr>
                <w:rFonts w:asciiTheme="minorHAnsi" w:hAnsiTheme="minorHAnsi"/>
                <w:lang w:val="en-GB" w:eastAsia="en-US"/>
              </w:rPr>
            </w:pPr>
          </w:p>
          <w:p w14:paraId="55A24057" w14:textId="77777777" w:rsidR="00921721" w:rsidRDefault="00921721" w:rsidP="00880D09">
            <w:pPr>
              <w:pStyle w:val="anxnormal"/>
              <w:ind w:left="0"/>
              <w:rPr>
                <w:rFonts w:asciiTheme="minorHAnsi" w:hAnsiTheme="minorHAnsi"/>
                <w:lang w:eastAsia="en-US"/>
              </w:rPr>
            </w:pPr>
            <w:r>
              <w:rPr>
                <w:rFonts w:asciiTheme="minorHAnsi" w:hAnsiTheme="minorHAnsi"/>
                <w:lang w:val="en-GB" w:eastAsia="en-US"/>
              </w:rPr>
              <w:t xml:space="preserve">The following tables provide an estimation of the future structure of the LV fleet composition. </w:t>
            </w:r>
            <w:r w:rsidRPr="00983DF9">
              <w:rPr>
                <w:rFonts w:asciiTheme="minorHAnsi" w:hAnsiTheme="minorHAnsi"/>
                <w:lang w:eastAsia="en-US"/>
              </w:rPr>
              <w:t xml:space="preserve">Different scenarios presented </w:t>
            </w:r>
            <w:r>
              <w:rPr>
                <w:rFonts w:asciiTheme="minorHAnsi" w:hAnsiTheme="minorHAnsi"/>
                <w:lang w:eastAsia="en-US"/>
              </w:rPr>
              <w:t xml:space="preserve">are </w:t>
            </w:r>
            <w:r w:rsidRPr="00356307">
              <w:rPr>
                <w:rFonts w:asciiTheme="minorHAnsi" w:hAnsiTheme="minorHAnsi"/>
                <w:lang w:eastAsia="en-US"/>
              </w:rPr>
              <w:t>b</w:t>
            </w:r>
            <w:r w:rsidRPr="00983DF9">
              <w:rPr>
                <w:rFonts w:asciiTheme="minorHAnsi" w:hAnsiTheme="minorHAnsi"/>
                <w:lang w:eastAsia="en-US"/>
              </w:rPr>
              <w:t>ased on</w:t>
            </w:r>
            <w:r>
              <w:rPr>
                <w:rFonts w:asciiTheme="minorHAnsi" w:hAnsiTheme="minorHAnsi"/>
                <w:lang w:eastAsia="en-US"/>
              </w:rPr>
              <w:t xml:space="preserve"> "Ścieżki redukcji emisji CO2 w sektorze transportu w Polsce w </w:t>
            </w:r>
            <w:r w:rsidRPr="00983DF9">
              <w:rPr>
                <w:rFonts w:asciiTheme="minorHAnsi" w:hAnsiTheme="minorHAnsi"/>
                <w:lang w:eastAsia="en-US"/>
              </w:rPr>
              <w:t>kontekście</w:t>
            </w:r>
            <w:r>
              <w:rPr>
                <w:rFonts w:asciiTheme="minorHAnsi" w:hAnsiTheme="minorHAnsi"/>
                <w:lang w:eastAsia="en-US"/>
              </w:rPr>
              <w:t xml:space="preserve"> „Europejskiego Zielonego Ładu””</w:t>
            </w:r>
            <w:r w:rsidRPr="00983DF9">
              <w:rPr>
                <w:rFonts w:asciiTheme="minorHAnsi" w:hAnsiTheme="minorHAnsi"/>
                <w:lang w:eastAsia="en-US"/>
              </w:rPr>
              <w:t xml:space="preserve"> by CAKE (Centrum Analiz Klimatyczno-Energetycznych), Oct</w:t>
            </w:r>
            <w:r>
              <w:rPr>
                <w:rFonts w:asciiTheme="minorHAnsi" w:hAnsiTheme="minorHAnsi"/>
                <w:lang w:eastAsia="en-US"/>
              </w:rPr>
              <w:t>ober</w:t>
            </w:r>
            <w:r w:rsidRPr="00983DF9">
              <w:rPr>
                <w:rFonts w:asciiTheme="minorHAnsi" w:hAnsiTheme="minorHAnsi"/>
                <w:lang w:eastAsia="en-US"/>
              </w:rPr>
              <w:t xml:space="preserve"> 2020</w:t>
            </w:r>
            <w:r>
              <w:rPr>
                <w:rFonts w:asciiTheme="minorHAnsi" w:hAnsiTheme="minorHAnsi"/>
                <w:lang w:eastAsia="en-US"/>
              </w:rPr>
              <w:t>:</w:t>
            </w:r>
          </w:p>
          <w:p w14:paraId="4C8B30DB" w14:textId="77777777" w:rsidR="00921721" w:rsidRPr="00343533" w:rsidRDefault="00921721" w:rsidP="00880D09">
            <w:pPr>
              <w:pStyle w:val="anxnormal"/>
              <w:ind w:left="0"/>
              <w:rPr>
                <w:rFonts w:asciiTheme="minorHAnsi" w:hAnsiTheme="minorHAnsi"/>
                <w:lang w:val="en-GB" w:eastAsia="en-US"/>
              </w:rPr>
            </w:pPr>
            <w:r w:rsidRPr="00343533">
              <w:rPr>
                <w:rFonts w:asciiTheme="minorHAnsi" w:hAnsiTheme="minorHAnsi"/>
                <w:lang w:val="en-GB" w:eastAsia="en-US"/>
              </w:rPr>
              <w:t>Base scenario</w:t>
            </w:r>
          </w:p>
          <w:tbl>
            <w:tblPr>
              <w:tblW w:w="3395" w:type="dxa"/>
              <w:tblLayout w:type="fixed"/>
              <w:tblLook w:val="04A0" w:firstRow="1" w:lastRow="0" w:firstColumn="1" w:lastColumn="0" w:noHBand="0" w:noVBand="1"/>
            </w:tblPr>
            <w:tblGrid>
              <w:gridCol w:w="1694"/>
              <w:gridCol w:w="850"/>
              <w:gridCol w:w="851"/>
            </w:tblGrid>
            <w:tr w:rsidR="00921721" w:rsidRPr="007463B9" w14:paraId="12E5B3E5"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12DE26F1"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6F8895CF"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r w:rsidRPr="00343533">
                    <w:rPr>
                      <w:rFonts w:asciiTheme="minorHAnsi" w:hAnsiTheme="minorHAnsi" w:cs="Arial"/>
                      <w:b/>
                      <w:bCs/>
                      <w:color w:val="FFFFFF"/>
                      <w:sz w:val="18"/>
                      <w:szCs w:val="18"/>
                      <w:lang w:val="en-GB"/>
                    </w:rPr>
                    <w:t>in 2030</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65E8111F"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r w:rsidRPr="00343533">
                    <w:rPr>
                      <w:rFonts w:asciiTheme="minorHAnsi" w:hAnsiTheme="minorHAnsi" w:cs="Arial"/>
                      <w:b/>
                      <w:bCs/>
                      <w:color w:val="FFFFFF"/>
                      <w:sz w:val="18"/>
                      <w:szCs w:val="18"/>
                      <w:lang w:val="en-GB"/>
                    </w:rPr>
                    <w:t>in 2050</w:t>
                  </w:r>
                </w:p>
              </w:tc>
            </w:tr>
            <w:tr w:rsidR="00921721" w:rsidRPr="007463B9" w14:paraId="27ABC44D"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13325AC"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Diesel</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238E3EA"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27.4%</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B8C7D33"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17.3%</w:t>
                  </w:r>
                </w:p>
              </w:tc>
            </w:tr>
            <w:tr w:rsidR="00921721" w:rsidRPr="007463B9" w14:paraId="7A794BBF"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3968F59"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CNG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20606D9"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0.1%</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C41918A"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0.9%</w:t>
                  </w:r>
                </w:p>
              </w:tc>
            </w:tr>
            <w:tr w:rsidR="00921721" w:rsidRPr="007463B9" w14:paraId="25CB3741"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A5BDEE4"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LPG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1829816"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12.2%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A1153DE"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9.8%</w:t>
                  </w:r>
                </w:p>
              </w:tc>
            </w:tr>
            <w:tr w:rsidR="00921721" w:rsidRPr="007463B9" w14:paraId="7EFD8A4B"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01376A8"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Petrol</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5BBCDCC"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52.5%</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0D2B885"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38.9%</w:t>
                  </w:r>
                </w:p>
              </w:tc>
            </w:tr>
            <w:tr w:rsidR="00921721" w:rsidRPr="007463B9" w14:paraId="2501EEC3"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FAF4DEF"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 xml:space="preserve">Hybrid </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34DA6CF"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3.9%</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5053D00"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9.9%</w:t>
                  </w:r>
                </w:p>
              </w:tc>
            </w:tr>
            <w:tr w:rsidR="00921721" w:rsidRPr="007463B9" w14:paraId="241BAA56"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6316670"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Electric</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033A7FC"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3.9%</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8C04B76"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23.2%</w:t>
                  </w:r>
                </w:p>
              </w:tc>
            </w:tr>
          </w:tbl>
          <w:p w14:paraId="54626F1F" w14:textId="77777777" w:rsidR="00921721" w:rsidRPr="00343533" w:rsidRDefault="00921721" w:rsidP="00880D09">
            <w:pPr>
              <w:pStyle w:val="anxnormal"/>
              <w:ind w:left="0"/>
              <w:rPr>
                <w:rFonts w:asciiTheme="minorHAnsi" w:hAnsiTheme="minorHAnsi"/>
                <w:lang w:val="en-GB" w:eastAsia="en-US"/>
              </w:rPr>
            </w:pPr>
          </w:p>
          <w:p w14:paraId="5F4DD5D8" w14:textId="77777777" w:rsidR="00921721" w:rsidRPr="00343533" w:rsidRDefault="00921721" w:rsidP="00880D09">
            <w:pPr>
              <w:pStyle w:val="anxnormal"/>
              <w:ind w:left="0"/>
              <w:rPr>
                <w:rFonts w:asciiTheme="minorHAnsi" w:hAnsiTheme="minorHAnsi"/>
                <w:lang w:val="en-GB" w:eastAsia="en-US"/>
              </w:rPr>
            </w:pPr>
            <w:r w:rsidRPr="00343533">
              <w:rPr>
                <w:rFonts w:asciiTheme="minorHAnsi" w:hAnsiTheme="minorHAnsi"/>
                <w:lang w:val="en-GB" w:eastAsia="en-US"/>
              </w:rPr>
              <w:t>ETSeq scenario</w:t>
            </w:r>
          </w:p>
          <w:tbl>
            <w:tblPr>
              <w:tblW w:w="3395" w:type="dxa"/>
              <w:tblLayout w:type="fixed"/>
              <w:tblLook w:val="04A0" w:firstRow="1" w:lastRow="0" w:firstColumn="1" w:lastColumn="0" w:noHBand="0" w:noVBand="1"/>
            </w:tblPr>
            <w:tblGrid>
              <w:gridCol w:w="1694"/>
              <w:gridCol w:w="850"/>
              <w:gridCol w:w="851"/>
            </w:tblGrid>
            <w:tr w:rsidR="00921721" w:rsidRPr="007463B9" w14:paraId="4A0F5C86"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4811BAA7"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6B3263D2"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r w:rsidRPr="00343533">
                    <w:rPr>
                      <w:rFonts w:asciiTheme="minorHAnsi" w:hAnsiTheme="minorHAnsi" w:cs="Arial"/>
                      <w:b/>
                      <w:bCs/>
                      <w:color w:val="FFFFFF"/>
                      <w:sz w:val="18"/>
                      <w:szCs w:val="18"/>
                      <w:lang w:val="en-GB"/>
                    </w:rPr>
                    <w:t>in 2030</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072C5040"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r w:rsidRPr="00343533">
                    <w:rPr>
                      <w:rFonts w:asciiTheme="minorHAnsi" w:hAnsiTheme="minorHAnsi" w:cs="Arial"/>
                      <w:b/>
                      <w:bCs/>
                      <w:color w:val="FFFFFF"/>
                      <w:sz w:val="18"/>
                      <w:szCs w:val="18"/>
                      <w:lang w:val="en-GB"/>
                    </w:rPr>
                    <w:t>in 2050</w:t>
                  </w:r>
                </w:p>
              </w:tc>
            </w:tr>
            <w:tr w:rsidR="00921721" w:rsidRPr="007463B9" w14:paraId="07B26769"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A5D6023"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Diesel</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B3E0849"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26.9%</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5D0D61A"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15.4%</w:t>
                  </w:r>
                </w:p>
              </w:tc>
            </w:tr>
            <w:tr w:rsidR="00921721" w:rsidRPr="007463B9" w14:paraId="4F9F4E8C"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235D0F4"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CNG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59E081E"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0.2%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AAA3AD1"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0.9%</w:t>
                  </w:r>
                </w:p>
              </w:tc>
            </w:tr>
            <w:tr w:rsidR="00921721" w:rsidRPr="007463B9" w14:paraId="7A6C0A5D"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D953CE8"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LPG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14E6746"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12.0%</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7DCBDD9"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8.7%</w:t>
                  </w:r>
                </w:p>
              </w:tc>
            </w:tr>
            <w:tr w:rsidR="00921721" w:rsidRPr="007463B9" w14:paraId="4047E32F"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DD69E81"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Petrol</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D8B7322"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52.7%</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9CCC8FF"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37.1%</w:t>
                  </w:r>
                </w:p>
              </w:tc>
            </w:tr>
            <w:tr w:rsidR="00921721" w:rsidRPr="007463B9" w14:paraId="77C6D8D4"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0E3685B"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 xml:space="preserve">Hybrid </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F271C36"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4.0%</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A722374"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9.6%</w:t>
                  </w:r>
                </w:p>
              </w:tc>
            </w:tr>
            <w:tr w:rsidR="00921721" w:rsidRPr="007463B9" w14:paraId="3F6478BA"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27925FE"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Electric</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CB3472F"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4.2%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4BE9B9C" w14:textId="77777777" w:rsidR="00921721" w:rsidRPr="00343533" w:rsidRDefault="00921721" w:rsidP="00880D09">
                  <w:pPr>
                    <w:jc w:val="center"/>
                    <w:rPr>
                      <w:rFonts w:asciiTheme="minorHAnsi" w:hAnsiTheme="minorHAnsi" w:cs="Arial"/>
                      <w:color w:val="4F81BD" w:themeColor="accent1"/>
                      <w:sz w:val="18"/>
                      <w:szCs w:val="18"/>
                      <w:lang w:val="en-GB"/>
                    </w:rPr>
                  </w:pPr>
                  <w:r w:rsidRPr="00343533">
                    <w:rPr>
                      <w:rFonts w:asciiTheme="minorHAnsi" w:hAnsiTheme="minorHAnsi" w:cs="Arial"/>
                      <w:color w:val="4F81BD" w:themeColor="accent1"/>
                      <w:sz w:val="18"/>
                      <w:szCs w:val="18"/>
                      <w:lang w:val="en-GB"/>
                    </w:rPr>
                    <w:t>28.3%</w:t>
                  </w:r>
                </w:p>
              </w:tc>
            </w:tr>
          </w:tbl>
          <w:p w14:paraId="0C78553C" w14:textId="77777777" w:rsidR="00921721" w:rsidRPr="00343533" w:rsidRDefault="00921721" w:rsidP="00880D09">
            <w:pPr>
              <w:pStyle w:val="anxnormal"/>
              <w:ind w:left="0"/>
              <w:rPr>
                <w:rFonts w:asciiTheme="minorHAnsi" w:hAnsiTheme="minorHAnsi"/>
                <w:lang w:val="en-GB" w:eastAsia="en-US"/>
              </w:rPr>
            </w:pPr>
          </w:p>
          <w:p w14:paraId="7F6A9438" w14:textId="77777777" w:rsidR="00921721" w:rsidRPr="00343533" w:rsidRDefault="00921721" w:rsidP="00880D09">
            <w:pPr>
              <w:pStyle w:val="anxnormal"/>
              <w:ind w:left="0"/>
              <w:rPr>
                <w:rFonts w:asciiTheme="minorHAnsi" w:hAnsiTheme="minorHAnsi"/>
                <w:lang w:val="en-GB" w:eastAsia="en-US"/>
              </w:rPr>
            </w:pPr>
            <w:r w:rsidRPr="00343533">
              <w:rPr>
                <w:rFonts w:asciiTheme="minorHAnsi" w:hAnsiTheme="minorHAnsi"/>
                <w:lang w:val="en-GB" w:eastAsia="en-US"/>
              </w:rPr>
              <w:t>TechPro scenario</w:t>
            </w:r>
          </w:p>
          <w:tbl>
            <w:tblPr>
              <w:tblW w:w="3395" w:type="dxa"/>
              <w:tblLayout w:type="fixed"/>
              <w:tblLook w:val="04A0" w:firstRow="1" w:lastRow="0" w:firstColumn="1" w:lastColumn="0" w:noHBand="0" w:noVBand="1"/>
            </w:tblPr>
            <w:tblGrid>
              <w:gridCol w:w="1694"/>
              <w:gridCol w:w="850"/>
              <w:gridCol w:w="851"/>
            </w:tblGrid>
            <w:tr w:rsidR="00921721" w:rsidRPr="007463B9" w14:paraId="2F45C371"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36C515BD" w14:textId="77777777" w:rsidR="00921721" w:rsidRPr="00343533" w:rsidRDefault="00921721" w:rsidP="00880D09">
                  <w:pPr>
                    <w:snapToGrid w:val="0"/>
                    <w:spacing w:before="20" w:after="20"/>
                    <w:jc w:val="center"/>
                    <w:rPr>
                      <w:rFonts w:asciiTheme="minorHAnsi" w:hAnsiTheme="minorHAnsi" w:cs="Arial"/>
                      <w:b/>
                      <w:bCs/>
                      <w:color w:val="FFFFFF"/>
                      <w:sz w:val="18"/>
                      <w:szCs w:val="18"/>
                      <w:lang w:val="en-GB"/>
                    </w:rPr>
                  </w:pP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41DFD4FE" w14:textId="77777777" w:rsidR="00921721" w:rsidRPr="00DA1EFE" w:rsidRDefault="00921721" w:rsidP="00880D09">
                  <w:pPr>
                    <w:snapToGrid w:val="0"/>
                    <w:spacing w:before="20" w:after="20"/>
                    <w:jc w:val="center"/>
                    <w:rPr>
                      <w:rFonts w:asciiTheme="minorHAnsi" w:hAnsiTheme="minorHAnsi" w:cs="Arial"/>
                      <w:b/>
                      <w:bCs/>
                      <w:color w:val="FFFFFF"/>
                      <w:sz w:val="18"/>
                      <w:szCs w:val="18"/>
                      <w:lang w:val="en-GB"/>
                    </w:rPr>
                  </w:pPr>
                  <w:r w:rsidRPr="00DA1EFE">
                    <w:rPr>
                      <w:rFonts w:asciiTheme="minorHAnsi" w:hAnsiTheme="minorHAnsi" w:cs="Arial"/>
                      <w:b/>
                      <w:bCs/>
                      <w:color w:val="FFFFFF"/>
                      <w:sz w:val="18"/>
                      <w:szCs w:val="18"/>
                      <w:lang w:val="en-GB"/>
                    </w:rPr>
                    <w:t>in 2030</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42FAEC3D" w14:textId="77777777" w:rsidR="00921721" w:rsidRPr="0011069B" w:rsidRDefault="00921721" w:rsidP="00880D09">
                  <w:pPr>
                    <w:snapToGrid w:val="0"/>
                    <w:spacing w:before="20" w:after="20"/>
                    <w:jc w:val="center"/>
                    <w:rPr>
                      <w:rFonts w:asciiTheme="minorHAnsi" w:hAnsiTheme="minorHAnsi" w:cs="Arial"/>
                      <w:b/>
                      <w:bCs/>
                      <w:color w:val="FFFFFF"/>
                      <w:sz w:val="18"/>
                      <w:szCs w:val="18"/>
                      <w:lang w:val="en-GB"/>
                    </w:rPr>
                  </w:pPr>
                  <w:r w:rsidRPr="0011069B">
                    <w:rPr>
                      <w:rFonts w:asciiTheme="minorHAnsi" w:hAnsiTheme="minorHAnsi" w:cs="Arial"/>
                      <w:b/>
                      <w:bCs/>
                      <w:color w:val="FFFFFF"/>
                      <w:sz w:val="18"/>
                      <w:szCs w:val="18"/>
                      <w:lang w:val="en-GB"/>
                    </w:rPr>
                    <w:t>in 2050</w:t>
                  </w:r>
                </w:p>
              </w:tc>
            </w:tr>
            <w:tr w:rsidR="00921721" w:rsidRPr="007463B9" w14:paraId="49412957"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2679361"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Diesel</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A8DB518"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26.5%</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9695727"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10.5%</w:t>
                  </w:r>
                </w:p>
              </w:tc>
            </w:tr>
            <w:tr w:rsidR="00921721" w:rsidRPr="007463B9" w14:paraId="32CF87B1"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3DBD4F5"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CNG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385997E"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0.1%</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75E2C20"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0.6%</w:t>
                  </w:r>
                </w:p>
              </w:tc>
            </w:tr>
            <w:tr w:rsidR="00921721" w:rsidRPr="007463B9" w14:paraId="500C9AEA"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E955064"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LPG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139E3EC"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11.7%</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4E9952C"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5.8%</w:t>
                  </w:r>
                </w:p>
              </w:tc>
            </w:tr>
            <w:tr w:rsidR="00921721" w:rsidRPr="007463B9" w14:paraId="6165EDCF"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E9FEC5C"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Petrol</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83B47BC"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50.2%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53BC7A0"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21.8%</w:t>
                  </w:r>
                </w:p>
              </w:tc>
            </w:tr>
            <w:tr w:rsidR="00921721" w:rsidRPr="007463B9" w14:paraId="4161154A"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E61103E"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 xml:space="preserve">Hybrid </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CB8DF89"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5.4%</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B644969"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12.3%</w:t>
                  </w:r>
                </w:p>
              </w:tc>
            </w:tr>
            <w:tr w:rsidR="00921721" w:rsidRPr="007463B9" w14:paraId="1836CA64"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47A910C"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Electric</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D1B590B"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6.1%</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D33D31D"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49.0%</w:t>
                  </w:r>
                </w:p>
              </w:tc>
            </w:tr>
          </w:tbl>
          <w:p w14:paraId="08FF236A" w14:textId="77777777" w:rsidR="00921721" w:rsidRDefault="00921721" w:rsidP="00880D09">
            <w:pPr>
              <w:pStyle w:val="anxnormal"/>
              <w:ind w:left="0"/>
              <w:rPr>
                <w:rFonts w:asciiTheme="minorHAnsi" w:hAnsiTheme="minorHAnsi"/>
                <w:lang w:val="en-GB" w:eastAsia="en-US"/>
              </w:rPr>
            </w:pPr>
          </w:p>
          <w:p w14:paraId="3EFE5F1E" w14:textId="77777777" w:rsidR="00921721" w:rsidRDefault="00921721" w:rsidP="00880D09">
            <w:pPr>
              <w:pStyle w:val="anxnormal"/>
              <w:ind w:left="0"/>
              <w:rPr>
                <w:rFonts w:asciiTheme="minorHAnsi" w:hAnsiTheme="minorHAnsi"/>
                <w:lang w:val="en-GB" w:eastAsia="en-US"/>
              </w:rPr>
            </w:pPr>
          </w:p>
          <w:p w14:paraId="3F93D1EC" w14:textId="77777777" w:rsidR="00921721" w:rsidRPr="00D4006A" w:rsidRDefault="00921721" w:rsidP="00880D09">
            <w:pPr>
              <w:pStyle w:val="anxnormal"/>
              <w:ind w:left="0"/>
              <w:rPr>
                <w:rFonts w:asciiTheme="minorHAnsi" w:hAnsiTheme="minorHAnsi"/>
                <w:lang w:val="en-GB" w:eastAsia="en-US"/>
              </w:rPr>
            </w:pPr>
            <w:r w:rsidRPr="00D4006A">
              <w:rPr>
                <w:rFonts w:asciiTheme="minorHAnsi" w:hAnsiTheme="minorHAnsi"/>
                <w:lang w:val="en-GB" w:eastAsia="en-US"/>
              </w:rPr>
              <w:t>ProETSeq scenario</w:t>
            </w:r>
          </w:p>
          <w:tbl>
            <w:tblPr>
              <w:tblW w:w="3395" w:type="dxa"/>
              <w:tblLayout w:type="fixed"/>
              <w:tblLook w:val="04A0" w:firstRow="1" w:lastRow="0" w:firstColumn="1" w:lastColumn="0" w:noHBand="0" w:noVBand="1"/>
            </w:tblPr>
            <w:tblGrid>
              <w:gridCol w:w="1694"/>
              <w:gridCol w:w="850"/>
              <w:gridCol w:w="851"/>
            </w:tblGrid>
            <w:tr w:rsidR="00921721" w:rsidRPr="007463B9" w14:paraId="2F4589A9"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24E92447" w14:textId="77777777" w:rsidR="00921721" w:rsidRPr="00DA1EFE" w:rsidRDefault="00921721" w:rsidP="00880D09">
                  <w:pPr>
                    <w:snapToGrid w:val="0"/>
                    <w:spacing w:before="20" w:after="20"/>
                    <w:jc w:val="center"/>
                    <w:rPr>
                      <w:rFonts w:asciiTheme="minorHAnsi" w:hAnsiTheme="minorHAnsi" w:cs="Arial"/>
                      <w:b/>
                      <w:bCs/>
                      <w:color w:val="FFFFFF"/>
                      <w:sz w:val="18"/>
                      <w:szCs w:val="18"/>
                      <w:lang w:val="en-GB"/>
                    </w:rPr>
                  </w:pP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1F216D98" w14:textId="77777777" w:rsidR="00921721" w:rsidRPr="0011069B" w:rsidRDefault="00921721" w:rsidP="00880D09">
                  <w:pPr>
                    <w:snapToGrid w:val="0"/>
                    <w:spacing w:before="20" w:after="20"/>
                    <w:jc w:val="center"/>
                    <w:rPr>
                      <w:rFonts w:asciiTheme="minorHAnsi" w:hAnsiTheme="minorHAnsi" w:cs="Arial"/>
                      <w:b/>
                      <w:bCs/>
                      <w:color w:val="FFFFFF"/>
                      <w:sz w:val="18"/>
                      <w:szCs w:val="18"/>
                      <w:lang w:val="en-GB"/>
                    </w:rPr>
                  </w:pPr>
                  <w:r w:rsidRPr="0011069B">
                    <w:rPr>
                      <w:rFonts w:asciiTheme="minorHAnsi" w:hAnsiTheme="minorHAnsi" w:cs="Arial"/>
                      <w:b/>
                      <w:bCs/>
                      <w:color w:val="FFFFFF"/>
                      <w:sz w:val="18"/>
                      <w:szCs w:val="18"/>
                      <w:lang w:val="en-GB"/>
                    </w:rPr>
                    <w:t>in 2030</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607623BA" w14:textId="77777777" w:rsidR="00921721" w:rsidRPr="0011069B" w:rsidRDefault="00921721" w:rsidP="00880D09">
                  <w:pPr>
                    <w:snapToGrid w:val="0"/>
                    <w:spacing w:before="20" w:after="20"/>
                    <w:jc w:val="center"/>
                    <w:rPr>
                      <w:rFonts w:asciiTheme="minorHAnsi" w:hAnsiTheme="minorHAnsi" w:cs="Arial"/>
                      <w:b/>
                      <w:bCs/>
                      <w:color w:val="FFFFFF"/>
                      <w:sz w:val="18"/>
                      <w:szCs w:val="18"/>
                      <w:lang w:val="en-GB"/>
                    </w:rPr>
                  </w:pPr>
                  <w:r w:rsidRPr="0011069B">
                    <w:rPr>
                      <w:rFonts w:asciiTheme="minorHAnsi" w:hAnsiTheme="minorHAnsi" w:cs="Arial"/>
                      <w:b/>
                      <w:bCs/>
                      <w:color w:val="FFFFFF"/>
                      <w:sz w:val="18"/>
                      <w:szCs w:val="18"/>
                      <w:lang w:val="en-GB"/>
                    </w:rPr>
                    <w:t>in 2050</w:t>
                  </w:r>
                </w:p>
              </w:tc>
            </w:tr>
            <w:tr w:rsidR="00921721" w:rsidRPr="007463B9" w14:paraId="7B9AD6C5"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9BEF23C"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Diesel</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D5FB978"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26.1%</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C5B09FB"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9.4%</w:t>
                  </w:r>
                </w:p>
              </w:tc>
            </w:tr>
            <w:tr w:rsidR="00921721" w:rsidRPr="007463B9" w14:paraId="0BA3DA18"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E2E35AE"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CNG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DCE46A0"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0.2%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D78500C"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0.6%</w:t>
                  </w:r>
                </w:p>
              </w:tc>
            </w:tr>
            <w:tr w:rsidR="00921721" w:rsidRPr="007463B9" w14:paraId="14B62D7E"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7F27667"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LPG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BB5234A"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11.6%</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F178782"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5.2%</w:t>
                  </w:r>
                </w:p>
              </w:tc>
            </w:tr>
            <w:tr w:rsidR="00921721" w:rsidRPr="007463B9" w14:paraId="1267B595"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BFBF525"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Petrol</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BF85305"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50.3%</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095EB12"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20.5%</w:t>
                  </w:r>
                </w:p>
              </w:tc>
            </w:tr>
            <w:tr w:rsidR="00921721" w:rsidRPr="007463B9" w14:paraId="339BF321"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FADD6C5"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 xml:space="preserve">Hybrid </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B15070A"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5.2%</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0BBE70F"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10.0%</w:t>
                  </w:r>
                </w:p>
              </w:tc>
            </w:tr>
            <w:tr w:rsidR="00921721" w:rsidRPr="007463B9" w14:paraId="38CCF91D"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0CB1A2D" w14:textId="77777777" w:rsidR="00921721" w:rsidRPr="00DA1EFE" w:rsidRDefault="00921721" w:rsidP="00880D09">
                  <w:pPr>
                    <w:jc w:val="center"/>
                    <w:rPr>
                      <w:rFonts w:asciiTheme="minorHAnsi" w:hAnsiTheme="minorHAnsi" w:cs="Arial"/>
                      <w:color w:val="4F81BD" w:themeColor="accent1"/>
                      <w:sz w:val="18"/>
                      <w:szCs w:val="18"/>
                      <w:lang w:val="en-GB"/>
                    </w:rPr>
                  </w:pPr>
                  <w:r w:rsidRPr="00DA1EFE">
                    <w:rPr>
                      <w:rFonts w:asciiTheme="minorHAnsi" w:hAnsiTheme="minorHAnsi" w:cs="Arial"/>
                      <w:color w:val="4F81BD" w:themeColor="accent1"/>
                      <w:sz w:val="18"/>
                      <w:szCs w:val="18"/>
                      <w:lang w:val="en-GB"/>
                    </w:rPr>
                    <w:t>Electric</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AB7D404"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6.6%</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94D629D" w14:textId="77777777" w:rsidR="00921721" w:rsidRPr="0011069B" w:rsidRDefault="00921721" w:rsidP="00880D09">
                  <w:pPr>
                    <w:jc w:val="center"/>
                    <w:rPr>
                      <w:rFonts w:asciiTheme="minorHAnsi" w:hAnsiTheme="minorHAnsi" w:cs="Arial"/>
                      <w:color w:val="4F81BD" w:themeColor="accent1"/>
                      <w:sz w:val="18"/>
                      <w:szCs w:val="18"/>
                      <w:lang w:val="en-GB"/>
                    </w:rPr>
                  </w:pPr>
                  <w:r w:rsidRPr="0011069B">
                    <w:rPr>
                      <w:rFonts w:asciiTheme="minorHAnsi" w:hAnsiTheme="minorHAnsi" w:cs="Arial"/>
                      <w:color w:val="4F81BD" w:themeColor="accent1"/>
                      <w:sz w:val="18"/>
                      <w:szCs w:val="18"/>
                      <w:lang w:val="en-GB"/>
                    </w:rPr>
                    <w:t>54.3%</w:t>
                  </w:r>
                </w:p>
              </w:tc>
            </w:tr>
          </w:tbl>
          <w:p w14:paraId="2A7DA80D" w14:textId="77777777" w:rsidR="00921721" w:rsidRDefault="00921721" w:rsidP="00880D09">
            <w:pPr>
              <w:pStyle w:val="anxnormal"/>
              <w:ind w:left="0"/>
              <w:rPr>
                <w:rFonts w:asciiTheme="minorHAnsi" w:hAnsiTheme="minorHAnsi"/>
                <w:lang w:val="en-US" w:eastAsia="en-US"/>
              </w:rPr>
            </w:pPr>
            <w:r>
              <w:rPr>
                <w:rFonts w:asciiTheme="minorHAnsi" w:hAnsiTheme="minorHAnsi"/>
                <w:lang w:val="en-US" w:eastAsia="en-US"/>
              </w:rPr>
              <w:t xml:space="preserve">For the purposes of simplifying transport projects’ CBA calculations, it is proposed to consider the simplified fleet composition evolution over time presented below. It is based on the Base Scenario and consistently applies the following assumptions previously referred for current fleet composition: CNG/LPG vehicles perform similarly as petrol engines and therefore are considered in their overall share; hybrid vehicles are considered as part of electric share. It is certainly possible (and might be recommended) to consider the full detailed fleet composition when there is a particular aim to analyse impacts of fleet changes. </w:t>
            </w:r>
          </w:p>
          <w:p w14:paraId="31A4BE62" w14:textId="77777777" w:rsidR="00921721" w:rsidRDefault="00921721" w:rsidP="00880D09">
            <w:pPr>
              <w:pStyle w:val="anxnormal"/>
              <w:ind w:left="0"/>
              <w:rPr>
                <w:rFonts w:ascii="Calibri" w:hAnsi="Calibri" w:cs="Calibri"/>
                <w:bCs/>
                <w:color w:val="000000"/>
                <w:szCs w:val="22"/>
                <w:lang w:val="en-US"/>
              </w:rPr>
            </w:pPr>
          </w:p>
          <w:p w14:paraId="18289044" w14:textId="77777777" w:rsidR="00921721" w:rsidRPr="002C6855" w:rsidRDefault="00921721" w:rsidP="00880D09">
            <w:pPr>
              <w:pStyle w:val="anxnormal"/>
              <w:ind w:left="0"/>
              <w:rPr>
                <w:rFonts w:asciiTheme="minorHAnsi" w:hAnsiTheme="minorHAnsi"/>
                <w:sz w:val="18"/>
                <w:lang w:val="en-US" w:eastAsia="en-US"/>
              </w:rPr>
            </w:pPr>
            <w:r w:rsidRPr="002C6855">
              <w:rPr>
                <w:rFonts w:ascii="Calibri" w:hAnsi="Calibri" w:cs="Calibri"/>
                <w:bCs/>
                <w:color w:val="000000"/>
                <w:szCs w:val="22"/>
                <w:lang w:val="en-US"/>
              </w:rPr>
              <w:t>General LV fleet stru</w:t>
            </w:r>
            <w:r>
              <w:rPr>
                <w:rFonts w:ascii="Calibri" w:hAnsi="Calibri" w:cs="Calibri"/>
                <w:bCs/>
                <w:color w:val="000000"/>
                <w:szCs w:val="22"/>
                <w:lang w:val="en-US"/>
              </w:rPr>
              <w:t>c</w:t>
            </w:r>
            <w:r w:rsidRPr="002C6855">
              <w:rPr>
                <w:rFonts w:ascii="Calibri" w:hAnsi="Calibri" w:cs="Calibri"/>
                <w:bCs/>
                <w:color w:val="000000"/>
                <w:szCs w:val="22"/>
                <w:lang w:val="en-US"/>
              </w:rPr>
              <w:t xml:space="preserve">ture </w:t>
            </w:r>
            <w:r>
              <w:rPr>
                <w:rFonts w:ascii="Calibri" w:hAnsi="Calibri" w:cs="Calibri"/>
                <w:bCs/>
                <w:color w:val="000000"/>
                <w:szCs w:val="22"/>
                <w:lang w:val="en-US"/>
              </w:rPr>
              <w:t>forecast</w:t>
            </w:r>
            <w:r w:rsidRPr="002C6855">
              <w:rPr>
                <w:rFonts w:ascii="Calibri" w:hAnsi="Calibri" w:cs="Calibri"/>
                <w:bCs/>
                <w:color w:val="000000"/>
                <w:szCs w:val="22"/>
                <w:lang w:val="en-US"/>
              </w:rPr>
              <w:t xml:space="preserve"> </w:t>
            </w:r>
            <w:r>
              <w:rPr>
                <w:rFonts w:ascii="Calibri" w:hAnsi="Calibri" w:cs="Calibri"/>
                <w:bCs/>
                <w:color w:val="000000"/>
                <w:szCs w:val="22"/>
                <w:lang w:val="en-US"/>
              </w:rPr>
              <w:t>for CBA purposes</w:t>
            </w:r>
          </w:p>
          <w:tbl>
            <w:tblPr>
              <w:tblW w:w="6070" w:type="dxa"/>
              <w:tblLayout w:type="fixed"/>
              <w:tblLook w:val="04A0" w:firstRow="1" w:lastRow="0" w:firstColumn="1" w:lastColumn="0" w:noHBand="0" w:noVBand="1"/>
            </w:tblPr>
            <w:tblGrid>
              <w:gridCol w:w="2423"/>
              <w:gridCol w:w="1215"/>
              <w:gridCol w:w="1216"/>
              <w:gridCol w:w="1216"/>
            </w:tblGrid>
            <w:tr w:rsidR="00921721" w:rsidRPr="007463B9" w14:paraId="50729C97" w14:textId="77777777" w:rsidTr="00880D09">
              <w:trPr>
                <w:trHeight w:hRule="exact" w:val="434"/>
              </w:trPr>
              <w:tc>
                <w:tcPr>
                  <w:tcW w:w="2423"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6733524C"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p>
              </w:tc>
              <w:tc>
                <w:tcPr>
                  <w:tcW w:w="1215"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36E92665"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End 2019</w:t>
                  </w:r>
                </w:p>
              </w:tc>
              <w:tc>
                <w:tcPr>
                  <w:tcW w:w="1216" w:type="dxa"/>
                  <w:tcBorders>
                    <w:top w:val="single" w:sz="4" w:space="0" w:color="FFFFFF"/>
                    <w:left w:val="single" w:sz="4" w:space="0" w:color="FFFFFF"/>
                    <w:bottom w:val="single" w:sz="4" w:space="0" w:color="FFFFFF"/>
                    <w:right w:val="nil"/>
                  </w:tcBorders>
                  <w:shd w:val="clear" w:color="auto" w:fill="A6A6A6" w:themeFill="background1" w:themeFillShade="A6"/>
                  <w:vAlign w:val="bottom"/>
                  <w:hideMark/>
                </w:tcPr>
                <w:p w14:paraId="2972C30A"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202E2F">
                    <w:rPr>
                      <w:rFonts w:asciiTheme="minorHAnsi" w:hAnsiTheme="minorHAnsi" w:cs="Arial"/>
                      <w:b/>
                      <w:bCs/>
                      <w:color w:val="FFFFFF"/>
                      <w:sz w:val="18"/>
                      <w:szCs w:val="18"/>
                      <w:lang w:val="en-GB"/>
                    </w:rPr>
                    <w:t>20</w:t>
                  </w:r>
                  <w:r>
                    <w:rPr>
                      <w:rFonts w:asciiTheme="minorHAnsi" w:hAnsiTheme="minorHAnsi" w:cs="Arial"/>
                      <w:b/>
                      <w:bCs/>
                      <w:color w:val="FFFFFF"/>
                      <w:sz w:val="18"/>
                      <w:szCs w:val="18"/>
                      <w:lang w:val="en-GB"/>
                    </w:rPr>
                    <w:t>3</w:t>
                  </w:r>
                  <w:r w:rsidRPr="00202E2F">
                    <w:rPr>
                      <w:rFonts w:asciiTheme="minorHAnsi" w:hAnsiTheme="minorHAnsi" w:cs="Arial"/>
                      <w:b/>
                      <w:bCs/>
                      <w:color w:val="FFFFFF"/>
                      <w:sz w:val="18"/>
                      <w:szCs w:val="18"/>
                      <w:lang w:val="en-GB"/>
                    </w:rPr>
                    <w:t>0</w:t>
                  </w:r>
                </w:p>
              </w:tc>
              <w:tc>
                <w:tcPr>
                  <w:tcW w:w="1216" w:type="dxa"/>
                  <w:tcBorders>
                    <w:top w:val="single" w:sz="4" w:space="0" w:color="FFFFFF"/>
                    <w:left w:val="single" w:sz="4" w:space="0" w:color="FFFFFF"/>
                    <w:bottom w:val="single" w:sz="4" w:space="0" w:color="FFFFFF"/>
                    <w:right w:val="nil"/>
                  </w:tcBorders>
                  <w:shd w:val="clear" w:color="auto" w:fill="A6A6A6" w:themeFill="background1" w:themeFillShade="A6"/>
                </w:tcPr>
                <w:p w14:paraId="32B12203" w14:textId="77777777" w:rsidR="00921721" w:rsidRPr="00202E2F"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2050</w:t>
                  </w:r>
                </w:p>
              </w:tc>
            </w:tr>
            <w:tr w:rsidR="00921721" w:rsidRPr="007463B9" w14:paraId="66BB3653" w14:textId="77777777" w:rsidTr="00880D09">
              <w:trPr>
                <w:trHeight w:val="361"/>
              </w:trPr>
              <w:tc>
                <w:tcPr>
                  <w:tcW w:w="2423"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7EE1BFB" w14:textId="77777777" w:rsidR="00921721" w:rsidRPr="000105CD" w:rsidRDefault="00921721" w:rsidP="00880D09">
                  <w:pPr>
                    <w:jc w:val="center"/>
                    <w:rPr>
                      <w:rFonts w:asciiTheme="minorHAnsi" w:hAnsiTheme="minorHAnsi" w:cs="Arial"/>
                      <w:color w:val="4F81BD" w:themeColor="accent1"/>
                      <w:sz w:val="18"/>
                      <w:szCs w:val="18"/>
                      <w:lang w:val="en-GB"/>
                    </w:rPr>
                  </w:pPr>
                  <w:r w:rsidRPr="00202E2F">
                    <w:rPr>
                      <w:rFonts w:asciiTheme="minorHAnsi" w:hAnsiTheme="minorHAnsi" w:cs="Arial"/>
                      <w:color w:val="4F81BD" w:themeColor="accent1"/>
                      <w:sz w:val="18"/>
                      <w:szCs w:val="18"/>
                      <w:lang w:val="en-GB"/>
                    </w:rPr>
                    <w:t>Diesel</w:t>
                  </w:r>
                  <w:r>
                    <w:rPr>
                      <w:rFonts w:asciiTheme="minorHAnsi" w:hAnsiTheme="minorHAnsi" w:cs="Arial"/>
                      <w:color w:val="4F81BD" w:themeColor="accent1"/>
                      <w:sz w:val="18"/>
                      <w:szCs w:val="18"/>
                      <w:lang w:val="en-GB"/>
                    </w:rPr>
                    <w:t>/petrol</w:t>
                  </w:r>
                </w:p>
              </w:tc>
              <w:tc>
                <w:tcPr>
                  <w:tcW w:w="12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4B43ED4" w14:textId="77777777" w:rsidR="00921721" w:rsidRPr="00D22938" w:rsidRDefault="00921721" w:rsidP="00880D09">
                  <w:pPr>
                    <w:jc w:val="center"/>
                    <w:rPr>
                      <w:rFonts w:asciiTheme="minorHAnsi" w:hAnsiTheme="minorHAnsi" w:cs="Arial"/>
                      <w:color w:val="4F81BD" w:themeColor="accent1"/>
                      <w:sz w:val="18"/>
                      <w:szCs w:val="18"/>
                      <w:lang w:val="en-GB"/>
                    </w:rPr>
                  </w:pPr>
                  <w:r w:rsidRPr="002A0DB9">
                    <w:rPr>
                      <w:rFonts w:asciiTheme="minorHAnsi" w:hAnsiTheme="minorHAnsi" w:cs="Arial"/>
                      <w:color w:val="4F81BD" w:themeColor="accent1"/>
                      <w:sz w:val="18"/>
                      <w:szCs w:val="18"/>
                      <w:lang w:val="en-GB"/>
                    </w:rPr>
                    <w:t>100.00%</w:t>
                  </w:r>
                </w:p>
              </w:tc>
              <w:tc>
                <w:tcPr>
                  <w:tcW w:w="121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1DB3244" w14:textId="77777777" w:rsidR="00921721" w:rsidRPr="00D22938" w:rsidRDefault="00921721" w:rsidP="00880D09">
                  <w:pPr>
                    <w:jc w:val="center"/>
                    <w:rPr>
                      <w:rFonts w:asciiTheme="minorHAnsi" w:hAnsiTheme="minorHAnsi" w:cs="Arial"/>
                      <w:color w:val="4F81BD" w:themeColor="accent1"/>
                      <w:sz w:val="18"/>
                      <w:szCs w:val="18"/>
                      <w:lang w:val="en-GB"/>
                    </w:rPr>
                  </w:pPr>
                  <w:r w:rsidRPr="002A0DB9">
                    <w:rPr>
                      <w:rFonts w:asciiTheme="minorHAnsi" w:hAnsiTheme="minorHAnsi" w:cs="Arial"/>
                      <w:color w:val="4F81BD" w:themeColor="accent1"/>
                      <w:sz w:val="18"/>
                      <w:szCs w:val="18"/>
                      <w:lang w:val="en-GB"/>
                    </w:rPr>
                    <w:t>92.20%</w:t>
                  </w:r>
                </w:p>
              </w:tc>
              <w:tc>
                <w:tcPr>
                  <w:tcW w:w="121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1244016" w14:textId="77777777" w:rsidR="00921721" w:rsidRPr="00202E2F" w:rsidRDefault="00921721" w:rsidP="00880D09">
                  <w:pPr>
                    <w:jc w:val="center"/>
                    <w:rPr>
                      <w:rFonts w:asciiTheme="minorHAnsi" w:hAnsiTheme="minorHAnsi" w:cs="Arial"/>
                      <w:color w:val="4F81BD" w:themeColor="accent1"/>
                      <w:sz w:val="18"/>
                      <w:szCs w:val="18"/>
                      <w:lang w:val="en-GB"/>
                    </w:rPr>
                  </w:pPr>
                  <w:r w:rsidRPr="002A0DB9">
                    <w:rPr>
                      <w:rFonts w:asciiTheme="minorHAnsi" w:hAnsiTheme="minorHAnsi" w:cs="Arial"/>
                      <w:color w:val="4F81BD" w:themeColor="accent1"/>
                      <w:sz w:val="18"/>
                      <w:szCs w:val="18"/>
                      <w:lang w:val="en-GB"/>
                    </w:rPr>
                    <w:t>66.90%</w:t>
                  </w:r>
                </w:p>
              </w:tc>
            </w:tr>
            <w:tr w:rsidR="00921721" w:rsidRPr="007463B9" w14:paraId="0EC1E38A" w14:textId="77777777" w:rsidTr="00880D09">
              <w:trPr>
                <w:trHeight w:val="361"/>
              </w:trPr>
              <w:tc>
                <w:tcPr>
                  <w:tcW w:w="2423"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720000C" w14:textId="77777777" w:rsidR="00921721" w:rsidRPr="00CA444D"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Electric</w:t>
                  </w:r>
                </w:p>
              </w:tc>
              <w:tc>
                <w:tcPr>
                  <w:tcW w:w="1215"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1AE8EE5" w14:textId="77777777" w:rsidR="00921721" w:rsidRPr="00D22938" w:rsidRDefault="00921721" w:rsidP="00880D09">
                  <w:pPr>
                    <w:jc w:val="center"/>
                    <w:rPr>
                      <w:rFonts w:asciiTheme="minorHAnsi" w:hAnsiTheme="minorHAnsi" w:cs="Arial"/>
                      <w:color w:val="4F81BD" w:themeColor="accent1"/>
                      <w:sz w:val="18"/>
                      <w:szCs w:val="18"/>
                      <w:lang w:val="en-GB"/>
                    </w:rPr>
                  </w:pPr>
                  <w:r w:rsidRPr="002A0DB9">
                    <w:rPr>
                      <w:rFonts w:asciiTheme="minorHAnsi" w:hAnsiTheme="minorHAnsi" w:cs="Arial"/>
                      <w:color w:val="4F81BD" w:themeColor="accent1"/>
                      <w:sz w:val="18"/>
                      <w:szCs w:val="18"/>
                      <w:lang w:val="en-GB"/>
                    </w:rPr>
                    <w:t>0.00%</w:t>
                  </w:r>
                </w:p>
              </w:tc>
              <w:tc>
                <w:tcPr>
                  <w:tcW w:w="121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0ACCC6C" w14:textId="77777777" w:rsidR="00921721" w:rsidRPr="00D22938" w:rsidRDefault="00921721" w:rsidP="00880D09">
                  <w:pPr>
                    <w:jc w:val="center"/>
                    <w:rPr>
                      <w:rFonts w:asciiTheme="minorHAnsi" w:hAnsiTheme="minorHAnsi" w:cs="Arial"/>
                      <w:color w:val="4F81BD" w:themeColor="accent1"/>
                      <w:sz w:val="18"/>
                      <w:szCs w:val="18"/>
                      <w:lang w:val="en-GB"/>
                    </w:rPr>
                  </w:pPr>
                  <w:r w:rsidRPr="002A0DB9">
                    <w:rPr>
                      <w:rFonts w:asciiTheme="minorHAnsi" w:hAnsiTheme="minorHAnsi" w:cs="Arial"/>
                      <w:color w:val="4F81BD" w:themeColor="accent1"/>
                      <w:sz w:val="18"/>
                      <w:szCs w:val="18"/>
                      <w:lang w:val="en-GB"/>
                    </w:rPr>
                    <w:t>7.80%</w:t>
                  </w:r>
                </w:p>
              </w:tc>
              <w:tc>
                <w:tcPr>
                  <w:tcW w:w="121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02B0DED" w14:textId="77777777" w:rsidR="00921721" w:rsidRPr="00202E2F" w:rsidRDefault="00921721" w:rsidP="00880D09">
                  <w:pPr>
                    <w:jc w:val="center"/>
                    <w:rPr>
                      <w:rFonts w:asciiTheme="minorHAnsi" w:hAnsiTheme="minorHAnsi" w:cs="Arial"/>
                      <w:color w:val="4F81BD" w:themeColor="accent1"/>
                      <w:sz w:val="18"/>
                      <w:szCs w:val="18"/>
                      <w:lang w:val="en-GB"/>
                    </w:rPr>
                  </w:pPr>
                  <w:r w:rsidRPr="002A0DB9">
                    <w:rPr>
                      <w:rFonts w:asciiTheme="minorHAnsi" w:hAnsiTheme="minorHAnsi" w:cs="Arial"/>
                      <w:color w:val="4F81BD" w:themeColor="accent1"/>
                      <w:sz w:val="18"/>
                      <w:szCs w:val="18"/>
                      <w:lang w:val="en-GB"/>
                    </w:rPr>
                    <w:t>33.10%</w:t>
                  </w:r>
                </w:p>
              </w:tc>
            </w:tr>
          </w:tbl>
          <w:p w14:paraId="3F42EB14" w14:textId="77777777" w:rsidR="00921721" w:rsidRPr="003A69BF" w:rsidRDefault="00921721" w:rsidP="00880D09">
            <w:pPr>
              <w:pStyle w:val="anxnormal"/>
              <w:ind w:left="0"/>
              <w:rPr>
                <w:rFonts w:asciiTheme="minorHAnsi" w:hAnsiTheme="minorHAnsi"/>
                <w:b/>
                <w:i/>
                <w:lang w:val="en-GB" w:eastAsia="en-US"/>
              </w:rPr>
            </w:pPr>
            <w:r w:rsidRPr="00F354E0">
              <w:rPr>
                <w:rFonts w:asciiTheme="minorHAnsi" w:hAnsiTheme="minorHAnsi"/>
                <w:b/>
                <w:i/>
                <w:lang w:val="en-GB" w:eastAsia="en-US"/>
              </w:rPr>
              <w:t>The above forecasts regarding electric vehicles</w:t>
            </w:r>
            <w:r>
              <w:rPr>
                <w:rFonts w:asciiTheme="minorHAnsi" w:hAnsiTheme="minorHAnsi"/>
                <w:b/>
                <w:i/>
                <w:lang w:val="en-GB" w:eastAsia="en-US"/>
              </w:rPr>
              <w:t>’</w:t>
            </w:r>
            <w:r w:rsidRPr="00F354E0">
              <w:rPr>
                <w:rFonts w:asciiTheme="minorHAnsi" w:hAnsiTheme="minorHAnsi"/>
                <w:b/>
                <w:i/>
                <w:lang w:val="en-GB" w:eastAsia="en-US"/>
              </w:rPr>
              <w:t xml:space="preserve"> shares should be reviewed along the 2021-2027 financial programming period as soon as updated and reliable forecasts for Poland are available.</w:t>
            </w:r>
          </w:p>
          <w:p w14:paraId="0541265A" w14:textId="77777777" w:rsidR="00921721" w:rsidRDefault="00921721" w:rsidP="00880D09">
            <w:pPr>
              <w:pStyle w:val="anxnormal"/>
              <w:ind w:left="0"/>
              <w:rPr>
                <w:rFonts w:asciiTheme="minorHAnsi" w:hAnsiTheme="minorHAnsi"/>
                <w:u w:val="single"/>
                <w:lang w:val="en-GB" w:eastAsia="en-US"/>
              </w:rPr>
            </w:pPr>
          </w:p>
          <w:p w14:paraId="2F68F422" w14:textId="77777777" w:rsidR="00921721" w:rsidRDefault="00921721" w:rsidP="00880D09">
            <w:pPr>
              <w:pStyle w:val="anxnormal"/>
              <w:ind w:left="0"/>
              <w:rPr>
                <w:rFonts w:asciiTheme="minorHAnsi" w:hAnsiTheme="minorHAnsi"/>
                <w:u w:val="single"/>
                <w:lang w:val="en-GB" w:eastAsia="en-US"/>
              </w:rPr>
            </w:pPr>
            <w:r>
              <w:rPr>
                <w:rFonts w:asciiTheme="minorHAnsi" w:hAnsiTheme="minorHAnsi"/>
                <w:u w:val="single"/>
                <w:lang w:val="en-GB" w:eastAsia="en-US"/>
              </w:rPr>
              <w:t>HGV – Fleet composition</w:t>
            </w:r>
          </w:p>
          <w:p w14:paraId="686A80FC" w14:textId="77777777" w:rsidR="00921721" w:rsidRPr="00983DF9" w:rsidRDefault="00921721" w:rsidP="00880D09">
            <w:pPr>
              <w:pStyle w:val="anxnormal"/>
              <w:ind w:left="0"/>
              <w:rPr>
                <w:rFonts w:asciiTheme="minorHAnsi" w:hAnsiTheme="minorHAnsi"/>
                <w:lang w:val="en-US" w:eastAsia="en-US"/>
              </w:rPr>
            </w:pPr>
            <w:r w:rsidRPr="00795D19">
              <w:rPr>
                <w:rFonts w:asciiTheme="minorHAnsi" w:hAnsiTheme="minorHAnsi"/>
                <w:lang w:val="en-US" w:eastAsia="en-US"/>
              </w:rPr>
              <w:t>HG</w:t>
            </w:r>
            <w:r w:rsidRPr="00983DF9">
              <w:rPr>
                <w:rFonts w:asciiTheme="minorHAnsi" w:hAnsiTheme="minorHAnsi"/>
                <w:lang w:val="en-US" w:eastAsia="en-US"/>
              </w:rPr>
              <w:t xml:space="preserve">V fleet structure is assumed to be maintained </w:t>
            </w:r>
            <w:r>
              <w:rPr>
                <w:rFonts w:asciiTheme="minorHAnsi" w:hAnsiTheme="minorHAnsi"/>
                <w:lang w:val="en-US" w:eastAsia="en-US"/>
              </w:rPr>
              <w:t>as 100% Diesel over analysis period.</w:t>
            </w:r>
          </w:p>
          <w:p w14:paraId="58E32C12" w14:textId="77777777" w:rsidR="00921721" w:rsidRDefault="00921721" w:rsidP="00880D09">
            <w:pPr>
              <w:pStyle w:val="anxnormal"/>
              <w:ind w:left="0"/>
              <w:rPr>
                <w:rFonts w:asciiTheme="minorHAnsi" w:hAnsiTheme="minorHAnsi"/>
                <w:u w:val="single"/>
                <w:lang w:val="en-GB" w:eastAsia="en-US"/>
              </w:rPr>
            </w:pPr>
          </w:p>
          <w:p w14:paraId="1E1E974B" w14:textId="77777777" w:rsidR="00921721" w:rsidRDefault="00921721" w:rsidP="00880D09">
            <w:pPr>
              <w:pStyle w:val="anxnormal"/>
              <w:ind w:left="0"/>
              <w:rPr>
                <w:rFonts w:asciiTheme="minorHAnsi" w:hAnsiTheme="minorHAnsi"/>
                <w:u w:val="single"/>
                <w:lang w:val="en-GB" w:eastAsia="en-US"/>
              </w:rPr>
            </w:pPr>
          </w:p>
          <w:p w14:paraId="169EC92D" w14:textId="77777777" w:rsidR="00921721" w:rsidRDefault="00921721" w:rsidP="00880D09">
            <w:pPr>
              <w:pStyle w:val="anxnormal"/>
              <w:ind w:left="0"/>
              <w:rPr>
                <w:rFonts w:asciiTheme="minorHAnsi" w:hAnsiTheme="minorHAnsi"/>
                <w:u w:val="single"/>
                <w:lang w:val="en-GB" w:eastAsia="en-US"/>
              </w:rPr>
            </w:pPr>
          </w:p>
          <w:p w14:paraId="64988E46" w14:textId="77777777" w:rsidR="00921721" w:rsidRPr="00731E4E" w:rsidRDefault="00921721" w:rsidP="00880D09">
            <w:pPr>
              <w:pStyle w:val="anxnormal"/>
              <w:ind w:left="0"/>
              <w:rPr>
                <w:rFonts w:asciiTheme="minorHAnsi" w:hAnsiTheme="minorHAnsi"/>
                <w:u w:val="single"/>
                <w:lang w:val="en-GB" w:eastAsia="en-US"/>
              </w:rPr>
            </w:pPr>
            <w:r w:rsidRPr="00731E4E">
              <w:rPr>
                <w:rFonts w:asciiTheme="minorHAnsi" w:hAnsiTheme="minorHAnsi"/>
                <w:u w:val="single"/>
                <w:lang w:val="en-GB" w:eastAsia="en-US"/>
              </w:rPr>
              <w:t>Unit cost evolution over time</w:t>
            </w:r>
          </w:p>
          <w:p w14:paraId="4B9705D8" w14:textId="77777777" w:rsidR="00921721"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 xml:space="preserve">It is assumed that there will be </w:t>
            </w:r>
            <w:r>
              <w:rPr>
                <w:rFonts w:asciiTheme="minorHAnsi" w:hAnsiTheme="minorHAnsi"/>
                <w:lang w:val="en-GB" w:eastAsia="en-US"/>
              </w:rPr>
              <w:t>no</w:t>
            </w:r>
            <w:r w:rsidRPr="00731E4E">
              <w:rPr>
                <w:rFonts w:asciiTheme="minorHAnsi" w:hAnsiTheme="minorHAnsi"/>
                <w:lang w:val="en-GB" w:eastAsia="en-US"/>
              </w:rPr>
              <w:t xml:space="preserve"> real increase in unit VOC over time</w:t>
            </w:r>
            <w:r w:rsidRPr="005057A8">
              <w:rPr>
                <w:rFonts w:asciiTheme="minorHAnsi" w:hAnsiTheme="minorHAnsi"/>
                <w:lang w:val="en-GB" w:eastAsia="en-US"/>
              </w:rPr>
              <w:t>.</w:t>
            </w:r>
            <w:r w:rsidRPr="002C6855">
              <w:rPr>
                <w:rFonts w:asciiTheme="minorHAnsi" w:hAnsiTheme="minorHAnsi"/>
                <w:lang w:val="en-GB" w:eastAsia="en-US"/>
              </w:rPr>
              <w:t xml:space="preserve"> Only nominal indexation to the price level appropriate for the base year, when it moves on from the </w:t>
            </w:r>
            <w:r w:rsidRPr="0097372E">
              <w:rPr>
                <w:rFonts w:asciiTheme="minorHAnsi" w:hAnsiTheme="minorHAnsi"/>
                <w:lang w:val="en-GB" w:eastAsia="en-US"/>
              </w:rPr>
              <w:t>currently adopted (202</w:t>
            </w:r>
            <w:r>
              <w:rPr>
                <w:rFonts w:asciiTheme="minorHAnsi" w:hAnsiTheme="minorHAnsi"/>
                <w:lang w:val="en-GB" w:eastAsia="en-US"/>
              </w:rPr>
              <w:t>1</w:t>
            </w:r>
            <w:r w:rsidRPr="0097372E">
              <w:rPr>
                <w:rFonts w:asciiTheme="minorHAnsi" w:hAnsiTheme="minorHAnsi"/>
                <w:lang w:val="en-GB" w:eastAsia="en-US"/>
              </w:rPr>
              <w:t>),</w:t>
            </w:r>
            <w:r w:rsidRPr="002C6855">
              <w:rPr>
                <w:rFonts w:asciiTheme="minorHAnsi" w:hAnsiTheme="minorHAnsi"/>
                <w:lang w:val="en-GB" w:eastAsia="en-US"/>
              </w:rPr>
              <w:t xml:space="preserve"> should be conducted with the use of Polish inflation (CPI).</w:t>
            </w:r>
          </w:p>
          <w:p w14:paraId="7BC81751" w14:textId="77777777" w:rsidR="00921721" w:rsidRDefault="00921721" w:rsidP="00880D09">
            <w:pPr>
              <w:pStyle w:val="anxnormal"/>
              <w:ind w:left="0"/>
              <w:rPr>
                <w:rFonts w:asciiTheme="minorHAnsi" w:hAnsiTheme="minorHAnsi"/>
                <w:lang w:val="en-GB" w:eastAsia="en-US"/>
              </w:rPr>
            </w:pPr>
          </w:p>
          <w:p w14:paraId="46337530" w14:textId="77777777" w:rsidR="00921721" w:rsidRPr="006854F1" w:rsidRDefault="00921721" w:rsidP="00880D09">
            <w:pPr>
              <w:pStyle w:val="anxnormal"/>
              <w:ind w:left="0"/>
              <w:rPr>
                <w:rFonts w:asciiTheme="minorHAnsi" w:hAnsiTheme="minorHAnsi" w:cs="Arial-Narrow,Bold"/>
                <w:b/>
                <w:bCs/>
                <w:color w:val="4F81BD" w:themeColor="accent1"/>
                <w:sz w:val="23"/>
                <w:szCs w:val="23"/>
                <w:lang w:val="en-GB" w:eastAsia="en-GB"/>
              </w:rPr>
            </w:pPr>
            <w:r w:rsidRPr="006854F1">
              <w:rPr>
                <w:rFonts w:asciiTheme="minorHAnsi" w:hAnsiTheme="minorHAnsi" w:cs="Arial-Narrow,Bold"/>
                <w:b/>
                <w:bCs/>
                <w:color w:val="4F81BD" w:themeColor="accent1"/>
                <w:sz w:val="23"/>
                <w:szCs w:val="23"/>
                <w:lang w:val="en-GB" w:eastAsia="en-GB"/>
              </w:rPr>
              <w:t xml:space="preserve">5. Costs of road accidents </w:t>
            </w:r>
          </w:p>
          <w:p w14:paraId="3F238888" w14:textId="77777777" w:rsidR="00921721" w:rsidRPr="00731E4E" w:rsidRDefault="00921721" w:rsidP="00880D09">
            <w:pPr>
              <w:pStyle w:val="anxnormal"/>
              <w:spacing w:before="0"/>
              <w:ind w:left="0"/>
              <w:rPr>
                <w:rFonts w:asciiTheme="minorHAnsi" w:hAnsiTheme="minorHAnsi"/>
                <w:lang w:val="en-GB" w:eastAsia="en-US"/>
              </w:rPr>
            </w:pPr>
            <w:r w:rsidRPr="00731E4E">
              <w:rPr>
                <w:rFonts w:asciiTheme="minorHAnsi" w:hAnsiTheme="minorHAnsi"/>
                <w:lang w:val="en-GB" w:eastAsia="en-US"/>
              </w:rPr>
              <w:t xml:space="preserve">Unit costs of road </w:t>
            </w:r>
            <w:r>
              <w:rPr>
                <w:rFonts w:asciiTheme="minorHAnsi" w:hAnsiTheme="minorHAnsi"/>
                <w:lang w:val="en-GB" w:eastAsia="en-US"/>
              </w:rPr>
              <w:t>accidents</w:t>
            </w:r>
            <w:r w:rsidRPr="00731E4E">
              <w:rPr>
                <w:rFonts w:asciiTheme="minorHAnsi" w:hAnsiTheme="minorHAnsi"/>
                <w:lang w:val="en-GB" w:eastAsia="en-US"/>
              </w:rPr>
              <w:t xml:space="preserve"> (PLN/</w:t>
            </w:r>
            <w:r>
              <w:rPr>
                <w:rFonts w:asciiTheme="minorHAnsi" w:hAnsiTheme="minorHAnsi"/>
                <w:lang w:val="en-GB" w:eastAsia="en-US"/>
              </w:rPr>
              <w:t>accident</w:t>
            </w:r>
            <w:r w:rsidRPr="00731E4E">
              <w:rPr>
                <w:rFonts w:asciiTheme="minorHAnsi" w:hAnsiTheme="minorHAnsi"/>
                <w:lang w:val="en-GB" w:eastAsia="en-US"/>
              </w:rPr>
              <w:t>), prices 20</w:t>
            </w:r>
            <w:r>
              <w:rPr>
                <w:rFonts w:asciiTheme="minorHAnsi" w:hAnsiTheme="minorHAnsi"/>
                <w:lang w:val="en-GB" w:eastAsia="en-US"/>
              </w:rPr>
              <w:t xml:space="preserve">21 </w:t>
            </w:r>
          </w:p>
          <w:tbl>
            <w:tblPr>
              <w:tblW w:w="7113" w:type="dxa"/>
              <w:tblLayout w:type="fixed"/>
              <w:tblLook w:val="04A0" w:firstRow="1" w:lastRow="0" w:firstColumn="1" w:lastColumn="0" w:noHBand="0" w:noVBand="1"/>
            </w:tblPr>
            <w:tblGrid>
              <w:gridCol w:w="929"/>
              <w:gridCol w:w="1623"/>
              <w:gridCol w:w="1624"/>
              <w:gridCol w:w="1623"/>
              <w:gridCol w:w="1314"/>
            </w:tblGrid>
            <w:tr w:rsidR="00921721" w:rsidRPr="00583B7F" w14:paraId="2513C6DA" w14:textId="77777777" w:rsidTr="00880D09">
              <w:trPr>
                <w:trHeight w:hRule="exact" w:val="270"/>
              </w:trPr>
              <w:tc>
                <w:tcPr>
                  <w:tcW w:w="929"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13997EE" w14:textId="77777777" w:rsidR="00921721" w:rsidRPr="00583B7F" w:rsidRDefault="00921721" w:rsidP="00880D09">
                  <w:pPr>
                    <w:snapToGrid w:val="0"/>
                    <w:spacing w:before="20" w:after="20"/>
                    <w:jc w:val="center"/>
                    <w:rPr>
                      <w:rFonts w:asciiTheme="minorHAnsi" w:hAnsiTheme="minorHAnsi" w:cs="Arial"/>
                      <w:b/>
                      <w:bCs/>
                      <w:color w:val="FFFFFF"/>
                      <w:sz w:val="15"/>
                      <w:szCs w:val="15"/>
                    </w:rPr>
                  </w:pPr>
                  <w:r w:rsidRPr="00583B7F">
                    <w:rPr>
                      <w:rFonts w:asciiTheme="minorHAnsi" w:hAnsiTheme="minorHAnsi" w:cs="Arial"/>
                      <w:b/>
                      <w:bCs/>
                      <w:color w:val="FFFFFF"/>
                      <w:sz w:val="15"/>
                      <w:szCs w:val="15"/>
                    </w:rPr>
                    <w:t>Year</w:t>
                  </w:r>
                </w:p>
              </w:tc>
              <w:tc>
                <w:tcPr>
                  <w:tcW w:w="6184" w:type="dxa"/>
                  <w:gridSpan w:val="4"/>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9866D17" w14:textId="77777777" w:rsidR="00921721" w:rsidRPr="00583B7F" w:rsidRDefault="00921721" w:rsidP="00880D09">
                  <w:pPr>
                    <w:snapToGrid w:val="0"/>
                    <w:spacing w:before="20" w:after="20"/>
                    <w:jc w:val="center"/>
                    <w:rPr>
                      <w:rFonts w:asciiTheme="minorHAnsi" w:hAnsiTheme="minorHAnsi" w:cs="Arial"/>
                      <w:b/>
                      <w:bCs/>
                      <w:color w:val="FFFFFF"/>
                      <w:sz w:val="15"/>
                      <w:szCs w:val="15"/>
                    </w:rPr>
                  </w:pPr>
                  <w:r w:rsidRPr="00583B7F">
                    <w:rPr>
                      <w:rFonts w:asciiTheme="minorHAnsi" w:hAnsiTheme="minorHAnsi" w:cs="Arial"/>
                      <w:b/>
                      <w:bCs/>
                      <w:color w:val="FFFFFF"/>
                      <w:sz w:val="15"/>
                      <w:szCs w:val="15"/>
                    </w:rPr>
                    <w:t>Costs (PLN)</w:t>
                  </w:r>
                </w:p>
              </w:tc>
            </w:tr>
            <w:tr w:rsidR="00921721" w:rsidRPr="00583B7F" w14:paraId="66940801" w14:textId="77777777" w:rsidTr="00880D09">
              <w:trPr>
                <w:trHeight w:hRule="exact" w:val="478"/>
              </w:trPr>
              <w:tc>
                <w:tcPr>
                  <w:tcW w:w="929"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2C05538" w14:textId="77777777" w:rsidR="00921721" w:rsidRPr="00583B7F" w:rsidRDefault="00921721" w:rsidP="00880D09">
                  <w:pPr>
                    <w:rPr>
                      <w:rFonts w:asciiTheme="minorHAnsi" w:hAnsiTheme="minorHAnsi" w:cs="Arial"/>
                      <w:b/>
                      <w:bCs/>
                      <w:color w:val="FFFFFF"/>
                      <w:sz w:val="15"/>
                      <w:szCs w:val="15"/>
                    </w:rPr>
                  </w:pPr>
                </w:p>
              </w:tc>
              <w:tc>
                <w:tcPr>
                  <w:tcW w:w="162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791E56A" w14:textId="77777777" w:rsidR="00921721" w:rsidRPr="00583B7F" w:rsidRDefault="00921721" w:rsidP="00880D09">
                  <w:pPr>
                    <w:jc w:val="center"/>
                    <w:rPr>
                      <w:rFonts w:asciiTheme="minorHAnsi" w:hAnsiTheme="minorHAnsi" w:cs="Calibri"/>
                      <w:b/>
                      <w:bCs/>
                      <w:color w:val="FFFFFF"/>
                      <w:sz w:val="15"/>
                      <w:szCs w:val="15"/>
                    </w:rPr>
                  </w:pPr>
                  <w:r w:rsidRPr="00583B7F">
                    <w:rPr>
                      <w:rFonts w:asciiTheme="minorHAnsi" w:hAnsiTheme="minorHAnsi" w:cs="Calibri"/>
                      <w:b/>
                      <w:bCs/>
                      <w:color w:val="FFFFFF"/>
                      <w:sz w:val="15"/>
                      <w:szCs w:val="15"/>
                    </w:rPr>
                    <w:t>Fatalities</w:t>
                  </w:r>
                </w:p>
              </w:tc>
              <w:tc>
                <w:tcPr>
                  <w:tcW w:w="162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31AE376" w14:textId="77777777" w:rsidR="00921721" w:rsidRPr="00583B7F" w:rsidRDefault="00921721" w:rsidP="00880D09">
                  <w:pPr>
                    <w:jc w:val="center"/>
                    <w:rPr>
                      <w:rFonts w:asciiTheme="minorHAnsi" w:hAnsiTheme="minorHAnsi" w:cs="Calibri"/>
                      <w:b/>
                      <w:bCs/>
                      <w:color w:val="FFFFFF"/>
                      <w:sz w:val="15"/>
                      <w:szCs w:val="15"/>
                    </w:rPr>
                  </w:pPr>
                  <w:r w:rsidRPr="00583B7F">
                    <w:rPr>
                      <w:rFonts w:asciiTheme="minorHAnsi" w:hAnsiTheme="minorHAnsi" w:cs="Calibri"/>
                      <w:b/>
                      <w:bCs/>
                      <w:color w:val="FFFFFF"/>
                      <w:sz w:val="15"/>
                      <w:szCs w:val="15"/>
                    </w:rPr>
                    <w:t>Heavily Injured</w:t>
                  </w:r>
                </w:p>
              </w:tc>
              <w:tc>
                <w:tcPr>
                  <w:tcW w:w="162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994E914" w14:textId="77777777" w:rsidR="00921721" w:rsidRPr="00583B7F" w:rsidRDefault="00921721" w:rsidP="00880D09">
                  <w:pPr>
                    <w:jc w:val="center"/>
                    <w:rPr>
                      <w:rFonts w:asciiTheme="minorHAnsi" w:hAnsiTheme="minorHAnsi" w:cs="Calibri"/>
                      <w:b/>
                      <w:bCs/>
                      <w:color w:val="FFFFFF"/>
                      <w:sz w:val="15"/>
                      <w:szCs w:val="15"/>
                    </w:rPr>
                  </w:pPr>
                  <w:r w:rsidRPr="00583B7F">
                    <w:rPr>
                      <w:rFonts w:asciiTheme="minorHAnsi" w:hAnsiTheme="minorHAnsi" w:cs="Calibri"/>
                      <w:b/>
                      <w:bCs/>
                      <w:color w:val="FFFFFF"/>
                      <w:sz w:val="15"/>
                      <w:szCs w:val="15"/>
                    </w:rPr>
                    <w:t>Sligtly Injured</w:t>
                  </w:r>
                </w:p>
              </w:tc>
              <w:tc>
                <w:tcPr>
                  <w:tcW w:w="131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0BE7B7C" w14:textId="77777777" w:rsidR="00921721" w:rsidRPr="00583B7F" w:rsidRDefault="00921721" w:rsidP="00880D09">
                  <w:pPr>
                    <w:jc w:val="center"/>
                    <w:rPr>
                      <w:rFonts w:asciiTheme="minorHAnsi" w:hAnsiTheme="minorHAnsi" w:cs="Calibri"/>
                      <w:b/>
                      <w:bCs/>
                      <w:color w:val="FFFFFF"/>
                      <w:sz w:val="15"/>
                      <w:szCs w:val="15"/>
                    </w:rPr>
                  </w:pPr>
                  <w:r w:rsidRPr="00583B7F">
                    <w:rPr>
                      <w:rFonts w:asciiTheme="minorHAnsi" w:hAnsiTheme="minorHAnsi" w:cs="Calibri"/>
                      <w:b/>
                      <w:bCs/>
                      <w:color w:val="FFFFFF"/>
                      <w:sz w:val="15"/>
                      <w:szCs w:val="15"/>
                    </w:rPr>
                    <w:t>Material losses</w:t>
                  </w:r>
                </w:p>
              </w:tc>
            </w:tr>
            <w:tr w:rsidR="00921721" w:rsidRPr="00583B7F" w14:paraId="0FD63651"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80404E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2021</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D3CD30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2,572,886</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178ADD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3,559,367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DB1624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51,805</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9140379"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16,548</w:t>
                  </w:r>
                </w:p>
              </w:tc>
            </w:tr>
            <w:tr w:rsidR="00921721" w:rsidRPr="00583B7F" w14:paraId="2989565F"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7EE708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2022</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160DB1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2,677,571</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BC1E39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3,704,190</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844D05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53,912</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2F9F06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17,221</w:t>
                  </w:r>
                </w:p>
              </w:tc>
            </w:tr>
            <w:tr w:rsidR="00921721" w:rsidRPr="00583B7F" w14:paraId="0029877F"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4C34D0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2023</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36E1F0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2,780,404</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2A9B04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3,846,451</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2DB7D7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55,983</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969F00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17,882</w:t>
                  </w:r>
                </w:p>
              </w:tc>
            </w:tr>
            <w:tr w:rsidR="00921721" w:rsidRPr="00583B7F" w14:paraId="38B19833"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43FD5E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2024</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FFDAC5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2,867,500</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1C8D73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3,966,940</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0F5953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57,737</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869AA2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18,442</w:t>
                  </w:r>
                </w:p>
              </w:tc>
            </w:tr>
            <w:tr w:rsidR="00921721" w:rsidRPr="00583B7F" w14:paraId="3DBA63AD"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028AF6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2025</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3DDB1D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2,953,141</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AFCAAD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4,085,417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A33189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59,461</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542C63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18,993</w:t>
                  </w:r>
                </w:p>
              </w:tc>
            </w:tr>
            <w:tr w:rsidR="00921721" w:rsidRPr="00583B7F" w14:paraId="1A82EB83"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28EB2D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2026</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76F0D5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3,041,779</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A6071E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4,208,041</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0FF02A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61,246</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214FEE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19,563</w:t>
                  </w:r>
                </w:p>
              </w:tc>
            </w:tr>
            <w:tr w:rsidR="00921721" w:rsidRPr="00583B7F" w14:paraId="6535FEC8"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B91B80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2027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04E1AF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3,133,535</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F6E676E"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4,334,977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982A2A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63,093</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3A7BE2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20,153</w:t>
                  </w:r>
                </w:p>
              </w:tc>
            </w:tr>
            <w:tr w:rsidR="00921721" w:rsidRPr="00583B7F" w14:paraId="345A0292"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37C361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2028</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F33FEB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3,226,018</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8BFEE6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4,462,920</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629AE2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64,955</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80BB63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20,748</w:t>
                  </w:r>
                </w:p>
              </w:tc>
            </w:tr>
            <w:tr w:rsidR="00921721" w:rsidRPr="00583B7F" w14:paraId="0A51D050"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C21636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2029</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7EFEB8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3,319,126</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A2C0E1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4,591,727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7252C9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66,830</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82DA64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21,347</w:t>
                  </w:r>
                </w:p>
              </w:tc>
            </w:tr>
            <w:tr w:rsidR="00921721" w:rsidRPr="00583B7F" w14:paraId="74B90AA3"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FB135B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2030</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C67D26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3,410,080</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6008B1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4,717,553</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DE5F0D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68,661</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955340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21,932</w:t>
                  </w:r>
                </w:p>
              </w:tc>
            </w:tr>
            <w:tr w:rsidR="00921721" w:rsidRPr="00583B7F" w14:paraId="78D1C821"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9DA0E3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2031</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D604FB0"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3,498,534</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2DDE89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4,839,922</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630673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70,442</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9F4363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22,501</w:t>
                  </w:r>
                </w:p>
              </w:tc>
            </w:tr>
            <w:tr w:rsidR="00921721" w:rsidRPr="00583B7F" w14:paraId="086A3698"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2F79180"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2032</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E95AA8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3,587,030</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EBCAEE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4,962,348</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78E98E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72,224</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48DA11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23,070</w:t>
                  </w:r>
                </w:p>
              </w:tc>
            </w:tr>
            <w:tr w:rsidR="00921721" w:rsidRPr="00583B7F" w14:paraId="463E7FD7"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DBD180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2033</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A4F578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3,675,418</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0DCA1B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5,084,626</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B33D51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74,004</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E83ED9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23,639</w:t>
                  </w:r>
                </w:p>
              </w:tc>
            </w:tr>
            <w:tr w:rsidR="00921721" w:rsidRPr="00583B7F" w14:paraId="0AEF2BB3"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6BB279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2034</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4EB509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3,763,539</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280285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5,206,534</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998903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75,778</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CE2269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24,205</w:t>
                  </w:r>
                </w:p>
              </w:tc>
            </w:tr>
            <w:tr w:rsidR="00921721" w:rsidRPr="00583B7F" w14:paraId="345D45EE"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46C386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2035</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6BBF6F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3,851,223</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3FD789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5,327,837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E08B23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77,544</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EA9D500"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24,769</w:t>
                  </w:r>
                </w:p>
              </w:tc>
            </w:tr>
            <w:tr w:rsidR="00921721" w:rsidRPr="00583B7F" w14:paraId="19BADE4F"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95088A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2036</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196B28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3,941,372</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D4AB7E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5,452,550</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67D3BB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79,359</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D686A1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25,349</w:t>
                  </w:r>
                </w:p>
              </w:tc>
            </w:tr>
            <w:tr w:rsidR="00921721" w:rsidRPr="00583B7F" w14:paraId="4D012C69"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0EF2A0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22C4A9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4,030,893</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837AE2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5,576,395</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B21A3D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81,161</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497C22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25,925</w:t>
                  </w:r>
                </w:p>
              </w:tc>
            </w:tr>
            <w:tr w:rsidR="00921721" w:rsidRPr="00583B7F" w14:paraId="090664DE"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1119FD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2038</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C2E0A4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4,119,595</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D4DBD8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5,699,106</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A6BEB0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82,947</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92484C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26,495</w:t>
                  </w:r>
                </w:p>
              </w:tc>
            </w:tr>
            <w:tr w:rsidR="00921721" w:rsidRPr="00583B7F" w14:paraId="6C209176"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558505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2039</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80E320E"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4,207,281</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3A31BE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5,820,412</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371439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84,713</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B3A717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27,059</w:t>
                  </w:r>
                </w:p>
              </w:tc>
            </w:tr>
            <w:tr w:rsidR="00921721" w:rsidRPr="00583B7F" w14:paraId="65306CA2"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8795FE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2040</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36089C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4,293,747</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991F92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5,940,031</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010E61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86,454</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3573F9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27,615</w:t>
                  </w:r>
                </w:p>
              </w:tc>
            </w:tr>
            <w:tr w:rsidR="00921721" w:rsidRPr="00583B7F" w14:paraId="0CDB8E20"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DC4815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2041</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6A264B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4,378,813</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EFF456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6,057,713</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215863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88,167</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ECA95A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28,162</w:t>
                  </w:r>
                </w:p>
              </w:tc>
            </w:tr>
            <w:tr w:rsidR="00921721" w:rsidRPr="00583B7F" w14:paraId="78E11C5A"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DE80810"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2042</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98A2E9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4,462,262</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52B5750"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6,173,158</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AC171D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89,847</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A389CB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28,699</w:t>
                  </w:r>
                </w:p>
              </w:tc>
            </w:tr>
            <w:tr w:rsidR="00921721" w:rsidRPr="00583B7F" w14:paraId="3DAD907A"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F099CE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2043</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ED565FE"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4,543,934</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BB6A8E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6,286,143</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97A6169"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91,491</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6F7DB8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29,224</w:t>
                  </w:r>
                </w:p>
              </w:tc>
            </w:tr>
            <w:tr w:rsidR="00921721" w:rsidRPr="00583B7F" w14:paraId="7D5B414F"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68C684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2044</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388F1A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4,627,288</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7AADA80"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6,401,456</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08D23A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93,170</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19CF47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29,760</w:t>
                  </w:r>
                </w:p>
              </w:tc>
            </w:tr>
            <w:tr w:rsidR="00921721" w:rsidRPr="00583B7F" w14:paraId="0B501A87"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0E569D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2045</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C1B138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4,708,644</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5C936D9"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6,514,005</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34A192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94,808</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CB3730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30,284</w:t>
                  </w:r>
                </w:p>
              </w:tc>
            </w:tr>
            <w:tr w:rsidR="00921721" w:rsidRPr="00583B7F" w14:paraId="7104AAFC"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B1657D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2046</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3342EF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4,787,825</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3FB8AF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6,623,546</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40FAEAE"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96,402</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8AD077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30,793</w:t>
                  </w:r>
                </w:p>
              </w:tc>
            </w:tr>
            <w:tr w:rsidR="00921721" w:rsidRPr="00583B7F" w14:paraId="39903403"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B20735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6F4C85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4,868,505</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7B56F6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6,735,159</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67F305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98,026</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86F1BF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31,312</w:t>
                  </w:r>
                </w:p>
              </w:tc>
            </w:tr>
            <w:tr w:rsidR="00921721" w:rsidRPr="00583B7F" w14:paraId="4198C9FB"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C281EC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2048</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A324B6E"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4,946,801</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684943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6,843,476</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7364F2E"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99,603</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9886BB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31,815</w:t>
                  </w:r>
                </w:p>
              </w:tc>
            </w:tr>
            <w:tr w:rsidR="00921721" w:rsidRPr="00583B7F" w14:paraId="29E550F9"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D898A1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2049</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0842B8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5,026,490</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9871F0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6,953,719</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FBE3DD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101,207</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05722F9"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32,328</w:t>
                  </w:r>
                </w:p>
              </w:tc>
            </w:tr>
            <w:tr w:rsidR="00921721" w:rsidRPr="00583B7F" w14:paraId="2C5210CA"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D6021D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2050</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C003FD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5,107,586</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09D7D5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7,065,908</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4DF07F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102,840</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B425F6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32,850</w:t>
                  </w:r>
                </w:p>
              </w:tc>
            </w:tr>
            <w:tr w:rsidR="00921721" w:rsidRPr="00583B7F" w14:paraId="0F5A983E"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35AD53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2051</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EB2BC4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5,185,972</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9ECED9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7,174,348</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162B95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104,419</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36D9E3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33,354</w:t>
                  </w:r>
                </w:p>
              </w:tc>
            </w:tr>
            <w:tr w:rsidR="00921721" w:rsidRPr="00583B7F" w14:paraId="17BB18A6"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18F3F3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2052</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F78FFC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5,264,869</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FF8D36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7,283,495</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7D3D28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106,007</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440DF1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33,861</w:t>
                  </w:r>
                </w:p>
              </w:tc>
            </w:tr>
            <w:tr w:rsidR="00921721" w:rsidRPr="00583B7F" w14:paraId="2ABA43E3"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FAD60F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2053</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96E84B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5,344,966</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FE6C409"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7,394,303</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2FB7FC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107,620</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561244B"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34,376</w:t>
                  </w:r>
                </w:p>
              </w:tc>
            </w:tr>
            <w:tr w:rsidR="00921721" w:rsidRPr="00583B7F" w14:paraId="2858803A"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6CB320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2054</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C4A48B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5,426,282</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8D3C9E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7,506,797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FF66D4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109,257</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BCB110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34,899</w:t>
                  </w:r>
                </w:p>
              </w:tc>
            </w:tr>
            <w:tr w:rsidR="00921721" w:rsidRPr="00583B7F" w14:paraId="63003D55"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63BE64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2055</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2FDBD8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5,508,835</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B5DDE47"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7,621,002</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B2546F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110,919</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021928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35,430</w:t>
                  </w:r>
                </w:p>
              </w:tc>
            </w:tr>
            <w:tr w:rsidR="00921721" w:rsidRPr="00583B7F" w14:paraId="4E203ACE"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B3DC75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2056</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C15FA53"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5,592,644</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2311D30"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7,736,945</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139AEE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112,607</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CF6AB8D"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35,969</w:t>
                  </w:r>
                </w:p>
              </w:tc>
            </w:tr>
            <w:tr w:rsidR="00921721" w:rsidRPr="00583B7F" w14:paraId="46DE9761"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57CD0F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2057</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06995A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5,677,729</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D9F268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7,854,651</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D95AA0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114,320</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1A80BE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36,516</w:t>
                  </w:r>
                </w:p>
              </w:tc>
            </w:tr>
            <w:tr w:rsidR="00921721" w:rsidRPr="00583B7F" w14:paraId="4EF69429"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4624FF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2058</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AA35808"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5,768,672</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774EA72"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7,980,463</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B52F27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116,151</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82C1A36"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37,101</w:t>
                  </w:r>
                </w:p>
              </w:tc>
            </w:tr>
            <w:tr w:rsidR="00921721" w:rsidRPr="00583B7F" w14:paraId="4590F5FA"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49EBD30"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2059</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8CCC18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5,861,071</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229A29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8,108,290</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24EBA45"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118,012</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14CACE1"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37,696</w:t>
                  </w:r>
                </w:p>
              </w:tc>
            </w:tr>
            <w:tr w:rsidR="00921721" w:rsidRPr="00583B7F" w14:paraId="5D612B1E" w14:textId="77777777" w:rsidTr="00880D09">
              <w:trPr>
                <w:trHeight w:hRule="exact" w:val="261"/>
              </w:trPr>
              <w:tc>
                <w:tcPr>
                  <w:tcW w:w="929"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539412C"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2060</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0862E84"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5,954,951</w:t>
                  </w:r>
                </w:p>
              </w:tc>
              <w:tc>
                <w:tcPr>
                  <w:tcW w:w="162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6B36F9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8,238,165</w:t>
                  </w:r>
                </w:p>
              </w:tc>
              <w:tc>
                <w:tcPr>
                  <w:tcW w:w="162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CCDEF4A"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119,902</w:t>
                  </w:r>
                </w:p>
              </w:tc>
              <w:tc>
                <w:tcPr>
                  <w:tcW w:w="131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361E37F" w14:textId="77777777" w:rsidR="00921721" w:rsidRPr="00583B7F" w:rsidRDefault="00921721" w:rsidP="00880D09">
                  <w:pPr>
                    <w:jc w:val="center"/>
                    <w:rPr>
                      <w:rFonts w:asciiTheme="minorHAnsi" w:hAnsiTheme="minorHAnsi" w:cs="Arial"/>
                      <w:color w:val="4F81BD" w:themeColor="accent1"/>
                      <w:sz w:val="15"/>
                      <w:szCs w:val="15"/>
                    </w:rPr>
                  </w:pPr>
                  <w:r w:rsidRPr="00583B7F">
                    <w:rPr>
                      <w:rFonts w:asciiTheme="minorHAnsi" w:hAnsiTheme="minorHAnsi" w:cs="Arial"/>
                      <w:color w:val="4F81BD" w:themeColor="accent1"/>
                      <w:sz w:val="15"/>
                      <w:szCs w:val="15"/>
                    </w:rPr>
                    <w:t>38,299</w:t>
                  </w:r>
                </w:p>
              </w:tc>
            </w:tr>
          </w:tbl>
          <w:p w14:paraId="73C00FA3" w14:textId="77777777" w:rsidR="00921721" w:rsidRPr="00583B7F" w:rsidRDefault="00921721" w:rsidP="00880D09">
            <w:pPr>
              <w:ind w:right="170"/>
              <w:jc w:val="both"/>
              <w:rPr>
                <w:rFonts w:asciiTheme="minorHAnsi" w:hAnsiTheme="minorHAnsi" w:cs="Arial"/>
                <w:b/>
                <w:i/>
                <w:sz w:val="16"/>
                <w:szCs w:val="16"/>
              </w:rPr>
            </w:pPr>
            <w:r w:rsidRPr="00583B7F">
              <w:rPr>
                <w:rFonts w:asciiTheme="minorHAnsi" w:hAnsiTheme="minorHAnsi" w:cs="Arial"/>
                <w:b/>
                <w:i/>
                <w:sz w:val="16"/>
                <w:szCs w:val="16"/>
              </w:rPr>
              <w:t>Source: CUPT-JASPERS work based</w:t>
            </w:r>
            <w:r>
              <w:rPr>
                <w:rFonts w:asciiTheme="minorHAnsi" w:hAnsiTheme="minorHAnsi" w:cs="Arial"/>
                <w:b/>
                <w:i/>
                <w:sz w:val="16"/>
                <w:szCs w:val="16"/>
              </w:rPr>
              <w:t xml:space="preserve"> on "Wycena kosztów wypadków i </w:t>
            </w:r>
            <w:r w:rsidRPr="00583B7F">
              <w:rPr>
                <w:rFonts w:asciiTheme="minorHAnsi" w:hAnsiTheme="minorHAnsi" w:cs="Arial"/>
                <w:b/>
                <w:i/>
                <w:sz w:val="16"/>
                <w:szCs w:val="16"/>
              </w:rPr>
              <w:t>ko</w:t>
            </w:r>
            <w:r>
              <w:rPr>
                <w:rFonts w:asciiTheme="minorHAnsi" w:hAnsiTheme="minorHAnsi" w:cs="Arial"/>
                <w:b/>
                <w:i/>
                <w:sz w:val="16"/>
                <w:szCs w:val="16"/>
              </w:rPr>
              <w:t>lizji drogowych na sieci dróg w Polsce na koniec roku 2018, z </w:t>
            </w:r>
            <w:r w:rsidRPr="00583B7F">
              <w:rPr>
                <w:rFonts w:asciiTheme="minorHAnsi" w:hAnsiTheme="minorHAnsi" w:cs="Arial"/>
                <w:b/>
                <w:i/>
                <w:sz w:val="16"/>
                <w:szCs w:val="16"/>
              </w:rPr>
              <w:t>wyodrębnieniem średnich kosztów społeczno-ekonomicznych wypadków na transeuropejskiej sieci transportowej", Krajowa Rada Bezpieczeństwa Ruchu Drogowego, December</w:t>
            </w:r>
            <w:r>
              <w:rPr>
                <w:rFonts w:asciiTheme="minorHAnsi" w:hAnsiTheme="minorHAnsi" w:cs="Arial"/>
                <w:b/>
                <w:i/>
                <w:sz w:val="16"/>
                <w:szCs w:val="16"/>
              </w:rPr>
              <w:t xml:space="preserve"> 2019, Table 6.2, page </w:t>
            </w:r>
            <w:r w:rsidRPr="00583B7F">
              <w:rPr>
                <w:rFonts w:asciiTheme="minorHAnsi" w:hAnsiTheme="minorHAnsi" w:cs="Arial"/>
                <w:b/>
                <w:i/>
                <w:sz w:val="16"/>
                <w:szCs w:val="16"/>
              </w:rPr>
              <w:t>36.</w:t>
            </w:r>
          </w:p>
          <w:p w14:paraId="2A24D614" w14:textId="77777777" w:rsidR="00921721" w:rsidRPr="00583B7F" w:rsidRDefault="00921721" w:rsidP="00880D09">
            <w:pPr>
              <w:pStyle w:val="anxnormal"/>
              <w:ind w:left="0"/>
              <w:rPr>
                <w:rFonts w:asciiTheme="minorHAnsi" w:hAnsiTheme="minorHAnsi"/>
                <w:u w:val="single"/>
                <w:lang w:eastAsia="en-US"/>
              </w:rPr>
            </w:pPr>
          </w:p>
          <w:p w14:paraId="62358C77" w14:textId="77777777" w:rsidR="00921721" w:rsidRPr="00731E4E" w:rsidRDefault="00921721" w:rsidP="00880D09">
            <w:pPr>
              <w:pStyle w:val="anxnormal"/>
              <w:ind w:left="0"/>
              <w:rPr>
                <w:rFonts w:asciiTheme="minorHAnsi" w:hAnsiTheme="minorHAnsi"/>
                <w:u w:val="single"/>
                <w:lang w:val="en-GB" w:eastAsia="en-US"/>
              </w:rPr>
            </w:pPr>
            <w:r w:rsidRPr="00731E4E">
              <w:rPr>
                <w:rFonts w:asciiTheme="minorHAnsi" w:hAnsiTheme="minorHAnsi"/>
                <w:u w:val="single"/>
                <w:lang w:val="en-GB" w:eastAsia="en-US"/>
              </w:rPr>
              <w:t>Unit cost evolution over time</w:t>
            </w:r>
          </w:p>
          <w:p w14:paraId="3B5A8AD8" w14:textId="77777777" w:rsidR="00921721"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 xml:space="preserve">Unit accident cost evolution over time (forecasts in the table above) </w:t>
            </w:r>
            <w:r>
              <w:rPr>
                <w:rFonts w:asciiTheme="minorHAnsi" w:hAnsiTheme="minorHAnsi"/>
                <w:lang w:val="en-GB" w:eastAsia="en-US"/>
              </w:rPr>
              <w:t xml:space="preserve">is </w:t>
            </w:r>
            <w:r w:rsidRPr="002C6855">
              <w:rPr>
                <w:rFonts w:asciiTheme="minorHAnsi" w:hAnsiTheme="minorHAnsi"/>
                <w:lang w:val="en-GB" w:eastAsia="en-US"/>
              </w:rPr>
              <w:t>based on GDP per capita g</w:t>
            </w:r>
            <w:r>
              <w:rPr>
                <w:rFonts w:asciiTheme="minorHAnsi" w:hAnsiTheme="minorHAnsi"/>
                <w:lang w:val="en-GB" w:eastAsia="en-US"/>
              </w:rPr>
              <w:t>rowth (values provided in point </w:t>
            </w:r>
            <w:r w:rsidRPr="002C6855">
              <w:rPr>
                <w:rFonts w:asciiTheme="minorHAnsi" w:hAnsiTheme="minorHAnsi"/>
                <w:lang w:val="en-GB" w:eastAsia="en-US"/>
              </w:rPr>
              <w:t>2)</w:t>
            </w:r>
            <w:r w:rsidRPr="001C1044">
              <w:rPr>
                <w:rFonts w:asciiTheme="minorHAnsi" w:hAnsiTheme="minorHAnsi"/>
                <w:lang w:val="en-GB" w:eastAsia="en-US"/>
              </w:rPr>
              <w:t xml:space="preserve"> with an</w:t>
            </w:r>
            <w:r w:rsidRPr="00731E4E">
              <w:rPr>
                <w:rFonts w:asciiTheme="minorHAnsi" w:hAnsiTheme="minorHAnsi"/>
                <w:lang w:val="en-GB" w:eastAsia="en-US"/>
              </w:rPr>
              <w:t xml:space="preserve"> elasticity of 0</w:t>
            </w:r>
            <w:r>
              <w:rPr>
                <w:rFonts w:asciiTheme="minorHAnsi" w:hAnsiTheme="minorHAnsi"/>
                <w:lang w:val="en-GB" w:eastAsia="en-US"/>
              </w:rPr>
              <w:t>.</w:t>
            </w:r>
            <w:r w:rsidRPr="00731E4E">
              <w:rPr>
                <w:rFonts w:asciiTheme="minorHAnsi" w:hAnsiTheme="minorHAnsi"/>
                <w:lang w:val="en-GB" w:eastAsia="en-US"/>
              </w:rPr>
              <w:t>8.</w:t>
            </w:r>
          </w:p>
          <w:p w14:paraId="1B8D639A" w14:textId="77777777" w:rsidR="00921721" w:rsidRPr="00731E4E" w:rsidRDefault="00921721" w:rsidP="00880D09">
            <w:pPr>
              <w:pStyle w:val="anxnormal"/>
              <w:ind w:left="0"/>
              <w:rPr>
                <w:rFonts w:asciiTheme="minorHAnsi" w:hAnsiTheme="minorHAnsi"/>
                <w:lang w:val="en-GB" w:eastAsia="en-US"/>
              </w:rPr>
            </w:pPr>
          </w:p>
          <w:p w14:paraId="1A32CA56" w14:textId="77777777" w:rsidR="00921721" w:rsidRDefault="00921721" w:rsidP="00880D09">
            <w:pPr>
              <w:pStyle w:val="anxnormal"/>
              <w:ind w:left="0"/>
              <w:rPr>
                <w:rFonts w:asciiTheme="minorHAnsi" w:hAnsiTheme="minorHAnsi"/>
                <w:lang w:val="en-GB" w:eastAsia="en-US"/>
              </w:rPr>
            </w:pPr>
          </w:p>
          <w:p w14:paraId="29891258" w14:textId="77777777" w:rsidR="00921721" w:rsidRDefault="00921721" w:rsidP="00880D09">
            <w:pPr>
              <w:pStyle w:val="anxnormal"/>
              <w:ind w:left="0"/>
              <w:rPr>
                <w:rFonts w:asciiTheme="minorHAnsi" w:hAnsiTheme="minorHAnsi"/>
                <w:lang w:val="en-GB" w:eastAsia="en-US"/>
              </w:rPr>
            </w:pPr>
          </w:p>
          <w:p w14:paraId="0A91904A" w14:textId="77777777" w:rsidR="00921721" w:rsidRDefault="00921721" w:rsidP="00880D09">
            <w:pPr>
              <w:pStyle w:val="anxnormal"/>
              <w:ind w:left="0"/>
              <w:rPr>
                <w:rFonts w:asciiTheme="minorHAnsi" w:hAnsiTheme="minorHAnsi"/>
                <w:lang w:val="en-GB" w:eastAsia="en-US"/>
              </w:rPr>
            </w:pPr>
          </w:p>
          <w:p w14:paraId="0D5923F4" w14:textId="77777777" w:rsidR="00921721" w:rsidRDefault="00921721" w:rsidP="00880D09">
            <w:pPr>
              <w:pStyle w:val="anxnormal"/>
              <w:ind w:left="0"/>
              <w:rPr>
                <w:rFonts w:asciiTheme="minorHAnsi" w:hAnsiTheme="minorHAnsi"/>
                <w:lang w:val="en-GB" w:eastAsia="en-US"/>
              </w:rPr>
            </w:pPr>
          </w:p>
          <w:p w14:paraId="2FC4FC8B" w14:textId="77777777" w:rsidR="00921721" w:rsidRDefault="00921721" w:rsidP="00880D09">
            <w:pPr>
              <w:pStyle w:val="anxnormal"/>
              <w:ind w:left="0"/>
              <w:rPr>
                <w:rFonts w:asciiTheme="minorHAnsi" w:hAnsiTheme="minorHAnsi"/>
                <w:lang w:val="en-GB" w:eastAsia="en-US"/>
              </w:rPr>
            </w:pPr>
          </w:p>
          <w:p w14:paraId="33191D1D" w14:textId="77777777" w:rsidR="00921721" w:rsidRPr="003B7A23" w:rsidRDefault="00921721" w:rsidP="00880D09">
            <w:pPr>
              <w:pStyle w:val="anxnormal"/>
              <w:ind w:left="0"/>
              <w:rPr>
                <w:rFonts w:asciiTheme="minorHAnsi" w:hAnsiTheme="minorHAnsi"/>
                <w:lang w:val="en-GB" w:eastAsia="en-US"/>
              </w:rPr>
            </w:pPr>
          </w:p>
          <w:p w14:paraId="657EB959" w14:textId="77777777" w:rsidR="00921721" w:rsidRPr="00CA444D" w:rsidRDefault="00921721" w:rsidP="00880D09">
            <w:pPr>
              <w:pStyle w:val="anxnormal"/>
              <w:ind w:left="0"/>
              <w:rPr>
                <w:rFonts w:asciiTheme="minorHAnsi" w:hAnsiTheme="minorHAnsi" w:cs="Arial-Narrow,Bold"/>
                <w:b/>
                <w:bCs/>
                <w:color w:val="4F81BD" w:themeColor="accent1"/>
                <w:sz w:val="23"/>
                <w:szCs w:val="23"/>
                <w:lang w:val="en-GB" w:eastAsia="en-GB"/>
              </w:rPr>
            </w:pPr>
            <w:r w:rsidRPr="00CA444D">
              <w:rPr>
                <w:rFonts w:asciiTheme="minorHAnsi" w:hAnsiTheme="minorHAnsi" w:cs="Arial-Narrow,Bold"/>
                <w:b/>
                <w:bCs/>
                <w:color w:val="4F81BD" w:themeColor="accent1"/>
                <w:sz w:val="23"/>
                <w:szCs w:val="23"/>
                <w:lang w:val="en-GB" w:eastAsia="en-GB"/>
              </w:rPr>
              <w:t>6. Costs of air pollution</w:t>
            </w:r>
          </w:p>
          <w:p w14:paraId="4999870A" w14:textId="77777777" w:rsidR="00921721"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 xml:space="preserve">Economic unit costs of air pollution </w:t>
            </w:r>
            <w:r>
              <w:rPr>
                <w:rFonts w:asciiTheme="minorHAnsi" w:hAnsiTheme="minorHAnsi"/>
                <w:lang w:val="en-GB" w:eastAsia="en-US"/>
              </w:rPr>
              <w:t xml:space="preserve">by road vehicles </w:t>
            </w:r>
            <w:r w:rsidRPr="00731E4E">
              <w:rPr>
                <w:rFonts w:asciiTheme="minorHAnsi" w:hAnsiTheme="minorHAnsi"/>
                <w:lang w:val="en-GB" w:eastAsia="en-US"/>
              </w:rPr>
              <w:t>[PLN/veh-km], prices 20</w:t>
            </w:r>
            <w:r>
              <w:rPr>
                <w:rFonts w:asciiTheme="minorHAnsi" w:hAnsiTheme="minorHAnsi"/>
                <w:lang w:val="en-GB" w:eastAsia="en-US"/>
              </w:rPr>
              <w:t>21</w:t>
            </w:r>
          </w:p>
          <w:tbl>
            <w:tblPr>
              <w:tblW w:w="6632" w:type="dxa"/>
              <w:tblLayout w:type="fixed"/>
              <w:tblLook w:val="04A0" w:firstRow="1" w:lastRow="0" w:firstColumn="1" w:lastColumn="0" w:noHBand="0" w:noVBand="1"/>
            </w:tblPr>
            <w:tblGrid>
              <w:gridCol w:w="2648"/>
              <w:gridCol w:w="1328"/>
              <w:gridCol w:w="1328"/>
              <w:gridCol w:w="1328"/>
            </w:tblGrid>
            <w:tr w:rsidR="00921721" w:rsidRPr="007463B9" w14:paraId="63711F13" w14:textId="77777777" w:rsidTr="00880D09">
              <w:trPr>
                <w:trHeight w:hRule="exact" w:val="1178"/>
              </w:trPr>
              <w:tc>
                <w:tcPr>
                  <w:tcW w:w="264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1DE6034" w14:textId="77777777" w:rsidR="00921721" w:rsidRPr="00265281" w:rsidRDefault="00921721" w:rsidP="00880D09">
                  <w:pPr>
                    <w:snapToGrid w:val="0"/>
                    <w:spacing w:before="20" w:after="20"/>
                    <w:jc w:val="center"/>
                    <w:rPr>
                      <w:rFonts w:asciiTheme="minorHAnsi" w:hAnsiTheme="minorHAnsi" w:cs="Arial"/>
                      <w:b/>
                      <w:bCs/>
                      <w:color w:val="FFFFFF"/>
                      <w:sz w:val="18"/>
                      <w:szCs w:val="18"/>
                      <w:lang w:val="en-GB"/>
                    </w:rPr>
                  </w:pPr>
                  <w:r w:rsidRPr="00265281">
                    <w:rPr>
                      <w:rFonts w:asciiTheme="minorHAnsi" w:hAnsiTheme="minorHAnsi" w:cs="Arial"/>
                      <w:b/>
                      <w:bCs/>
                      <w:color w:val="FFFFFF"/>
                      <w:sz w:val="18"/>
                      <w:szCs w:val="18"/>
                      <w:lang w:val="en-GB"/>
                    </w:rPr>
                    <w:t xml:space="preserve">Unit costs of air pollution for a flat road after </w:t>
                  </w:r>
                </w:p>
                <w:p w14:paraId="6B1D6F00" w14:textId="77777777" w:rsidR="00921721" w:rsidRPr="00265281" w:rsidRDefault="00921721" w:rsidP="00880D09">
                  <w:pPr>
                    <w:snapToGrid w:val="0"/>
                    <w:spacing w:before="20" w:after="20"/>
                    <w:jc w:val="center"/>
                    <w:rPr>
                      <w:rFonts w:asciiTheme="minorHAnsi" w:hAnsiTheme="minorHAnsi" w:cs="Arial"/>
                      <w:b/>
                      <w:bCs/>
                      <w:color w:val="FFFFFF"/>
                      <w:sz w:val="18"/>
                      <w:szCs w:val="18"/>
                      <w:lang w:val="en-GB"/>
                    </w:rPr>
                  </w:pPr>
                  <w:r w:rsidRPr="00265281">
                    <w:rPr>
                      <w:rFonts w:asciiTheme="minorHAnsi" w:hAnsiTheme="minorHAnsi" w:cs="Arial"/>
                      <w:b/>
                      <w:bCs/>
                      <w:color w:val="FFFFFF"/>
                      <w:sz w:val="18"/>
                      <w:szCs w:val="18"/>
                      <w:lang w:val="en-GB"/>
                    </w:rPr>
                    <w:t>rehabilitation/</w:t>
                  </w:r>
                  <w:r>
                    <w:rPr>
                      <w:rFonts w:asciiTheme="minorHAnsi" w:hAnsiTheme="minorHAnsi" w:cs="Arial"/>
                      <w:b/>
                      <w:bCs/>
                      <w:color w:val="FFFFFF"/>
                      <w:sz w:val="18"/>
                      <w:szCs w:val="18"/>
                      <w:lang w:val="en-GB"/>
                    </w:rPr>
                    <w:t xml:space="preserve"> </w:t>
                  </w:r>
                  <w:r w:rsidRPr="00265281">
                    <w:rPr>
                      <w:rFonts w:asciiTheme="minorHAnsi" w:hAnsiTheme="minorHAnsi" w:cs="Arial"/>
                      <w:b/>
                      <w:bCs/>
                      <w:color w:val="FFFFFF"/>
                      <w:sz w:val="18"/>
                      <w:szCs w:val="18"/>
                      <w:lang w:val="en-GB"/>
                    </w:rPr>
                    <w:t xml:space="preserve">construction </w:t>
                  </w:r>
                </w:p>
                <w:p w14:paraId="6338311C"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265281">
                    <w:rPr>
                      <w:rFonts w:asciiTheme="minorHAnsi" w:hAnsiTheme="minorHAnsi" w:cs="Arial"/>
                      <w:b/>
                      <w:bCs/>
                      <w:color w:val="FFFFFF"/>
                      <w:sz w:val="18"/>
                      <w:szCs w:val="18"/>
                      <w:lang w:val="en-GB"/>
                    </w:rPr>
                    <w:t>(PLN/vehkm)</w:t>
                  </w:r>
                </w:p>
              </w:tc>
              <w:tc>
                <w:tcPr>
                  <w:tcW w:w="1328" w:type="dxa"/>
                  <w:tcBorders>
                    <w:top w:val="single" w:sz="4" w:space="0" w:color="FFFFFF"/>
                    <w:left w:val="single" w:sz="4" w:space="0" w:color="FFFFFF"/>
                    <w:bottom w:val="single" w:sz="4" w:space="0" w:color="FFFFFF"/>
                    <w:right w:val="nil"/>
                  </w:tcBorders>
                  <w:shd w:val="clear" w:color="auto" w:fill="A6A6A6" w:themeFill="background1" w:themeFillShade="A6"/>
                  <w:hideMark/>
                </w:tcPr>
                <w:p w14:paraId="7DC0DE67"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265281">
                    <w:rPr>
                      <w:rFonts w:asciiTheme="minorHAnsi" w:hAnsiTheme="minorHAnsi" w:cs="Arial"/>
                      <w:b/>
                      <w:bCs/>
                      <w:color w:val="FFFFFF"/>
                      <w:sz w:val="18"/>
                      <w:szCs w:val="18"/>
                      <w:lang w:val="en-GB"/>
                    </w:rPr>
                    <w:t>A &amp; S road classes</w:t>
                  </w:r>
                </w:p>
              </w:tc>
              <w:tc>
                <w:tcPr>
                  <w:tcW w:w="1328"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tcPr>
                <w:p w14:paraId="6B211073"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265281">
                    <w:rPr>
                      <w:rFonts w:asciiTheme="minorHAnsi" w:hAnsiTheme="minorHAnsi" w:cs="Arial"/>
                      <w:b/>
                      <w:bCs/>
                      <w:color w:val="FFFFFF"/>
                      <w:sz w:val="18"/>
                      <w:szCs w:val="18"/>
                      <w:lang w:val="en-GB"/>
                    </w:rPr>
                    <w:t>Urban roads (other than A, S)</w:t>
                  </w:r>
                </w:p>
              </w:tc>
              <w:tc>
                <w:tcPr>
                  <w:tcW w:w="1328" w:type="dxa"/>
                  <w:tcBorders>
                    <w:top w:val="single" w:sz="4" w:space="0" w:color="FFFFFF"/>
                    <w:left w:val="single" w:sz="4" w:space="0" w:color="FFFFFF"/>
                    <w:bottom w:val="single" w:sz="4" w:space="0" w:color="FFFFFF"/>
                    <w:right w:val="nil"/>
                  </w:tcBorders>
                  <w:shd w:val="clear" w:color="auto" w:fill="A6A6A6" w:themeFill="background1" w:themeFillShade="A6"/>
                  <w:hideMark/>
                </w:tcPr>
                <w:p w14:paraId="6E80EF81"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265281">
                    <w:rPr>
                      <w:rFonts w:asciiTheme="minorHAnsi" w:hAnsiTheme="minorHAnsi" w:cs="Arial"/>
                      <w:b/>
                      <w:bCs/>
                      <w:color w:val="FFFFFF"/>
                      <w:sz w:val="18"/>
                      <w:szCs w:val="18"/>
                      <w:lang w:val="en-GB"/>
                    </w:rPr>
                    <w:t>Rural roads (other than A, S)</w:t>
                  </w:r>
                </w:p>
              </w:tc>
            </w:tr>
            <w:tr w:rsidR="00921721" w:rsidRPr="007463B9" w14:paraId="29CCE336" w14:textId="77777777" w:rsidTr="00880D09">
              <w:trPr>
                <w:trHeight w:val="264"/>
              </w:trPr>
              <w:tc>
                <w:tcPr>
                  <w:tcW w:w="264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5C1F572"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 xml:space="preserve">LV </w:t>
                  </w:r>
                </w:p>
              </w:tc>
              <w:tc>
                <w:tcPr>
                  <w:tcW w:w="1328"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CF1CC36" w14:textId="77777777" w:rsidR="00921721" w:rsidRPr="00D22938" w:rsidRDefault="00921721" w:rsidP="00880D09">
                  <w:pPr>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0.0</w:t>
                  </w:r>
                  <w:r>
                    <w:rPr>
                      <w:rFonts w:asciiTheme="minorHAnsi" w:hAnsiTheme="minorHAnsi" w:cs="Arial"/>
                      <w:color w:val="4F81BD" w:themeColor="accent1"/>
                      <w:sz w:val="18"/>
                      <w:szCs w:val="18"/>
                      <w:lang w:val="en-GB"/>
                    </w:rPr>
                    <w:t>29</w:t>
                  </w:r>
                </w:p>
              </w:tc>
              <w:tc>
                <w:tcPr>
                  <w:tcW w:w="132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63341D7D" w14:textId="77777777" w:rsidR="00921721" w:rsidRPr="00265281" w:rsidRDefault="00921721" w:rsidP="00880D09">
                  <w:pPr>
                    <w:snapToGrid w:val="0"/>
                    <w:spacing w:before="20" w:after="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0.0</w:t>
                  </w:r>
                  <w:r>
                    <w:rPr>
                      <w:rFonts w:asciiTheme="minorHAnsi" w:hAnsiTheme="minorHAnsi" w:cs="Arial"/>
                      <w:color w:val="4F81BD" w:themeColor="accent1"/>
                      <w:sz w:val="18"/>
                      <w:szCs w:val="18"/>
                      <w:lang w:val="en-GB"/>
                    </w:rPr>
                    <w:t>38</w:t>
                  </w:r>
                </w:p>
              </w:tc>
              <w:tc>
                <w:tcPr>
                  <w:tcW w:w="1328"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15C3793" w14:textId="77777777" w:rsidR="00921721" w:rsidRPr="00D22938" w:rsidRDefault="00921721" w:rsidP="00880D09">
                  <w:pPr>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0.02</w:t>
                  </w:r>
                  <w:r>
                    <w:rPr>
                      <w:rFonts w:asciiTheme="minorHAnsi" w:hAnsiTheme="minorHAnsi" w:cs="Arial"/>
                      <w:color w:val="4F81BD" w:themeColor="accent1"/>
                      <w:sz w:val="18"/>
                      <w:szCs w:val="18"/>
                      <w:lang w:val="en-GB"/>
                    </w:rPr>
                    <w:t>0</w:t>
                  </w:r>
                </w:p>
              </w:tc>
            </w:tr>
            <w:tr w:rsidR="00921721" w:rsidRPr="007463B9" w14:paraId="3F0E9093" w14:textId="77777777" w:rsidTr="00880D09">
              <w:trPr>
                <w:trHeight w:val="264"/>
              </w:trPr>
              <w:tc>
                <w:tcPr>
                  <w:tcW w:w="264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4355C2B"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 xml:space="preserve">HGV </w:t>
                  </w:r>
                </w:p>
              </w:tc>
              <w:tc>
                <w:tcPr>
                  <w:tcW w:w="1328"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E1DB762" w14:textId="77777777" w:rsidR="00921721" w:rsidRPr="00D22938" w:rsidRDefault="00921721" w:rsidP="00880D09">
                  <w:pPr>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0.2</w:t>
                  </w:r>
                  <w:r>
                    <w:rPr>
                      <w:rFonts w:asciiTheme="minorHAnsi" w:hAnsiTheme="minorHAnsi" w:cs="Arial"/>
                      <w:color w:val="4F81BD" w:themeColor="accent1"/>
                      <w:sz w:val="18"/>
                      <w:szCs w:val="18"/>
                      <w:lang w:val="en-GB"/>
                    </w:rPr>
                    <w:t>03</w:t>
                  </w:r>
                </w:p>
              </w:tc>
              <w:tc>
                <w:tcPr>
                  <w:tcW w:w="132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5111BAB" w14:textId="77777777" w:rsidR="00921721" w:rsidRPr="00265281" w:rsidRDefault="00921721" w:rsidP="00880D09">
                  <w:pPr>
                    <w:snapToGrid w:val="0"/>
                    <w:spacing w:before="20" w:after="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499</w:t>
                  </w:r>
                </w:p>
              </w:tc>
              <w:tc>
                <w:tcPr>
                  <w:tcW w:w="1328"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C5F4CB6" w14:textId="77777777" w:rsidR="00921721" w:rsidRPr="00D22938" w:rsidRDefault="00921721" w:rsidP="00880D09">
                  <w:pPr>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w:t>
                  </w:r>
                  <w:r>
                    <w:rPr>
                      <w:rFonts w:asciiTheme="minorHAnsi" w:hAnsiTheme="minorHAnsi" w:cs="Arial"/>
                      <w:color w:val="4F81BD" w:themeColor="accent1"/>
                      <w:sz w:val="18"/>
                      <w:szCs w:val="18"/>
                      <w:lang w:val="en-GB"/>
                    </w:rPr>
                    <w:t>198</w:t>
                  </w:r>
                </w:p>
              </w:tc>
            </w:tr>
            <w:tr w:rsidR="00921721" w:rsidRPr="007463B9" w14:paraId="46448FFE" w14:textId="77777777" w:rsidTr="00880D09">
              <w:trPr>
                <w:trHeight w:val="264"/>
              </w:trPr>
              <w:tc>
                <w:tcPr>
                  <w:tcW w:w="264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CCD228F"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 xml:space="preserve">Eletric LV </w:t>
                  </w:r>
                </w:p>
              </w:tc>
              <w:tc>
                <w:tcPr>
                  <w:tcW w:w="132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4B3828B" w14:textId="77777777" w:rsidR="00921721" w:rsidRPr="00265281" w:rsidRDefault="00921721" w:rsidP="00880D09">
                  <w:pPr>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0.00</w:t>
                  </w:r>
                  <w:r>
                    <w:rPr>
                      <w:rFonts w:asciiTheme="minorHAnsi" w:hAnsiTheme="minorHAnsi" w:cs="Arial"/>
                      <w:color w:val="4F81BD" w:themeColor="accent1"/>
                      <w:sz w:val="18"/>
                      <w:szCs w:val="18"/>
                      <w:lang w:val="en-GB"/>
                    </w:rPr>
                    <w:t>4</w:t>
                  </w:r>
                </w:p>
              </w:tc>
              <w:tc>
                <w:tcPr>
                  <w:tcW w:w="132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05A3E9FD" w14:textId="77777777" w:rsidR="00921721" w:rsidRPr="00265281" w:rsidRDefault="00921721" w:rsidP="00880D09">
                  <w:pPr>
                    <w:snapToGrid w:val="0"/>
                    <w:spacing w:before="20" w:after="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0.00</w:t>
                  </w:r>
                  <w:r>
                    <w:rPr>
                      <w:rFonts w:asciiTheme="minorHAnsi" w:hAnsiTheme="minorHAnsi" w:cs="Arial"/>
                      <w:color w:val="4F81BD" w:themeColor="accent1"/>
                      <w:sz w:val="18"/>
                      <w:szCs w:val="18"/>
                      <w:lang w:val="en-GB"/>
                    </w:rPr>
                    <w:t>3</w:t>
                  </w:r>
                </w:p>
              </w:tc>
              <w:tc>
                <w:tcPr>
                  <w:tcW w:w="132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C543A11" w14:textId="77777777" w:rsidR="00921721" w:rsidRPr="00265281" w:rsidRDefault="00921721" w:rsidP="00880D09">
                  <w:pPr>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0.003</w:t>
                  </w:r>
                </w:p>
              </w:tc>
            </w:tr>
            <w:tr w:rsidR="00921721" w:rsidRPr="007463B9" w14:paraId="500E7A23" w14:textId="77777777" w:rsidTr="00880D09">
              <w:trPr>
                <w:trHeight w:val="264"/>
              </w:trPr>
              <w:tc>
                <w:tcPr>
                  <w:tcW w:w="2648"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F54D9D1"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Electric Buses</w:t>
                  </w:r>
                </w:p>
              </w:tc>
              <w:tc>
                <w:tcPr>
                  <w:tcW w:w="132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534F8E7" w14:textId="77777777" w:rsidR="00921721" w:rsidRPr="00265281" w:rsidRDefault="00921721" w:rsidP="00880D09">
                  <w:pPr>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0.00</w:t>
                  </w:r>
                  <w:r>
                    <w:rPr>
                      <w:rFonts w:asciiTheme="minorHAnsi" w:hAnsiTheme="minorHAnsi" w:cs="Arial"/>
                      <w:color w:val="4F81BD" w:themeColor="accent1"/>
                      <w:sz w:val="18"/>
                      <w:szCs w:val="18"/>
                      <w:lang w:val="en-GB"/>
                    </w:rPr>
                    <w:t>7</w:t>
                  </w:r>
                </w:p>
              </w:tc>
              <w:tc>
                <w:tcPr>
                  <w:tcW w:w="1328"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C3D5E74" w14:textId="77777777" w:rsidR="00921721" w:rsidRPr="00265281" w:rsidRDefault="00921721" w:rsidP="00880D09">
                  <w:pPr>
                    <w:snapToGrid w:val="0"/>
                    <w:spacing w:before="20" w:after="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0.02</w:t>
                  </w:r>
                  <w:r>
                    <w:rPr>
                      <w:rFonts w:asciiTheme="minorHAnsi" w:hAnsiTheme="minorHAnsi" w:cs="Arial"/>
                      <w:color w:val="4F81BD" w:themeColor="accent1"/>
                      <w:sz w:val="18"/>
                      <w:szCs w:val="18"/>
                      <w:lang w:val="en-GB"/>
                    </w:rPr>
                    <w:t>2</w:t>
                  </w:r>
                </w:p>
              </w:tc>
              <w:tc>
                <w:tcPr>
                  <w:tcW w:w="132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95D6C3F" w14:textId="77777777" w:rsidR="00921721" w:rsidRPr="00265281" w:rsidRDefault="00921721" w:rsidP="00880D09">
                  <w:pPr>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0.0</w:t>
                  </w:r>
                  <w:r>
                    <w:rPr>
                      <w:rFonts w:asciiTheme="minorHAnsi" w:hAnsiTheme="minorHAnsi" w:cs="Arial"/>
                      <w:color w:val="4F81BD" w:themeColor="accent1"/>
                      <w:sz w:val="18"/>
                      <w:szCs w:val="18"/>
                      <w:lang w:val="en-GB"/>
                    </w:rPr>
                    <w:t>09</w:t>
                  </w:r>
                </w:p>
              </w:tc>
            </w:tr>
          </w:tbl>
          <w:p w14:paraId="567074F8" w14:textId="77777777" w:rsidR="00921721" w:rsidRPr="00983DF9" w:rsidRDefault="00921721" w:rsidP="00880D09">
            <w:pPr>
              <w:ind w:right="170"/>
              <w:jc w:val="both"/>
              <w:rPr>
                <w:rFonts w:asciiTheme="minorHAnsi" w:hAnsiTheme="minorHAnsi"/>
                <w:b/>
                <w:i/>
                <w:sz w:val="16"/>
                <w:szCs w:val="16"/>
                <w:lang w:val="en-US"/>
              </w:rPr>
            </w:pPr>
            <w:r w:rsidRPr="00983DF9">
              <w:rPr>
                <w:rFonts w:asciiTheme="minorHAnsi" w:hAnsiTheme="minorHAnsi" w:cs="Arial"/>
                <w:b/>
                <w:i/>
                <w:sz w:val="16"/>
                <w:szCs w:val="16"/>
                <w:lang w:val="en-US"/>
              </w:rPr>
              <w:t xml:space="preserve">Source: CUPT-JASPERS work based on </w:t>
            </w:r>
            <w:r w:rsidRPr="00D22938">
              <w:rPr>
                <w:rFonts w:asciiTheme="minorHAnsi" w:hAnsiTheme="minorHAnsi" w:cs="Arial"/>
                <w:b/>
                <w:i/>
                <w:sz w:val="16"/>
                <w:szCs w:val="16"/>
                <w:lang w:val="en-US"/>
              </w:rPr>
              <w:t>Handbook on the External Costs of Transport (January 2019)</w:t>
            </w:r>
            <w:r>
              <w:rPr>
                <w:rFonts w:asciiTheme="minorHAnsi" w:hAnsiTheme="minorHAnsi" w:cs="Arial"/>
                <w:b/>
                <w:i/>
                <w:sz w:val="16"/>
                <w:szCs w:val="16"/>
                <w:lang w:val="en-US"/>
              </w:rPr>
              <w:t>.</w:t>
            </w:r>
          </w:p>
          <w:p w14:paraId="33442948" w14:textId="77777777" w:rsidR="00921721" w:rsidRDefault="00921721" w:rsidP="00880D09">
            <w:pPr>
              <w:pStyle w:val="anxnormal"/>
              <w:ind w:left="0"/>
              <w:rPr>
                <w:rFonts w:asciiTheme="minorHAnsi" w:hAnsiTheme="minorHAnsi"/>
                <w:lang w:val="en-GB" w:eastAsia="en-US"/>
              </w:rPr>
            </w:pPr>
            <w:r>
              <w:rPr>
                <w:rFonts w:asciiTheme="minorHAnsi" w:hAnsiTheme="minorHAnsi"/>
                <w:lang w:val="en-GB" w:eastAsia="en-US"/>
              </w:rPr>
              <w:t>Assumptions on road vehicle fleet composition and its evolution in time regarding type of fuel consumption are the same as applied and to be considered in VOC category. Therefore, the same considerations on LV fleet composition evolution (regarding fuel type consumption) along analysis period are to be applied for air pollution costs calculations.</w:t>
            </w:r>
          </w:p>
          <w:p w14:paraId="58F08B2B" w14:textId="77777777" w:rsidR="00921721" w:rsidRDefault="00921721" w:rsidP="00880D09">
            <w:pPr>
              <w:pStyle w:val="anxnormal"/>
              <w:spacing w:after="120"/>
              <w:ind w:left="0"/>
              <w:rPr>
                <w:rFonts w:asciiTheme="minorHAnsi" w:hAnsiTheme="minorHAnsi"/>
                <w:bCs/>
                <w:lang w:val="en-GB" w:eastAsia="en-US"/>
              </w:rPr>
            </w:pPr>
            <w:r>
              <w:rPr>
                <w:rFonts w:asciiTheme="minorHAnsi" w:hAnsiTheme="minorHAnsi"/>
                <w:bCs/>
                <w:lang w:val="en-GB" w:eastAsia="en-US"/>
              </w:rPr>
              <w:t>The influence of road gradient on air pollution emissions by road vehicles is assumed the same as on fuel consumption. It</w:t>
            </w:r>
            <w:r w:rsidRPr="00016AAD">
              <w:rPr>
                <w:rFonts w:asciiTheme="minorHAnsi" w:hAnsiTheme="minorHAnsi"/>
                <w:bCs/>
                <w:lang w:val="en-GB" w:eastAsia="en-US"/>
              </w:rPr>
              <w:t xml:space="preserve"> is considered that a hilly terrain </w:t>
            </w:r>
            <w:r>
              <w:rPr>
                <w:rFonts w:asciiTheme="minorHAnsi" w:hAnsiTheme="minorHAnsi"/>
                <w:bCs/>
                <w:lang w:val="en-GB" w:eastAsia="en-US"/>
              </w:rPr>
              <w:t>increases</w:t>
            </w:r>
            <w:r w:rsidRPr="00016AAD">
              <w:rPr>
                <w:rFonts w:asciiTheme="minorHAnsi" w:hAnsiTheme="minorHAnsi"/>
                <w:bCs/>
                <w:lang w:val="en-GB" w:eastAsia="en-US"/>
              </w:rPr>
              <w:t xml:space="preserve"> fuel consumption by </w:t>
            </w:r>
            <w:r>
              <w:rPr>
                <w:rFonts w:asciiTheme="minorHAnsi" w:hAnsiTheme="minorHAnsi"/>
                <w:bCs/>
                <w:lang w:val="en-GB" w:eastAsia="en-US"/>
              </w:rPr>
              <w:t xml:space="preserve">15% for LV. For HGV, the related factor was obtained based on the fuel consumption equations. </w:t>
            </w:r>
          </w:p>
          <w:p w14:paraId="1F17CC8F" w14:textId="77777777" w:rsidR="00921721" w:rsidRDefault="00921721" w:rsidP="00880D09">
            <w:pPr>
              <w:pStyle w:val="anxnormal"/>
              <w:spacing w:after="120"/>
              <w:ind w:left="0"/>
              <w:rPr>
                <w:rFonts w:asciiTheme="minorHAnsi" w:hAnsiTheme="minorHAnsi"/>
                <w:bCs/>
                <w:lang w:val="en-GB" w:eastAsia="en-US"/>
              </w:rPr>
            </w:pPr>
          </w:p>
          <w:p w14:paraId="6F0F5EEA" w14:textId="77777777" w:rsidR="00921721" w:rsidRDefault="00921721" w:rsidP="00880D09">
            <w:pPr>
              <w:pStyle w:val="anxnormal"/>
              <w:spacing w:after="120"/>
              <w:ind w:left="0"/>
              <w:rPr>
                <w:rFonts w:asciiTheme="minorHAnsi" w:hAnsiTheme="minorHAnsi"/>
                <w:bCs/>
                <w:lang w:val="en-GB" w:eastAsia="en-US"/>
              </w:rPr>
            </w:pPr>
          </w:p>
          <w:p w14:paraId="3BB93676" w14:textId="77777777" w:rsidR="00921721" w:rsidRDefault="00921721" w:rsidP="00880D09">
            <w:pPr>
              <w:pStyle w:val="anxnormal"/>
              <w:spacing w:after="120"/>
              <w:ind w:left="0"/>
              <w:rPr>
                <w:rFonts w:asciiTheme="minorHAnsi" w:hAnsiTheme="minorHAnsi"/>
                <w:lang w:val="en-GB" w:eastAsia="en-US"/>
              </w:rPr>
            </w:pPr>
          </w:p>
          <w:p w14:paraId="4B6B25A8" w14:textId="77777777" w:rsidR="00921721" w:rsidRPr="00731E4E" w:rsidRDefault="00921721" w:rsidP="00880D09">
            <w:pPr>
              <w:pStyle w:val="anxnormal"/>
              <w:spacing w:after="120"/>
              <w:ind w:left="0"/>
              <w:rPr>
                <w:rFonts w:asciiTheme="minorHAnsi" w:hAnsiTheme="minorHAnsi"/>
                <w:lang w:val="en-GB" w:eastAsia="en-US"/>
              </w:rPr>
            </w:pPr>
            <w:r w:rsidRPr="00731E4E">
              <w:rPr>
                <w:rFonts w:asciiTheme="minorHAnsi" w:hAnsiTheme="minorHAnsi"/>
                <w:lang w:val="en-GB" w:eastAsia="en-US"/>
              </w:rPr>
              <w:t xml:space="preserve">Costs </w:t>
            </w:r>
            <w:r>
              <w:rPr>
                <w:rFonts w:asciiTheme="minorHAnsi" w:hAnsiTheme="minorHAnsi"/>
                <w:lang w:val="en-GB" w:eastAsia="en-US"/>
              </w:rPr>
              <w:t>multiplying</w:t>
            </w:r>
            <w:r w:rsidRPr="00731E4E">
              <w:rPr>
                <w:rFonts w:asciiTheme="minorHAnsi" w:hAnsiTheme="minorHAnsi"/>
                <w:lang w:val="en-GB" w:eastAsia="en-US"/>
              </w:rPr>
              <w:t xml:space="preserve"> indicators depending on type of terrain</w:t>
            </w:r>
          </w:p>
          <w:tbl>
            <w:tblPr>
              <w:tblW w:w="3395" w:type="dxa"/>
              <w:tblLayout w:type="fixed"/>
              <w:tblLook w:val="04A0" w:firstRow="1" w:lastRow="0" w:firstColumn="1" w:lastColumn="0" w:noHBand="0" w:noVBand="1"/>
            </w:tblPr>
            <w:tblGrid>
              <w:gridCol w:w="1694"/>
              <w:gridCol w:w="850"/>
              <w:gridCol w:w="851"/>
            </w:tblGrid>
            <w:tr w:rsidR="00921721" w:rsidRPr="007463B9" w14:paraId="1BB5F44E"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890813C"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Type of terrain</w:t>
                  </w: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ABAC785"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LV</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A85024C"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HGV</w:t>
                  </w:r>
                </w:p>
              </w:tc>
            </w:tr>
            <w:tr w:rsidR="00921721" w:rsidRPr="007463B9" w14:paraId="4FEF4316"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E6A0DE2" w14:textId="77777777" w:rsidR="00921721" w:rsidRPr="00CA444D" w:rsidRDefault="00921721" w:rsidP="00880D09">
                  <w:pPr>
                    <w:spacing w:before="20"/>
                    <w:jc w:val="center"/>
                    <w:rPr>
                      <w:rFonts w:asciiTheme="minorHAnsi" w:hAnsiTheme="minorHAnsi" w:cs="Calibri"/>
                      <w:color w:val="4F81BD" w:themeColor="accent1"/>
                      <w:sz w:val="18"/>
                      <w:szCs w:val="18"/>
                      <w:lang w:val="en-GB"/>
                    </w:rPr>
                  </w:pPr>
                  <w:r>
                    <w:rPr>
                      <w:rFonts w:asciiTheme="minorHAnsi" w:hAnsiTheme="minorHAnsi" w:cs="Arial"/>
                      <w:color w:val="4F81BD" w:themeColor="accent1"/>
                      <w:sz w:val="18"/>
                      <w:szCs w:val="18"/>
                      <w:lang w:val="en-GB"/>
                    </w:rPr>
                    <w:t>Flat</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5A35DC3"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750C054"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r>
            <w:tr w:rsidR="00921721" w:rsidRPr="007463B9" w14:paraId="5901B83D"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8ED8467"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Rolling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AFD1BFD"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 xml:space="preserve">1.150 </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B279812"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 xml:space="preserve">1.697 </w:t>
                  </w:r>
                </w:p>
              </w:tc>
            </w:tr>
          </w:tbl>
          <w:p w14:paraId="3205E3DD" w14:textId="77777777" w:rsidR="00921721" w:rsidRDefault="00921721" w:rsidP="00880D09">
            <w:pPr>
              <w:spacing w:after="120"/>
              <w:ind w:right="170"/>
              <w:jc w:val="both"/>
              <w:rPr>
                <w:rFonts w:asciiTheme="minorHAnsi" w:hAnsiTheme="minorHAnsi" w:cs="Arial"/>
                <w:b/>
                <w:i/>
                <w:sz w:val="16"/>
                <w:szCs w:val="16"/>
                <w:lang w:val="en-GB"/>
              </w:rPr>
            </w:pPr>
            <w:r w:rsidRPr="00731E4E">
              <w:rPr>
                <w:rFonts w:asciiTheme="minorHAnsi" w:hAnsiTheme="minorHAnsi" w:cs="Arial"/>
                <w:b/>
                <w:i/>
                <w:sz w:val="16"/>
                <w:szCs w:val="16"/>
                <w:lang w:val="en-GB"/>
              </w:rPr>
              <w:t xml:space="preserve">Source: </w:t>
            </w:r>
            <w:r>
              <w:rPr>
                <w:rFonts w:asciiTheme="minorHAnsi" w:hAnsiTheme="minorHAnsi" w:cs="Arial"/>
                <w:b/>
                <w:i/>
                <w:sz w:val="16"/>
                <w:szCs w:val="16"/>
                <w:lang w:val="en-GB"/>
              </w:rPr>
              <w:t>CUPT-JASPERS work.</w:t>
            </w:r>
          </w:p>
          <w:p w14:paraId="270357C0" w14:textId="77777777" w:rsidR="00921721" w:rsidRDefault="00921721" w:rsidP="00880D09">
            <w:pPr>
              <w:spacing w:after="120"/>
              <w:ind w:right="170"/>
              <w:jc w:val="both"/>
              <w:rPr>
                <w:rFonts w:asciiTheme="minorHAnsi" w:hAnsiTheme="minorHAnsi" w:cs="Arial"/>
                <w:b/>
                <w:i/>
                <w:sz w:val="16"/>
                <w:szCs w:val="16"/>
                <w:lang w:val="en-GB"/>
              </w:rPr>
            </w:pPr>
          </w:p>
          <w:p w14:paraId="464A18A5" w14:textId="77777777" w:rsidR="00921721" w:rsidRDefault="00921721" w:rsidP="00880D09">
            <w:pPr>
              <w:spacing w:after="120"/>
              <w:ind w:right="170"/>
              <w:jc w:val="both"/>
              <w:rPr>
                <w:rFonts w:asciiTheme="minorHAnsi" w:hAnsiTheme="minorHAnsi" w:cs="Arial"/>
                <w:b/>
                <w:i/>
                <w:sz w:val="16"/>
                <w:szCs w:val="16"/>
                <w:lang w:val="en-GB"/>
              </w:rPr>
            </w:pPr>
          </w:p>
          <w:p w14:paraId="23A05F1D" w14:textId="77777777" w:rsidR="00921721" w:rsidRDefault="00921721" w:rsidP="00880D09">
            <w:pPr>
              <w:spacing w:after="120"/>
              <w:ind w:right="170"/>
              <w:jc w:val="both"/>
              <w:rPr>
                <w:rFonts w:asciiTheme="minorHAnsi" w:hAnsiTheme="minorHAnsi" w:cs="Arial"/>
                <w:b/>
                <w:i/>
                <w:sz w:val="16"/>
                <w:szCs w:val="16"/>
                <w:lang w:val="en-GB"/>
              </w:rPr>
            </w:pPr>
          </w:p>
          <w:p w14:paraId="5A6DA7F6" w14:textId="77777777" w:rsidR="00921721" w:rsidRPr="00731E4E" w:rsidRDefault="00921721" w:rsidP="00880D09">
            <w:pPr>
              <w:pStyle w:val="anxnormal"/>
              <w:spacing w:after="120"/>
              <w:ind w:left="0"/>
              <w:rPr>
                <w:rFonts w:asciiTheme="minorHAnsi" w:hAnsiTheme="minorHAnsi"/>
                <w:lang w:val="en-GB" w:eastAsia="en-US"/>
              </w:rPr>
            </w:pPr>
            <w:r w:rsidRPr="00731E4E">
              <w:rPr>
                <w:rFonts w:asciiTheme="minorHAnsi" w:hAnsiTheme="minorHAnsi"/>
                <w:lang w:val="en-GB" w:eastAsia="en-US"/>
              </w:rPr>
              <w:t xml:space="preserve">Costs </w:t>
            </w:r>
            <w:r>
              <w:rPr>
                <w:rFonts w:asciiTheme="minorHAnsi" w:hAnsiTheme="minorHAnsi"/>
                <w:lang w:val="en-GB" w:eastAsia="en-US"/>
              </w:rPr>
              <w:t>multiplying</w:t>
            </w:r>
            <w:r w:rsidRPr="00731E4E">
              <w:rPr>
                <w:rFonts w:asciiTheme="minorHAnsi" w:hAnsiTheme="minorHAnsi"/>
                <w:lang w:val="en-GB" w:eastAsia="en-US"/>
              </w:rPr>
              <w:t xml:space="preserve"> indicators depending on </w:t>
            </w:r>
            <w:r>
              <w:rPr>
                <w:rFonts w:asciiTheme="minorHAnsi" w:hAnsiTheme="minorHAnsi"/>
                <w:lang w:val="en-GB" w:eastAsia="en-US"/>
              </w:rPr>
              <w:t>pavement condition</w:t>
            </w:r>
          </w:p>
          <w:tbl>
            <w:tblPr>
              <w:tblW w:w="5955" w:type="dxa"/>
              <w:tblLayout w:type="fixed"/>
              <w:tblLook w:val="04A0" w:firstRow="1" w:lastRow="0" w:firstColumn="1" w:lastColumn="0" w:noHBand="0" w:noVBand="1"/>
            </w:tblPr>
            <w:tblGrid>
              <w:gridCol w:w="2972"/>
              <w:gridCol w:w="1491"/>
              <w:gridCol w:w="1492"/>
            </w:tblGrid>
            <w:tr w:rsidR="00921721" w:rsidRPr="007463B9" w14:paraId="51686B19" w14:textId="77777777" w:rsidTr="00880D09">
              <w:trPr>
                <w:trHeight w:hRule="exact" w:val="576"/>
              </w:trPr>
              <w:tc>
                <w:tcPr>
                  <w:tcW w:w="297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BD16CB2"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Pavement condition</w:t>
                  </w:r>
                </w:p>
              </w:tc>
              <w:tc>
                <w:tcPr>
                  <w:tcW w:w="149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C43CAD1"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LV</w:t>
                  </w:r>
                </w:p>
              </w:tc>
              <w:tc>
                <w:tcPr>
                  <w:tcW w:w="149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FC8B22D"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HGV</w:t>
                  </w:r>
                </w:p>
              </w:tc>
            </w:tr>
            <w:tr w:rsidR="00921721" w:rsidRPr="007463B9" w14:paraId="0D6B4F90" w14:textId="77777777" w:rsidTr="00880D09">
              <w:trPr>
                <w:trHeight w:val="283"/>
              </w:trPr>
              <w:tc>
                <w:tcPr>
                  <w:tcW w:w="297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DE17693" w14:textId="77777777" w:rsidR="00921721" w:rsidRPr="00CA444D" w:rsidRDefault="00921721" w:rsidP="00880D09">
                  <w:pPr>
                    <w:spacing w:before="20"/>
                    <w:jc w:val="center"/>
                    <w:rPr>
                      <w:rFonts w:asciiTheme="minorHAnsi" w:hAnsiTheme="minorHAnsi" w:cs="Calibri"/>
                      <w:color w:val="4F81BD" w:themeColor="accent1"/>
                      <w:sz w:val="18"/>
                      <w:szCs w:val="18"/>
                      <w:lang w:val="en-GB"/>
                    </w:rPr>
                  </w:pPr>
                  <w:r>
                    <w:rPr>
                      <w:rFonts w:asciiTheme="minorHAnsi" w:hAnsiTheme="minorHAnsi" w:cs="Arial"/>
                      <w:color w:val="4F81BD" w:themeColor="accent1"/>
                      <w:sz w:val="18"/>
                      <w:szCs w:val="18"/>
                      <w:lang w:val="en-GB"/>
                    </w:rPr>
                    <w:t>Good (rehabilitated/ reconstructed)</w:t>
                  </w:r>
                </w:p>
              </w:tc>
              <w:tc>
                <w:tcPr>
                  <w:tcW w:w="149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D8EACBC"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c>
                <w:tcPr>
                  <w:tcW w:w="1492"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5857F24"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r>
            <w:tr w:rsidR="00921721" w:rsidRPr="007463B9" w14:paraId="2C56AF27" w14:textId="77777777" w:rsidTr="00880D09">
              <w:trPr>
                <w:trHeight w:val="283"/>
              </w:trPr>
              <w:tc>
                <w:tcPr>
                  <w:tcW w:w="297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8D805BA"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Degraded</w:t>
                  </w:r>
                </w:p>
              </w:tc>
              <w:tc>
                <w:tcPr>
                  <w:tcW w:w="149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260962C"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1.169</w:t>
                  </w:r>
                </w:p>
              </w:tc>
              <w:tc>
                <w:tcPr>
                  <w:tcW w:w="1492"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E6DFB84"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1.188</w:t>
                  </w:r>
                </w:p>
              </w:tc>
            </w:tr>
          </w:tbl>
          <w:p w14:paraId="148A277D" w14:textId="77777777" w:rsidR="00921721" w:rsidRDefault="00921721" w:rsidP="00880D09">
            <w:pPr>
              <w:spacing w:after="120"/>
              <w:ind w:right="170"/>
              <w:jc w:val="both"/>
              <w:rPr>
                <w:rFonts w:asciiTheme="minorHAnsi" w:hAnsiTheme="minorHAnsi" w:cs="Arial"/>
                <w:b/>
                <w:i/>
                <w:sz w:val="16"/>
                <w:szCs w:val="16"/>
                <w:lang w:val="en-GB"/>
              </w:rPr>
            </w:pPr>
            <w:r w:rsidRPr="00731E4E">
              <w:rPr>
                <w:rFonts w:asciiTheme="minorHAnsi" w:hAnsiTheme="minorHAnsi" w:cs="Arial"/>
                <w:b/>
                <w:i/>
                <w:sz w:val="16"/>
                <w:szCs w:val="16"/>
                <w:lang w:val="en-GB"/>
              </w:rPr>
              <w:t xml:space="preserve">Source: </w:t>
            </w:r>
            <w:r>
              <w:rPr>
                <w:rFonts w:asciiTheme="minorHAnsi" w:hAnsiTheme="minorHAnsi" w:cs="Arial"/>
                <w:b/>
                <w:i/>
                <w:sz w:val="16"/>
                <w:szCs w:val="16"/>
                <w:lang w:val="en-GB"/>
              </w:rPr>
              <w:t xml:space="preserve">CUPT-JASPERS work based on </w:t>
            </w:r>
            <w:r w:rsidRPr="00B90582">
              <w:rPr>
                <w:rFonts w:asciiTheme="minorHAnsi" w:hAnsiTheme="minorHAnsi" w:cs="Arial"/>
                <w:b/>
                <w:i/>
                <w:sz w:val="16"/>
                <w:szCs w:val="16"/>
                <w:lang w:val="en-GB"/>
              </w:rPr>
              <w:t>"Optimisation of Maintenance", OECD/ITF 2012</w:t>
            </w:r>
            <w:r>
              <w:rPr>
                <w:rFonts w:asciiTheme="minorHAnsi" w:hAnsiTheme="minorHAnsi" w:cs="Arial"/>
                <w:b/>
                <w:i/>
                <w:sz w:val="16"/>
                <w:szCs w:val="16"/>
                <w:lang w:val="en-GB"/>
              </w:rPr>
              <w:t>.</w:t>
            </w:r>
          </w:p>
          <w:p w14:paraId="1319A25B" w14:textId="77777777" w:rsidR="00921721" w:rsidRDefault="00921721" w:rsidP="00880D09">
            <w:pPr>
              <w:spacing w:before="120" w:after="120"/>
              <w:ind w:right="170"/>
              <w:jc w:val="both"/>
              <w:rPr>
                <w:rFonts w:asciiTheme="minorHAnsi" w:hAnsiTheme="minorHAnsi" w:cs="Arial"/>
                <w:snapToGrid w:val="0"/>
                <w:sz w:val="20"/>
                <w:szCs w:val="20"/>
                <w:u w:val="single"/>
                <w:lang w:val="en-GB" w:eastAsia="en-US"/>
              </w:rPr>
            </w:pPr>
          </w:p>
          <w:p w14:paraId="59763C86" w14:textId="77777777" w:rsidR="00921721" w:rsidRDefault="00921721" w:rsidP="00880D09">
            <w:pPr>
              <w:spacing w:before="120" w:after="120"/>
              <w:ind w:right="170"/>
              <w:jc w:val="both"/>
              <w:rPr>
                <w:rFonts w:asciiTheme="minorHAnsi" w:hAnsiTheme="minorHAnsi" w:cs="Arial"/>
                <w:snapToGrid w:val="0"/>
                <w:sz w:val="20"/>
                <w:szCs w:val="20"/>
                <w:u w:val="single"/>
                <w:lang w:val="en-GB" w:eastAsia="en-US"/>
              </w:rPr>
            </w:pPr>
          </w:p>
          <w:p w14:paraId="27FCB4C0" w14:textId="77777777" w:rsidR="00921721" w:rsidRDefault="00921721" w:rsidP="00880D09">
            <w:pPr>
              <w:spacing w:before="120" w:after="120"/>
              <w:ind w:right="170"/>
              <w:jc w:val="both"/>
              <w:rPr>
                <w:rFonts w:asciiTheme="minorHAnsi" w:hAnsiTheme="minorHAnsi" w:cs="Arial"/>
                <w:snapToGrid w:val="0"/>
                <w:sz w:val="20"/>
                <w:szCs w:val="20"/>
                <w:u w:val="single"/>
                <w:lang w:val="en-GB" w:eastAsia="en-US"/>
              </w:rPr>
            </w:pPr>
            <w:r w:rsidRPr="002C6855">
              <w:rPr>
                <w:rFonts w:asciiTheme="minorHAnsi" w:hAnsiTheme="minorHAnsi" w:cs="Arial"/>
                <w:snapToGrid w:val="0"/>
                <w:sz w:val="20"/>
                <w:szCs w:val="20"/>
                <w:u w:val="single"/>
                <w:lang w:val="en-GB" w:eastAsia="en-US"/>
              </w:rPr>
              <w:t>Rail modes</w:t>
            </w:r>
          </w:p>
          <w:p w14:paraId="24AEFBF3" w14:textId="77777777" w:rsidR="00921721" w:rsidRPr="002C6855" w:rsidRDefault="00921721" w:rsidP="00880D09">
            <w:pPr>
              <w:spacing w:before="120" w:after="120"/>
              <w:ind w:right="170"/>
              <w:jc w:val="both"/>
              <w:rPr>
                <w:rFonts w:asciiTheme="minorHAnsi" w:hAnsiTheme="minorHAnsi" w:cs="Arial"/>
                <w:snapToGrid w:val="0"/>
                <w:sz w:val="20"/>
                <w:szCs w:val="20"/>
                <w:lang w:val="en-GB" w:eastAsia="en-US"/>
              </w:rPr>
            </w:pPr>
            <w:r w:rsidRPr="002C6855">
              <w:rPr>
                <w:rFonts w:asciiTheme="minorHAnsi" w:hAnsiTheme="minorHAnsi" w:cs="Arial"/>
                <w:snapToGrid w:val="0"/>
                <w:sz w:val="20"/>
                <w:szCs w:val="20"/>
                <w:lang w:val="en-GB" w:eastAsia="en-US"/>
              </w:rPr>
              <w:t>Marginal co</w:t>
            </w:r>
            <w:r>
              <w:rPr>
                <w:rFonts w:asciiTheme="minorHAnsi" w:hAnsiTheme="minorHAnsi" w:cs="Arial"/>
                <w:snapToGrid w:val="0"/>
                <w:sz w:val="20"/>
                <w:szCs w:val="20"/>
                <w:lang w:val="en-GB" w:eastAsia="en-US"/>
              </w:rPr>
              <w:t>sts</w:t>
            </w:r>
            <w:r w:rsidRPr="002C6855">
              <w:rPr>
                <w:rFonts w:asciiTheme="minorHAnsi" w:hAnsiTheme="minorHAnsi" w:cs="Arial"/>
                <w:snapToGrid w:val="0"/>
                <w:sz w:val="20"/>
                <w:szCs w:val="20"/>
                <w:lang w:val="en-GB" w:eastAsia="en-US"/>
              </w:rPr>
              <w:t xml:space="preserve"> for air </w:t>
            </w:r>
            <w:r>
              <w:rPr>
                <w:rFonts w:asciiTheme="minorHAnsi" w:hAnsiTheme="minorHAnsi" w:cs="Arial"/>
                <w:snapToGrid w:val="0"/>
                <w:sz w:val="20"/>
                <w:szCs w:val="20"/>
                <w:lang w:val="en-GB" w:eastAsia="en-US"/>
              </w:rPr>
              <w:t>pollution in PLN/train-</w:t>
            </w:r>
            <w:r w:rsidRPr="002C6855">
              <w:rPr>
                <w:rFonts w:asciiTheme="minorHAnsi" w:hAnsiTheme="minorHAnsi" w:cs="Arial"/>
                <w:snapToGrid w:val="0"/>
                <w:sz w:val="20"/>
                <w:szCs w:val="20"/>
                <w:lang w:val="en-GB" w:eastAsia="en-US"/>
              </w:rPr>
              <w:t>km, prices 202</w:t>
            </w:r>
            <w:r>
              <w:rPr>
                <w:rFonts w:asciiTheme="minorHAnsi" w:hAnsiTheme="minorHAnsi" w:cs="Arial"/>
                <w:snapToGrid w:val="0"/>
                <w:sz w:val="20"/>
                <w:szCs w:val="20"/>
                <w:lang w:val="en-GB" w:eastAsia="en-US"/>
              </w:rPr>
              <w:t>1</w:t>
            </w:r>
          </w:p>
          <w:tbl>
            <w:tblPr>
              <w:tblW w:w="6841" w:type="dxa"/>
              <w:tblLayout w:type="fixed"/>
              <w:tblLook w:val="04A0" w:firstRow="1" w:lastRow="0" w:firstColumn="1" w:lastColumn="0" w:noHBand="0" w:noVBand="1"/>
            </w:tblPr>
            <w:tblGrid>
              <w:gridCol w:w="1405"/>
              <w:gridCol w:w="2013"/>
              <w:gridCol w:w="1141"/>
              <w:gridCol w:w="1141"/>
              <w:gridCol w:w="1141"/>
            </w:tblGrid>
            <w:tr w:rsidR="00921721" w:rsidRPr="00B127F9" w14:paraId="725FF7D9" w14:textId="77777777" w:rsidTr="00880D09">
              <w:trPr>
                <w:trHeight w:hRule="exact" w:val="1188"/>
              </w:trPr>
              <w:tc>
                <w:tcPr>
                  <w:tcW w:w="1405"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80456B7" w14:textId="77777777" w:rsidR="00921721"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Passenger</w:t>
                  </w:r>
                </w:p>
                <w:p w14:paraId="097FA897"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2B7802">
                    <w:rPr>
                      <w:rFonts w:asciiTheme="minorHAnsi" w:hAnsiTheme="minorHAnsi" w:cs="Arial"/>
                      <w:b/>
                      <w:bCs/>
                      <w:color w:val="FFFFFF"/>
                      <w:sz w:val="18"/>
                      <w:szCs w:val="18"/>
                      <w:lang w:val="en-GB"/>
                    </w:rPr>
                    <w:t xml:space="preserve">PLN/ </w:t>
                  </w:r>
                  <w:r>
                    <w:rPr>
                      <w:rFonts w:asciiTheme="minorHAnsi" w:hAnsiTheme="minorHAnsi" w:cs="Arial"/>
                      <w:b/>
                      <w:bCs/>
                      <w:color w:val="FFFFFF"/>
                      <w:sz w:val="18"/>
                      <w:szCs w:val="18"/>
                      <w:lang w:val="en-GB"/>
                    </w:rPr>
                    <w:t>train</w:t>
                  </w:r>
                  <w:r w:rsidRPr="002B7802">
                    <w:rPr>
                      <w:rFonts w:asciiTheme="minorHAnsi" w:hAnsiTheme="minorHAnsi" w:cs="Arial"/>
                      <w:b/>
                      <w:bCs/>
                      <w:color w:val="FFFFFF"/>
                      <w:sz w:val="18"/>
                      <w:szCs w:val="18"/>
                      <w:lang w:val="en-GB"/>
                    </w:rPr>
                    <w:t>-km</w:t>
                  </w:r>
                </w:p>
              </w:tc>
              <w:tc>
                <w:tcPr>
                  <w:tcW w:w="201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17350DF"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p>
              </w:tc>
              <w:tc>
                <w:tcPr>
                  <w:tcW w:w="1141"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3FF22E57"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Metropolitan area (*)</w:t>
                  </w:r>
                </w:p>
              </w:tc>
              <w:tc>
                <w:tcPr>
                  <w:tcW w:w="114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8E88357"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Urban area</w:t>
                  </w:r>
                </w:p>
              </w:tc>
              <w:tc>
                <w:tcPr>
                  <w:tcW w:w="1141"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1B038DB4" w14:textId="77777777" w:rsidR="00921721"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Rural area</w:t>
                  </w:r>
                </w:p>
              </w:tc>
            </w:tr>
            <w:tr w:rsidR="00921721" w:rsidRPr="00B127F9" w14:paraId="07038E9B" w14:textId="77777777" w:rsidTr="00880D09">
              <w:trPr>
                <w:trHeight w:val="266"/>
              </w:trPr>
              <w:tc>
                <w:tcPr>
                  <w:tcW w:w="1405" w:type="dxa"/>
                  <w:vMerge w:val="restart"/>
                  <w:tcBorders>
                    <w:top w:val="single" w:sz="4" w:space="0" w:color="FFFFFF"/>
                    <w:left w:val="single" w:sz="4" w:space="0" w:color="FFFFFF"/>
                    <w:right w:val="nil"/>
                  </w:tcBorders>
                  <w:shd w:val="clear" w:color="auto" w:fill="DBE5F1" w:themeFill="accent1" w:themeFillTint="33"/>
                  <w:vAlign w:val="center"/>
                </w:tcPr>
                <w:p w14:paraId="66B42848"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Electric</w:t>
                  </w:r>
                </w:p>
              </w:tc>
              <w:tc>
                <w:tcPr>
                  <w:tcW w:w="2013"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87A3417"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Highspeed train</w:t>
                  </w:r>
                </w:p>
              </w:tc>
              <w:tc>
                <w:tcPr>
                  <w:tcW w:w="114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732D1957"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4320748"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tcPr>
                <w:p w14:paraId="2E4E258E"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p>
              </w:tc>
            </w:tr>
            <w:tr w:rsidR="00921721" w:rsidRPr="00B127F9" w14:paraId="2BA39D04" w14:textId="77777777" w:rsidTr="00880D09">
              <w:trPr>
                <w:trHeight w:val="266"/>
              </w:trPr>
              <w:tc>
                <w:tcPr>
                  <w:tcW w:w="1405" w:type="dxa"/>
                  <w:vMerge/>
                  <w:tcBorders>
                    <w:left w:val="single" w:sz="4" w:space="0" w:color="FFFFFF"/>
                    <w:right w:val="nil"/>
                  </w:tcBorders>
                  <w:shd w:val="clear" w:color="auto" w:fill="DBE5F1" w:themeFill="accent1" w:themeFillTint="33"/>
                  <w:vAlign w:val="center"/>
                </w:tcPr>
                <w:p w14:paraId="2E8297DE" w14:textId="77777777" w:rsidR="00921721" w:rsidRPr="00B72029" w:rsidRDefault="00921721" w:rsidP="00880D09">
                  <w:pPr>
                    <w:spacing w:before="20"/>
                    <w:jc w:val="center"/>
                    <w:rPr>
                      <w:rFonts w:asciiTheme="minorHAnsi" w:hAnsiTheme="minorHAnsi" w:cs="Arial"/>
                      <w:color w:val="4F81BD" w:themeColor="accent1"/>
                      <w:sz w:val="18"/>
                      <w:szCs w:val="18"/>
                      <w:lang w:val="en-GB"/>
                    </w:rPr>
                  </w:pPr>
                </w:p>
              </w:tc>
              <w:tc>
                <w:tcPr>
                  <w:tcW w:w="2013"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308E508"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Intercity train</w:t>
                  </w:r>
                </w:p>
              </w:tc>
              <w:tc>
                <w:tcPr>
                  <w:tcW w:w="114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67474563"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0.010</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tcPr>
                <w:p w14:paraId="343DCCDE"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0.010</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tcPr>
                <w:p w14:paraId="41E93BB0"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0.010</w:t>
                  </w:r>
                </w:p>
              </w:tc>
            </w:tr>
            <w:tr w:rsidR="00921721" w:rsidRPr="00B127F9" w14:paraId="2F9F1B2C" w14:textId="77777777" w:rsidTr="00880D09">
              <w:trPr>
                <w:trHeight w:val="266"/>
              </w:trPr>
              <w:tc>
                <w:tcPr>
                  <w:tcW w:w="1405" w:type="dxa"/>
                  <w:vMerge/>
                  <w:tcBorders>
                    <w:left w:val="single" w:sz="4" w:space="0" w:color="FFFFFF"/>
                    <w:right w:val="nil"/>
                  </w:tcBorders>
                  <w:shd w:val="clear" w:color="auto" w:fill="DBE5F1" w:themeFill="accent1" w:themeFillTint="33"/>
                  <w:vAlign w:val="center"/>
                </w:tcPr>
                <w:p w14:paraId="3ECB6045" w14:textId="77777777" w:rsidR="00921721" w:rsidRPr="00B72029" w:rsidRDefault="00921721" w:rsidP="00880D09">
                  <w:pPr>
                    <w:spacing w:before="20"/>
                    <w:jc w:val="center"/>
                    <w:rPr>
                      <w:rFonts w:asciiTheme="minorHAnsi" w:hAnsiTheme="minorHAnsi" w:cs="Arial"/>
                      <w:color w:val="4F81BD" w:themeColor="accent1"/>
                      <w:sz w:val="18"/>
                      <w:szCs w:val="18"/>
                      <w:lang w:val="en-GB"/>
                    </w:rPr>
                  </w:pPr>
                </w:p>
              </w:tc>
              <w:tc>
                <w:tcPr>
                  <w:tcW w:w="2013"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B390B4A"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Regional train</w:t>
                  </w:r>
                </w:p>
              </w:tc>
              <w:tc>
                <w:tcPr>
                  <w:tcW w:w="114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7672CFA6"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117A79">
                    <w:rPr>
                      <w:rFonts w:asciiTheme="minorHAnsi" w:hAnsiTheme="minorHAnsi" w:cs="Arial"/>
                      <w:color w:val="4F81BD" w:themeColor="accent1"/>
                      <w:sz w:val="18"/>
                      <w:szCs w:val="18"/>
                      <w:lang w:val="en-GB"/>
                    </w:rPr>
                    <w:t>0.016</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tcPr>
                <w:p w14:paraId="2D95153B"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117A79">
                    <w:rPr>
                      <w:rFonts w:asciiTheme="minorHAnsi" w:hAnsiTheme="minorHAnsi" w:cs="Arial"/>
                      <w:color w:val="4F81BD" w:themeColor="accent1"/>
                      <w:sz w:val="18"/>
                      <w:szCs w:val="18"/>
                      <w:lang w:val="en-GB"/>
                    </w:rPr>
                    <w:t>0.016</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tcPr>
                <w:p w14:paraId="4B5C5113"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117A79">
                    <w:rPr>
                      <w:rFonts w:asciiTheme="minorHAnsi" w:hAnsiTheme="minorHAnsi" w:cs="Arial"/>
                      <w:color w:val="4F81BD" w:themeColor="accent1"/>
                      <w:sz w:val="18"/>
                      <w:szCs w:val="18"/>
                      <w:lang w:val="en-GB"/>
                    </w:rPr>
                    <w:t>0.016</w:t>
                  </w:r>
                </w:p>
              </w:tc>
            </w:tr>
            <w:tr w:rsidR="00921721" w:rsidRPr="003E7EB2" w14:paraId="470D35AF" w14:textId="77777777" w:rsidTr="00880D09">
              <w:trPr>
                <w:trHeight w:val="266"/>
              </w:trPr>
              <w:tc>
                <w:tcPr>
                  <w:tcW w:w="1405" w:type="dxa"/>
                  <w:vMerge w:val="restart"/>
                  <w:tcBorders>
                    <w:top w:val="single" w:sz="4" w:space="0" w:color="FFFFFF"/>
                    <w:left w:val="single" w:sz="4" w:space="0" w:color="FFFFFF"/>
                    <w:right w:val="nil"/>
                  </w:tcBorders>
                  <w:shd w:val="clear" w:color="auto" w:fill="DBE5F1" w:themeFill="accent1" w:themeFillTint="33"/>
                  <w:vAlign w:val="center"/>
                </w:tcPr>
                <w:p w14:paraId="05E23597" w14:textId="77777777" w:rsidR="00921721" w:rsidRPr="00B72029"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Diesel</w:t>
                  </w:r>
                </w:p>
              </w:tc>
              <w:tc>
                <w:tcPr>
                  <w:tcW w:w="2013"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22E83B9"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Intercity train</w:t>
                  </w:r>
                </w:p>
                <w:p w14:paraId="5D802DF1"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 xml:space="preserve"> (with EGR/SRC)</w:t>
                  </w:r>
                </w:p>
              </w:tc>
              <w:tc>
                <w:tcPr>
                  <w:tcW w:w="114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196F594F"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1.3</w:t>
                  </w:r>
                  <w:r>
                    <w:rPr>
                      <w:rFonts w:asciiTheme="minorHAnsi" w:hAnsiTheme="minorHAnsi" w:cs="Arial"/>
                      <w:color w:val="4F81BD" w:themeColor="accent1"/>
                      <w:sz w:val="18"/>
                      <w:szCs w:val="18"/>
                      <w:lang w:val="en-GB"/>
                    </w:rPr>
                    <w:t>42</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tcPr>
                <w:p w14:paraId="5FC1EE9C"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1.0</w:t>
                  </w:r>
                  <w:r>
                    <w:rPr>
                      <w:rFonts w:asciiTheme="minorHAnsi" w:hAnsiTheme="minorHAnsi" w:cs="Arial"/>
                      <w:color w:val="4F81BD" w:themeColor="accent1"/>
                      <w:sz w:val="18"/>
                      <w:szCs w:val="18"/>
                      <w:lang w:val="en-GB"/>
                    </w:rPr>
                    <w:t>89</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tcPr>
                <w:p w14:paraId="2DEBB861"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0.6</w:t>
                  </w:r>
                  <w:r>
                    <w:rPr>
                      <w:rFonts w:asciiTheme="minorHAnsi" w:hAnsiTheme="minorHAnsi" w:cs="Arial"/>
                      <w:color w:val="4F81BD" w:themeColor="accent1"/>
                      <w:sz w:val="18"/>
                      <w:szCs w:val="18"/>
                      <w:lang w:val="en-GB"/>
                    </w:rPr>
                    <w:t>59</w:t>
                  </w:r>
                </w:p>
              </w:tc>
            </w:tr>
            <w:tr w:rsidR="00921721" w:rsidRPr="003E7EB2" w14:paraId="5FAC0213" w14:textId="77777777" w:rsidTr="00880D09">
              <w:trPr>
                <w:trHeight w:val="266"/>
              </w:trPr>
              <w:tc>
                <w:tcPr>
                  <w:tcW w:w="1405" w:type="dxa"/>
                  <w:vMerge/>
                  <w:tcBorders>
                    <w:left w:val="single" w:sz="4" w:space="0" w:color="FFFFFF"/>
                    <w:right w:val="nil"/>
                  </w:tcBorders>
                  <w:shd w:val="clear" w:color="auto" w:fill="DBE5F1" w:themeFill="accent1" w:themeFillTint="33"/>
                  <w:vAlign w:val="center"/>
                </w:tcPr>
                <w:p w14:paraId="60D1493F" w14:textId="77777777" w:rsidR="00921721" w:rsidRPr="00B72029" w:rsidRDefault="00921721" w:rsidP="00880D09">
                  <w:pPr>
                    <w:spacing w:before="20"/>
                    <w:jc w:val="center"/>
                    <w:rPr>
                      <w:rFonts w:asciiTheme="minorHAnsi" w:hAnsiTheme="minorHAnsi" w:cs="Arial"/>
                      <w:color w:val="4F81BD" w:themeColor="accent1"/>
                      <w:sz w:val="18"/>
                      <w:szCs w:val="18"/>
                      <w:lang w:val="en-GB"/>
                    </w:rPr>
                  </w:pPr>
                </w:p>
              </w:tc>
              <w:tc>
                <w:tcPr>
                  <w:tcW w:w="2013"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7F3EB73"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Intercity train</w:t>
                  </w:r>
                </w:p>
              </w:tc>
              <w:tc>
                <w:tcPr>
                  <w:tcW w:w="114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439C7464"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2.0</w:t>
                  </w:r>
                  <w:r>
                    <w:rPr>
                      <w:rFonts w:asciiTheme="minorHAnsi" w:hAnsiTheme="minorHAnsi" w:cs="Arial"/>
                      <w:color w:val="4F81BD" w:themeColor="accent1"/>
                      <w:sz w:val="18"/>
                      <w:szCs w:val="18"/>
                      <w:lang w:val="en-GB"/>
                    </w:rPr>
                    <w:t>19</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42A0375"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1.9</w:t>
                  </w:r>
                  <w:r>
                    <w:rPr>
                      <w:rFonts w:asciiTheme="minorHAnsi" w:hAnsiTheme="minorHAnsi" w:cs="Arial"/>
                      <w:color w:val="4F81BD" w:themeColor="accent1"/>
                      <w:sz w:val="18"/>
                      <w:szCs w:val="18"/>
                      <w:lang w:val="en-GB"/>
                    </w:rPr>
                    <w:t>36</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AD38542"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1.16</w:t>
                  </w:r>
                  <w:r>
                    <w:rPr>
                      <w:rFonts w:asciiTheme="minorHAnsi" w:hAnsiTheme="minorHAnsi" w:cs="Arial"/>
                      <w:color w:val="4F81BD" w:themeColor="accent1"/>
                      <w:sz w:val="18"/>
                      <w:szCs w:val="18"/>
                      <w:lang w:val="en-GB"/>
                    </w:rPr>
                    <w:t>1</w:t>
                  </w:r>
                </w:p>
              </w:tc>
            </w:tr>
            <w:tr w:rsidR="00921721" w:rsidRPr="003E7EB2" w14:paraId="42FD7883" w14:textId="77777777" w:rsidTr="00880D09">
              <w:trPr>
                <w:trHeight w:val="54"/>
              </w:trPr>
              <w:tc>
                <w:tcPr>
                  <w:tcW w:w="1405" w:type="dxa"/>
                  <w:vMerge/>
                  <w:tcBorders>
                    <w:left w:val="single" w:sz="4" w:space="0" w:color="FFFFFF"/>
                    <w:right w:val="nil"/>
                  </w:tcBorders>
                  <w:shd w:val="clear" w:color="auto" w:fill="DBE5F1" w:themeFill="accent1" w:themeFillTint="33"/>
                  <w:vAlign w:val="center"/>
                </w:tcPr>
                <w:p w14:paraId="64D88F95" w14:textId="77777777" w:rsidR="00921721" w:rsidRPr="00B72029" w:rsidRDefault="00921721" w:rsidP="00880D09">
                  <w:pPr>
                    <w:spacing w:before="20"/>
                    <w:jc w:val="center"/>
                    <w:rPr>
                      <w:rFonts w:asciiTheme="minorHAnsi" w:hAnsiTheme="minorHAnsi" w:cs="Arial"/>
                      <w:color w:val="4F81BD" w:themeColor="accent1"/>
                      <w:sz w:val="18"/>
                      <w:szCs w:val="18"/>
                      <w:lang w:val="en-GB"/>
                    </w:rPr>
                  </w:pPr>
                </w:p>
              </w:tc>
              <w:tc>
                <w:tcPr>
                  <w:tcW w:w="2013"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3092A8F"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Regional train</w:t>
                  </w:r>
                </w:p>
                <w:p w14:paraId="71B28B36"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(with EGR/SRC)</w:t>
                  </w:r>
                </w:p>
              </w:tc>
              <w:tc>
                <w:tcPr>
                  <w:tcW w:w="114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69937998"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1.5</w:t>
                  </w:r>
                  <w:r>
                    <w:rPr>
                      <w:rFonts w:asciiTheme="minorHAnsi" w:hAnsiTheme="minorHAnsi" w:cs="Arial"/>
                      <w:color w:val="4F81BD" w:themeColor="accent1"/>
                      <w:sz w:val="18"/>
                      <w:szCs w:val="18"/>
                      <w:lang w:val="en-GB"/>
                    </w:rPr>
                    <w:t>57</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9ACBA79"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194</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27A9045"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0.7</w:t>
                  </w:r>
                  <w:r>
                    <w:rPr>
                      <w:rFonts w:asciiTheme="minorHAnsi" w:hAnsiTheme="minorHAnsi" w:cs="Arial"/>
                      <w:color w:val="4F81BD" w:themeColor="accent1"/>
                      <w:sz w:val="18"/>
                      <w:szCs w:val="18"/>
                      <w:lang w:val="en-GB"/>
                    </w:rPr>
                    <w:t>28</w:t>
                  </w:r>
                </w:p>
              </w:tc>
            </w:tr>
            <w:tr w:rsidR="00921721" w:rsidRPr="003E7EB2" w14:paraId="2EC50D9B" w14:textId="77777777" w:rsidTr="00880D09">
              <w:trPr>
                <w:trHeight w:val="266"/>
              </w:trPr>
              <w:tc>
                <w:tcPr>
                  <w:tcW w:w="1405" w:type="dxa"/>
                  <w:vMerge/>
                  <w:tcBorders>
                    <w:left w:val="single" w:sz="4" w:space="0" w:color="FFFFFF"/>
                    <w:bottom w:val="single" w:sz="4" w:space="0" w:color="FFFFFF"/>
                    <w:right w:val="nil"/>
                  </w:tcBorders>
                  <w:shd w:val="clear" w:color="auto" w:fill="DBE5F1" w:themeFill="accent1" w:themeFillTint="33"/>
                  <w:vAlign w:val="center"/>
                </w:tcPr>
                <w:p w14:paraId="11052471" w14:textId="77777777" w:rsidR="00921721" w:rsidRPr="00B72029" w:rsidRDefault="00921721" w:rsidP="00880D09">
                  <w:pPr>
                    <w:spacing w:before="20"/>
                    <w:jc w:val="center"/>
                    <w:rPr>
                      <w:rFonts w:asciiTheme="minorHAnsi" w:hAnsiTheme="minorHAnsi" w:cs="Arial"/>
                      <w:color w:val="4F81BD" w:themeColor="accent1"/>
                      <w:sz w:val="18"/>
                      <w:szCs w:val="18"/>
                      <w:lang w:val="en-GB"/>
                    </w:rPr>
                  </w:pPr>
                </w:p>
              </w:tc>
              <w:tc>
                <w:tcPr>
                  <w:tcW w:w="2013"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D53B747"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5C29AF">
                    <w:rPr>
                      <w:rFonts w:asciiTheme="minorHAnsi" w:hAnsiTheme="minorHAnsi" w:cs="Arial"/>
                      <w:color w:val="4F81BD" w:themeColor="accent1"/>
                      <w:sz w:val="18"/>
                      <w:szCs w:val="18"/>
                      <w:lang w:val="en-GB"/>
                    </w:rPr>
                    <w:t>Regional train</w:t>
                  </w:r>
                </w:p>
              </w:tc>
              <w:tc>
                <w:tcPr>
                  <w:tcW w:w="114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5FAAE96C"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2.1</w:t>
                  </w:r>
                  <w:r>
                    <w:rPr>
                      <w:rFonts w:asciiTheme="minorHAnsi" w:hAnsiTheme="minorHAnsi" w:cs="Arial"/>
                      <w:color w:val="4F81BD" w:themeColor="accent1"/>
                      <w:sz w:val="18"/>
                      <w:szCs w:val="18"/>
                      <w:lang w:val="en-GB"/>
                    </w:rPr>
                    <w:t>55</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tcPr>
                <w:p w14:paraId="3AC9AAC7"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2.0</w:t>
                  </w:r>
                  <w:r>
                    <w:rPr>
                      <w:rFonts w:asciiTheme="minorHAnsi" w:hAnsiTheme="minorHAnsi" w:cs="Arial"/>
                      <w:color w:val="4F81BD" w:themeColor="accent1"/>
                      <w:sz w:val="18"/>
                      <w:szCs w:val="18"/>
                      <w:lang w:val="en-GB"/>
                    </w:rPr>
                    <w:t>36</w:t>
                  </w:r>
                </w:p>
              </w:tc>
              <w:tc>
                <w:tcPr>
                  <w:tcW w:w="1141" w:type="dxa"/>
                  <w:tcBorders>
                    <w:top w:val="single" w:sz="4" w:space="0" w:color="FFFFFF"/>
                    <w:left w:val="single" w:sz="4" w:space="0" w:color="FFFFFF"/>
                    <w:bottom w:val="single" w:sz="4" w:space="0" w:color="FFFFFF"/>
                    <w:right w:val="nil"/>
                  </w:tcBorders>
                  <w:shd w:val="clear" w:color="auto" w:fill="DBE5F1" w:themeFill="accent1" w:themeFillTint="33"/>
                </w:tcPr>
                <w:p w14:paraId="65A96643" w14:textId="77777777" w:rsidR="00921721" w:rsidRPr="005C29AF" w:rsidRDefault="00921721" w:rsidP="00880D09">
                  <w:pPr>
                    <w:spacing w:before="20"/>
                    <w:jc w:val="center"/>
                    <w:rPr>
                      <w:rFonts w:asciiTheme="minorHAnsi" w:hAnsiTheme="minorHAnsi" w:cs="Arial"/>
                      <w:color w:val="4F81BD" w:themeColor="accent1"/>
                      <w:sz w:val="18"/>
                      <w:szCs w:val="18"/>
                      <w:lang w:val="en-GB"/>
                    </w:rPr>
                  </w:pPr>
                  <w:r w:rsidRPr="00B72029">
                    <w:rPr>
                      <w:rFonts w:asciiTheme="minorHAnsi" w:hAnsiTheme="minorHAnsi" w:cs="Arial"/>
                      <w:color w:val="4F81BD" w:themeColor="accent1"/>
                      <w:sz w:val="18"/>
                      <w:szCs w:val="18"/>
                      <w:lang w:val="en-GB"/>
                    </w:rPr>
                    <w:t>1.2</w:t>
                  </w:r>
                  <w:r>
                    <w:rPr>
                      <w:rFonts w:asciiTheme="minorHAnsi" w:hAnsiTheme="minorHAnsi" w:cs="Arial"/>
                      <w:color w:val="4F81BD" w:themeColor="accent1"/>
                      <w:sz w:val="18"/>
                      <w:szCs w:val="18"/>
                      <w:lang w:val="en-GB"/>
                    </w:rPr>
                    <w:t>28</w:t>
                  </w:r>
                </w:p>
              </w:tc>
            </w:tr>
          </w:tbl>
          <w:p w14:paraId="58A7B10C" w14:textId="77777777" w:rsidR="00921721" w:rsidRDefault="00921721" w:rsidP="00880D09">
            <w:pPr>
              <w:spacing w:before="120" w:after="120"/>
              <w:ind w:right="170"/>
              <w:jc w:val="both"/>
              <w:rPr>
                <w:rFonts w:asciiTheme="minorHAnsi" w:hAnsiTheme="minorHAnsi" w:cs="Arial"/>
                <w:b/>
                <w:i/>
                <w:sz w:val="16"/>
                <w:szCs w:val="16"/>
                <w:lang w:val="en-GB"/>
              </w:rPr>
            </w:pPr>
          </w:p>
          <w:p w14:paraId="34400CFA" w14:textId="77777777" w:rsidR="00921721" w:rsidRDefault="00921721" w:rsidP="00880D09">
            <w:pPr>
              <w:spacing w:before="120" w:after="120"/>
              <w:ind w:right="170"/>
              <w:jc w:val="both"/>
              <w:rPr>
                <w:rFonts w:asciiTheme="minorHAnsi" w:hAnsiTheme="minorHAnsi" w:cs="Arial"/>
                <w:b/>
                <w:i/>
                <w:sz w:val="16"/>
                <w:szCs w:val="16"/>
                <w:lang w:val="en-GB"/>
              </w:rPr>
            </w:pPr>
          </w:p>
          <w:p w14:paraId="183E90B7" w14:textId="77777777" w:rsidR="00921721" w:rsidRDefault="00921721" w:rsidP="00880D09">
            <w:pPr>
              <w:spacing w:before="120" w:after="120"/>
              <w:ind w:right="170"/>
              <w:jc w:val="both"/>
              <w:rPr>
                <w:rFonts w:asciiTheme="minorHAnsi" w:hAnsiTheme="minorHAnsi" w:cs="Arial"/>
                <w:b/>
                <w:i/>
                <w:sz w:val="16"/>
                <w:szCs w:val="16"/>
                <w:lang w:val="en-GB"/>
              </w:rPr>
            </w:pPr>
          </w:p>
          <w:p w14:paraId="3342714E" w14:textId="77777777" w:rsidR="00921721" w:rsidRDefault="00921721" w:rsidP="00880D09">
            <w:pPr>
              <w:spacing w:before="120" w:after="120"/>
              <w:ind w:right="170"/>
              <w:jc w:val="both"/>
              <w:rPr>
                <w:rFonts w:asciiTheme="minorHAnsi" w:hAnsiTheme="minorHAnsi" w:cs="Arial"/>
                <w:b/>
                <w:i/>
                <w:sz w:val="16"/>
                <w:szCs w:val="16"/>
                <w:lang w:val="en-GB"/>
              </w:rPr>
            </w:pPr>
          </w:p>
          <w:p w14:paraId="1701995A" w14:textId="77777777" w:rsidR="00921721" w:rsidRDefault="00921721" w:rsidP="00880D09">
            <w:pPr>
              <w:spacing w:before="120" w:after="120"/>
              <w:ind w:right="170"/>
              <w:jc w:val="both"/>
              <w:rPr>
                <w:rFonts w:asciiTheme="minorHAnsi" w:hAnsiTheme="minorHAnsi" w:cs="Arial"/>
                <w:b/>
                <w:i/>
                <w:sz w:val="16"/>
                <w:szCs w:val="16"/>
                <w:lang w:val="en-GB"/>
              </w:rPr>
            </w:pPr>
          </w:p>
          <w:p w14:paraId="3364C745" w14:textId="77777777" w:rsidR="00921721" w:rsidRDefault="00921721" w:rsidP="00880D09">
            <w:pPr>
              <w:spacing w:before="120" w:after="120"/>
              <w:ind w:right="170"/>
              <w:jc w:val="both"/>
              <w:rPr>
                <w:rFonts w:asciiTheme="minorHAnsi" w:hAnsiTheme="minorHAnsi" w:cs="Arial"/>
                <w:b/>
                <w:i/>
                <w:sz w:val="16"/>
                <w:szCs w:val="16"/>
                <w:lang w:val="en-GB"/>
              </w:rPr>
            </w:pPr>
          </w:p>
          <w:tbl>
            <w:tblPr>
              <w:tblW w:w="6846" w:type="dxa"/>
              <w:tblLayout w:type="fixed"/>
              <w:tblLook w:val="04A0" w:firstRow="1" w:lastRow="0" w:firstColumn="1" w:lastColumn="0" w:noHBand="0" w:noVBand="1"/>
            </w:tblPr>
            <w:tblGrid>
              <w:gridCol w:w="1406"/>
              <w:gridCol w:w="2014"/>
              <w:gridCol w:w="1142"/>
              <w:gridCol w:w="1142"/>
              <w:gridCol w:w="1142"/>
            </w:tblGrid>
            <w:tr w:rsidR="00921721" w:rsidRPr="003E7EB2" w14:paraId="037BA414" w14:textId="77777777" w:rsidTr="00880D09">
              <w:trPr>
                <w:trHeight w:hRule="exact" w:val="852"/>
              </w:trPr>
              <w:tc>
                <w:tcPr>
                  <w:tcW w:w="140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C3D7709" w14:textId="77777777" w:rsidR="00921721"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Freight</w:t>
                  </w:r>
                </w:p>
                <w:p w14:paraId="1D0C6D5D"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2B7802">
                    <w:rPr>
                      <w:rFonts w:asciiTheme="minorHAnsi" w:hAnsiTheme="minorHAnsi" w:cs="Arial"/>
                      <w:b/>
                      <w:bCs/>
                      <w:color w:val="FFFFFF"/>
                      <w:sz w:val="18"/>
                      <w:szCs w:val="18"/>
                      <w:lang w:val="en-GB"/>
                    </w:rPr>
                    <w:t xml:space="preserve">PLN/ </w:t>
                  </w:r>
                  <w:r>
                    <w:rPr>
                      <w:rFonts w:asciiTheme="minorHAnsi" w:hAnsiTheme="minorHAnsi" w:cs="Arial"/>
                      <w:b/>
                      <w:bCs/>
                      <w:color w:val="FFFFFF"/>
                      <w:sz w:val="18"/>
                      <w:szCs w:val="18"/>
                      <w:lang w:val="en-GB"/>
                    </w:rPr>
                    <w:t>train</w:t>
                  </w:r>
                  <w:r w:rsidRPr="002B7802">
                    <w:rPr>
                      <w:rFonts w:asciiTheme="minorHAnsi" w:hAnsiTheme="minorHAnsi" w:cs="Arial"/>
                      <w:b/>
                      <w:bCs/>
                      <w:color w:val="FFFFFF"/>
                      <w:sz w:val="18"/>
                      <w:szCs w:val="18"/>
                      <w:lang w:val="en-GB"/>
                    </w:rPr>
                    <w:t>-km</w:t>
                  </w:r>
                </w:p>
              </w:tc>
              <w:tc>
                <w:tcPr>
                  <w:tcW w:w="201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0CC3B24"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p>
              </w:tc>
              <w:tc>
                <w:tcPr>
                  <w:tcW w:w="1142"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360589F4"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Metropolitan area (*)</w:t>
                  </w:r>
                </w:p>
              </w:tc>
              <w:tc>
                <w:tcPr>
                  <w:tcW w:w="114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D8A2020"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Urban area</w:t>
                  </w:r>
                </w:p>
              </w:tc>
              <w:tc>
                <w:tcPr>
                  <w:tcW w:w="1142"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06FF1956" w14:textId="77777777" w:rsidR="00921721"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Rural area</w:t>
                  </w:r>
                </w:p>
              </w:tc>
            </w:tr>
            <w:tr w:rsidR="00921721" w:rsidRPr="006856C6" w14:paraId="4ABFBD76" w14:textId="77777777" w:rsidTr="00880D09">
              <w:trPr>
                <w:trHeight w:val="191"/>
              </w:trPr>
              <w:tc>
                <w:tcPr>
                  <w:tcW w:w="1406" w:type="dxa"/>
                  <w:vMerge w:val="restart"/>
                  <w:tcBorders>
                    <w:top w:val="single" w:sz="4" w:space="0" w:color="FFFFFF"/>
                    <w:left w:val="single" w:sz="4" w:space="0" w:color="FFFFFF"/>
                    <w:right w:val="nil"/>
                  </w:tcBorders>
                  <w:shd w:val="clear" w:color="auto" w:fill="DBE5F1" w:themeFill="accent1" w:themeFillTint="33"/>
                  <w:vAlign w:val="center"/>
                </w:tcPr>
                <w:p w14:paraId="395250B5"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Electric</w:t>
                  </w: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5EF077F" w14:textId="77777777" w:rsidR="00921721" w:rsidRPr="005C29AF" w:rsidRDefault="00921721" w:rsidP="00880D09">
                  <w:pPr>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Short container</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DFF6183" w14:textId="77777777" w:rsidR="00921721" w:rsidRPr="005C29AF" w:rsidRDefault="00921721" w:rsidP="00880D09">
                  <w:pPr>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0.019</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94CB848" w14:textId="77777777" w:rsidR="00921721" w:rsidRPr="005C29AF" w:rsidRDefault="00921721" w:rsidP="00880D09">
                  <w:pPr>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0.019</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F4665E3" w14:textId="77777777" w:rsidR="00921721" w:rsidRPr="005C29AF" w:rsidRDefault="00921721" w:rsidP="00880D09">
                  <w:pPr>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0.019</w:t>
                  </w:r>
                </w:p>
              </w:tc>
            </w:tr>
            <w:tr w:rsidR="00921721" w:rsidRPr="006856C6" w14:paraId="2AD208EB" w14:textId="77777777" w:rsidTr="00880D09">
              <w:trPr>
                <w:trHeight w:val="191"/>
              </w:trPr>
              <w:tc>
                <w:tcPr>
                  <w:tcW w:w="1406" w:type="dxa"/>
                  <w:vMerge/>
                  <w:tcBorders>
                    <w:left w:val="single" w:sz="4" w:space="0" w:color="FFFFFF"/>
                    <w:right w:val="nil"/>
                  </w:tcBorders>
                  <w:shd w:val="clear" w:color="auto" w:fill="DBE5F1" w:themeFill="accent1" w:themeFillTint="33"/>
                  <w:vAlign w:val="center"/>
                </w:tcPr>
                <w:p w14:paraId="38D4256B"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DAC53A3"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Short bulk</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17115EEC"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0.02</w:t>
                  </w:r>
                  <w:r>
                    <w:rPr>
                      <w:rFonts w:asciiTheme="minorHAnsi" w:hAnsiTheme="minorHAnsi" w:cs="Arial"/>
                      <w:color w:val="4F81BD" w:themeColor="accent1"/>
                      <w:sz w:val="18"/>
                      <w:szCs w:val="18"/>
                    </w:rPr>
                    <w:t>8</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0733AE3"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0.02</w:t>
                  </w:r>
                  <w:r>
                    <w:rPr>
                      <w:rFonts w:asciiTheme="minorHAnsi" w:hAnsiTheme="minorHAnsi" w:cs="Arial"/>
                      <w:color w:val="4F81BD" w:themeColor="accent1"/>
                      <w:sz w:val="18"/>
                      <w:szCs w:val="18"/>
                    </w:rPr>
                    <w:t>8</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FA6BDF4"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0.02</w:t>
                  </w:r>
                  <w:r>
                    <w:rPr>
                      <w:rFonts w:asciiTheme="minorHAnsi" w:hAnsiTheme="minorHAnsi" w:cs="Arial"/>
                      <w:color w:val="4F81BD" w:themeColor="accent1"/>
                      <w:sz w:val="18"/>
                      <w:szCs w:val="18"/>
                    </w:rPr>
                    <w:t>8</w:t>
                  </w:r>
                </w:p>
              </w:tc>
            </w:tr>
            <w:tr w:rsidR="00921721" w:rsidRPr="006856C6" w14:paraId="62A4097A" w14:textId="77777777" w:rsidTr="00880D09">
              <w:trPr>
                <w:trHeight w:val="191"/>
              </w:trPr>
              <w:tc>
                <w:tcPr>
                  <w:tcW w:w="1406" w:type="dxa"/>
                  <w:vMerge/>
                  <w:tcBorders>
                    <w:left w:val="single" w:sz="4" w:space="0" w:color="FFFFFF"/>
                    <w:right w:val="nil"/>
                  </w:tcBorders>
                  <w:shd w:val="clear" w:color="auto" w:fill="DBE5F1" w:themeFill="accent1" w:themeFillTint="33"/>
                  <w:vAlign w:val="center"/>
                </w:tcPr>
                <w:p w14:paraId="56ACD997"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02454DD"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Long container</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4CD88869"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0.053</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9F61417"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0.053</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06D7811"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0.053</w:t>
                  </w:r>
                </w:p>
              </w:tc>
            </w:tr>
            <w:tr w:rsidR="00921721" w:rsidRPr="006856C6" w14:paraId="43B4EE45" w14:textId="77777777" w:rsidTr="00880D09">
              <w:trPr>
                <w:trHeight w:val="191"/>
              </w:trPr>
              <w:tc>
                <w:tcPr>
                  <w:tcW w:w="1406" w:type="dxa"/>
                  <w:vMerge/>
                  <w:tcBorders>
                    <w:left w:val="single" w:sz="4" w:space="0" w:color="FFFFFF"/>
                    <w:right w:val="nil"/>
                  </w:tcBorders>
                  <w:shd w:val="clear" w:color="auto" w:fill="DBE5F1" w:themeFill="accent1" w:themeFillTint="33"/>
                  <w:vAlign w:val="center"/>
                </w:tcPr>
                <w:p w14:paraId="4A0C7D56"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C313B49"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Long bulk</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67BC40B3"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0.06</w:t>
                  </w:r>
                  <w:r>
                    <w:rPr>
                      <w:rFonts w:asciiTheme="minorHAnsi" w:hAnsiTheme="minorHAnsi" w:cs="Arial"/>
                      <w:color w:val="4F81BD" w:themeColor="accent1"/>
                      <w:sz w:val="18"/>
                      <w:szCs w:val="18"/>
                    </w:rPr>
                    <w:t>0</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C0B036C"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0.06</w:t>
                  </w:r>
                  <w:r>
                    <w:rPr>
                      <w:rFonts w:asciiTheme="minorHAnsi" w:hAnsiTheme="minorHAnsi" w:cs="Arial"/>
                      <w:color w:val="4F81BD" w:themeColor="accent1"/>
                      <w:sz w:val="18"/>
                      <w:szCs w:val="18"/>
                    </w:rPr>
                    <w:t>0</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D8F0B66"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0.06</w:t>
                  </w:r>
                  <w:r>
                    <w:rPr>
                      <w:rFonts w:asciiTheme="minorHAnsi" w:hAnsiTheme="minorHAnsi" w:cs="Arial"/>
                      <w:color w:val="4F81BD" w:themeColor="accent1"/>
                      <w:sz w:val="18"/>
                      <w:szCs w:val="18"/>
                    </w:rPr>
                    <w:t>0</w:t>
                  </w:r>
                </w:p>
              </w:tc>
            </w:tr>
            <w:tr w:rsidR="00921721" w:rsidRPr="003E7EB2" w14:paraId="4932FCEE" w14:textId="77777777" w:rsidTr="00880D09">
              <w:trPr>
                <w:trHeight w:val="191"/>
              </w:trPr>
              <w:tc>
                <w:tcPr>
                  <w:tcW w:w="1406" w:type="dxa"/>
                  <w:vMerge w:val="restart"/>
                  <w:tcBorders>
                    <w:top w:val="single" w:sz="4" w:space="0" w:color="FFFFFF"/>
                    <w:left w:val="single" w:sz="4" w:space="0" w:color="FFFFFF"/>
                    <w:right w:val="nil"/>
                  </w:tcBorders>
                  <w:shd w:val="clear" w:color="auto" w:fill="DBE5F1" w:themeFill="accent1" w:themeFillTint="33"/>
                  <w:vAlign w:val="center"/>
                </w:tcPr>
                <w:p w14:paraId="0F2598F9"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Diesel</w:t>
                  </w: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06A3C02"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Short container (with EGR/SRC)</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768CF15D"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6.8</w:t>
                  </w:r>
                  <w:r>
                    <w:rPr>
                      <w:rFonts w:asciiTheme="minorHAnsi" w:hAnsiTheme="minorHAnsi" w:cs="Arial"/>
                      <w:color w:val="4F81BD" w:themeColor="accent1"/>
                      <w:sz w:val="18"/>
                      <w:szCs w:val="18"/>
                    </w:rPr>
                    <w:t>29</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814786B"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5.9</w:t>
                  </w:r>
                  <w:r>
                    <w:rPr>
                      <w:rFonts w:asciiTheme="minorHAnsi" w:hAnsiTheme="minorHAnsi" w:cs="Arial"/>
                      <w:color w:val="4F81BD" w:themeColor="accent1"/>
                      <w:sz w:val="18"/>
                      <w:szCs w:val="18"/>
                    </w:rPr>
                    <w:t>25</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45C6F9E"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3.5</w:t>
                  </w:r>
                  <w:r>
                    <w:rPr>
                      <w:rFonts w:asciiTheme="minorHAnsi" w:hAnsiTheme="minorHAnsi" w:cs="Arial"/>
                      <w:color w:val="4F81BD" w:themeColor="accent1"/>
                      <w:sz w:val="18"/>
                      <w:szCs w:val="18"/>
                    </w:rPr>
                    <w:t>24</w:t>
                  </w:r>
                </w:p>
              </w:tc>
            </w:tr>
            <w:tr w:rsidR="00921721" w:rsidRPr="003E7EB2" w14:paraId="3B546FCB" w14:textId="77777777" w:rsidTr="00880D09">
              <w:trPr>
                <w:trHeight w:val="191"/>
              </w:trPr>
              <w:tc>
                <w:tcPr>
                  <w:tcW w:w="1406" w:type="dxa"/>
                  <w:vMerge/>
                  <w:tcBorders>
                    <w:left w:val="single" w:sz="4" w:space="0" w:color="FFFFFF"/>
                    <w:right w:val="nil"/>
                  </w:tcBorders>
                  <w:shd w:val="clear" w:color="auto" w:fill="DBE5F1" w:themeFill="accent1" w:themeFillTint="33"/>
                  <w:vAlign w:val="center"/>
                </w:tcPr>
                <w:p w14:paraId="441E0BF4"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FBD7325"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Short container</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31F734AC" w14:textId="77777777" w:rsidR="00921721" w:rsidRPr="005C29A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14.964</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3AC8957"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12.2</w:t>
                  </w:r>
                  <w:r>
                    <w:rPr>
                      <w:rFonts w:asciiTheme="minorHAnsi" w:hAnsiTheme="minorHAnsi" w:cs="Arial"/>
                      <w:color w:val="4F81BD" w:themeColor="accent1"/>
                      <w:sz w:val="18"/>
                      <w:szCs w:val="18"/>
                    </w:rPr>
                    <w:t>24</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D1DCD29"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7.2</w:t>
                  </w:r>
                  <w:r>
                    <w:rPr>
                      <w:rFonts w:asciiTheme="minorHAnsi" w:hAnsiTheme="minorHAnsi" w:cs="Arial"/>
                      <w:color w:val="4F81BD" w:themeColor="accent1"/>
                      <w:sz w:val="18"/>
                      <w:szCs w:val="18"/>
                    </w:rPr>
                    <w:t>30</w:t>
                  </w:r>
                </w:p>
              </w:tc>
            </w:tr>
            <w:tr w:rsidR="00921721" w:rsidRPr="003E7EB2" w14:paraId="266FE93C" w14:textId="77777777" w:rsidTr="00880D09">
              <w:trPr>
                <w:trHeight w:val="191"/>
              </w:trPr>
              <w:tc>
                <w:tcPr>
                  <w:tcW w:w="1406" w:type="dxa"/>
                  <w:vMerge/>
                  <w:tcBorders>
                    <w:left w:val="single" w:sz="4" w:space="0" w:color="FFFFFF"/>
                    <w:right w:val="nil"/>
                  </w:tcBorders>
                  <w:shd w:val="clear" w:color="auto" w:fill="DBE5F1" w:themeFill="accent1" w:themeFillTint="33"/>
                  <w:vAlign w:val="center"/>
                </w:tcPr>
                <w:p w14:paraId="315186AE"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FA88313"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Short bulk (with EGR/SRC)</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1EB93CC8"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6.8</w:t>
                  </w:r>
                  <w:r>
                    <w:rPr>
                      <w:rFonts w:asciiTheme="minorHAnsi" w:hAnsiTheme="minorHAnsi" w:cs="Arial"/>
                      <w:color w:val="4F81BD" w:themeColor="accent1"/>
                      <w:sz w:val="18"/>
                      <w:szCs w:val="18"/>
                    </w:rPr>
                    <w:t>45</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35D8612"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5.9</w:t>
                  </w:r>
                  <w:r>
                    <w:rPr>
                      <w:rFonts w:asciiTheme="minorHAnsi" w:hAnsiTheme="minorHAnsi" w:cs="Arial"/>
                      <w:color w:val="4F81BD" w:themeColor="accent1"/>
                      <w:sz w:val="18"/>
                      <w:szCs w:val="18"/>
                    </w:rPr>
                    <w:t>41</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5ED29F7"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3.5</w:t>
                  </w:r>
                  <w:r>
                    <w:rPr>
                      <w:rFonts w:asciiTheme="minorHAnsi" w:hAnsiTheme="minorHAnsi" w:cs="Arial"/>
                      <w:color w:val="4F81BD" w:themeColor="accent1"/>
                      <w:sz w:val="18"/>
                      <w:szCs w:val="18"/>
                    </w:rPr>
                    <w:t>39</w:t>
                  </w:r>
                </w:p>
              </w:tc>
            </w:tr>
            <w:tr w:rsidR="00921721" w:rsidRPr="003E7EB2" w14:paraId="06E73B1D" w14:textId="77777777" w:rsidTr="00880D09">
              <w:trPr>
                <w:trHeight w:val="191"/>
              </w:trPr>
              <w:tc>
                <w:tcPr>
                  <w:tcW w:w="1406" w:type="dxa"/>
                  <w:vMerge/>
                  <w:tcBorders>
                    <w:left w:val="single" w:sz="4" w:space="0" w:color="FFFFFF"/>
                    <w:right w:val="nil"/>
                  </w:tcBorders>
                  <w:shd w:val="clear" w:color="auto" w:fill="DBE5F1" w:themeFill="accent1" w:themeFillTint="33"/>
                  <w:vAlign w:val="center"/>
                </w:tcPr>
                <w:p w14:paraId="2E536A0E"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1186AF5"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Short bulk</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30CC2AF9" w14:textId="77777777" w:rsidR="00921721" w:rsidRPr="005C29A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14.980</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3995080"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12.</w:t>
                  </w:r>
                  <w:r>
                    <w:rPr>
                      <w:rFonts w:asciiTheme="minorHAnsi" w:hAnsiTheme="minorHAnsi" w:cs="Arial"/>
                      <w:color w:val="4F81BD" w:themeColor="accent1"/>
                      <w:sz w:val="18"/>
                      <w:szCs w:val="18"/>
                    </w:rPr>
                    <w:t>240</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BB20143"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7.2</w:t>
                  </w:r>
                  <w:r>
                    <w:rPr>
                      <w:rFonts w:asciiTheme="minorHAnsi" w:hAnsiTheme="minorHAnsi" w:cs="Arial"/>
                      <w:color w:val="4F81BD" w:themeColor="accent1"/>
                      <w:sz w:val="18"/>
                      <w:szCs w:val="18"/>
                    </w:rPr>
                    <w:t>46</w:t>
                  </w:r>
                </w:p>
              </w:tc>
            </w:tr>
            <w:tr w:rsidR="00921721" w:rsidRPr="003E7EB2" w14:paraId="50B8B8F8" w14:textId="77777777" w:rsidTr="00880D09">
              <w:trPr>
                <w:trHeight w:val="191"/>
              </w:trPr>
              <w:tc>
                <w:tcPr>
                  <w:tcW w:w="1406" w:type="dxa"/>
                  <w:vMerge/>
                  <w:tcBorders>
                    <w:left w:val="single" w:sz="4" w:space="0" w:color="FFFFFF"/>
                    <w:right w:val="nil"/>
                  </w:tcBorders>
                  <w:shd w:val="clear" w:color="auto" w:fill="DBE5F1" w:themeFill="accent1" w:themeFillTint="33"/>
                  <w:vAlign w:val="center"/>
                </w:tcPr>
                <w:p w14:paraId="6FD37DDB"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1F902ED9"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Long container (with EGR/SRC)</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79621112"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6.</w:t>
                  </w:r>
                  <w:r>
                    <w:rPr>
                      <w:rFonts w:asciiTheme="minorHAnsi" w:hAnsiTheme="minorHAnsi" w:cs="Arial"/>
                      <w:color w:val="4F81BD" w:themeColor="accent1"/>
                      <w:sz w:val="18"/>
                      <w:szCs w:val="18"/>
                    </w:rPr>
                    <w:t>886</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235E25D" w14:textId="77777777" w:rsidR="00921721" w:rsidRPr="005C29AF" w:rsidRDefault="00921721" w:rsidP="00880D09">
                  <w:pPr>
                    <w:spacing w:before="20"/>
                    <w:jc w:val="center"/>
                    <w:rPr>
                      <w:rFonts w:asciiTheme="minorHAnsi" w:hAnsiTheme="minorHAnsi" w:cs="Arial"/>
                      <w:color w:val="4F81BD" w:themeColor="accent1"/>
                      <w:sz w:val="18"/>
                      <w:szCs w:val="18"/>
                    </w:rPr>
                  </w:pPr>
                  <w:r>
                    <w:rPr>
                      <w:rFonts w:asciiTheme="minorHAnsi" w:hAnsiTheme="minorHAnsi" w:cs="Arial"/>
                      <w:color w:val="4F81BD" w:themeColor="accent1"/>
                      <w:sz w:val="18"/>
                      <w:szCs w:val="18"/>
                    </w:rPr>
                    <w:t>5.982</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839E952"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3.</w:t>
                  </w:r>
                  <w:r>
                    <w:rPr>
                      <w:rFonts w:asciiTheme="minorHAnsi" w:hAnsiTheme="minorHAnsi" w:cs="Arial"/>
                      <w:color w:val="4F81BD" w:themeColor="accent1"/>
                      <w:sz w:val="18"/>
                      <w:szCs w:val="18"/>
                    </w:rPr>
                    <w:t>581</w:t>
                  </w:r>
                </w:p>
              </w:tc>
            </w:tr>
            <w:tr w:rsidR="00921721" w:rsidRPr="003E7EB2" w14:paraId="2ADED986" w14:textId="77777777" w:rsidTr="00880D09">
              <w:trPr>
                <w:trHeight w:val="191"/>
              </w:trPr>
              <w:tc>
                <w:tcPr>
                  <w:tcW w:w="1406" w:type="dxa"/>
                  <w:vMerge/>
                  <w:tcBorders>
                    <w:left w:val="single" w:sz="4" w:space="0" w:color="FFFFFF"/>
                    <w:right w:val="nil"/>
                  </w:tcBorders>
                  <w:shd w:val="clear" w:color="auto" w:fill="DBE5F1" w:themeFill="accent1" w:themeFillTint="33"/>
                  <w:vAlign w:val="center"/>
                </w:tcPr>
                <w:p w14:paraId="599CD530"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0AB7D22" w14:textId="77777777" w:rsidR="00921721" w:rsidRPr="005C29AF" w:rsidRDefault="00921721" w:rsidP="00880D09">
                  <w:pPr>
                    <w:spacing w:before="20"/>
                    <w:jc w:val="center"/>
                    <w:rPr>
                      <w:rFonts w:asciiTheme="minorHAnsi" w:hAnsiTheme="minorHAnsi" w:cs="Arial"/>
                      <w:color w:val="4F81BD" w:themeColor="accent1"/>
                      <w:sz w:val="18"/>
                      <w:szCs w:val="18"/>
                    </w:rPr>
                  </w:pPr>
                  <w:r w:rsidRPr="005C29AF">
                    <w:rPr>
                      <w:rFonts w:asciiTheme="minorHAnsi" w:hAnsiTheme="minorHAnsi" w:cs="Arial"/>
                      <w:color w:val="4F81BD" w:themeColor="accent1"/>
                      <w:sz w:val="18"/>
                      <w:szCs w:val="18"/>
                    </w:rPr>
                    <w:t>Long container</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7DEC745D"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15.</w:t>
                  </w:r>
                  <w:r>
                    <w:rPr>
                      <w:rFonts w:asciiTheme="minorHAnsi" w:hAnsiTheme="minorHAnsi" w:cs="Arial"/>
                      <w:color w:val="4F81BD" w:themeColor="accent1"/>
                      <w:sz w:val="18"/>
                      <w:szCs w:val="18"/>
                    </w:rPr>
                    <w:t>021</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3390D17"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12.</w:t>
                  </w:r>
                  <w:r>
                    <w:rPr>
                      <w:rFonts w:asciiTheme="minorHAnsi" w:hAnsiTheme="minorHAnsi" w:cs="Arial"/>
                      <w:color w:val="4F81BD" w:themeColor="accent1"/>
                      <w:sz w:val="18"/>
                      <w:szCs w:val="18"/>
                    </w:rPr>
                    <w:t>281</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EB82E8D" w14:textId="77777777" w:rsidR="00921721" w:rsidRPr="005C29AF" w:rsidRDefault="00921721" w:rsidP="00880D09">
                  <w:pPr>
                    <w:spacing w:before="20"/>
                    <w:jc w:val="center"/>
                    <w:rPr>
                      <w:rFonts w:asciiTheme="minorHAnsi" w:hAnsiTheme="minorHAnsi" w:cs="Arial"/>
                      <w:color w:val="4F81BD" w:themeColor="accent1"/>
                      <w:sz w:val="18"/>
                      <w:szCs w:val="18"/>
                    </w:rPr>
                  </w:pPr>
                  <w:r w:rsidRPr="00B72029">
                    <w:rPr>
                      <w:rFonts w:asciiTheme="minorHAnsi" w:hAnsiTheme="minorHAnsi" w:cs="Arial"/>
                      <w:color w:val="4F81BD" w:themeColor="accent1"/>
                      <w:sz w:val="18"/>
                      <w:szCs w:val="18"/>
                    </w:rPr>
                    <w:t>7.</w:t>
                  </w:r>
                  <w:r>
                    <w:rPr>
                      <w:rFonts w:asciiTheme="minorHAnsi" w:hAnsiTheme="minorHAnsi" w:cs="Arial"/>
                      <w:color w:val="4F81BD" w:themeColor="accent1"/>
                      <w:sz w:val="18"/>
                      <w:szCs w:val="18"/>
                    </w:rPr>
                    <w:t>287</w:t>
                  </w:r>
                </w:p>
              </w:tc>
            </w:tr>
            <w:tr w:rsidR="00921721" w:rsidRPr="007463B9" w14:paraId="5F315303" w14:textId="77777777" w:rsidTr="00880D09">
              <w:trPr>
                <w:trHeight w:val="191"/>
              </w:trPr>
              <w:tc>
                <w:tcPr>
                  <w:tcW w:w="1406" w:type="dxa"/>
                  <w:vMerge/>
                  <w:tcBorders>
                    <w:left w:val="single" w:sz="4" w:space="0" w:color="FFFFFF"/>
                    <w:right w:val="nil"/>
                  </w:tcBorders>
                  <w:shd w:val="clear" w:color="auto" w:fill="DBE5F1" w:themeFill="accent1" w:themeFillTint="33"/>
                  <w:vAlign w:val="center"/>
                </w:tcPr>
                <w:p w14:paraId="424BBEB9" w14:textId="77777777" w:rsidR="00921721" w:rsidRPr="005C29AF" w:rsidRDefault="00921721" w:rsidP="00880D09">
                  <w:pPr>
                    <w:spacing w:before="20"/>
                    <w:jc w:val="center"/>
                    <w:rPr>
                      <w:rFonts w:asciiTheme="minorHAnsi" w:hAnsiTheme="minorHAnsi" w:cs="Arial"/>
                      <w:color w:val="4F81BD" w:themeColor="accent1"/>
                      <w:sz w:val="18"/>
                      <w:szCs w:val="18"/>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EE09F43"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Long bulk (with EGR/SRC)</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3A4AC84C"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6.</w:t>
                  </w:r>
                  <w:r>
                    <w:rPr>
                      <w:rFonts w:asciiTheme="minorHAnsi" w:hAnsiTheme="minorHAnsi" w:cs="Arial"/>
                      <w:color w:val="4F81BD" w:themeColor="accent1"/>
                      <w:sz w:val="18"/>
                      <w:szCs w:val="18"/>
                      <w:lang w:val="en-US"/>
                    </w:rPr>
                    <w:t>899</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1F2E84B"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Pr>
                      <w:rFonts w:asciiTheme="minorHAnsi" w:hAnsiTheme="minorHAnsi" w:cs="Arial"/>
                      <w:color w:val="4F81BD" w:themeColor="accent1"/>
                      <w:sz w:val="18"/>
                      <w:szCs w:val="18"/>
                      <w:lang w:val="en-US"/>
                    </w:rPr>
                    <w:t>5.995</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EC67989"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3.</w:t>
                  </w:r>
                  <w:r>
                    <w:rPr>
                      <w:rFonts w:asciiTheme="minorHAnsi" w:hAnsiTheme="minorHAnsi" w:cs="Arial"/>
                      <w:color w:val="4F81BD" w:themeColor="accent1"/>
                      <w:sz w:val="18"/>
                      <w:szCs w:val="18"/>
                      <w:lang w:val="en-US"/>
                    </w:rPr>
                    <w:t>593</w:t>
                  </w:r>
                </w:p>
              </w:tc>
            </w:tr>
            <w:tr w:rsidR="00921721" w:rsidRPr="007463B9" w14:paraId="75E29C63" w14:textId="77777777" w:rsidTr="00880D09">
              <w:trPr>
                <w:trHeight w:val="191"/>
              </w:trPr>
              <w:tc>
                <w:tcPr>
                  <w:tcW w:w="1406" w:type="dxa"/>
                  <w:vMerge/>
                  <w:tcBorders>
                    <w:left w:val="single" w:sz="4" w:space="0" w:color="FFFFFF"/>
                    <w:bottom w:val="single" w:sz="4" w:space="0" w:color="FFFFFF"/>
                    <w:right w:val="nil"/>
                  </w:tcBorders>
                  <w:shd w:val="clear" w:color="auto" w:fill="DBE5F1" w:themeFill="accent1" w:themeFillTint="33"/>
                  <w:vAlign w:val="center"/>
                </w:tcPr>
                <w:p w14:paraId="024A768E"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p>
              </w:tc>
              <w:tc>
                <w:tcPr>
                  <w:tcW w:w="2014"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DB2DE9A"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Long bulk</w:t>
                  </w:r>
                </w:p>
              </w:tc>
              <w:tc>
                <w:tcPr>
                  <w:tcW w:w="1142"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212C2EA"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15.</w:t>
                  </w:r>
                  <w:r>
                    <w:rPr>
                      <w:rFonts w:asciiTheme="minorHAnsi" w:hAnsiTheme="minorHAnsi" w:cs="Arial"/>
                      <w:color w:val="4F81BD" w:themeColor="accent1"/>
                      <w:sz w:val="18"/>
                      <w:szCs w:val="18"/>
                      <w:lang w:val="en-US"/>
                    </w:rPr>
                    <w:t>033</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4CC7D6D"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12.</w:t>
                  </w:r>
                  <w:r>
                    <w:rPr>
                      <w:rFonts w:asciiTheme="minorHAnsi" w:hAnsiTheme="minorHAnsi" w:cs="Arial"/>
                      <w:color w:val="4F81BD" w:themeColor="accent1"/>
                      <w:sz w:val="18"/>
                      <w:szCs w:val="18"/>
                      <w:lang w:val="en-US"/>
                    </w:rPr>
                    <w:t>294</w:t>
                  </w:r>
                </w:p>
              </w:tc>
              <w:tc>
                <w:tcPr>
                  <w:tcW w:w="1142"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3F48016" w14:textId="77777777" w:rsidR="00921721" w:rsidRPr="00B72029" w:rsidRDefault="00921721" w:rsidP="00880D09">
                  <w:pPr>
                    <w:spacing w:before="20"/>
                    <w:jc w:val="center"/>
                    <w:rPr>
                      <w:rFonts w:asciiTheme="minorHAnsi" w:hAnsiTheme="minorHAnsi" w:cs="Arial"/>
                      <w:color w:val="4F81BD" w:themeColor="accent1"/>
                      <w:sz w:val="18"/>
                      <w:szCs w:val="18"/>
                      <w:lang w:val="en-US"/>
                    </w:rPr>
                  </w:pPr>
                  <w:r w:rsidRPr="00B72029">
                    <w:rPr>
                      <w:rFonts w:asciiTheme="minorHAnsi" w:hAnsiTheme="minorHAnsi" w:cs="Arial"/>
                      <w:color w:val="4F81BD" w:themeColor="accent1"/>
                      <w:sz w:val="18"/>
                      <w:szCs w:val="18"/>
                      <w:lang w:val="en-US"/>
                    </w:rPr>
                    <w:t>7.3</w:t>
                  </w:r>
                  <w:r>
                    <w:rPr>
                      <w:rFonts w:asciiTheme="minorHAnsi" w:hAnsiTheme="minorHAnsi" w:cs="Arial"/>
                      <w:color w:val="4F81BD" w:themeColor="accent1"/>
                      <w:sz w:val="18"/>
                      <w:szCs w:val="18"/>
                      <w:lang w:val="en-US"/>
                    </w:rPr>
                    <w:t>00</w:t>
                  </w:r>
                </w:p>
              </w:tc>
            </w:tr>
          </w:tbl>
          <w:p w14:paraId="11967E59" w14:textId="77777777" w:rsidR="00921721" w:rsidRDefault="00921721" w:rsidP="00880D09">
            <w:pPr>
              <w:ind w:right="170"/>
              <w:jc w:val="both"/>
              <w:rPr>
                <w:rFonts w:asciiTheme="minorHAnsi" w:hAnsiTheme="minorHAnsi" w:cs="Arial"/>
                <w:b/>
                <w:i/>
                <w:sz w:val="16"/>
                <w:szCs w:val="16"/>
                <w:lang w:val="en-US"/>
              </w:rPr>
            </w:pPr>
            <w:r w:rsidRPr="00983DF9">
              <w:rPr>
                <w:rFonts w:asciiTheme="minorHAnsi" w:hAnsiTheme="minorHAnsi" w:cs="Arial"/>
                <w:b/>
                <w:i/>
                <w:sz w:val="16"/>
                <w:szCs w:val="16"/>
                <w:lang w:val="en-US"/>
              </w:rPr>
              <w:t xml:space="preserve">Source: </w:t>
            </w:r>
            <w:r>
              <w:rPr>
                <w:rFonts w:asciiTheme="minorHAnsi" w:hAnsiTheme="minorHAnsi" w:cs="Arial"/>
                <w:b/>
                <w:i/>
                <w:sz w:val="16"/>
                <w:szCs w:val="16"/>
                <w:lang w:val="en-US"/>
              </w:rPr>
              <w:t>Own calculation</w:t>
            </w:r>
            <w:r w:rsidRPr="00983DF9">
              <w:rPr>
                <w:rFonts w:asciiTheme="minorHAnsi" w:hAnsiTheme="minorHAnsi" w:cs="Arial"/>
                <w:b/>
                <w:i/>
                <w:sz w:val="16"/>
                <w:szCs w:val="16"/>
                <w:lang w:val="en-US"/>
              </w:rPr>
              <w:t xml:space="preserve"> based on </w:t>
            </w:r>
            <w:r w:rsidRPr="00D22938">
              <w:rPr>
                <w:rFonts w:asciiTheme="minorHAnsi" w:hAnsiTheme="minorHAnsi" w:cs="Arial"/>
                <w:b/>
                <w:i/>
                <w:sz w:val="16"/>
                <w:szCs w:val="16"/>
                <w:lang w:val="en-US"/>
              </w:rPr>
              <w:t>Handbook on the External Costs of Transport (January 2019)</w:t>
            </w:r>
            <w:r>
              <w:rPr>
                <w:rFonts w:asciiTheme="minorHAnsi" w:hAnsiTheme="minorHAnsi" w:cs="Arial"/>
                <w:b/>
                <w:i/>
                <w:sz w:val="16"/>
                <w:szCs w:val="16"/>
                <w:lang w:val="en-US"/>
              </w:rPr>
              <w:t xml:space="preserve">. </w:t>
            </w:r>
          </w:p>
          <w:p w14:paraId="5579E3E3" w14:textId="77777777" w:rsidR="00921721" w:rsidRPr="00983DF9" w:rsidRDefault="00921721" w:rsidP="00880D09">
            <w:pPr>
              <w:ind w:right="170"/>
              <w:jc w:val="both"/>
              <w:rPr>
                <w:rFonts w:asciiTheme="minorHAnsi" w:hAnsiTheme="minorHAnsi"/>
                <w:b/>
                <w:i/>
                <w:sz w:val="16"/>
                <w:szCs w:val="16"/>
                <w:lang w:val="en-US"/>
              </w:rPr>
            </w:pPr>
            <w:r w:rsidRPr="002F209F">
              <w:rPr>
                <w:rFonts w:asciiTheme="minorHAnsi" w:hAnsiTheme="minorHAnsi" w:cs="Arial"/>
                <w:b/>
                <w:i/>
                <w:sz w:val="16"/>
                <w:szCs w:val="16"/>
                <w:lang w:val="en-US"/>
              </w:rPr>
              <w:t>(*)</w:t>
            </w:r>
            <w:r>
              <w:rPr>
                <w:rFonts w:asciiTheme="minorHAnsi" w:hAnsiTheme="minorHAnsi" w:cs="Arial"/>
                <w:b/>
                <w:i/>
                <w:sz w:val="16"/>
                <w:szCs w:val="16"/>
                <w:lang w:val="en-US"/>
              </w:rPr>
              <w:t> </w:t>
            </w:r>
            <w:r w:rsidRPr="002C6855">
              <w:rPr>
                <w:rFonts w:asciiTheme="minorHAnsi" w:hAnsiTheme="minorHAnsi" w:cs="Arial"/>
                <w:b/>
                <w:i/>
                <w:sz w:val="16"/>
                <w:szCs w:val="16"/>
                <w:lang w:val="en-US"/>
              </w:rPr>
              <w:t>Metropolitan area</w:t>
            </w:r>
            <w:r w:rsidRPr="002F209F">
              <w:rPr>
                <w:rFonts w:asciiTheme="minorHAnsi" w:hAnsiTheme="minorHAnsi" w:cs="Arial"/>
                <w:b/>
                <w:i/>
                <w:sz w:val="16"/>
                <w:szCs w:val="16"/>
                <w:lang w:val="en-US"/>
              </w:rPr>
              <w:t xml:space="preserve">: </w:t>
            </w:r>
            <w:r w:rsidRPr="002C6855">
              <w:rPr>
                <w:rFonts w:asciiTheme="minorHAnsi" w:hAnsiTheme="minorHAnsi" w:cs="Arial"/>
                <w:b/>
                <w:i/>
                <w:sz w:val="16"/>
                <w:szCs w:val="16"/>
                <w:lang w:val="en-US"/>
              </w:rPr>
              <w:t xml:space="preserve">city or agglomeration </w:t>
            </w:r>
            <w:r>
              <w:rPr>
                <w:rFonts w:asciiTheme="minorHAnsi" w:hAnsiTheme="minorHAnsi" w:cs="Arial"/>
                <w:b/>
                <w:i/>
                <w:sz w:val="16"/>
                <w:szCs w:val="16"/>
                <w:lang w:val="en-US"/>
              </w:rPr>
              <w:t>larger than 0.5 </w:t>
            </w:r>
            <w:r w:rsidRPr="002F209F">
              <w:rPr>
                <w:rFonts w:asciiTheme="minorHAnsi" w:hAnsiTheme="minorHAnsi" w:cs="Arial"/>
                <w:b/>
                <w:i/>
                <w:sz w:val="16"/>
                <w:szCs w:val="16"/>
                <w:lang w:val="en-US"/>
              </w:rPr>
              <w:t>million</w:t>
            </w:r>
            <w:r>
              <w:rPr>
                <w:rFonts w:asciiTheme="minorHAnsi" w:hAnsiTheme="minorHAnsi" w:cs="Arial"/>
                <w:b/>
                <w:i/>
                <w:sz w:val="16"/>
                <w:szCs w:val="16"/>
                <w:lang w:val="en-US"/>
              </w:rPr>
              <w:t xml:space="preserve"> inhabitants</w:t>
            </w:r>
            <w:r w:rsidRPr="002F209F">
              <w:rPr>
                <w:rFonts w:asciiTheme="minorHAnsi" w:hAnsiTheme="minorHAnsi" w:cs="Arial"/>
                <w:b/>
                <w:i/>
                <w:sz w:val="16"/>
                <w:szCs w:val="16"/>
                <w:lang w:val="en-US"/>
              </w:rPr>
              <w:t xml:space="preserve"> (definition </w:t>
            </w:r>
            <w:r>
              <w:rPr>
                <w:rFonts w:asciiTheme="minorHAnsi" w:hAnsiTheme="minorHAnsi" w:cs="Arial"/>
                <w:b/>
                <w:i/>
                <w:sz w:val="16"/>
                <w:szCs w:val="16"/>
                <w:lang w:val="en-US"/>
              </w:rPr>
              <w:t xml:space="preserve">according to </w:t>
            </w:r>
            <w:r w:rsidRPr="00277A80">
              <w:rPr>
                <w:rFonts w:asciiTheme="minorHAnsi" w:hAnsiTheme="minorHAnsi" w:cs="Arial"/>
                <w:b/>
                <w:i/>
                <w:sz w:val="16"/>
                <w:szCs w:val="16"/>
                <w:lang w:val="en-US"/>
              </w:rPr>
              <w:t>Handbook on the External Costs of Transport, EC, January 2019</w:t>
            </w:r>
            <w:r w:rsidRPr="002F209F">
              <w:rPr>
                <w:rFonts w:asciiTheme="minorHAnsi" w:hAnsiTheme="minorHAnsi" w:cs="Arial"/>
                <w:b/>
                <w:i/>
                <w:sz w:val="16"/>
                <w:szCs w:val="16"/>
                <w:lang w:val="en-US"/>
              </w:rPr>
              <w:t>).</w:t>
            </w:r>
          </w:p>
          <w:p w14:paraId="40286736" w14:textId="77777777" w:rsidR="00921721" w:rsidRPr="002C6855" w:rsidRDefault="00921721" w:rsidP="00880D09">
            <w:pPr>
              <w:spacing w:before="120" w:after="120"/>
              <w:ind w:right="170"/>
              <w:jc w:val="both"/>
              <w:rPr>
                <w:rFonts w:asciiTheme="minorHAnsi" w:hAnsiTheme="minorHAnsi" w:cs="Arial"/>
                <w:b/>
                <w:i/>
                <w:sz w:val="16"/>
                <w:szCs w:val="16"/>
                <w:lang w:val="en-US"/>
              </w:rPr>
            </w:pPr>
          </w:p>
          <w:p w14:paraId="690C6419" w14:textId="77777777" w:rsidR="00921721" w:rsidRPr="00614799" w:rsidRDefault="00921721" w:rsidP="00880D09">
            <w:pPr>
              <w:pStyle w:val="anxnormal"/>
              <w:ind w:left="0"/>
              <w:rPr>
                <w:rFonts w:asciiTheme="minorHAnsi" w:hAnsiTheme="minorHAnsi"/>
                <w:lang w:val="en-GB" w:eastAsia="en-US"/>
              </w:rPr>
            </w:pPr>
          </w:p>
          <w:p w14:paraId="1B68F8FD" w14:textId="77777777" w:rsidR="00921721" w:rsidRPr="00731E4E" w:rsidRDefault="00921721" w:rsidP="00880D09">
            <w:pPr>
              <w:pStyle w:val="anxnormal"/>
              <w:ind w:left="0"/>
              <w:rPr>
                <w:rFonts w:asciiTheme="minorHAnsi" w:hAnsiTheme="minorHAnsi"/>
                <w:u w:val="single"/>
                <w:lang w:val="en-GB" w:eastAsia="en-US"/>
              </w:rPr>
            </w:pPr>
            <w:r w:rsidRPr="00731E4E">
              <w:rPr>
                <w:rFonts w:asciiTheme="minorHAnsi" w:hAnsiTheme="minorHAnsi"/>
                <w:u w:val="single"/>
                <w:lang w:val="en-GB" w:eastAsia="en-US"/>
              </w:rPr>
              <w:t>Unit cost evolution over time</w:t>
            </w:r>
          </w:p>
          <w:p w14:paraId="2524B696" w14:textId="77777777" w:rsidR="00921721" w:rsidRPr="00731E4E" w:rsidRDefault="00921721" w:rsidP="00880D09">
            <w:pPr>
              <w:pStyle w:val="anxnormal"/>
              <w:ind w:left="0"/>
              <w:rPr>
                <w:rFonts w:asciiTheme="minorHAnsi" w:hAnsiTheme="minorHAnsi"/>
                <w:lang w:val="en-GB" w:eastAsia="en-US"/>
              </w:rPr>
            </w:pPr>
            <w:r w:rsidRPr="00942EC3">
              <w:rPr>
                <w:rFonts w:asciiTheme="minorHAnsi" w:hAnsiTheme="minorHAnsi"/>
                <w:lang w:val="en-GB" w:eastAsia="en-US"/>
              </w:rPr>
              <w:t xml:space="preserve">Unit air pollution costs evolution over time (to be calculated) </w:t>
            </w:r>
            <w:r>
              <w:rPr>
                <w:rFonts w:asciiTheme="minorHAnsi" w:hAnsiTheme="minorHAnsi"/>
                <w:lang w:val="en-GB" w:eastAsia="en-US"/>
              </w:rPr>
              <w:t>is</w:t>
            </w:r>
            <w:r w:rsidRPr="00942EC3">
              <w:rPr>
                <w:rFonts w:asciiTheme="minorHAnsi" w:hAnsiTheme="minorHAnsi"/>
                <w:lang w:val="en-GB" w:eastAsia="en-US"/>
              </w:rPr>
              <w:t xml:space="preserve"> based on GDP per capita growth (values provided in p</w:t>
            </w:r>
            <w:r>
              <w:rPr>
                <w:rFonts w:asciiTheme="minorHAnsi" w:hAnsiTheme="minorHAnsi"/>
                <w:lang w:val="en-GB" w:eastAsia="en-US"/>
              </w:rPr>
              <w:t>oint 2) with an elasticity of 0.</w:t>
            </w:r>
            <w:r w:rsidRPr="00942EC3">
              <w:rPr>
                <w:rFonts w:asciiTheme="minorHAnsi" w:hAnsiTheme="minorHAnsi"/>
                <w:lang w:val="en-GB" w:eastAsia="en-US"/>
              </w:rPr>
              <w:t>8.</w:t>
            </w:r>
            <w:r w:rsidRPr="00731E4E">
              <w:rPr>
                <w:rFonts w:asciiTheme="minorHAnsi" w:hAnsiTheme="minorHAnsi"/>
                <w:lang w:val="en-GB" w:eastAsia="en-US"/>
              </w:rPr>
              <w:t xml:space="preserve"> </w:t>
            </w:r>
          </w:p>
          <w:p w14:paraId="0C7D6692" w14:textId="77777777" w:rsidR="00921721" w:rsidRPr="00731E4E" w:rsidRDefault="00921721" w:rsidP="00880D09">
            <w:pPr>
              <w:ind w:right="170"/>
              <w:jc w:val="both"/>
              <w:rPr>
                <w:rFonts w:asciiTheme="minorHAnsi" w:hAnsiTheme="minorHAnsi" w:cs="Arial"/>
                <w:sz w:val="20"/>
                <w:szCs w:val="20"/>
                <w:lang w:val="en-GB"/>
              </w:rPr>
            </w:pPr>
          </w:p>
          <w:p w14:paraId="41D4ACDB" w14:textId="77777777" w:rsidR="00921721" w:rsidRDefault="00921721" w:rsidP="00880D09">
            <w:pPr>
              <w:ind w:right="170"/>
              <w:jc w:val="both"/>
              <w:rPr>
                <w:rFonts w:asciiTheme="minorHAnsi" w:hAnsiTheme="minorHAnsi" w:cs="Arial"/>
                <w:sz w:val="20"/>
                <w:szCs w:val="20"/>
                <w:lang w:val="en-GB"/>
              </w:rPr>
            </w:pPr>
          </w:p>
          <w:p w14:paraId="16F821C8" w14:textId="77777777" w:rsidR="00921721" w:rsidRDefault="00921721" w:rsidP="00880D09">
            <w:pPr>
              <w:ind w:right="170"/>
              <w:jc w:val="both"/>
              <w:rPr>
                <w:rFonts w:asciiTheme="minorHAnsi" w:hAnsiTheme="minorHAnsi" w:cs="Arial"/>
                <w:sz w:val="20"/>
                <w:szCs w:val="20"/>
                <w:lang w:val="en-GB"/>
              </w:rPr>
            </w:pPr>
          </w:p>
          <w:p w14:paraId="4834AF6D" w14:textId="77777777" w:rsidR="00921721" w:rsidRDefault="00921721" w:rsidP="00880D09">
            <w:pPr>
              <w:ind w:right="170"/>
              <w:jc w:val="both"/>
              <w:rPr>
                <w:rFonts w:asciiTheme="minorHAnsi" w:hAnsiTheme="minorHAnsi" w:cs="Arial"/>
                <w:sz w:val="20"/>
                <w:szCs w:val="20"/>
                <w:lang w:val="en-GB"/>
              </w:rPr>
            </w:pPr>
          </w:p>
          <w:p w14:paraId="283AC429" w14:textId="77777777" w:rsidR="00921721" w:rsidRDefault="00921721" w:rsidP="00880D09">
            <w:pPr>
              <w:ind w:right="170"/>
              <w:jc w:val="both"/>
              <w:rPr>
                <w:rFonts w:asciiTheme="minorHAnsi" w:hAnsiTheme="minorHAnsi" w:cs="Arial"/>
                <w:sz w:val="20"/>
                <w:szCs w:val="20"/>
                <w:lang w:val="en-GB"/>
              </w:rPr>
            </w:pPr>
          </w:p>
          <w:p w14:paraId="71843162" w14:textId="77777777" w:rsidR="00921721" w:rsidRDefault="00921721" w:rsidP="00880D09">
            <w:pPr>
              <w:ind w:right="170"/>
              <w:jc w:val="both"/>
              <w:rPr>
                <w:rFonts w:asciiTheme="minorHAnsi" w:hAnsiTheme="minorHAnsi" w:cs="Arial"/>
                <w:sz w:val="20"/>
                <w:szCs w:val="20"/>
                <w:lang w:val="en-GB"/>
              </w:rPr>
            </w:pPr>
          </w:p>
          <w:p w14:paraId="77676A4B" w14:textId="77777777" w:rsidR="00921721" w:rsidRDefault="00921721" w:rsidP="00880D09">
            <w:pPr>
              <w:ind w:right="170"/>
              <w:jc w:val="both"/>
              <w:rPr>
                <w:rFonts w:asciiTheme="minorHAnsi" w:hAnsiTheme="minorHAnsi" w:cs="Arial"/>
                <w:sz w:val="20"/>
                <w:szCs w:val="20"/>
                <w:lang w:val="en-GB"/>
              </w:rPr>
            </w:pPr>
          </w:p>
          <w:p w14:paraId="5565BC73" w14:textId="77777777" w:rsidR="00921721" w:rsidRDefault="00921721" w:rsidP="00880D09">
            <w:pPr>
              <w:ind w:right="170"/>
              <w:jc w:val="both"/>
              <w:rPr>
                <w:rFonts w:asciiTheme="minorHAnsi" w:hAnsiTheme="minorHAnsi" w:cs="Arial"/>
                <w:sz w:val="20"/>
                <w:szCs w:val="20"/>
                <w:lang w:val="en-GB"/>
              </w:rPr>
            </w:pPr>
          </w:p>
          <w:p w14:paraId="3AFB75B3" w14:textId="77777777" w:rsidR="00921721" w:rsidRPr="00731E4E" w:rsidRDefault="00921721" w:rsidP="00880D09">
            <w:pPr>
              <w:ind w:right="170"/>
              <w:jc w:val="both"/>
              <w:rPr>
                <w:rFonts w:asciiTheme="minorHAnsi" w:hAnsiTheme="minorHAnsi" w:cs="Arial"/>
                <w:sz w:val="20"/>
                <w:szCs w:val="20"/>
                <w:lang w:val="en-GB"/>
              </w:rPr>
            </w:pPr>
          </w:p>
          <w:p w14:paraId="5BDF1969" w14:textId="77777777" w:rsidR="00921721" w:rsidRDefault="00921721" w:rsidP="00880D09">
            <w:pPr>
              <w:pStyle w:val="anxnormal"/>
              <w:ind w:left="0"/>
              <w:rPr>
                <w:rFonts w:asciiTheme="minorHAnsi" w:hAnsiTheme="minorHAnsi" w:cs="Arial-Narrow,Bold"/>
                <w:b/>
                <w:bCs/>
                <w:color w:val="4F81BD" w:themeColor="accent1"/>
                <w:sz w:val="23"/>
                <w:szCs w:val="23"/>
                <w:lang w:val="en-GB" w:eastAsia="en-GB"/>
              </w:rPr>
            </w:pPr>
            <w:r w:rsidRPr="00F20E10">
              <w:rPr>
                <w:rFonts w:asciiTheme="minorHAnsi" w:hAnsiTheme="minorHAnsi" w:cs="Arial-Narrow,Bold"/>
                <w:b/>
                <w:bCs/>
                <w:color w:val="4F81BD" w:themeColor="accent1"/>
                <w:sz w:val="23"/>
                <w:szCs w:val="23"/>
                <w:lang w:val="en-GB" w:eastAsia="en-GB"/>
              </w:rPr>
              <w:t>7. Costs of climate change</w:t>
            </w:r>
          </w:p>
          <w:p w14:paraId="18DEB2A1" w14:textId="77777777" w:rsidR="00921721" w:rsidRDefault="00921721" w:rsidP="00880D09">
            <w:pPr>
              <w:pStyle w:val="anxnormal"/>
              <w:ind w:left="0"/>
              <w:rPr>
                <w:rFonts w:asciiTheme="minorHAnsi" w:hAnsiTheme="minorHAnsi"/>
                <w:lang w:val="en-GB" w:eastAsia="en-US"/>
              </w:rPr>
            </w:pPr>
            <w:r>
              <w:rPr>
                <w:rFonts w:asciiTheme="minorHAnsi" w:hAnsiTheme="minorHAnsi"/>
                <w:lang w:val="en-GB" w:eastAsia="en-US"/>
              </w:rPr>
              <w:t>Tables below present the GHG emission factors for LV and HGV for the currently adopted base year (2021).</w:t>
            </w:r>
            <w:r w:rsidRPr="00983DF9">
              <w:rPr>
                <w:lang w:val="en-US"/>
              </w:rPr>
              <w:t xml:space="preserve"> </w:t>
            </w:r>
            <w:r w:rsidRPr="00B90582">
              <w:rPr>
                <w:rFonts w:asciiTheme="minorHAnsi" w:hAnsiTheme="minorHAnsi"/>
                <w:lang w:val="en-GB" w:eastAsia="en-US"/>
              </w:rPr>
              <w:t>Assumptions on</w:t>
            </w:r>
            <w:r>
              <w:rPr>
                <w:rFonts w:asciiTheme="minorHAnsi" w:hAnsiTheme="minorHAnsi"/>
                <w:lang w:val="en-GB" w:eastAsia="en-US"/>
              </w:rPr>
              <w:t xml:space="preserve"> road vehicle fleet composition and its evolution in time regarding type of fuel consumption</w:t>
            </w:r>
            <w:r w:rsidRPr="00B90582">
              <w:rPr>
                <w:rFonts w:asciiTheme="minorHAnsi" w:hAnsiTheme="minorHAnsi"/>
                <w:lang w:val="en-GB" w:eastAsia="en-US"/>
              </w:rPr>
              <w:t xml:space="preserve"> are the same </w:t>
            </w:r>
            <w:r>
              <w:rPr>
                <w:rFonts w:asciiTheme="minorHAnsi" w:hAnsiTheme="minorHAnsi"/>
                <w:lang w:val="en-GB" w:eastAsia="en-US"/>
              </w:rPr>
              <w:t xml:space="preserve">as </w:t>
            </w:r>
            <w:r w:rsidRPr="00B90582">
              <w:rPr>
                <w:rFonts w:asciiTheme="minorHAnsi" w:hAnsiTheme="minorHAnsi"/>
                <w:lang w:val="en-GB" w:eastAsia="en-US"/>
              </w:rPr>
              <w:t>applied and to be considered in VOC category.</w:t>
            </w:r>
            <w:r>
              <w:rPr>
                <w:rFonts w:asciiTheme="minorHAnsi" w:hAnsiTheme="minorHAnsi"/>
                <w:lang w:val="en-GB" w:eastAsia="en-US"/>
              </w:rPr>
              <w:t xml:space="preserve"> </w:t>
            </w:r>
            <w:r w:rsidRPr="00B90582">
              <w:rPr>
                <w:rFonts w:asciiTheme="minorHAnsi" w:hAnsiTheme="minorHAnsi"/>
                <w:lang w:val="en-GB" w:eastAsia="en-US"/>
              </w:rPr>
              <w:t xml:space="preserve">Therefore, </w:t>
            </w:r>
            <w:r>
              <w:rPr>
                <w:rFonts w:asciiTheme="minorHAnsi" w:hAnsiTheme="minorHAnsi"/>
                <w:lang w:val="en-GB" w:eastAsia="en-US"/>
              </w:rPr>
              <w:t xml:space="preserve">the </w:t>
            </w:r>
            <w:r w:rsidRPr="00B90582">
              <w:rPr>
                <w:rFonts w:asciiTheme="minorHAnsi" w:hAnsiTheme="minorHAnsi"/>
                <w:lang w:val="en-GB" w:eastAsia="en-US"/>
              </w:rPr>
              <w:t>same considerations on LV fleet composition evolution</w:t>
            </w:r>
            <w:r>
              <w:rPr>
                <w:rFonts w:asciiTheme="minorHAnsi" w:hAnsiTheme="minorHAnsi"/>
                <w:lang w:val="en-GB" w:eastAsia="en-US"/>
              </w:rPr>
              <w:t xml:space="preserve"> (regarding fuel consumption type)</w:t>
            </w:r>
            <w:r w:rsidRPr="00B90582">
              <w:rPr>
                <w:rFonts w:asciiTheme="minorHAnsi" w:hAnsiTheme="minorHAnsi"/>
                <w:lang w:val="en-GB" w:eastAsia="en-US"/>
              </w:rPr>
              <w:t xml:space="preserve"> along analysis period are to be applied </w:t>
            </w:r>
            <w:r>
              <w:rPr>
                <w:rFonts w:asciiTheme="minorHAnsi" w:hAnsiTheme="minorHAnsi"/>
                <w:lang w:val="en-GB" w:eastAsia="en-US"/>
              </w:rPr>
              <w:t xml:space="preserve">as </w:t>
            </w:r>
            <w:r w:rsidRPr="00B90582">
              <w:rPr>
                <w:rFonts w:asciiTheme="minorHAnsi" w:hAnsiTheme="minorHAnsi"/>
                <w:lang w:val="en-GB" w:eastAsia="en-US"/>
              </w:rPr>
              <w:t xml:space="preserve">for </w:t>
            </w:r>
            <w:r>
              <w:rPr>
                <w:rFonts w:asciiTheme="minorHAnsi" w:hAnsiTheme="minorHAnsi"/>
                <w:lang w:val="en-GB" w:eastAsia="en-US"/>
              </w:rPr>
              <w:t>VOC and air pollution</w:t>
            </w:r>
            <w:r w:rsidRPr="00B90582">
              <w:rPr>
                <w:rFonts w:asciiTheme="minorHAnsi" w:hAnsiTheme="minorHAnsi"/>
                <w:lang w:val="en-GB" w:eastAsia="en-US"/>
              </w:rPr>
              <w:t>.</w:t>
            </w:r>
            <w:r>
              <w:rPr>
                <w:rFonts w:asciiTheme="minorHAnsi" w:hAnsiTheme="minorHAnsi"/>
                <w:lang w:val="en-GB" w:eastAsia="en-US"/>
              </w:rPr>
              <w:t xml:space="preserve"> </w:t>
            </w:r>
          </w:p>
          <w:p w14:paraId="32778A07" w14:textId="77777777" w:rsidR="00921721" w:rsidRDefault="00921721" w:rsidP="00880D09">
            <w:pPr>
              <w:pStyle w:val="anxnormal"/>
              <w:ind w:left="0"/>
              <w:rPr>
                <w:rFonts w:asciiTheme="minorHAnsi" w:hAnsiTheme="minorHAnsi"/>
                <w:lang w:val="en-GB" w:eastAsia="en-US"/>
              </w:rPr>
            </w:pPr>
            <w:r>
              <w:rPr>
                <w:rFonts w:asciiTheme="minorHAnsi" w:hAnsiTheme="minorHAnsi"/>
                <w:lang w:val="en-GB" w:eastAsia="en-US"/>
              </w:rPr>
              <w:t>The emission factors in the table below refer to flat terrain and good road pavement conditions (i.e. after construction/rehabilitation) and road with deteriorated pavement. Factors related to road gradient influence are also provided.</w:t>
            </w:r>
          </w:p>
          <w:p w14:paraId="2EF70995" w14:textId="77777777" w:rsidR="00921721" w:rsidRPr="002C6855" w:rsidRDefault="00921721" w:rsidP="00880D09">
            <w:pPr>
              <w:spacing w:before="120" w:after="120"/>
              <w:ind w:right="170"/>
              <w:jc w:val="both"/>
              <w:rPr>
                <w:rFonts w:asciiTheme="minorHAnsi" w:hAnsiTheme="minorHAnsi" w:cs="Arial"/>
                <w:snapToGrid w:val="0"/>
                <w:sz w:val="20"/>
                <w:szCs w:val="20"/>
                <w:lang w:val="en-GB" w:eastAsia="en-US"/>
              </w:rPr>
            </w:pPr>
            <w:r w:rsidRPr="002C6855">
              <w:rPr>
                <w:rFonts w:asciiTheme="minorHAnsi" w:hAnsiTheme="minorHAnsi" w:cs="Arial"/>
                <w:snapToGrid w:val="0"/>
                <w:sz w:val="20"/>
                <w:szCs w:val="20"/>
                <w:lang w:val="en-GB" w:eastAsia="en-US"/>
              </w:rPr>
              <w:t>Emissions of greenhouse gases other than carbon dioxide CO</w:t>
            </w:r>
            <w:r w:rsidRPr="002C6855">
              <w:rPr>
                <w:rFonts w:asciiTheme="minorHAnsi" w:hAnsiTheme="minorHAnsi" w:cs="Arial"/>
                <w:snapToGrid w:val="0"/>
                <w:sz w:val="20"/>
                <w:szCs w:val="20"/>
                <w:vertAlign w:val="subscript"/>
                <w:lang w:val="en-GB" w:eastAsia="en-US"/>
              </w:rPr>
              <w:t>2</w:t>
            </w:r>
            <w:r w:rsidRPr="002C6855">
              <w:rPr>
                <w:rFonts w:asciiTheme="minorHAnsi" w:hAnsiTheme="minorHAnsi" w:cs="Arial"/>
                <w:snapToGrid w:val="0"/>
                <w:sz w:val="20"/>
                <w:szCs w:val="20"/>
                <w:lang w:val="en-GB" w:eastAsia="en-US"/>
              </w:rPr>
              <w:t xml:space="preserve"> (i.e. CH</w:t>
            </w:r>
            <w:r w:rsidRPr="002C6855">
              <w:rPr>
                <w:rFonts w:asciiTheme="minorHAnsi" w:hAnsiTheme="minorHAnsi" w:cs="Arial"/>
                <w:snapToGrid w:val="0"/>
                <w:sz w:val="20"/>
                <w:szCs w:val="20"/>
                <w:vertAlign w:val="subscript"/>
                <w:lang w:val="en-GB" w:eastAsia="en-US"/>
              </w:rPr>
              <w:t>4</w:t>
            </w:r>
            <w:r w:rsidRPr="002C6855">
              <w:rPr>
                <w:rFonts w:asciiTheme="minorHAnsi" w:hAnsiTheme="minorHAnsi" w:cs="Arial"/>
                <w:snapToGrid w:val="0"/>
                <w:sz w:val="20"/>
                <w:szCs w:val="20"/>
                <w:lang w:val="en-GB" w:eastAsia="en-US"/>
              </w:rPr>
              <w:t xml:space="preserve"> methane and N</w:t>
            </w:r>
            <w:r w:rsidRPr="002C6855">
              <w:rPr>
                <w:rFonts w:asciiTheme="minorHAnsi" w:hAnsiTheme="minorHAnsi" w:cs="Arial"/>
                <w:snapToGrid w:val="0"/>
                <w:sz w:val="20"/>
                <w:szCs w:val="20"/>
                <w:vertAlign w:val="subscript"/>
                <w:lang w:val="en-GB" w:eastAsia="en-US"/>
              </w:rPr>
              <w:t>2</w:t>
            </w:r>
            <w:r w:rsidRPr="002C6855">
              <w:rPr>
                <w:rFonts w:asciiTheme="minorHAnsi" w:hAnsiTheme="minorHAnsi" w:cs="Arial"/>
                <w:snapToGrid w:val="0"/>
                <w:sz w:val="20"/>
                <w:szCs w:val="20"/>
                <w:lang w:val="en-GB" w:eastAsia="en-US"/>
              </w:rPr>
              <w:t>O dinitrogen monoxide) are not included. This is in accordance with EIB Project Carbon Footprint Methodologies, version 11.1, July 2020 (see Table A1.3 on page 30): “The impact of non-CO</w:t>
            </w:r>
            <w:r w:rsidRPr="002C6855">
              <w:rPr>
                <w:rFonts w:asciiTheme="minorHAnsi" w:hAnsiTheme="minorHAnsi" w:cs="Arial"/>
                <w:snapToGrid w:val="0"/>
                <w:sz w:val="20"/>
                <w:szCs w:val="20"/>
                <w:vertAlign w:val="subscript"/>
                <w:lang w:val="en-GB" w:eastAsia="en-US"/>
              </w:rPr>
              <w:t>2</w:t>
            </w:r>
            <w:r w:rsidRPr="002C6855">
              <w:rPr>
                <w:rFonts w:asciiTheme="minorHAnsi" w:hAnsiTheme="minorHAnsi" w:cs="Arial"/>
                <w:snapToGrid w:val="0"/>
                <w:sz w:val="20"/>
                <w:szCs w:val="20"/>
                <w:lang w:val="en-GB" w:eastAsia="en-US"/>
              </w:rPr>
              <w:t xml:space="preserve"> GHGs is negligible. For calculation purposes, the factors below can be considered as CO</w:t>
            </w:r>
            <w:r w:rsidRPr="002C6855">
              <w:rPr>
                <w:rFonts w:asciiTheme="minorHAnsi" w:hAnsiTheme="minorHAnsi" w:cs="Arial"/>
                <w:snapToGrid w:val="0"/>
                <w:sz w:val="20"/>
                <w:szCs w:val="20"/>
                <w:vertAlign w:val="subscript"/>
                <w:lang w:val="en-GB" w:eastAsia="en-US"/>
              </w:rPr>
              <w:t>2</w:t>
            </w:r>
            <w:r w:rsidRPr="002C6855">
              <w:rPr>
                <w:rFonts w:asciiTheme="minorHAnsi" w:hAnsiTheme="minorHAnsi" w:cs="Arial"/>
                <w:snapToGrid w:val="0"/>
                <w:sz w:val="20"/>
                <w:szCs w:val="20"/>
                <w:lang w:val="en-GB" w:eastAsia="en-US"/>
              </w:rPr>
              <w:t xml:space="preserve">e.” </w:t>
            </w:r>
          </w:p>
          <w:p w14:paraId="56376734" w14:textId="77777777" w:rsidR="00921721" w:rsidRDefault="00921721" w:rsidP="00880D09">
            <w:pPr>
              <w:pStyle w:val="anxnormal"/>
              <w:ind w:left="0"/>
              <w:rPr>
                <w:rFonts w:asciiTheme="minorHAnsi" w:hAnsiTheme="minorHAnsi"/>
                <w:lang w:val="en-GB" w:eastAsia="en-US"/>
              </w:rPr>
            </w:pPr>
          </w:p>
          <w:p w14:paraId="267F1A12" w14:textId="77777777" w:rsidR="00921721" w:rsidRPr="00263391" w:rsidRDefault="00921721" w:rsidP="00880D09">
            <w:pPr>
              <w:pStyle w:val="anxnormal"/>
              <w:spacing w:after="120"/>
              <w:ind w:left="0"/>
              <w:rPr>
                <w:rFonts w:asciiTheme="minorHAnsi" w:hAnsiTheme="minorHAnsi"/>
                <w:lang w:val="en-GB" w:eastAsia="en-US"/>
              </w:rPr>
            </w:pPr>
            <w:r>
              <w:rPr>
                <w:rFonts w:asciiTheme="minorHAnsi" w:hAnsiTheme="minorHAnsi"/>
                <w:lang w:val="en-GB" w:eastAsia="en-US"/>
              </w:rPr>
              <w:t>Greenhouse gas</w:t>
            </w:r>
            <w:r w:rsidRPr="00263391">
              <w:rPr>
                <w:rFonts w:asciiTheme="minorHAnsi" w:hAnsiTheme="minorHAnsi"/>
                <w:lang w:val="en-GB" w:eastAsia="en-US"/>
              </w:rPr>
              <w:t xml:space="preserve"> </w:t>
            </w:r>
            <w:r>
              <w:rPr>
                <w:rFonts w:asciiTheme="minorHAnsi" w:hAnsiTheme="minorHAnsi"/>
                <w:lang w:val="en-GB" w:eastAsia="en-US"/>
              </w:rPr>
              <w:t xml:space="preserve">unit </w:t>
            </w:r>
            <w:r w:rsidRPr="00263391">
              <w:rPr>
                <w:rFonts w:asciiTheme="minorHAnsi" w:hAnsiTheme="minorHAnsi"/>
                <w:lang w:val="en-GB" w:eastAsia="en-US"/>
              </w:rPr>
              <w:t>emission factors [</w:t>
            </w:r>
            <w:r>
              <w:rPr>
                <w:rFonts w:asciiTheme="minorHAnsi" w:hAnsiTheme="minorHAnsi"/>
                <w:lang w:val="en-GB" w:eastAsia="en-US"/>
              </w:rPr>
              <w:t>g</w:t>
            </w:r>
            <w:r w:rsidRPr="00263391">
              <w:rPr>
                <w:rFonts w:asciiTheme="minorHAnsi" w:hAnsiTheme="minorHAnsi"/>
                <w:lang w:val="en-GB" w:eastAsia="en-US"/>
              </w:rPr>
              <w:t>CO</w:t>
            </w:r>
            <w:r w:rsidRPr="003B7A23">
              <w:rPr>
                <w:rFonts w:asciiTheme="minorHAnsi" w:hAnsiTheme="minorHAnsi"/>
                <w:vertAlign w:val="subscript"/>
                <w:lang w:val="en-GB" w:eastAsia="en-US"/>
              </w:rPr>
              <w:t>2</w:t>
            </w:r>
            <w:r>
              <w:rPr>
                <w:rFonts w:asciiTheme="minorHAnsi" w:hAnsiTheme="minorHAnsi"/>
                <w:lang w:val="en-GB" w:eastAsia="en-US"/>
              </w:rPr>
              <w:t>e</w:t>
            </w:r>
            <w:r w:rsidRPr="00263391">
              <w:rPr>
                <w:rFonts w:asciiTheme="minorHAnsi" w:hAnsiTheme="minorHAnsi"/>
                <w:lang w:val="en-GB" w:eastAsia="en-US"/>
              </w:rPr>
              <w:t>/veh-km]</w:t>
            </w:r>
          </w:p>
          <w:tbl>
            <w:tblPr>
              <w:tblW w:w="6939" w:type="dxa"/>
              <w:tblLayout w:type="fixed"/>
              <w:tblLook w:val="04A0" w:firstRow="1" w:lastRow="0" w:firstColumn="1" w:lastColumn="0" w:noHBand="0" w:noVBand="1"/>
            </w:tblPr>
            <w:tblGrid>
              <w:gridCol w:w="2261"/>
              <w:gridCol w:w="2551"/>
              <w:gridCol w:w="2127"/>
            </w:tblGrid>
            <w:tr w:rsidR="00921721" w:rsidRPr="007463B9" w14:paraId="5D36DE4F" w14:textId="77777777" w:rsidTr="00880D09">
              <w:trPr>
                <w:trHeight w:hRule="exact" w:val="532"/>
              </w:trPr>
              <w:tc>
                <w:tcPr>
                  <w:tcW w:w="2261"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517F8C1" w14:textId="77777777" w:rsidR="00921721" w:rsidRPr="00263391" w:rsidRDefault="00921721" w:rsidP="00880D09">
                  <w:pPr>
                    <w:snapToGrid w:val="0"/>
                    <w:spacing w:before="20" w:after="20"/>
                    <w:jc w:val="center"/>
                    <w:rPr>
                      <w:rFonts w:asciiTheme="minorHAnsi" w:hAnsiTheme="minorHAnsi" w:cs="Arial"/>
                      <w:b/>
                      <w:bCs/>
                      <w:color w:val="FFFFFF"/>
                      <w:sz w:val="18"/>
                      <w:szCs w:val="18"/>
                      <w:lang w:val="en-GB"/>
                    </w:rPr>
                  </w:pPr>
                  <w:r w:rsidRPr="00263391">
                    <w:rPr>
                      <w:rFonts w:asciiTheme="minorHAnsi" w:hAnsiTheme="minorHAnsi" w:cs="Arial"/>
                      <w:b/>
                      <w:bCs/>
                      <w:color w:val="FFFFFF"/>
                      <w:sz w:val="18"/>
                      <w:szCs w:val="18"/>
                      <w:lang w:val="en-GB"/>
                    </w:rPr>
                    <w:t>Speed (km/h)</w:t>
                  </w:r>
                </w:p>
              </w:tc>
              <w:tc>
                <w:tcPr>
                  <w:tcW w:w="4678"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3AF0A9C" w14:textId="77777777" w:rsidR="00921721" w:rsidRPr="00263391"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Unit GHG</w:t>
                  </w:r>
                  <w:r w:rsidRPr="00263391">
                    <w:rPr>
                      <w:rFonts w:asciiTheme="minorHAnsi" w:hAnsiTheme="minorHAnsi" w:cs="Arial"/>
                      <w:b/>
                      <w:bCs/>
                      <w:color w:val="FFFFFF"/>
                      <w:sz w:val="18"/>
                      <w:szCs w:val="18"/>
                      <w:lang w:val="en-GB"/>
                    </w:rPr>
                    <w:t xml:space="preserve"> emission</w:t>
                  </w:r>
                  <w:r>
                    <w:rPr>
                      <w:rFonts w:asciiTheme="minorHAnsi" w:hAnsiTheme="minorHAnsi" w:cs="Arial"/>
                      <w:b/>
                      <w:bCs/>
                      <w:color w:val="FFFFFF"/>
                      <w:sz w:val="18"/>
                      <w:szCs w:val="18"/>
                      <w:lang w:val="en-GB"/>
                    </w:rPr>
                    <w:t>s</w:t>
                  </w:r>
                  <w:r w:rsidRPr="00263391">
                    <w:rPr>
                      <w:rFonts w:asciiTheme="minorHAnsi" w:hAnsiTheme="minorHAnsi" w:cs="Arial"/>
                      <w:b/>
                      <w:bCs/>
                      <w:color w:val="FFFFFF"/>
                      <w:sz w:val="18"/>
                      <w:szCs w:val="18"/>
                      <w:lang w:val="en-GB"/>
                    </w:rPr>
                    <w:t xml:space="preserve"> factors </w:t>
                  </w:r>
                  <w:r>
                    <w:rPr>
                      <w:rFonts w:asciiTheme="minorHAnsi" w:hAnsiTheme="minorHAnsi" w:cs="Arial"/>
                      <w:b/>
                      <w:bCs/>
                      <w:color w:val="FFFFFF"/>
                      <w:sz w:val="18"/>
                      <w:szCs w:val="18"/>
                      <w:lang w:val="en-GB"/>
                    </w:rPr>
                    <w:t>–</w:t>
                  </w:r>
                  <w:r w:rsidRPr="00263391">
                    <w:rPr>
                      <w:rFonts w:asciiTheme="minorHAnsi" w:hAnsiTheme="minorHAnsi" w:cs="Arial"/>
                      <w:b/>
                      <w:bCs/>
                      <w:color w:val="FFFFFF"/>
                      <w:sz w:val="18"/>
                      <w:szCs w:val="18"/>
                      <w:lang w:val="en-GB"/>
                    </w:rPr>
                    <w:t xml:space="preserve"> </w:t>
                  </w:r>
                  <w:r>
                    <w:rPr>
                      <w:rFonts w:asciiTheme="minorHAnsi" w:hAnsiTheme="minorHAnsi" w:cs="Arial"/>
                      <w:b/>
                      <w:bCs/>
                      <w:color w:val="FFFFFF"/>
                      <w:sz w:val="18"/>
                      <w:szCs w:val="18"/>
                      <w:lang w:val="en-GB"/>
                    </w:rPr>
                    <w:t>g</w:t>
                  </w:r>
                  <w:r w:rsidRPr="00263391">
                    <w:rPr>
                      <w:rFonts w:asciiTheme="minorHAnsi" w:hAnsiTheme="minorHAnsi" w:cs="Arial"/>
                      <w:b/>
                      <w:bCs/>
                      <w:color w:val="FFFFFF"/>
                      <w:sz w:val="18"/>
                      <w:szCs w:val="18"/>
                      <w:lang w:val="en-GB"/>
                    </w:rPr>
                    <w:t>CO</w:t>
                  </w:r>
                  <w:r w:rsidRPr="003B7A23">
                    <w:rPr>
                      <w:rFonts w:asciiTheme="minorHAnsi" w:hAnsiTheme="minorHAnsi" w:cs="Arial"/>
                      <w:b/>
                      <w:bCs/>
                      <w:color w:val="FFFFFF"/>
                      <w:sz w:val="18"/>
                      <w:szCs w:val="18"/>
                      <w:vertAlign w:val="subscript"/>
                      <w:lang w:val="en-GB"/>
                    </w:rPr>
                    <w:t>2</w:t>
                  </w:r>
                  <w:r>
                    <w:rPr>
                      <w:rFonts w:asciiTheme="minorHAnsi" w:hAnsiTheme="minorHAnsi" w:cs="Arial"/>
                      <w:b/>
                      <w:bCs/>
                      <w:color w:val="FFFFFF"/>
                      <w:sz w:val="18"/>
                      <w:szCs w:val="18"/>
                      <w:lang w:val="en-GB"/>
                    </w:rPr>
                    <w:t>e</w:t>
                  </w:r>
                  <w:r w:rsidRPr="00263391">
                    <w:rPr>
                      <w:rFonts w:asciiTheme="minorHAnsi" w:hAnsiTheme="minorHAnsi" w:cs="Arial"/>
                      <w:b/>
                      <w:bCs/>
                      <w:color w:val="FFFFFF"/>
                      <w:sz w:val="18"/>
                      <w:szCs w:val="18"/>
                      <w:lang w:val="en-GB"/>
                    </w:rPr>
                    <w:t xml:space="preserve">/veh-km </w:t>
                  </w:r>
                  <w:r>
                    <w:rPr>
                      <w:rFonts w:asciiTheme="minorHAnsi" w:hAnsiTheme="minorHAnsi" w:cs="Arial"/>
                      <w:b/>
                      <w:bCs/>
                      <w:color w:val="FFFFFF"/>
                      <w:sz w:val="18"/>
                      <w:szCs w:val="18"/>
                      <w:lang w:val="en-GB"/>
                    </w:rPr>
                    <w:t>–</w:t>
                  </w:r>
                  <w:r w:rsidRPr="00263391">
                    <w:rPr>
                      <w:rFonts w:asciiTheme="minorHAnsi" w:hAnsiTheme="minorHAnsi" w:cs="Arial"/>
                      <w:b/>
                      <w:bCs/>
                      <w:color w:val="FFFFFF"/>
                      <w:sz w:val="18"/>
                      <w:szCs w:val="18"/>
                      <w:lang w:val="en-GB"/>
                    </w:rPr>
                    <w:t xml:space="preserve"> flat terrain (pavement after rehabilitation/construction)</w:t>
                  </w:r>
                </w:p>
              </w:tc>
            </w:tr>
            <w:tr w:rsidR="00921721" w:rsidRPr="007463B9" w14:paraId="05CB3B82" w14:textId="77777777" w:rsidTr="00880D09">
              <w:trPr>
                <w:trHeight w:hRule="exact" w:val="313"/>
              </w:trPr>
              <w:tc>
                <w:tcPr>
                  <w:tcW w:w="2261"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CFB5C29" w14:textId="77777777" w:rsidR="00921721" w:rsidRPr="006A71F9" w:rsidRDefault="00921721" w:rsidP="00880D09">
                  <w:pPr>
                    <w:jc w:val="center"/>
                    <w:rPr>
                      <w:rFonts w:asciiTheme="minorHAnsi" w:hAnsiTheme="minorHAnsi" w:cs="Arial"/>
                      <w:b/>
                      <w:bCs/>
                      <w:color w:val="FFFFFF"/>
                      <w:sz w:val="18"/>
                      <w:szCs w:val="18"/>
                      <w:lang w:val="en-GB"/>
                    </w:rPr>
                  </w:pPr>
                </w:p>
              </w:tc>
              <w:tc>
                <w:tcPr>
                  <w:tcW w:w="255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20B541A" w14:textId="77777777" w:rsidR="00921721" w:rsidRPr="006A71F9" w:rsidRDefault="00921721" w:rsidP="00880D09">
                  <w:pPr>
                    <w:snapToGrid w:val="0"/>
                    <w:spacing w:before="20" w:after="20"/>
                    <w:jc w:val="center"/>
                    <w:rPr>
                      <w:rFonts w:asciiTheme="minorHAnsi" w:hAnsiTheme="minorHAnsi" w:cs="Arial"/>
                      <w:b/>
                      <w:bCs/>
                      <w:color w:val="FFFFFF"/>
                      <w:sz w:val="18"/>
                      <w:szCs w:val="18"/>
                      <w:lang w:val="en-GB"/>
                    </w:rPr>
                  </w:pPr>
                  <w:r w:rsidRPr="006A71F9">
                    <w:rPr>
                      <w:rFonts w:asciiTheme="minorHAnsi" w:hAnsiTheme="minorHAnsi" w:cs="Arial"/>
                      <w:b/>
                      <w:bCs/>
                      <w:color w:val="FFFFFF"/>
                      <w:sz w:val="18"/>
                      <w:szCs w:val="18"/>
                      <w:lang w:val="en-GB"/>
                    </w:rPr>
                    <w:t>LV</w:t>
                  </w:r>
                </w:p>
              </w:tc>
              <w:tc>
                <w:tcPr>
                  <w:tcW w:w="2127"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7A66707" w14:textId="77777777" w:rsidR="00921721" w:rsidRPr="006A71F9" w:rsidRDefault="00921721" w:rsidP="00880D09">
                  <w:pPr>
                    <w:snapToGrid w:val="0"/>
                    <w:spacing w:before="20" w:after="20"/>
                    <w:jc w:val="center"/>
                    <w:rPr>
                      <w:rFonts w:asciiTheme="minorHAnsi" w:hAnsiTheme="minorHAnsi" w:cs="Arial"/>
                      <w:b/>
                      <w:bCs/>
                      <w:color w:val="FFFFFF"/>
                      <w:sz w:val="18"/>
                      <w:szCs w:val="18"/>
                      <w:lang w:val="en-GB"/>
                    </w:rPr>
                  </w:pPr>
                  <w:r w:rsidRPr="006A71F9">
                    <w:rPr>
                      <w:rFonts w:asciiTheme="minorHAnsi" w:hAnsiTheme="minorHAnsi" w:cs="Arial"/>
                      <w:b/>
                      <w:bCs/>
                      <w:color w:val="FFFFFF"/>
                      <w:sz w:val="18"/>
                      <w:szCs w:val="18"/>
                      <w:lang w:val="en-GB"/>
                    </w:rPr>
                    <w:t>HGV</w:t>
                  </w:r>
                </w:p>
              </w:tc>
            </w:tr>
            <w:tr w:rsidR="00921721" w:rsidRPr="007463B9" w14:paraId="26DA85F6"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0B69409"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0-10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575A04BF"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651.652</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3374E74F"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1,639.612</w:t>
                  </w:r>
                </w:p>
              </w:tc>
            </w:tr>
            <w:tr w:rsidR="00921721" w:rsidRPr="007463B9" w14:paraId="7EAF8616"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851F40D"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11-20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6B0C6DB6"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412.720</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56D9DAE6"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913.172</w:t>
                  </w:r>
                </w:p>
              </w:tc>
            </w:tr>
            <w:tr w:rsidR="00921721" w:rsidRPr="007463B9" w14:paraId="0DC75439"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EB806B5"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21-30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64E62C63"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314.458</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6D41BB9C"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694.518</w:t>
                  </w:r>
                </w:p>
              </w:tc>
            </w:tr>
            <w:tr w:rsidR="00921721" w:rsidRPr="007463B9" w14:paraId="00ECC02E"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2F6CE9F"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31-40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41618147"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255.386</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54A960A0"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583.520</w:t>
                  </w:r>
                </w:p>
              </w:tc>
            </w:tr>
            <w:tr w:rsidR="00921721" w:rsidRPr="007463B9" w14:paraId="7A7DF9A4"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5956753"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41-50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1FA9A0FD"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216.347</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4991D3FA"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522.589</w:t>
                  </w:r>
                </w:p>
              </w:tc>
            </w:tr>
            <w:tr w:rsidR="00921721" w:rsidRPr="007463B9" w14:paraId="3BFD75A1"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DDF0C9A"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51-60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00F34BE3"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190.278</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10B2F213"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490.176</w:t>
                  </w:r>
                </w:p>
              </w:tc>
            </w:tr>
            <w:tr w:rsidR="00921721" w:rsidRPr="007463B9" w14:paraId="6A597374"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59685B5"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61-70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7A94353C"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173.753</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22CB3FC0"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474.974</w:t>
                  </w:r>
                </w:p>
              </w:tc>
            </w:tr>
            <w:tr w:rsidR="00921721" w:rsidRPr="007463B9" w14:paraId="0268BC71"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4AF06A8"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71-80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499F0285"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164.830</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74307796"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470.831</w:t>
                  </w:r>
                </w:p>
              </w:tc>
            </w:tr>
            <w:tr w:rsidR="00921721" w:rsidRPr="007463B9" w14:paraId="537566B7"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711F3C6"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81-90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56C1B9AA"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162.284</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60FC8B35"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475.455</w:t>
                  </w:r>
                </w:p>
              </w:tc>
            </w:tr>
            <w:tr w:rsidR="00921721" w:rsidRPr="007463B9" w14:paraId="66E6D33F"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9F25AFD"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91-100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419973F3"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165.287</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37021B87"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493.092</w:t>
                  </w:r>
                </w:p>
              </w:tc>
            </w:tr>
            <w:tr w:rsidR="00921721" w:rsidRPr="007463B9" w14:paraId="66498449"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043037C"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101-110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65E97F97"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173.245</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49D0B200"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567.589</w:t>
                  </w:r>
                </w:p>
              </w:tc>
            </w:tr>
            <w:tr w:rsidR="00921721" w:rsidRPr="007463B9" w14:paraId="6C897E70"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D64E001"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111-120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11F24708"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185.712</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tcPr>
                <w:p w14:paraId="169BA805"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642.086</w:t>
                  </w:r>
                </w:p>
              </w:tc>
            </w:tr>
            <w:tr w:rsidR="00921721" w:rsidRPr="007463B9" w14:paraId="3A73594C"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1C4787C"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121-130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194F192C"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202.344</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tcPr>
                <w:p w14:paraId="0A8564A9"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716.583</w:t>
                  </w:r>
                </w:p>
              </w:tc>
            </w:tr>
            <w:tr w:rsidR="00921721" w:rsidRPr="007463B9" w14:paraId="6A3F8D02"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6359165"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131-140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hideMark/>
                </w:tcPr>
                <w:p w14:paraId="0017D944"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222.868</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tcPr>
                <w:p w14:paraId="2DF6A5B3"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791.080</w:t>
                  </w:r>
                </w:p>
              </w:tc>
            </w:tr>
          </w:tbl>
          <w:p w14:paraId="23116A0F" w14:textId="77777777" w:rsidR="00921721" w:rsidRPr="00263391" w:rsidRDefault="00921721" w:rsidP="00880D09">
            <w:pPr>
              <w:ind w:right="170"/>
              <w:jc w:val="both"/>
              <w:rPr>
                <w:rFonts w:asciiTheme="minorHAnsi" w:hAnsiTheme="minorHAnsi" w:cs="Arial"/>
                <w:b/>
                <w:i/>
                <w:sz w:val="16"/>
                <w:szCs w:val="16"/>
                <w:lang w:val="en-GB"/>
              </w:rPr>
            </w:pPr>
            <w:r w:rsidRPr="00263391">
              <w:rPr>
                <w:rFonts w:asciiTheme="minorHAnsi" w:hAnsiTheme="minorHAnsi" w:cs="Arial"/>
                <w:b/>
                <w:i/>
                <w:sz w:val="16"/>
                <w:szCs w:val="16"/>
                <w:lang w:val="en-GB"/>
              </w:rPr>
              <w:t xml:space="preserve">Source: </w:t>
            </w:r>
            <w:r>
              <w:rPr>
                <w:rFonts w:asciiTheme="minorHAnsi" w:hAnsiTheme="minorHAnsi" w:cs="Arial"/>
                <w:b/>
                <w:i/>
                <w:sz w:val="16"/>
                <w:szCs w:val="16"/>
                <w:lang w:val="en-GB"/>
              </w:rPr>
              <w:t xml:space="preserve">CUPT-JASPERS work based on VOC fuel consumption and </w:t>
            </w:r>
            <w:r w:rsidRPr="00263391">
              <w:rPr>
                <w:rFonts w:asciiTheme="minorHAnsi" w:hAnsiTheme="minorHAnsi" w:cs="Arial"/>
                <w:b/>
                <w:i/>
                <w:sz w:val="16"/>
                <w:szCs w:val="16"/>
                <w:lang w:val="en-GB"/>
              </w:rPr>
              <w:t xml:space="preserve">EMEP/EEA air pollutant emission inventory guidebook, 2019, </w:t>
            </w:r>
            <w:r>
              <w:rPr>
                <w:rFonts w:asciiTheme="minorHAnsi" w:hAnsiTheme="minorHAnsi" w:cs="Arial"/>
                <w:b/>
                <w:i/>
                <w:sz w:val="16"/>
                <w:szCs w:val="16"/>
                <w:lang w:val="en-GB"/>
              </w:rPr>
              <w:t>with</w:t>
            </w:r>
            <w:r w:rsidRPr="00263391">
              <w:rPr>
                <w:rFonts w:asciiTheme="minorHAnsi" w:hAnsiTheme="minorHAnsi" w:cs="Arial"/>
                <w:b/>
                <w:i/>
                <w:sz w:val="16"/>
                <w:szCs w:val="16"/>
                <w:lang w:val="en-GB"/>
              </w:rPr>
              <w:t xml:space="preserve"> 1.A.3</w:t>
            </w:r>
            <w:r>
              <w:rPr>
                <w:rFonts w:asciiTheme="minorHAnsi" w:hAnsiTheme="minorHAnsi" w:cs="Arial"/>
                <w:b/>
                <w:i/>
                <w:sz w:val="16"/>
                <w:szCs w:val="16"/>
                <w:lang w:val="en-GB"/>
              </w:rPr>
              <w:t>.b.i-iv Road Transport Appendix </w:t>
            </w:r>
            <w:r w:rsidRPr="00263391">
              <w:rPr>
                <w:rFonts w:asciiTheme="minorHAnsi" w:hAnsiTheme="minorHAnsi" w:cs="Arial"/>
                <w:b/>
                <w:i/>
                <w:sz w:val="16"/>
                <w:szCs w:val="16"/>
                <w:lang w:val="en-GB"/>
              </w:rPr>
              <w:t>4 Emission Factors 2019 (Sept. 2020)</w:t>
            </w:r>
            <w:r>
              <w:rPr>
                <w:rFonts w:asciiTheme="minorHAnsi" w:hAnsiTheme="minorHAnsi" w:cs="Arial"/>
                <w:b/>
                <w:i/>
                <w:sz w:val="16"/>
                <w:szCs w:val="16"/>
                <w:lang w:val="en-GB"/>
              </w:rPr>
              <w:t>.</w:t>
            </w:r>
          </w:p>
          <w:p w14:paraId="6E1E7D3D" w14:textId="77777777" w:rsidR="00921721" w:rsidRDefault="00921721" w:rsidP="00880D09">
            <w:pPr>
              <w:spacing w:before="120" w:after="120"/>
              <w:ind w:right="170"/>
              <w:jc w:val="both"/>
              <w:rPr>
                <w:rFonts w:asciiTheme="minorHAnsi" w:hAnsiTheme="minorHAnsi" w:cs="Arial"/>
                <w:b/>
                <w:i/>
                <w:sz w:val="16"/>
                <w:szCs w:val="16"/>
                <w:lang w:val="en-GB"/>
              </w:rPr>
            </w:pPr>
          </w:p>
          <w:p w14:paraId="22B78B6B" w14:textId="77777777" w:rsidR="00921721" w:rsidRPr="00263391" w:rsidRDefault="00921721" w:rsidP="00880D09">
            <w:pPr>
              <w:spacing w:before="120" w:after="120"/>
              <w:ind w:right="170"/>
              <w:jc w:val="both"/>
              <w:rPr>
                <w:rFonts w:asciiTheme="minorHAnsi" w:hAnsiTheme="minorHAnsi" w:cs="Arial"/>
                <w:b/>
                <w:i/>
                <w:sz w:val="16"/>
                <w:szCs w:val="16"/>
                <w:lang w:val="en-GB"/>
              </w:rPr>
            </w:pPr>
          </w:p>
          <w:tbl>
            <w:tblPr>
              <w:tblW w:w="6939" w:type="dxa"/>
              <w:tblLayout w:type="fixed"/>
              <w:tblLook w:val="04A0" w:firstRow="1" w:lastRow="0" w:firstColumn="1" w:lastColumn="0" w:noHBand="0" w:noVBand="1"/>
            </w:tblPr>
            <w:tblGrid>
              <w:gridCol w:w="2261"/>
              <w:gridCol w:w="2551"/>
              <w:gridCol w:w="2127"/>
            </w:tblGrid>
            <w:tr w:rsidR="00921721" w:rsidRPr="007463B9" w14:paraId="6260EB09" w14:textId="77777777" w:rsidTr="00880D09">
              <w:trPr>
                <w:trHeight w:hRule="exact" w:val="577"/>
              </w:trPr>
              <w:tc>
                <w:tcPr>
                  <w:tcW w:w="2261" w:type="dxa"/>
                  <w:vMerge w:val="restart"/>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66C3DE4" w14:textId="77777777" w:rsidR="00921721" w:rsidRPr="00983DF9" w:rsidRDefault="00921721" w:rsidP="00880D09">
                  <w:pPr>
                    <w:snapToGrid w:val="0"/>
                    <w:spacing w:before="20" w:after="20"/>
                    <w:jc w:val="center"/>
                    <w:rPr>
                      <w:rFonts w:asciiTheme="minorHAnsi" w:hAnsiTheme="minorHAnsi" w:cs="Arial"/>
                      <w:b/>
                      <w:bCs/>
                      <w:color w:val="FFFFFF"/>
                      <w:sz w:val="18"/>
                      <w:szCs w:val="18"/>
                      <w:lang w:val="en-GB"/>
                    </w:rPr>
                  </w:pPr>
                  <w:r w:rsidRPr="00983DF9">
                    <w:rPr>
                      <w:rFonts w:asciiTheme="minorHAnsi" w:hAnsiTheme="minorHAnsi" w:cs="Arial"/>
                      <w:b/>
                      <w:bCs/>
                      <w:color w:val="FFFFFF"/>
                      <w:sz w:val="18"/>
                      <w:szCs w:val="18"/>
                      <w:lang w:val="en-GB"/>
                    </w:rPr>
                    <w:t>Speed (veh/km)</w:t>
                  </w:r>
                </w:p>
              </w:tc>
              <w:tc>
                <w:tcPr>
                  <w:tcW w:w="4678"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18F529C" w14:textId="77777777" w:rsidR="00921721" w:rsidRPr="00263391"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Unit GHG</w:t>
                  </w:r>
                  <w:r w:rsidRPr="00263391">
                    <w:rPr>
                      <w:rFonts w:asciiTheme="minorHAnsi" w:hAnsiTheme="minorHAnsi" w:cs="Arial"/>
                      <w:b/>
                      <w:bCs/>
                      <w:color w:val="FFFFFF"/>
                      <w:sz w:val="18"/>
                      <w:szCs w:val="18"/>
                      <w:lang w:val="en-GB"/>
                    </w:rPr>
                    <w:t xml:space="preserve"> emission</w:t>
                  </w:r>
                  <w:r>
                    <w:rPr>
                      <w:rFonts w:asciiTheme="minorHAnsi" w:hAnsiTheme="minorHAnsi" w:cs="Arial"/>
                      <w:b/>
                      <w:bCs/>
                      <w:color w:val="FFFFFF"/>
                      <w:sz w:val="18"/>
                      <w:szCs w:val="18"/>
                      <w:lang w:val="en-GB"/>
                    </w:rPr>
                    <w:t>s factors – g</w:t>
                  </w:r>
                  <w:r w:rsidRPr="00263391">
                    <w:rPr>
                      <w:rFonts w:asciiTheme="minorHAnsi" w:hAnsiTheme="minorHAnsi" w:cs="Arial"/>
                      <w:b/>
                      <w:bCs/>
                      <w:color w:val="FFFFFF"/>
                      <w:sz w:val="18"/>
                      <w:szCs w:val="18"/>
                      <w:lang w:val="en-GB"/>
                    </w:rPr>
                    <w:t>CO</w:t>
                  </w:r>
                  <w:r w:rsidRPr="00EF0D43">
                    <w:rPr>
                      <w:rFonts w:asciiTheme="minorHAnsi" w:hAnsiTheme="minorHAnsi" w:cs="Arial"/>
                      <w:b/>
                      <w:bCs/>
                      <w:color w:val="FFFFFF"/>
                      <w:sz w:val="18"/>
                      <w:szCs w:val="18"/>
                      <w:vertAlign w:val="subscript"/>
                      <w:lang w:val="en-GB"/>
                    </w:rPr>
                    <w:t>2</w:t>
                  </w:r>
                  <w:r>
                    <w:rPr>
                      <w:rFonts w:asciiTheme="minorHAnsi" w:hAnsiTheme="minorHAnsi" w:cs="Arial"/>
                      <w:b/>
                      <w:bCs/>
                      <w:color w:val="FFFFFF"/>
                      <w:sz w:val="18"/>
                      <w:szCs w:val="18"/>
                      <w:lang w:val="en-GB"/>
                    </w:rPr>
                    <w:t>e</w:t>
                  </w:r>
                  <w:r w:rsidRPr="00263391">
                    <w:rPr>
                      <w:rFonts w:asciiTheme="minorHAnsi" w:hAnsiTheme="minorHAnsi" w:cs="Arial"/>
                      <w:b/>
                      <w:bCs/>
                      <w:color w:val="FFFFFF"/>
                      <w:sz w:val="18"/>
                      <w:szCs w:val="18"/>
                      <w:lang w:val="en-GB"/>
                    </w:rPr>
                    <w:t xml:space="preserve">/veh-km </w:t>
                  </w:r>
                  <w:r>
                    <w:rPr>
                      <w:rFonts w:asciiTheme="minorHAnsi" w:hAnsiTheme="minorHAnsi" w:cs="Arial"/>
                      <w:b/>
                      <w:bCs/>
                      <w:color w:val="FFFFFF"/>
                      <w:sz w:val="18"/>
                      <w:szCs w:val="18"/>
                      <w:lang w:val="en-GB"/>
                    </w:rPr>
                    <w:t>–</w:t>
                  </w:r>
                  <w:r w:rsidRPr="00263391">
                    <w:rPr>
                      <w:rFonts w:asciiTheme="minorHAnsi" w:hAnsiTheme="minorHAnsi" w:cs="Arial"/>
                      <w:b/>
                      <w:bCs/>
                      <w:color w:val="FFFFFF"/>
                      <w:sz w:val="18"/>
                      <w:szCs w:val="18"/>
                      <w:lang w:val="en-GB"/>
                    </w:rPr>
                    <w:t xml:space="preserve"> flat terrain (deteriorated pavement)</w:t>
                  </w:r>
                </w:p>
              </w:tc>
            </w:tr>
            <w:tr w:rsidR="00921721" w:rsidRPr="007463B9" w14:paraId="469BA930" w14:textId="77777777" w:rsidTr="00880D09">
              <w:trPr>
                <w:trHeight w:hRule="exact" w:val="313"/>
              </w:trPr>
              <w:tc>
                <w:tcPr>
                  <w:tcW w:w="2261" w:type="dxa"/>
                  <w:vMerge/>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B25933C" w14:textId="77777777" w:rsidR="00921721" w:rsidRPr="006A71F9" w:rsidRDefault="00921721" w:rsidP="00880D09">
                  <w:pPr>
                    <w:jc w:val="center"/>
                    <w:rPr>
                      <w:rFonts w:asciiTheme="minorHAnsi" w:hAnsiTheme="minorHAnsi" w:cs="Arial"/>
                      <w:b/>
                      <w:bCs/>
                      <w:color w:val="FFFFFF"/>
                      <w:sz w:val="18"/>
                      <w:szCs w:val="18"/>
                      <w:lang w:val="en-GB"/>
                    </w:rPr>
                  </w:pPr>
                </w:p>
              </w:tc>
              <w:tc>
                <w:tcPr>
                  <w:tcW w:w="255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B8E2BE8" w14:textId="77777777" w:rsidR="00921721" w:rsidRPr="006A71F9" w:rsidRDefault="00921721" w:rsidP="00880D09">
                  <w:pPr>
                    <w:snapToGrid w:val="0"/>
                    <w:spacing w:before="20" w:after="20"/>
                    <w:jc w:val="center"/>
                    <w:rPr>
                      <w:rFonts w:asciiTheme="minorHAnsi" w:hAnsiTheme="minorHAnsi" w:cs="Arial"/>
                      <w:b/>
                      <w:bCs/>
                      <w:color w:val="FFFFFF"/>
                      <w:sz w:val="18"/>
                      <w:szCs w:val="18"/>
                      <w:lang w:val="en-GB"/>
                    </w:rPr>
                  </w:pPr>
                  <w:r w:rsidRPr="006A71F9">
                    <w:rPr>
                      <w:rFonts w:asciiTheme="minorHAnsi" w:hAnsiTheme="minorHAnsi" w:cs="Arial"/>
                      <w:b/>
                      <w:bCs/>
                      <w:color w:val="FFFFFF"/>
                      <w:sz w:val="18"/>
                      <w:szCs w:val="18"/>
                      <w:lang w:val="en-GB"/>
                    </w:rPr>
                    <w:t>LV</w:t>
                  </w:r>
                </w:p>
              </w:tc>
              <w:tc>
                <w:tcPr>
                  <w:tcW w:w="2127"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8372539" w14:textId="77777777" w:rsidR="00921721" w:rsidRPr="006A71F9" w:rsidRDefault="00921721" w:rsidP="00880D09">
                  <w:pPr>
                    <w:snapToGrid w:val="0"/>
                    <w:spacing w:before="20" w:after="20"/>
                    <w:jc w:val="center"/>
                    <w:rPr>
                      <w:rFonts w:asciiTheme="minorHAnsi" w:hAnsiTheme="minorHAnsi" w:cs="Arial"/>
                      <w:b/>
                      <w:bCs/>
                      <w:color w:val="FFFFFF"/>
                      <w:sz w:val="18"/>
                      <w:szCs w:val="18"/>
                      <w:lang w:val="en-GB"/>
                    </w:rPr>
                  </w:pPr>
                  <w:r w:rsidRPr="006A71F9">
                    <w:rPr>
                      <w:rFonts w:asciiTheme="minorHAnsi" w:hAnsiTheme="minorHAnsi" w:cs="Arial"/>
                      <w:b/>
                      <w:bCs/>
                      <w:color w:val="FFFFFF"/>
                      <w:sz w:val="18"/>
                      <w:szCs w:val="18"/>
                      <w:lang w:val="en-GB"/>
                    </w:rPr>
                    <w:t>HGV</w:t>
                  </w:r>
                </w:p>
              </w:tc>
            </w:tr>
            <w:tr w:rsidR="00921721" w:rsidRPr="007463B9" w14:paraId="3C06EF8D"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CB67A17"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0-10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F76B486"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724.963</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7F84F4B"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1,844.563</w:t>
                  </w:r>
                </w:p>
              </w:tc>
            </w:tr>
            <w:tr w:rsidR="00921721" w:rsidRPr="007463B9" w14:paraId="2D15A907"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120BF00"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11-20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04C477B"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459.151</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95F037D"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1,027.319</w:t>
                  </w:r>
                </w:p>
              </w:tc>
            </w:tr>
            <w:tr w:rsidR="00921721" w:rsidRPr="007463B9" w14:paraId="324F8228"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3024A7C"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21-30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9F041D2"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349.835</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11A2022"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781.333</w:t>
                  </w:r>
                </w:p>
              </w:tc>
            </w:tr>
            <w:tr w:rsidR="00921721" w:rsidRPr="007463B9" w14:paraId="234856E3"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F410F26"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31-40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6DEEFDBE"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284.117</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489532B"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656.460</w:t>
                  </w:r>
                </w:p>
              </w:tc>
            </w:tr>
            <w:tr w:rsidR="00921721" w:rsidRPr="007463B9" w14:paraId="2711A33F"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93A1A22"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41-50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50951C2"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240.686</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1925D49"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587.913</w:t>
                  </w:r>
                </w:p>
              </w:tc>
            </w:tr>
            <w:tr w:rsidR="00921721" w:rsidRPr="007463B9" w14:paraId="4EA9FB09"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AB066AD"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51-60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C5FDCEF"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215.252</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4AB6762"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561.660</w:t>
                  </w:r>
                </w:p>
              </w:tc>
            </w:tr>
            <w:tr w:rsidR="00921721" w:rsidRPr="007463B9" w14:paraId="60585E6C"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A105957"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61-70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0404CFA"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199.816</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DD5DBA7"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554.136</w:t>
                  </w:r>
                </w:p>
              </w:tc>
            </w:tr>
            <w:tr w:rsidR="00921721" w:rsidRPr="007463B9" w14:paraId="5764D5B3"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92B3D63"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71-80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ADEC4DF"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192.645</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F338AE8"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559.112</w:t>
                  </w:r>
                </w:p>
              </w:tc>
            </w:tr>
            <w:tr w:rsidR="00921721" w:rsidRPr="007463B9" w14:paraId="7333EB46"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26711B0"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81-90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571E68B9"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192.713</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4A46E9A"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574.509</w:t>
                  </w:r>
                </w:p>
              </w:tc>
            </w:tr>
            <w:tr w:rsidR="00921721" w:rsidRPr="007463B9" w14:paraId="3758197A"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9D5DAC3"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91-100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C3627E9"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199.378</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4A5CA8C"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606.092</w:t>
                  </w:r>
                </w:p>
              </w:tc>
            </w:tr>
            <w:tr w:rsidR="00921721" w:rsidRPr="007463B9" w14:paraId="2C32E1EE"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9D63523"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101-110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9C1550F"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212.225</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8E8F604"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709.486</w:t>
                  </w:r>
                </w:p>
              </w:tc>
            </w:tr>
            <w:tr w:rsidR="00921721" w:rsidRPr="007463B9" w14:paraId="3E611DD9"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7121F35"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111-120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D44137D"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227.497</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7AC7714"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802.608</w:t>
                  </w:r>
                </w:p>
              </w:tc>
            </w:tr>
            <w:tr w:rsidR="00921721" w:rsidRPr="007463B9" w14:paraId="1339F3B7"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EC2D0AB"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121-130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02CC0ADD"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247.871</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8C9727C"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895.729</w:t>
                  </w:r>
                </w:p>
              </w:tc>
            </w:tr>
            <w:tr w:rsidR="00921721" w:rsidRPr="007463B9" w14:paraId="28231160" w14:textId="77777777" w:rsidTr="00880D09">
              <w:trPr>
                <w:trHeight w:val="262"/>
              </w:trPr>
              <w:tc>
                <w:tcPr>
                  <w:tcW w:w="226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14776D8" w14:textId="77777777" w:rsidR="00921721" w:rsidRPr="00263391" w:rsidRDefault="00921721" w:rsidP="00880D09">
                  <w:pPr>
                    <w:jc w:val="center"/>
                    <w:rPr>
                      <w:rFonts w:asciiTheme="minorHAnsi" w:hAnsiTheme="minorHAnsi" w:cs="Arial"/>
                      <w:color w:val="4F81BD" w:themeColor="accent1"/>
                      <w:sz w:val="18"/>
                      <w:szCs w:val="18"/>
                      <w:lang w:val="en-GB"/>
                    </w:rPr>
                  </w:pPr>
                  <w:r w:rsidRPr="00263391">
                    <w:rPr>
                      <w:rFonts w:asciiTheme="minorHAnsi" w:hAnsiTheme="minorHAnsi" w:cs="Arial"/>
                      <w:color w:val="4F81BD" w:themeColor="accent1"/>
                      <w:sz w:val="18"/>
                      <w:szCs w:val="18"/>
                      <w:lang w:val="en-GB"/>
                    </w:rPr>
                    <w:t>131-140</w:t>
                  </w:r>
                </w:p>
              </w:tc>
              <w:tc>
                <w:tcPr>
                  <w:tcW w:w="25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DA6FB43"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273.013</w:t>
                  </w:r>
                </w:p>
              </w:tc>
              <w:tc>
                <w:tcPr>
                  <w:tcW w:w="2127"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2A01F50F" w14:textId="77777777" w:rsidR="00921721" w:rsidRPr="0026339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988.850</w:t>
                  </w:r>
                </w:p>
              </w:tc>
            </w:tr>
          </w:tbl>
          <w:p w14:paraId="645E49F1" w14:textId="77777777" w:rsidR="00921721" w:rsidRDefault="00921721" w:rsidP="00880D09">
            <w:pPr>
              <w:pStyle w:val="anxnormal"/>
              <w:spacing w:before="0" w:after="120"/>
              <w:ind w:left="0"/>
              <w:rPr>
                <w:rFonts w:asciiTheme="minorHAnsi" w:hAnsiTheme="minorHAnsi"/>
                <w:b/>
                <w:i/>
                <w:sz w:val="16"/>
                <w:szCs w:val="16"/>
                <w:lang w:val="en-GB"/>
              </w:rPr>
            </w:pPr>
            <w:r w:rsidRPr="00263391">
              <w:rPr>
                <w:rFonts w:asciiTheme="minorHAnsi" w:hAnsiTheme="minorHAnsi"/>
                <w:b/>
                <w:i/>
                <w:sz w:val="16"/>
                <w:szCs w:val="16"/>
                <w:lang w:val="en-GB"/>
              </w:rPr>
              <w:t xml:space="preserve">Source: </w:t>
            </w:r>
            <w:r>
              <w:rPr>
                <w:rFonts w:asciiTheme="minorHAnsi" w:hAnsiTheme="minorHAnsi"/>
                <w:b/>
                <w:i/>
                <w:sz w:val="16"/>
                <w:szCs w:val="16"/>
                <w:lang w:val="en-GB"/>
              </w:rPr>
              <w:t xml:space="preserve">CUPT-JASPERS work based on VOC fuel consumption and </w:t>
            </w:r>
            <w:r w:rsidRPr="00263391">
              <w:rPr>
                <w:rFonts w:asciiTheme="minorHAnsi" w:hAnsiTheme="minorHAnsi"/>
                <w:b/>
                <w:i/>
                <w:sz w:val="16"/>
                <w:szCs w:val="16"/>
                <w:lang w:val="en-GB"/>
              </w:rPr>
              <w:t xml:space="preserve">EMEP/EEA air pollutant emission inventory guidebook, 2019, </w:t>
            </w:r>
            <w:r>
              <w:rPr>
                <w:rFonts w:asciiTheme="minorHAnsi" w:hAnsiTheme="minorHAnsi"/>
                <w:b/>
                <w:i/>
                <w:sz w:val="16"/>
                <w:szCs w:val="16"/>
                <w:lang w:val="en-GB"/>
              </w:rPr>
              <w:t>with</w:t>
            </w:r>
            <w:r w:rsidRPr="00263391">
              <w:rPr>
                <w:rFonts w:asciiTheme="minorHAnsi" w:hAnsiTheme="minorHAnsi"/>
                <w:b/>
                <w:i/>
                <w:sz w:val="16"/>
                <w:szCs w:val="16"/>
                <w:lang w:val="en-GB"/>
              </w:rPr>
              <w:t xml:space="preserve"> 1.A.3.b.i-iv Road Transport Appendix 4 Emission Factors 2019 (Sept. 2020)</w:t>
            </w:r>
            <w:r>
              <w:rPr>
                <w:rFonts w:asciiTheme="minorHAnsi" w:hAnsiTheme="minorHAnsi"/>
                <w:b/>
                <w:i/>
                <w:sz w:val="16"/>
                <w:szCs w:val="16"/>
                <w:lang w:val="en-GB"/>
              </w:rPr>
              <w:t>.</w:t>
            </w:r>
          </w:p>
          <w:p w14:paraId="104799FD" w14:textId="77777777" w:rsidR="00921721" w:rsidRDefault="00921721" w:rsidP="00880D09">
            <w:pPr>
              <w:pStyle w:val="anxnormal"/>
              <w:spacing w:after="120"/>
              <w:ind w:left="0"/>
              <w:rPr>
                <w:rFonts w:asciiTheme="minorHAnsi" w:hAnsiTheme="minorHAnsi"/>
                <w:bCs/>
                <w:lang w:val="en-GB" w:eastAsia="en-US"/>
              </w:rPr>
            </w:pPr>
          </w:p>
          <w:p w14:paraId="25EB46EB" w14:textId="77777777" w:rsidR="00921721" w:rsidRDefault="00921721" w:rsidP="00880D09">
            <w:pPr>
              <w:pStyle w:val="anxnormal"/>
              <w:spacing w:after="120"/>
              <w:ind w:left="0"/>
              <w:rPr>
                <w:rFonts w:asciiTheme="minorHAnsi" w:hAnsiTheme="minorHAnsi"/>
                <w:bCs/>
                <w:lang w:val="en-GB" w:eastAsia="en-US"/>
              </w:rPr>
            </w:pPr>
          </w:p>
          <w:p w14:paraId="4E0C6E33" w14:textId="77777777" w:rsidR="00921721" w:rsidRDefault="00921721" w:rsidP="00880D09">
            <w:pPr>
              <w:pStyle w:val="anxnormal"/>
              <w:spacing w:after="120"/>
              <w:ind w:left="0"/>
              <w:rPr>
                <w:rFonts w:asciiTheme="minorHAnsi" w:hAnsiTheme="minorHAnsi"/>
                <w:lang w:val="en-GB" w:eastAsia="en-US"/>
              </w:rPr>
            </w:pPr>
            <w:r>
              <w:rPr>
                <w:rFonts w:asciiTheme="minorHAnsi" w:hAnsiTheme="minorHAnsi"/>
                <w:bCs/>
                <w:lang w:val="en-GB" w:eastAsia="en-US"/>
              </w:rPr>
              <w:t>The influence of road gradient on greenhouse gas emissions by road vehicles is assumed the same as on fuel consumption. It</w:t>
            </w:r>
            <w:r w:rsidRPr="00016AAD">
              <w:rPr>
                <w:rFonts w:asciiTheme="minorHAnsi" w:hAnsiTheme="minorHAnsi"/>
                <w:bCs/>
                <w:lang w:val="en-GB" w:eastAsia="en-US"/>
              </w:rPr>
              <w:t xml:space="preserve"> is considered that a hilly terrain </w:t>
            </w:r>
            <w:r>
              <w:rPr>
                <w:rFonts w:asciiTheme="minorHAnsi" w:hAnsiTheme="minorHAnsi"/>
                <w:bCs/>
                <w:lang w:val="en-GB" w:eastAsia="en-US"/>
              </w:rPr>
              <w:t>increases</w:t>
            </w:r>
            <w:r w:rsidRPr="00016AAD">
              <w:rPr>
                <w:rFonts w:asciiTheme="minorHAnsi" w:hAnsiTheme="minorHAnsi"/>
                <w:bCs/>
                <w:lang w:val="en-GB" w:eastAsia="en-US"/>
              </w:rPr>
              <w:t xml:space="preserve"> fuel consumption by </w:t>
            </w:r>
            <w:r>
              <w:rPr>
                <w:rFonts w:asciiTheme="minorHAnsi" w:hAnsiTheme="minorHAnsi"/>
                <w:bCs/>
                <w:lang w:val="en-GB" w:eastAsia="en-US"/>
              </w:rPr>
              <w:t xml:space="preserve">15% for LV. For HGV, the related factor was obtained based on the fuel consumption equations used. </w:t>
            </w:r>
          </w:p>
          <w:p w14:paraId="4DEC89A5" w14:textId="77777777" w:rsidR="00921721" w:rsidRDefault="00921721" w:rsidP="00880D09">
            <w:pPr>
              <w:pStyle w:val="anxnormal"/>
              <w:spacing w:after="120"/>
              <w:ind w:left="0"/>
              <w:rPr>
                <w:rFonts w:asciiTheme="minorHAnsi" w:hAnsiTheme="minorHAnsi"/>
                <w:lang w:val="en-GB" w:eastAsia="en-US"/>
              </w:rPr>
            </w:pPr>
          </w:p>
          <w:p w14:paraId="06696718" w14:textId="77777777" w:rsidR="00921721" w:rsidRPr="00894D52" w:rsidRDefault="00921721" w:rsidP="00880D09">
            <w:pPr>
              <w:pStyle w:val="anxnormal"/>
              <w:spacing w:after="120"/>
              <w:ind w:left="0"/>
              <w:rPr>
                <w:rFonts w:asciiTheme="minorHAnsi" w:hAnsiTheme="minorHAnsi"/>
                <w:lang w:val="en-GB" w:eastAsia="en-US"/>
              </w:rPr>
            </w:pPr>
            <w:r>
              <w:rPr>
                <w:rFonts w:asciiTheme="minorHAnsi" w:hAnsiTheme="minorHAnsi"/>
                <w:lang w:val="en-GB" w:eastAsia="en-US"/>
              </w:rPr>
              <w:t>Multiplying</w:t>
            </w:r>
            <w:r w:rsidRPr="00894D52">
              <w:rPr>
                <w:rFonts w:asciiTheme="minorHAnsi" w:hAnsiTheme="minorHAnsi"/>
                <w:lang w:val="en-GB" w:eastAsia="en-US"/>
              </w:rPr>
              <w:t xml:space="preserve"> indicators depending on type of terrain</w:t>
            </w:r>
          </w:p>
          <w:tbl>
            <w:tblPr>
              <w:tblW w:w="3395" w:type="dxa"/>
              <w:tblLayout w:type="fixed"/>
              <w:tblLook w:val="04A0" w:firstRow="1" w:lastRow="0" w:firstColumn="1" w:lastColumn="0" w:noHBand="0" w:noVBand="1"/>
            </w:tblPr>
            <w:tblGrid>
              <w:gridCol w:w="1694"/>
              <w:gridCol w:w="850"/>
              <w:gridCol w:w="851"/>
            </w:tblGrid>
            <w:tr w:rsidR="00921721" w:rsidRPr="007463B9" w14:paraId="6E0EF174" w14:textId="77777777" w:rsidTr="00880D09">
              <w:trPr>
                <w:trHeight w:hRule="exact" w:val="309"/>
              </w:trPr>
              <w:tc>
                <w:tcPr>
                  <w:tcW w:w="169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4A4C9A1" w14:textId="77777777" w:rsidR="00921721" w:rsidRPr="00894D52" w:rsidRDefault="00921721" w:rsidP="00880D09">
                  <w:pPr>
                    <w:snapToGrid w:val="0"/>
                    <w:spacing w:before="20" w:after="20"/>
                    <w:jc w:val="center"/>
                    <w:rPr>
                      <w:rFonts w:asciiTheme="minorHAnsi" w:hAnsiTheme="minorHAnsi" w:cs="Arial"/>
                      <w:b/>
                      <w:bCs/>
                      <w:color w:val="FFFFFF"/>
                      <w:sz w:val="18"/>
                      <w:szCs w:val="18"/>
                      <w:lang w:val="en-GB"/>
                    </w:rPr>
                  </w:pPr>
                  <w:r w:rsidRPr="00894D52">
                    <w:rPr>
                      <w:rFonts w:asciiTheme="minorHAnsi" w:hAnsiTheme="minorHAnsi" w:cs="Arial"/>
                      <w:b/>
                      <w:bCs/>
                      <w:color w:val="FFFFFF"/>
                      <w:sz w:val="18"/>
                      <w:szCs w:val="18"/>
                      <w:lang w:val="en-GB"/>
                    </w:rPr>
                    <w:t>Type of terrain</w:t>
                  </w:r>
                </w:p>
              </w:tc>
              <w:tc>
                <w:tcPr>
                  <w:tcW w:w="85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0D7EB06" w14:textId="77777777" w:rsidR="00921721" w:rsidRPr="00894D52" w:rsidRDefault="00921721" w:rsidP="00880D09">
                  <w:pPr>
                    <w:snapToGrid w:val="0"/>
                    <w:spacing w:before="20" w:after="20"/>
                    <w:jc w:val="center"/>
                    <w:rPr>
                      <w:rFonts w:asciiTheme="minorHAnsi" w:hAnsiTheme="minorHAnsi" w:cs="Arial"/>
                      <w:b/>
                      <w:bCs/>
                      <w:color w:val="FFFFFF"/>
                      <w:sz w:val="18"/>
                      <w:szCs w:val="18"/>
                      <w:lang w:val="en-GB"/>
                    </w:rPr>
                  </w:pPr>
                  <w:r w:rsidRPr="00894D52">
                    <w:rPr>
                      <w:rFonts w:asciiTheme="minorHAnsi" w:hAnsiTheme="minorHAnsi" w:cs="Arial"/>
                      <w:b/>
                      <w:bCs/>
                      <w:color w:val="FFFFFF"/>
                      <w:sz w:val="18"/>
                      <w:szCs w:val="18"/>
                      <w:lang w:val="en-GB"/>
                    </w:rPr>
                    <w:t>LV</w:t>
                  </w:r>
                </w:p>
              </w:tc>
              <w:tc>
                <w:tcPr>
                  <w:tcW w:w="85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6600E3C" w14:textId="77777777" w:rsidR="00921721" w:rsidRPr="00894D52" w:rsidRDefault="00921721" w:rsidP="00880D09">
                  <w:pPr>
                    <w:snapToGrid w:val="0"/>
                    <w:spacing w:before="20" w:after="20"/>
                    <w:jc w:val="center"/>
                    <w:rPr>
                      <w:rFonts w:asciiTheme="minorHAnsi" w:hAnsiTheme="minorHAnsi" w:cs="Arial"/>
                      <w:b/>
                      <w:bCs/>
                      <w:color w:val="FFFFFF"/>
                      <w:sz w:val="18"/>
                      <w:szCs w:val="18"/>
                      <w:lang w:val="en-GB"/>
                    </w:rPr>
                  </w:pPr>
                  <w:r w:rsidRPr="00894D52">
                    <w:rPr>
                      <w:rFonts w:asciiTheme="minorHAnsi" w:hAnsiTheme="minorHAnsi" w:cs="Arial"/>
                      <w:b/>
                      <w:bCs/>
                      <w:color w:val="FFFFFF"/>
                      <w:sz w:val="18"/>
                      <w:szCs w:val="18"/>
                      <w:lang w:val="en-GB"/>
                    </w:rPr>
                    <w:t>HGV</w:t>
                  </w:r>
                </w:p>
              </w:tc>
            </w:tr>
            <w:tr w:rsidR="00921721" w:rsidRPr="007463B9" w14:paraId="0A52377C"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E51F14A" w14:textId="77777777" w:rsidR="00921721" w:rsidRPr="00894D52" w:rsidRDefault="00921721" w:rsidP="00880D09">
                  <w:pPr>
                    <w:spacing w:before="20"/>
                    <w:jc w:val="center"/>
                    <w:rPr>
                      <w:rFonts w:asciiTheme="minorHAnsi" w:hAnsiTheme="minorHAnsi" w:cs="Calibri"/>
                      <w:color w:val="4F81BD" w:themeColor="accent1"/>
                      <w:sz w:val="18"/>
                      <w:szCs w:val="18"/>
                      <w:lang w:val="en-GB"/>
                    </w:rPr>
                  </w:pPr>
                  <w:r>
                    <w:rPr>
                      <w:rFonts w:asciiTheme="minorHAnsi" w:hAnsiTheme="minorHAnsi" w:cs="Arial"/>
                      <w:color w:val="4F81BD" w:themeColor="accent1"/>
                      <w:sz w:val="18"/>
                      <w:szCs w:val="18"/>
                      <w:lang w:val="en-GB"/>
                    </w:rPr>
                    <w:t>Flat</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8A2915B" w14:textId="77777777" w:rsidR="00921721" w:rsidRPr="00894D52"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FAF11FF" w14:textId="77777777" w:rsidR="00921721" w:rsidRPr="00894D52"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r>
            <w:tr w:rsidR="00921721" w:rsidRPr="007463B9" w14:paraId="6E3147C7" w14:textId="77777777" w:rsidTr="00880D09">
              <w:trPr>
                <w:trHeight w:val="258"/>
              </w:trPr>
              <w:tc>
                <w:tcPr>
                  <w:tcW w:w="169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F274D57" w14:textId="77777777" w:rsidR="00921721" w:rsidRPr="00894D5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Rolling</w:t>
                  </w:r>
                </w:p>
              </w:tc>
              <w:tc>
                <w:tcPr>
                  <w:tcW w:w="850"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1CECC68" w14:textId="77777777" w:rsidR="00921721" w:rsidRPr="00894D5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 xml:space="preserve">1.150 </w:t>
                  </w:r>
                </w:p>
              </w:tc>
              <w:tc>
                <w:tcPr>
                  <w:tcW w:w="851"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2584AEC3" w14:textId="77777777" w:rsidR="00921721" w:rsidRPr="00894D5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 xml:space="preserve">1.697 </w:t>
                  </w:r>
                </w:p>
              </w:tc>
            </w:tr>
          </w:tbl>
          <w:p w14:paraId="739B8E6F" w14:textId="77777777" w:rsidR="00921721" w:rsidRDefault="00921721" w:rsidP="00880D09">
            <w:pPr>
              <w:spacing w:after="120"/>
              <w:ind w:right="170"/>
              <w:jc w:val="both"/>
              <w:rPr>
                <w:rFonts w:asciiTheme="minorHAnsi" w:hAnsiTheme="minorHAnsi" w:cs="Arial"/>
                <w:b/>
                <w:i/>
                <w:sz w:val="16"/>
                <w:szCs w:val="16"/>
                <w:lang w:val="en-GB"/>
              </w:rPr>
            </w:pPr>
            <w:r w:rsidRPr="00894D52">
              <w:rPr>
                <w:rFonts w:asciiTheme="minorHAnsi" w:hAnsiTheme="minorHAnsi" w:cs="Arial"/>
                <w:b/>
                <w:i/>
                <w:sz w:val="16"/>
                <w:szCs w:val="16"/>
                <w:lang w:val="en-GB"/>
              </w:rPr>
              <w:t xml:space="preserve">Source: </w:t>
            </w:r>
            <w:r>
              <w:rPr>
                <w:rFonts w:asciiTheme="minorHAnsi" w:hAnsiTheme="minorHAnsi" w:cs="Arial"/>
                <w:b/>
                <w:i/>
                <w:sz w:val="16"/>
                <w:szCs w:val="16"/>
                <w:lang w:val="en-GB"/>
              </w:rPr>
              <w:t>CUPT-JASPSERS work based on VOC calculations.</w:t>
            </w:r>
          </w:p>
          <w:p w14:paraId="31B41CF4" w14:textId="77777777" w:rsidR="00921721" w:rsidRDefault="00921721" w:rsidP="00880D09">
            <w:pPr>
              <w:pStyle w:val="anxnormal"/>
              <w:ind w:left="0"/>
              <w:rPr>
                <w:rFonts w:asciiTheme="minorHAnsi" w:hAnsiTheme="minorHAnsi"/>
                <w:u w:val="single"/>
                <w:lang w:val="en-GB" w:eastAsia="en-US"/>
              </w:rPr>
            </w:pPr>
          </w:p>
          <w:p w14:paraId="65C79461" w14:textId="77777777" w:rsidR="00921721" w:rsidRDefault="00921721" w:rsidP="00880D09">
            <w:pPr>
              <w:pStyle w:val="anxnormal"/>
              <w:ind w:left="0"/>
              <w:rPr>
                <w:rFonts w:asciiTheme="minorHAnsi" w:hAnsiTheme="minorHAnsi"/>
                <w:u w:val="single"/>
                <w:lang w:val="en-GB" w:eastAsia="en-US"/>
              </w:rPr>
            </w:pPr>
            <w:r>
              <w:rPr>
                <w:rFonts w:asciiTheme="minorHAnsi" w:hAnsiTheme="minorHAnsi"/>
                <w:u w:val="single"/>
                <w:lang w:val="en-GB" w:eastAsia="en-US"/>
              </w:rPr>
              <w:t>Electric LV – GHG emission factors</w:t>
            </w:r>
          </w:p>
          <w:p w14:paraId="349441FA" w14:textId="77777777" w:rsidR="00921721" w:rsidRDefault="00921721" w:rsidP="00880D09">
            <w:pPr>
              <w:pStyle w:val="anxnormal"/>
              <w:ind w:left="0"/>
              <w:rPr>
                <w:rFonts w:asciiTheme="minorHAnsi" w:hAnsiTheme="minorHAnsi"/>
                <w:lang w:val="en-GB" w:eastAsia="en-US"/>
              </w:rPr>
            </w:pPr>
            <w:r>
              <w:rPr>
                <w:rFonts w:asciiTheme="minorHAnsi" w:hAnsiTheme="minorHAnsi"/>
                <w:lang w:val="en-GB" w:eastAsia="en-US"/>
              </w:rPr>
              <w:t xml:space="preserve">As noted above, since a continuous increase of electric vehicles as part of Polish road fleet is expected, it needs to be reflected in respective GHG emission factors. </w:t>
            </w:r>
          </w:p>
          <w:p w14:paraId="36B3ED83" w14:textId="77777777" w:rsidR="00921721" w:rsidRPr="00865D50" w:rsidRDefault="00921721" w:rsidP="00880D09">
            <w:pPr>
              <w:pStyle w:val="anxnormal"/>
              <w:ind w:left="0"/>
              <w:rPr>
                <w:rFonts w:asciiTheme="minorHAnsi" w:hAnsiTheme="minorHAnsi"/>
                <w:lang w:val="en-US" w:eastAsia="en-US"/>
              </w:rPr>
            </w:pPr>
            <w:r w:rsidRPr="00ED063F">
              <w:rPr>
                <w:rFonts w:asciiTheme="minorHAnsi" w:hAnsiTheme="minorHAnsi"/>
                <w:lang w:val="en-GB" w:eastAsia="en-US"/>
              </w:rPr>
              <w:t>The national electricity grid GHG emission factor in 2019 was 719 gCO</w:t>
            </w:r>
            <w:r w:rsidRPr="00ED063F">
              <w:rPr>
                <w:rFonts w:asciiTheme="minorHAnsi" w:hAnsiTheme="minorHAnsi"/>
                <w:vertAlign w:val="subscript"/>
                <w:lang w:val="en-GB" w:eastAsia="en-US"/>
              </w:rPr>
              <w:t>2</w:t>
            </w:r>
            <w:r w:rsidRPr="00ED063F">
              <w:rPr>
                <w:rFonts w:asciiTheme="minorHAnsi" w:hAnsiTheme="minorHAnsi"/>
                <w:lang w:val="en-GB" w:eastAsia="en-US"/>
              </w:rPr>
              <w:t>/kWh</w:t>
            </w:r>
            <w:r w:rsidRPr="00ED063F">
              <w:rPr>
                <w:rStyle w:val="Odwoanieprzypisudolnego"/>
                <w:rFonts w:asciiTheme="minorHAnsi" w:hAnsiTheme="minorHAnsi"/>
                <w:lang w:val="en-GB" w:eastAsia="en-US"/>
              </w:rPr>
              <w:footnoteReference w:id="19"/>
            </w:r>
            <w:r w:rsidRPr="00ED063F">
              <w:rPr>
                <w:rFonts w:asciiTheme="minorHAnsi" w:hAnsiTheme="minorHAnsi"/>
                <w:lang w:val="en-GB" w:eastAsia="en-US"/>
              </w:rPr>
              <w:t xml:space="preserve">. Starting from that point, the factor for the current base year (2021) was calculated as </w:t>
            </w:r>
            <w:r w:rsidRPr="00ED063F">
              <w:rPr>
                <w:rFonts w:asciiTheme="minorHAnsi" w:hAnsiTheme="minorHAnsi"/>
                <w:b/>
                <w:lang w:val="en-GB" w:eastAsia="en-US"/>
              </w:rPr>
              <w:t>668.68 gCO</w:t>
            </w:r>
            <w:r w:rsidRPr="00ED063F">
              <w:rPr>
                <w:rFonts w:asciiTheme="minorHAnsi" w:hAnsiTheme="minorHAnsi"/>
                <w:b/>
                <w:vertAlign w:val="subscript"/>
                <w:lang w:val="en-GB" w:eastAsia="en-US"/>
              </w:rPr>
              <w:t>2</w:t>
            </w:r>
            <w:r w:rsidRPr="00ED063F">
              <w:rPr>
                <w:rFonts w:asciiTheme="minorHAnsi" w:hAnsiTheme="minorHAnsi"/>
                <w:b/>
                <w:lang w:val="en-GB" w:eastAsia="en-US"/>
              </w:rPr>
              <w:t>/kWh</w:t>
            </w:r>
            <w:r w:rsidRPr="00ED063F">
              <w:rPr>
                <w:rFonts w:asciiTheme="minorHAnsi" w:hAnsiTheme="minorHAnsi"/>
                <w:lang w:val="en-GB" w:eastAsia="en-US"/>
              </w:rPr>
              <w:t xml:space="preserve"> with the following approach assumed as </w:t>
            </w:r>
            <w:r>
              <w:rPr>
                <w:rFonts w:asciiTheme="minorHAnsi" w:hAnsiTheme="minorHAnsi"/>
                <w:lang w:val="en-GB" w:eastAsia="en-US"/>
              </w:rPr>
              <w:t>a </w:t>
            </w:r>
            <w:r w:rsidRPr="00ED063F">
              <w:rPr>
                <w:rFonts w:asciiTheme="minorHAnsi" w:hAnsiTheme="minorHAnsi"/>
                <w:lang w:val="en-GB" w:eastAsia="en-US"/>
              </w:rPr>
              <w:t>relevant proxy: [1] the share of grid electricity generated from hard coal and lignite in 2019</w:t>
            </w:r>
            <w:r w:rsidRPr="00ED063F">
              <w:rPr>
                <w:rStyle w:val="Odwoanieprzypisudolnego"/>
                <w:rFonts w:asciiTheme="minorHAnsi" w:hAnsiTheme="minorHAnsi"/>
                <w:lang w:val="en-GB" w:eastAsia="en-US"/>
              </w:rPr>
              <w:footnoteReference w:id="20"/>
            </w:r>
            <w:r w:rsidRPr="00ED063F">
              <w:rPr>
                <w:rFonts w:asciiTheme="minorHAnsi" w:hAnsiTheme="minorHAnsi"/>
                <w:lang w:val="en-GB" w:eastAsia="en-US"/>
              </w:rPr>
              <w:t xml:space="preserve">, [2] the estimated elasticity of grid electricity GHG emissions to changes in the share of hard coal and lignite in Poland’s energy mix, and [3] the forecast share of hard coal and lignite in Poland’s energy mix in accordance with </w:t>
            </w:r>
            <w:r>
              <w:rPr>
                <w:rFonts w:asciiTheme="minorHAnsi" w:hAnsiTheme="minorHAnsi"/>
                <w:lang w:val="en-GB" w:eastAsia="en-US"/>
              </w:rPr>
              <w:t xml:space="preserve">the </w:t>
            </w:r>
            <w:r w:rsidRPr="00ED063F">
              <w:rPr>
                <w:rFonts w:asciiTheme="minorHAnsi" w:hAnsiTheme="minorHAnsi"/>
                <w:lang w:val="en-US" w:eastAsia="en-US"/>
              </w:rPr>
              <w:t>Energy Policy of Poland until 2040 (Polityka Energetyczna Polski do 2040 r.)</w:t>
            </w:r>
            <w:r w:rsidRPr="00ED063F">
              <w:rPr>
                <w:rStyle w:val="Odwoanieprzypisudolnego"/>
                <w:rFonts w:asciiTheme="minorHAnsi" w:hAnsiTheme="minorHAnsi"/>
                <w:lang w:val="en-US" w:eastAsia="en-US"/>
              </w:rPr>
              <w:footnoteReference w:id="21"/>
            </w:r>
            <w:r>
              <w:rPr>
                <w:rFonts w:asciiTheme="minorHAnsi" w:hAnsiTheme="minorHAnsi"/>
                <w:lang w:val="en-US" w:eastAsia="en-US"/>
              </w:rPr>
              <w:t xml:space="preserve">. </w:t>
            </w:r>
          </w:p>
          <w:p w14:paraId="2FAB7E54" w14:textId="77777777" w:rsidR="00921721" w:rsidRDefault="00921721" w:rsidP="00880D09">
            <w:pPr>
              <w:pStyle w:val="anxnormal"/>
              <w:ind w:left="0"/>
              <w:rPr>
                <w:rFonts w:asciiTheme="minorHAnsi" w:hAnsiTheme="minorHAnsi"/>
                <w:lang w:val="en-GB" w:eastAsia="en-US"/>
              </w:rPr>
            </w:pPr>
            <w:r>
              <w:rPr>
                <w:rFonts w:asciiTheme="minorHAnsi" w:hAnsiTheme="minorHAnsi"/>
                <w:lang w:val="en-GB" w:eastAsia="en-US"/>
              </w:rPr>
              <w:t xml:space="preserve">The proposed emission factor for an average electric LV in 2021 is </w:t>
            </w:r>
            <w:r w:rsidRPr="00041C91">
              <w:rPr>
                <w:rFonts w:asciiTheme="minorHAnsi" w:hAnsiTheme="minorHAnsi"/>
                <w:b/>
                <w:lang w:val="en-GB" w:eastAsia="en-US"/>
              </w:rPr>
              <w:t xml:space="preserve">156.03 </w:t>
            </w:r>
            <w:r>
              <w:rPr>
                <w:rFonts w:asciiTheme="minorHAnsi" w:hAnsiTheme="minorHAnsi"/>
                <w:b/>
                <w:lang w:val="en-GB" w:eastAsia="en-US"/>
              </w:rPr>
              <w:t>g</w:t>
            </w:r>
            <w:r w:rsidRPr="00EA5DA5">
              <w:rPr>
                <w:rFonts w:asciiTheme="minorHAnsi" w:hAnsiTheme="minorHAnsi"/>
                <w:b/>
                <w:lang w:val="en-GB" w:eastAsia="en-US"/>
              </w:rPr>
              <w:t>CO</w:t>
            </w:r>
            <w:r w:rsidRPr="00EA5DA5">
              <w:rPr>
                <w:rFonts w:asciiTheme="minorHAnsi" w:hAnsiTheme="minorHAnsi"/>
                <w:b/>
                <w:vertAlign w:val="subscript"/>
                <w:lang w:val="en-GB" w:eastAsia="en-US"/>
              </w:rPr>
              <w:t>2</w:t>
            </w:r>
            <w:r w:rsidRPr="00F13EAB">
              <w:rPr>
                <w:rFonts w:asciiTheme="minorHAnsi" w:hAnsiTheme="minorHAnsi"/>
                <w:b/>
                <w:lang w:val="en-GB" w:eastAsia="en-US"/>
              </w:rPr>
              <w:t>e</w:t>
            </w:r>
            <w:r w:rsidRPr="00EA5DA5">
              <w:rPr>
                <w:rFonts w:asciiTheme="minorHAnsi" w:hAnsiTheme="minorHAnsi"/>
                <w:b/>
                <w:lang w:val="en-GB" w:eastAsia="en-US"/>
              </w:rPr>
              <w:t>/veh</w:t>
            </w:r>
            <w:r w:rsidRPr="00BA2098">
              <w:rPr>
                <w:rFonts w:asciiTheme="minorHAnsi" w:hAnsiTheme="minorHAnsi"/>
                <w:b/>
                <w:lang w:val="en-GB" w:eastAsia="en-US"/>
              </w:rPr>
              <w:t>-km</w:t>
            </w:r>
            <w:r w:rsidRPr="00BA2098">
              <w:rPr>
                <w:rFonts w:asciiTheme="minorHAnsi" w:hAnsiTheme="minorHAnsi"/>
                <w:lang w:val="en-GB" w:eastAsia="en-US"/>
              </w:rPr>
              <w:t>.</w:t>
            </w:r>
            <w:r>
              <w:rPr>
                <w:rFonts w:asciiTheme="minorHAnsi" w:hAnsiTheme="minorHAnsi"/>
                <w:lang w:val="en-GB" w:eastAsia="en-US"/>
              </w:rPr>
              <w:t xml:space="preserve"> As for other vehicle types, it corresponds to flat terrain and good road pavement conditions (i.e. after construction/ rehabilitation). Factors related to road gradient influence and pavement condition are provided below.</w:t>
            </w:r>
          </w:p>
          <w:p w14:paraId="611A17C8" w14:textId="77777777" w:rsidR="00921721" w:rsidRDefault="00921721" w:rsidP="00880D09">
            <w:pPr>
              <w:pStyle w:val="anxnormal"/>
              <w:spacing w:after="120"/>
              <w:ind w:left="0"/>
              <w:rPr>
                <w:rFonts w:asciiTheme="minorHAnsi" w:hAnsiTheme="minorHAnsi"/>
                <w:lang w:val="en-GB" w:eastAsia="en-US"/>
              </w:rPr>
            </w:pPr>
          </w:p>
          <w:p w14:paraId="410F477F" w14:textId="77777777" w:rsidR="00921721" w:rsidRDefault="00921721" w:rsidP="00880D09">
            <w:pPr>
              <w:pStyle w:val="anxnormal"/>
              <w:spacing w:after="120"/>
              <w:ind w:left="0"/>
              <w:rPr>
                <w:rFonts w:asciiTheme="minorHAnsi" w:hAnsiTheme="minorHAnsi"/>
                <w:lang w:val="en-GB" w:eastAsia="en-US"/>
              </w:rPr>
            </w:pPr>
          </w:p>
          <w:p w14:paraId="0236A5F0" w14:textId="77777777" w:rsidR="00921721" w:rsidRDefault="00921721" w:rsidP="00880D09">
            <w:pPr>
              <w:pStyle w:val="anxnormal"/>
              <w:spacing w:after="120"/>
              <w:ind w:left="0"/>
              <w:rPr>
                <w:rFonts w:asciiTheme="minorHAnsi" w:hAnsiTheme="minorHAnsi"/>
                <w:lang w:val="en-GB" w:eastAsia="en-US"/>
              </w:rPr>
            </w:pPr>
          </w:p>
          <w:p w14:paraId="058890A7" w14:textId="77777777" w:rsidR="00921721" w:rsidRDefault="00921721" w:rsidP="00880D09">
            <w:pPr>
              <w:pStyle w:val="anxnormal"/>
              <w:spacing w:after="120"/>
              <w:ind w:left="0"/>
              <w:rPr>
                <w:rFonts w:asciiTheme="minorHAnsi" w:hAnsiTheme="minorHAnsi"/>
                <w:lang w:val="en-GB" w:eastAsia="en-US"/>
              </w:rPr>
            </w:pPr>
          </w:p>
          <w:p w14:paraId="63220D71" w14:textId="77777777" w:rsidR="00921721" w:rsidRPr="00731E4E" w:rsidRDefault="00921721" w:rsidP="00880D09">
            <w:pPr>
              <w:pStyle w:val="anxnormal"/>
              <w:spacing w:after="120"/>
              <w:ind w:left="0"/>
              <w:rPr>
                <w:rFonts w:asciiTheme="minorHAnsi" w:hAnsiTheme="minorHAnsi"/>
                <w:lang w:val="en-GB" w:eastAsia="en-US"/>
              </w:rPr>
            </w:pPr>
            <w:r w:rsidRPr="00731E4E">
              <w:rPr>
                <w:rFonts w:asciiTheme="minorHAnsi" w:hAnsiTheme="minorHAnsi"/>
                <w:lang w:val="en-GB" w:eastAsia="en-US"/>
              </w:rPr>
              <w:t xml:space="preserve">Costs </w:t>
            </w:r>
            <w:r>
              <w:rPr>
                <w:rFonts w:asciiTheme="minorHAnsi" w:hAnsiTheme="minorHAnsi"/>
                <w:lang w:val="en-GB" w:eastAsia="en-US"/>
              </w:rPr>
              <w:t>multiplying</w:t>
            </w:r>
            <w:r w:rsidRPr="00731E4E">
              <w:rPr>
                <w:rFonts w:asciiTheme="minorHAnsi" w:hAnsiTheme="minorHAnsi"/>
                <w:lang w:val="en-GB" w:eastAsia="en-US"/>
              </w:rPr>
              <w:t xml:space="preserve"> indicators depending on type of terrain </w:t>
            </w:r>
          </w:p>
          <w:tbl>
            <w:tblPr>
              <w:tblW w:w="4292" w:type="dxa"/>
              <w:tblLayout w:type="fixed"/>
              <w:tblLook w:val="04A0" w:firstRow="1" w:lastRow="0" w:firstColumn="1" w:lastColumn="0" w:noHBand="0" w:noVBand="1"/>
            </w:tblPr>
            <w:tblGrid>
              <w:gridCol w:w="2142"/>
              <w:gridCol w:w="1074"/>
              <w:gridCol w:w="1076"/>
            </w:tblGrid>
            <w:tr w:rsidR="00921721" w:rsidRPr="007463B9" w14:paraId="2EB8BAA8" w14:textId="77777777" w:rsidTr="00880D09">
              <w:trPr>
                <w:trHeight w:hRule="exact" w:val="314"/>
              </w:trPr>
              <w:tc>
                <w:tcPr>
                  <w:tcW w:w="214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C6A906B"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Type of terrain</w:t>
                  </w:r>
                </w:p>
              </w:tc>
              <w:tc>
                <w:tcPr>
                  <w:tcW w:w="107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F332467"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LV</w:t>
                  </w:r>
                </w:p>
              </w:tc>
              <w:tc>
                <w:tcPr>
                  <w:tcW w:w="107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8083A7E"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 xml:space="preserve">Electric bus </w:t>
                  </w:r>
                </w:p>
              </w:tc>
            </w:tr>
            <w:tr w:rsidR="00921721" w:rsidRPr="007463B9" w14:paraId="4D197E98" w14:textId="77777777" w:rsidTr="00880D09">
              <w:trPr>
                <w:trHeight w:val="262"/>
              </w:trPr>
              <w:tc>
                <w:tcPr>
                  <w:tcW w:w="214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FDD926C" w14:textId="77777777" w:rsidR="00921721" w:rsidRPr="00CA444D" w:rsidRDefault="00921721" w:rsidP="00880D09">
                  <w:pPr>
                    <w:spacing w:before="20"/>
                    <w:jc w:val="center"/>
                    <w:rPr>
                      <w:rFonts w:asciiTheme="minorHAnsi" w:hAnsiTheme="minorHAnsi" w:cs="Calibri"/>
                      <w:color w:val="4F81BD" w:themeColor="accent1"/>
                      <w:sz w:val="18"/>
                      <w:szCs w:val="18"/>
                      <w:lang w:val="en-GB"/>
                    </w:rPr>
                  </w:pPr>
                  <w:r>
                    <w:rPr>
                      <w:rFonts w:asciiTheme="minorHAnsi" w:hAnsiTheme="minorHAnsi" w:cs="Arial"/>
                      <w:color w:val="4F81BD" w:themeColor="accent1"/>
                      <w:sz w:val="18"/>
                      <w:szCs w:val="18"/>
                      <w:lang w:val="en-GB"/>
                    </w:rPr>
                    <w:t>Flat</w:t>
                  </w:r>
                </w:p>
              </w:tc>
              <w:tc>
                <w:tcPr>
                  <w:tcW w:w="107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2473FCE"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c>
                <w:tcPr>
                  <w:tcW w:w="107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3267A45E"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r>
            <w:tr w:rsidR="00921721" w:rsidRPr="007463B9" w14:paraId="2F2748AF" w14:textId="77777777" w:rsidTr="00880D09">
              <w:trPr>
                <w:trHeight w:val="262"/>
              </w:trPr>
              <w:tc>
                <w:tcPr>
                  <w:tcW w:w="214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61A5BE4"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Rolling</w:t>
                  </w:r>
                </w:p>
              </w:tc>
              <w:tc>
                <w:tcPr>
                  <w:tcW w:w="107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1C442F65"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150</w:t>
                  </w:r>
                </w:p>
              </w:tc>
              <w:tc>
                <w:tcPr>
                  <w:tcW w:w="1076"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EDAE8F0"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697</w:t>
                  </w:r>
                </w:p>
              </w:tc>
            </w:tr>
          </w:tbl>
          <w:p w14:paraId="111C210B" w14:textId="77777777" w:rsidR="00921721" w:rsidRDefault="00921721" w:rsidP="00880D09">
            <w:pPr>
              <w:pStyle w:val="anxnormal"/>
              <w:spacing w:after="120"/>
              <w:ind w:left="0"/>
              <w:rPr>
                <w:rFonts w:asciiTheme="minorHAnsi" w:hAnsiTheme="minorHAnsi"/>
                <w:lang w:val="en-GB" w:eastAsia="en-US"/>
              </w:rPr>
            </w:pPr>
          </w:p>
          <w:p w14:paraId="7F2C50B3" w14:textId="77777777" w:rsidR="00921721" w:rsidRPr="00731E4E" w:rsidRDefault="00921721" w:rsidP="00880D09">
            <w:pPr>
              <w:pStyle w:val="anxnormal"/>
              <w:spacing w:after="120"/>
              <w:ind w:left="0"/>
              <w:rPr>
                <w:rFonts w:asciiTheme="minorHAnsi" w:hAnsiTheme="minorHAnsi"/>
                <w:lang w:val="en-GB" w:eastAsia="en-US"/>
              </w:rPr>
            </w:pPr>
            <w:r w:rsidRPr="00731E4E">
              <w:rPr>
                <w:rFonts w:asciiTheme="minorHAnsi" w:hAnsiTheme="minorHAnsi"/>
                <w:lang w:val="en-GB" w:eastAsia="en-US"/>
              </w:rPr>
              <w:t xml:space="preserve">Costs </w:t>
            </w:r>
            <w:r>
              <w:rPr>
                <w:rFonts w:asciiTheme="minorHAnsi" w:hAnsiTheme="minorHAnsi"/>
                <w:lang w:val="en-GB" w:eastAsia="en-US"/>
              </w:rPr>
              <w:t>multiplying</w:t>
            </w:r>
            <w:r w:rsidRPr="00731E4E">
              <w:rPr>
                <w:rFonts w:asciiTheme="minorHAnsi" w:hAnsiTheme="minorHAnsi"/>
                <w:lang w:val="en-GB" w:eastAsia="en-US"/>
              </w:rPr>
              <w:t xml:space="preserve"> indicators depending on </w:t>
            </w:r>
            <w:r>
              <w:rPr>
                <w:rFonts w:asciiTheme="minorHAnsi" w:hAnsiTheme="minorHAnsi"/>
                <w:lang w:val="en-GB" w:eastAsia="en-US"/>
              </w:rPr>
              <w:t>pavement condition</w:t>
            </w:r>
          </w:p>
          <w:tbl>
            <w:tblPr>
              <w:tblW w:w="4388" w:type="dxa"/>
              <w:tblLayout w:type="fixed"/>
              <w:tblLook w:val="04A0" w:firstRow="1" w:lastRow="0" w:firstColumn="1" w:lastColumn="0" w:noHBand="0" w:noVBand="1"/>
            </w:tblPr>
            <w:tblGrid>
              <w:gridCol w:w="2120"/>
              <w:gridCol w:w="1134"/>
              <w:gridCol w:w="1134"/>
            </w:tblGrid>
            <w:tr w:rsidR="00921721" w:rsidRPr="007463B9" w14:paraId="1DD738F7" w14:textId="77777777" w:rsidTr="00880D09">
              <w:trPr>
                <w:trHeight w:hRule="exact" w:val="337"/>
              </w:trPr>
              <w:tc>
                <w:tcPr>
                  <w:tcW w:w="212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220DB96"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Pavement condition</w:t>
                  </w:r>
                </w:p>
              </w:tc>
              <w:tc>
                <w:tcPr>
                  <w:tcW w:w="113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194ED60"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731E4E">
                    <w:rPr>
                      <w:rFonts w:asciiTheme="minorHAnsi" w:hAnsiTheme="minorHAnsi" w:cs="Arial"/>
                      <w:b/>
                      <w:bCs/>
                      <w:color w:val="FFFFFF"/>
                      <w:sz w:val="18"/>
                      <w:szCs w:val="18"/>
                      <w:lang w:val="en-GB"/>
                    </w:rPr>
                    <w:t>LV</w:t>
                  </w:r>
                </w:p>
              </w:tc>
              <w:tc>
                <w:tcPr>
                  <w:tcW w:w="113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9633438"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 xml:space="preserve">Electric bus </w:t>
                  </w:r>
                </w:p>
              </w:tc>
            </w:tr>
            <w:tr w:rsidR="00921721" w:rsidRPr="007463B9" w14:paraId="3017E03F" w14:textId="77777777" w:rsidTr="00880D09">
              <w:trPr>
                <w:trHeight w:val="281"/>
              </w:trPr>
              <w:tc>
                <w:tcPr>
                  <w:tcW w:w="212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4B10F6E" w14:textId="77777777" w:rsidR="00921721" w:rsidRPr="001569CA"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Good (after construction/ rehabilitation)</w:t>
                  </w:r>
                </w:p>
              </w:tc>
              <w:tc>
                <w:tcPr>
                  <w:tcW w:w="113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7A9D589" w14:textId="77777777" w:rsidR="00921721" w:rsidRPr="00D22938"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c>
                <w:tcPr>
                  <w:tcW w:w="113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971DC29" w14:textId="77777777" w:rsidR="00921721" w:rsidRPr="00D22938"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1.000</w:t>
                  </w:r>
                </w:p>
              </w:tc>
            </w:tr>
            <w:tr w:rsidR="00921721" w:rsidRPr="007463B9" w14:paraId="38D6CE86" w14:textId="77777777" w:rsidTr="00880D09">
              <w:trPr>
                <w:trHeight w:val="281"/>
              </w:trPr>
              <w:tc>
                <w:tcPr>
                  <w:tcW w:w="212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F029214"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Degraded</w:t>
                  </w:r>
                </w:p>
              </w:tc>
              <w:tc>
                <w:tcPr>
                  <w:tcW w:w="113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40AABDCA" w14:textId="77777777" w:rsidR="00921721" w:rsidRPr="00D22938"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1.169</w:t>
                  </w:r>
                </w:p>
              </w:tc>
              <w:tc>
                <w:tcPr>
                  <w:tcW w:w="1134" w:type="dxa"/>
                  <w:tcBorders>
                    <w:top w:val="single" w:sz="4" w:space="0" w:color="FFFFFF"/>
                    <w:left w:val="single" w:sz="4" w:space="0" w:color="FFFFFF"/>
                    <w:bottom w:val="single" w:sz="4" w:space="0" w:color="FFFFFF"/>
                    <w:right w:val="nil"/>
                  </w:tcBorders>
                  <w:shd w:val="clear" w:color="auto" w:fill="DBE5F1" w:themeFill="accent1" w:themeFillTint="33"/>
                  <w:vAlign w:val="bottom"/>
                  <w:hideMark/>
                </w:tcPr>
                <w:p w14:paraId="713FD4E2" w14:textId="77777777" w:rsidR="00921721" w:rsidRPr="00D22938"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1.188</w:t>
                  </w:r>
                </w:p>
              </w:tc>
            </w:tr>
          </w:tbl>
          <w:p w14:paraId="23BDBE3A" w14:textId="77777777" w:rsidR="00921721" w:rsidRDefault="00921721" w:rsidP="00880D09">
            <w:pPr>
              <w:spacing w:before="120" w:after="120"/>
              <w:ind w:right="170"/>
              <w:jc w:val="both"/>
              <w:rPr>
                <w:rFonts w:asciiTheme="minorHAnsi" w:hAnsiTheme="minorHAnsi" w:cs="Arial"/>
                <w:b/>
                <w:i/>
                <w:sz w:val="16"/>
                <w:szCs w:val="16"/>
                <w:lang w:val="en-GB"/>
              </w:rPr>
            </w:pPr>
            <w:r w:rsidRPr="00731E4E">
              <w:rPr>
                <w:rFonts w:asciiTheme="minorHAnsi" w:hAnsiTheme="minorHAnsi" w:cs="Arial"/>
                <w:b/>
                <w:i/>
                <w:sz w:val="16"/>
                <w:szCs w:val="16"/>
                <w:lang w:val="en-GB"/>
              </w:rPr>
              <w:t xml:space="preserve">Source: </w:t>
            </w:r>
            <w:r>
              <w:rPr>
                <w:rFonts w:asciiTheme="minorHAnsi" w:hAnsiTheme="minorHAnsi" w:cs="Arial"/>
                <w:b/>
                <w:i/>
                <w:sz w:val="16"/>
                <w:szCs w:val="16"/>
                <w:lang w:val="en-GB"/>
              </w:rPr>
              <w:t xml:space="preserve">CUPT-JASPERS work based on </w:t>
            </w:r>
            <w:r w:rsidRPr="00B90582">
              <w:rPr>
                <w:rFonts w:asciiTheme="minorHAnsi" w:hAnsiTheme="minorHAnsi" w:cs="Arial"/>
                <w:b/>
                <w:i/>
                <w:sz w:val="16"/>
                <w:szCs w:val="16"/>
                <w:lang w:val="en-GB"/>
              </w:rPr>
              <w:t>"Optimisation of Maintenance", OECD/ITF 2012</w:t>
            </w:r>
            <w:r>
              <w:rPr>
                <w:rFonts w:asciiTheme="minorHAnsi" w:hAnsiTheme="minorHAnsi" w:cs="Arial"/>
                <w:b/>
                <w:i/>
                <w:sz w:val="16"/>
                <w:szCs w:val="16"/>
                <w:lang w:val="en-GB"/>
              </w:rPr>
              <w:t>.</w:t>
            </w:r>
          </w:p>
          <w:p w14:paraId="090A4B7D" w14:textId="77777777" w:rsidR="00921721" w:rsidRDefault="00921721" w:rsidP="00880D09">
            <w:pPr>
              <w:pStyle w:val="anxnormal"/>
              <w:ind w:left="0"/>
              <w:rPr>
                <w:rFonts w:asciiTheme="minorHAnsi" w:hAnsiTheme="minorHAnsi"/>
                <w:lang w:val="en-GB" w:eastAsia="en-US"/>
              </w:rPr>
            </w:pPr>
            <w:r>
              <w:rPr>
                <w:rFonts w:asciiTheme="minorHAnsi" w:hAnsiTheme="minorHAnsi"/>
                <w:lang w:val="en-GB" w:eastAsia="en-US"/>
              </w:rPr>
              <w:t>The table below provides a wider set of emission factors for different types of electric vehicles in 2021 in case it might be of use for certain specfic assessments:</w:t>
            </w:r>
          </w:p>
          <w:tbl>
            <w:tblPr>
              <w:tblW w:w="6659" w:type="dxa"/>
              <w:tblLayout w:type="fixed"/>
              <w:tblLook w:val="04A0" w:firstRow="1" w:lastRow="0" w:firstColumn="1" w:lastColumn="0" w:noHBand="0" w:noVBand="1"/>
            </w:tblPr>
            <w:tblGrid>
              <w:gridCol w:w="2651"/>
              <w:gridCol w:w="1336"/>
              <w:gridCol w:w="1336"/>
              <w:gridCol w:w="1336"/>
            </w:tblGrid>
            <w:tr w:rsidR="00921721" w:rsidRPr="007463B9" w14:paraId="036F010E" w14:textId="77777777" w:rsidTr="005C3677">
              <w:trPr>
                <w:trHeight w:hRule="exact" w:val="1229"/>
              </w:trPr>
              <w:tc>
                <w:tcPr>
                  <w:tcW w:w="265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6AFEA92A"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036D70">
                    <w:rPr>
                      <w:rFonts w:asciiTheme="minorHAnsi" w:hAnsiTheme="minorHAnsi" w:cs="Arial"/>
                      <w:b/>
                      <w:bCs/>
                      <w:color w:val="FFFFFF"/>
                      <w:sz w:val="18"/>
                      <w:szCs w:val="18"/>
                      <w:lang w:val="en-GB"/>
                    </w:rPr>
                    <w:t xml:space="preserve">Road vehicles, </w:t>
                  </w:r>
                  <w:r w:rsidRPr="00036D70">
                    <w:rPr>
                      <w:rFonts w:asciiTheme="minorHAnsi" w:hAnsiTheme="minorHAnsi" w:cs="Arial"/>
                      <w:b/>
                      <w:bCs/>
                      <w:color w:val="FFFFFF"/>
                      <w:sz w:val="18"/>
                      <w:szCs w:val="18"/>
                      <w:lang w:val="en-GB"/>
                    </w:rPr>
                    <w:br/>
                    <w:t>electric and hybrid-electric</w:t>
                  </w:r>
                </w:p>
              </w:tc>
              <w:tc>
                <w:tcPr>
                  <w:tcW w:w="1336" w:type="dxa"/>
                  <w:tcBorders>
                    <w:top w:val="single" w:sz="4" w:space="0" w:color="FFFFFF"/>
                    <w:left w:val="single" w:sz="4" w:space="0" w:color="FFFFFF"/>
                    <w:bottom w:val="single" w:sz="4" w:space="0" w:color="FFFFFF"/>
                    <w:right w:val="nil"/>
                  </w:tcBorders>
                  <w:shd w:val="clear" w:color="auto" w:fill="A6A6A6" w:themeFill="background1" w:themeFillShade="A6"/>
                  <w:hideMark/>
                </w:tcPr>
                <w:p w14:paraId="46AC9749"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p>
              </w:tc>
              <w:tc>
                <w:tcPr>
                  <w:tcW w:w="1336"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tcPr>
                <w:p w14:paraId="66349C11"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Energy consumption (kWh/ veh</w:t>
                  </w:r>
                  <w:r w:rsidRPr="006856C6">
                    <w:rPr>
                      <w:rFonts w:asciiTheme="minorHAnsi" w:hAnsiTheme="minorHAnsi" w:cs="Arial"/>
                      <w:b/>
                      <w:bCs/>
                      <w:color w:val="FFFFFF"/>
                      <w:sz w:val="18"/>
                      <w:szCs w:val="18"/>
                      <w:lang w:val="en-GB"/>
                    </w:rPr>
                    <w:t>-km)</w:t>
                  </w:r>
                  <w:r>
                    <w:rPr>
                      <w:rFonts w:asciiTheme="minorHAnsi" w:hAnsiTheme="minorHAnsi" w:cs="Arial"/>
                      <w:b/>
                      <w:bCs/>
                      <w:color w:val="FFFFFF"/>
                      <w:sz w:val="18"/>
                      <w:szCs w:val="18"/>
                      <w:lang w:val="en-GB"/>
                    </w:rPr>
                    <w:t xml:space="preserve"> </w:t>
                  </w:r>
                </w:p>
              </w:tc>
              <w:tc>
                <w:tcPr>
                  <w:tcW w:w="1336" w:type="dxa"/>
                  <w:tcBorders>
                    <w:top w:val="single" w:sz="4" w:space="0" w:color="FFFFFF"/>
                    <w:left w:val="single" w:sz="4" w:space="0" w:color="FFFFFF"/>
                    <w:bottom w:val="single" w:sz="4" w:space="0" w:color="FFFFFF"/>
                    <w:right w:val="nil"/>
                  </w:tcBorders>
                  <w:shd w:val="clear" w:color="auto" w:fill="A6A6A6" w:themeFill="background1" w:themeFillShade="A6"/>
                </w:tcPr>
                <w:p w14:paraId="0B541C22" w14:textId="77777777" w:rsidR="00921721"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GHG emissions factor 2021(*)</w:t>
                  </w:r>
                </w:p>
                <w:p w14:paraId="78417D40" w14:textId="57F58ECB" w:rsidR="00921721" w:rsidRDefault="00921721" w:rsidP="005C3677">
                  <w:pPr>
                    <w:snapToGrid w:val="0"/>
                    <w:spacing w:before="20" w:after="20"/>
                    <w:jc w:val="center"/>
                    <w:rPr>
                      <w:rFonts w:asciiTheme="minorHAnsi" w:hAnsiTheme="minorHAnsi" w:cs="Arial"/>
                      <w:b/>
                      <w:bCs/>
                      <w:color w:val="FFFFFF"/>
                      <w:sz w:val="18"/>
                      <w:szCs w:val="18"/>
                      <w:lang w:val="en-GB"/>
                    </w:rPr>
                  </w:pPr>
                  <w:r w:rsidRPr="006856C6">
                    <w:rPr>
                      <w:rFonts w:asciiTheme="minorHAnsi" w:hAnsiTheme="minorHAnsi" w:cs="Arial"/>
                      <w:b/>
                      <w:bCs/>
                      <w:color w:val="FFFFFF"/>
                      <w:sz w:val="18"/>
                      <w:szCs w:val="18"/>
                      <w:lang w:val="en-GB"/>
                    </w:rPr>
                    <w:t>[g CO</w:t>
                  </w:r>
                  <w:r w:rsidRPr="00BD7674">
                    <w:rPr>
                      <w:rFonts w:asciiTheme="minorHAnsi" w:hAnsiTheme="minorHAnsi" w:cs="Arial"/>
                      <w:b/>
                      <w:bCs/>
                      <w:color w:val="FFFFFF"/>
                      <w:sz w:val="18"/>
                      <w:szCs w:val="18"/>
                      <w:vertAlign w:val="subscript"/>
                      <w:lang w:val="en-GB"/>
                    </w:rPr>
                    <w:t>2</w:t>
                  </w:r>
                  <w:r>
                    <w:rPr>
                      <w:rFonts w:asciiTheme="minorHAnsi" w:hAnsiTheme="minorHAnsi" w:cs="Arial"/>
                      <w:b/>
                      <w:bCs/>
                      <w:color w:val="FFFFFF"/>
                      <w:sz w:val="18"/>
                      <w:szCs w:val="18"/>
                      <w:lang w:val="en-GB"/>
                    </w:rPr>
                    <w:t>e/ veh</w:t>
                  </w:r>
                  <w:r w:rsidRPr="006856C6">
                    <w:rPr>
                      <w:rFonts w:asciiTheme="minorHAnsi" w:hAnsiTheme="minorHAnsi" w:cs="Arial"/>
                      <w:b/>
                      <w:bCs/>
                      <w:color w:val="FFFFFF"/>
                      <w:sz w:val="18"/>
                      <w:szCs w:val="18"/>
                      <w:lang w:val="en-GB"/>
                    </w:rPr>
                    <w:t>-km]</w:t>
                  </w:r>
                  <w:r w:rsidR="005C3677">
                    <w:rPr>
                      <w:rFonts w:asciiTheme="minorHAnsi" w:hAnsiTheme="minorHAnsi" w:cs="Arial"/>
                      <w:b/>
                      <w:bCs/>
                      <w:color w:val="FFFFFF"/>
                      <w:sz w:val="18"/>
                      <w:szCs w:val="18"/>
                      <w:lang w:val="en-GB"/>
                    </w:rPr>
                    <w:t xml:space="preserve"> </w:t>
                  </w:r>
                </w:p>
              </w:tc>
            </w:tr>
            <w:tr w:rsidR="00921721" w:rsidRPr="006856C6" w14:paraId="1C1F7F05" w14:textId="77777777" w:rsidTr="005C3677">
              <w:trPr>
                <w:trHeight w:val="274"/>
              </w:trPr>
              <w:tc>
                <w:tcPr>
                  <w:tcW w:w="265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24642E4" w14:textId="77777777" w:rsidR="00921721" w:rsidRDefault="00921721" w:rsidP="00880D09">
                  <w:pPr>
                    <w:spacing w:before="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LV</w:t>
                  </w:r>
                  <w:r>
                    <w:rPr>
                      <w:rFonts w:asciiTheme="minorHAnsi" w:hAnsiTheme="minorHAnsi" w:cs="Arial"/>
                      <w:color w:val="4F81BD" w:themeColor="accent1"/>
                      <w:sz w:val="18"/>
                      <w:szCs w:val="18"/>
                      <w:lang w:val="en-GB"/>
                    </w:rPr>
                    <w:t>, hybrid petrol+electric</w:t>
                  </w:r>
                  <w:r w:rsidRPr="00265281">
                    <w:rPr>
                      <w:rFonts w:asciiTheme="minorHAnsi" w:hAnsiTheme="minorHAnsi" w:cs="Arial"/>
                      <w:color w:val="4F81BD" w:themeColor="accent1"/>
                      <w:sz w:val="18"/>
                      <w:szCs w:val="18"/>
                      <w:lang w:val="en-GB"/>
                    </w:rPr>
                    <w:t xml:space="preserve"> </w:t>
                  </w:r>
                </w:p>
                <w:p w14:paraId="548832DA" w14:textId="7340A6A7" w:rsidR="00773CE0" w:rsidRPr="00265281" w:rsidRDefault="00773CE0" w:rsidP="00880D09">
                  <w:pPr>
                    <w:spacing w:before="20"/>
                    <w:jc w:val="center"/>
                    <w:rPr>
                      <w:rFonts w:asciiTheme="minorHAnsi" w:hAnsiTheme="minorHAnsi" w:cs="Arial"/>
                      <w:color w:val="4F81BD" w:themeColor="accent1"/>
                      <w:sz w:val="18"/>
                      <w:szCs w:val="18"/>
                      <w:lang w:val="en-GB"/>
                    </w:rPr>
                  </w:pP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813BAF4" w14:textId="77777777" w:rsidR="00921721" w:rsidRPr="00D22938"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Average</w:t>
                  </w:r>
                </w:p>
              </w:tc>
              <w:tc>
                <w:tcPr>
                  <w:tcW w:w="133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77F7C960" w14:textId="77777777" w:rsidR="00921721" w:rsidRPr="00265281" w:rsidRDefault="00921721" w:rsidP="00880D09">
                  <w:pPr>
                    <w:jc w:val="center"/>
                    <w:rPr>
                      <w:rFonts w:asciiTheme="minorHAnsi" w:hAnsiTheme="minorHAnsi" w:cs="Arial"/>
                      <w:color w:val="4F81BD" w:themeColor="accent1"/>
                      <w:sz w:val="18"/>
                      <w:szCs w:val="18"/>
                      <w:lang w:val="en-GB"/>
                    </w:rPr>
                  </w:pPr>
                  <w:r w:rsidRPr="00374624">
                    <w:rPr>
                      <w:rFonts w:asciiTheme="minorHAnsi" w:hAnsiTheme="minorHAnsi" w:cs="Arial"/>
                      <w:color w:val="4F81BD" w:themeColor="accent1"/>
                      <w:sz w:val="18"/>
                      <w:szCs w:val="18"/>
                      <w:lang w:val="en-GB"/>
                    </w:rPr>
                    <w:t>0.503</w:t>
                  </w: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7F5648D" w14:textId="77777777" w:rsidR="0092172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464.20</w:t>
                  </w:r>
                </w:p>
              </w:tc>
            </w:tr>
            <w:tr w:rsidR="00921721" w:rsidRPr="006856C6" w14:paraId="141CD63E" w14:textId="77777777" w:rsidTr="005C3677">
              <w:trPr>
                <w:trHeight w:val="274"/>
              </w:trPr>
              <w:tc>
                <w:tcPr>
                  <w:tcW w:w="2651"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76EFADA" w14:textId="77777777" w:rsidR="00921721" w:rsidRDefault="00921721" w:rsidP="00880D09">
                  <w:pPr>
                    <w:spacing w:before="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LV</w:t>
                  </w:r>
                  <w:r>
                    <w:rPr>
                      <w:rFonts w:asciiTheme="minorHAnsi" w:hAnsiTheme="minorHAnsi" w:cs="Arial"/>
                      <w:color w:val="4F81BD" w:themeColor="accent1"/>
                      <w:sz w:val="18"/>
                      <w:szCs w:val="18"/>
                      <w:lang w:val="en-GB"/>
                    </w:rPr>
                    <w:t>, hybrid petrol+electric</w:t>
                  </w:r>
                </w:p>
                <w:p w14:paraId="7F5897CA" w14:textId="59B387D6" w:rsidR="00773CE0" w:rsidRPr="00CA444D" w:rsidRDefault="00773CE0" w:rsidP="00880D09">
                  <w:pPr>
                    <w:spacing w:before="20"/>
                    <w:jc w:val="center"/>
                    <w:rPr>
                      <w:rFonts w:asciiTheme="minorHAnsi" w:hAnsiTheme="minorHAnsi" w:cs="Arial"/>
                      <w:color w:val="4F81BD" w:themeColor="accent1"/>
                      <w:sz w:val="18"/>
                      <w:szCs w:val="18"/>
                      <w:lang w:val="en-GB"/>
                    </w:rPr>
                  </w:pP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4C40A56" w14:textId="77777777" w:rsidR="00921721" w:rsidRPr="00D22938"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Urban area</w:t>
                  </w:r>
                </w:p>
              </w:tc>
              <w:tc>
                <w:tcPr>
                  <w:tcW w:w="133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6FCD32B9" w14:textId="77777777" w:rsidR="00921721" w:rsidRPr="00265281" w:rsidRDefault="00921721" w:rsidP="00880D09">
                  <w:pPr>
                    <w:jc w:val="center"/>
                    <w:rPr>
                      <w:rFonts w:asciiTheme="minorHAnsi" w:hAnsiTheme="minorHAnsi" w:cs="Arial"/>
                      <w:color w:val="4F81BD" w:themeColor="accent1"/>
                      <w:sz w:val="18"/>
                      <w:szCs w:val="18"/>
                      <w:lang w:val="en-GB"/>
                    </w:rPr>
                  </w:pPr>
                  <w:r w:rsidRPr="00374624">
                    <w:rPr>
                      <w:rFonts w:asciiTheme="minorHAnsi" w:hAnsiTheme="minorHAnsi" w:cs="Arial"/>
                      <w:color w:val="4F81BD" w:themeColor="accent1"/>
                      <w:sz w:val="18"/>
                      <w:szCs w:val="18"/>
                      <w:lang w:val="en-GB"/>
                    </w:rPr>
                    <w:t>0.658</w:t>
                  </w: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E1FC6DD" w14:textId="77777777" w:rsidR="0092172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608.</w:t>
                  </w:r>
                  <w:r w:rsidRPr="00AA10A6">
                    <w:rPr>
                      <w:rFonts w:asciiTheme="minorHAnsi" w:hAnsiTheme="minorHAnsi" w:cs="Arial"/>
                      <w:color w:val="4F81BD" w:themeColor="accent1"/>
                      <w:sz w:val="18"/>
                      <w:szCs w:val="18"/>
                      <w:lang w:val="en-GB"/>
                    </w:rPr>
                    <w:t>21</w:t>
                  </w:r>
                </w:p>
              </w:tc>
            </w:tr>
            <w:tr w:rsidR="00921721" w:rsidRPr="006856C6" w14:paraId="4A2D1877" w14:textId="77777777" w:rsidTr="005C3677">
              <w:trPr>
                <w:trHeight w:val="274"/>
              </w:trPr>
              <w:tc>
                <w:tcPr>
                  <w:tcW w:w="265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DCFD087" w14:textId="77777777" w:rsidR="00921721" w:rsidRDefault="00921721" w:rsidP="00880D09">
                  <w:pPr>
                    <w:spacing w:before="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LV</w:t>
                  </w:r>
                  <w:r>
                    <w:rPr>
                      <w:rFonts w:asciiTheme="minorHAnsi" w:hAnsiTheme="minorHAnsi" w:cs="Arial"/>
                      <w:color w:val="4F81BD" w:themeColor="accent1"/>
                      <w:sz w:val="18"/>
                      <w:szCs w:val="18"/>
                      <w:lang w:val="en-GB"/>
                    </w:rPr>
                    <w:t>, electric (medium size)</w:t>
                  </w:r>
                </w:p>
                <w:p w14:paraId="3153C6B7" w14:textId="009DB906" w:rsidR="00773CE0" w:rsidRPr="00265281" w:rsidRDefault="00773CE0" w:rsidP="00880D09">
                  <w:pPr>
                    <w:spacing w:before="20"/>
                    <w:jc w:val="center"/>
                    <w:rPr>
                      <w:rFonts w:asciiTheme="minorHAnsi" w:hAnsiTheme="minorHAnsi" w:cs="Arial"/>
                      <w:color w:val="4F81BD" w:themeColor="accent1"/>
                      <w:sz w:val="18"/>
                      <w:szCs w:val="18"/>
                      <w:lang w:val="en-GB"/>
                    </w:rPr>
                  </w:pP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5FB2B2D"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Average</w:t>
                  </w:r>
                </w:p>
              </w:tc>
              <w:tc>
                <w:tcPr>
                  <w:tcW w:w="133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3FB44F3D" w14:textId="77777777" w:rsidR="00921721" w:rsidRPr="00265281" w:rsidRDefault="00921721" w:rsidP="00880D09">
                  <w:pPr>
                    <w:jc w:val="center"/>
                    <w:rPr>
                      <w:rFonts w:asciiTheme="minorHAnsi" w:hAnsiTheme="minorHAnsi" w:cs="Arial"/>
                      <w:color w:val="4F81BD" w:themeColor="accent1"/>
                      <w:sz w:val="18"/>
                      <w:szCs w:val="18"/>
                      <w:lang w:val="en-GB"/>
                    </w:rPr>
                  </w:pPr>
                  <w:r w:rsidRPr="00374624">
                    <w:rPr>
                      <w:rFonts w:asciiTheme="minorHAnsi" w:hAnsiTheme="minorHAnsi" w:cs="Arial"/>
                      <w:color w:val="4F81BD" w:themeColor="accent1"/>
                      <w:sz w:val="18"/>
                      <w:szCs w:val="18"/>
                      <w:lang w:val="en-GB"/>
                    </w:rPr>
                    <w:t>0.233</w:t>
                  </w: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350B49A" w14:textId="77777777" w:rsidR="00921721" w:rsidRDefault="00921721" w:rsidP="00880D09">
                  <w:pPr>
                    <w:jc w:val="center"/>
                    <w:rPr>
                      <w:rFonts w:asciiTheme="minorHAnsi" w:hAnsiTheme="minorHAnsi" w:cs="Arial"/>
                      <w:color w:val="4F81BD" w:themeColor="accent1"/>
                      <w:sz w:val="18"/>
                      <w:szCs w:val="18"/>
                      <w:lang w:val="en-GB"/>
                    </w:rPr>
                  </w:pPr>
                  <w:r w:rsidRPr="00AA10A6">
                    <w:rPr>
                      <w:rFonts w:asciiTheme="minorHAnsi" w:hAnsiTheme="minorHAnsi" w:cs="Arial"/>
                      <w:color w:val="4F81BD" w:themeColor="accent1"/>
                      <w:sz w:val="18"/>
                      <w:szCs w:val="18"/>
                      <w:lang w:val="en-GB"/>
                    </w:rPr>
                    <w:t>156</w:t>
                  </w:r>
                  <w:r>
                    <w:rPr>
                      <w:rFonts w:asciiTheme="minorHAnsi" w:hAnsiTheme="minorHAnsi" w:cs="Arial"/>
                      <w:color w:val="4F81BD" w:themeColor="accent1"/>
                      <w:sz w:val="18"/>
                      <w:szCs w:val="18"/>
                      <w:lang w:val="en-GB"/>
                    </w:rPr>
                    <w:t>.</w:t>
                  </w:r>
                  <w:r w:rsidRPr="00AA10A6">
                    <w:rPr>
                      <w:rFonts w:asciiTheme="minorHAnsi" w:hAnsiTheme="minorHAnsi" w:cs="Arial"/>
                      <w:color w:val="4F81BD" w:themeColor="accent1"/>
                      <w:sz w:val="18"/>
                      <w:szCs w:val="18"/>
                      <w:lang w:val="en-GB"/>
                    </w:rPr>
                    <w:t>03</w:t>
                  </w:r>
                </w:p>
              </w:tc>
            </w:tr>
            <w:tr w:rsidR="00921721" w:rsidRPr="006856C6" w14:paraId="0BF246A7" w14:textId="77777777" w:rsidTr="005C3677">
              <w:trPr>
                <w:trHeight w:val="274"/>
              </w:trPr>
              <w:tc>
                <w:tcPr>
                  <w:tcW w:w="265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588878C" w14:textId="77777777" w:rsidR="00921721" w:rsidRDefault="00921721" w:rsidP="00880D09">
                  <w:pPr>
                    <w:spacing w:before="20"/>
                    <w:jc w:val="center"/>
                    <w:rPr>
                      <w:rFonts w:asciiTheme="minorHAnsi" w:hAnsiTheme="minorHAnsi" w:cs="Arial"/>
                      <w:color w:val="4F81BD" w:themeColor="accent1"/>
                      <w:sz w:val="18"/>
                      <w:szCs w:val="18"/>
                      <w:lang w:val="en-GB"/>
                    </w:rPr>
                  </w:pPr>
                  <w:r w:rsidRPr="00265281">
                    <w:rPr>
                      <w:rFonts w:asciiTheme="minorHAnsi" w:hAnsiTheme="minorHAnsi" w:cs="Arial"/>
                      <w:color w:val="4F81BD" w:themeColor="accent1"/>
                      <w:sz w:val="18"/>
                      <w:szCs w:val="18"/>
                      <w:lang w:val="en-GB"/>
                    </w:rPr>
                    <w:t>LV</w:t>
                  </w:r>
                  <w:r>
                    <w:rPr>
                      <w:rFonts w:asciiTheme="minorHAnsi" w:hAnsiTheme="minorHAnsi" w:cs="Arial"/>
                      <w:color w:val="4F81BD" w:themeColor="accent1"/>
                      <w:sz w:val="18"/>
                      <w:szCs w:val="18"/>
                      <w:lang w:val="en-GB"/>
                    </w:rPr>
                    <w:t>, electric (medium size)</w:t>
                  </w:r>
                </w:p>
                <w:p w14:paraId="3F1060A1" w14:textId="443F2558" w:rsidR="00773CE0" w:rsidRPr="00265281" w:rsidRDefault="00773CE0" w:rsidP="00880D09">
                  <w:pPr>
                    <w:spacing w:before="20"/>
                    <w:jc w:val="center"/>
                    <w:rPr>
                      <w:rFonts w:asciiTheme="minorHAnsi" w:hAnsiTheme="minorHAnsi" w:cs="Arial"/>
                      <w:color w:val="4F81BD" w:themeColor="accent1"/>
                      <w:sz w:val="18"/>
                      <w:szCs w:val="18"/>
                      <w:lang w:val="en-GB"/>
                    </w:rPr>
                  </w:pP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7257D155"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Urban area</w:t>
                  </w:r>
                </w:p>
              </w:tc>
              <w:tc>
                <w:tcPr>
                  <w:tcW w:w="133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2E06A9B5" w14:textId="77777777" w:rsidR="00921721" w:rsidRPr="00265281" w:rsidRDefault="00921721" w:rsidP="00880D09">
                  <w:pPr>
                    <w:jc w:val="center"/>
                    <w:rPr>
                      <w:rFonts w:asciiTheme="minorHAnsi" w:hAnsiTheme="minorHAnsi" w:cs="Arial"/>
                      <w:color w:val="4F81BD" w:themeColor="accent1"/>
                      <w:sz w:val="18"/>
                      <w:szCs w:val="18"/>
                      <w:lang w:val="en-GB"/>
                    </w:rPr>
                  </w:pPr>
                  <w:r w:rsidRPr="00374624">
                    <w:rPr>
                      <w:rFonts w:asciiTheme="minorHAnsi" w:hAnsiTheme="minorHAnsi" w:cs="Arial"/>
                      <w:color w:val="4F81BD" w:themeColor="accent1"/>
                      <w:sz w:val="18"/>
                      <w:szCs w:val="18"/>
                      <w:lang w:val="en-GB"/>
                    </w:rPr>
                    <w:t>0.203</w:t>
                  </w: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0A95A19" w14:textId="77777777" w:rsidR="00921721" w:rsidRPr="00632A68"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135.</w:t>
                  </w:r>
                  <w:r w:rsidRPr="00AA10A6">
                    <w:rPr>
                      <w:rFonts w:asciiTheme="minorHAnsi" w:hAnsiTheme="minorHAnsi" w:cs="Arial"/>
                      <w:color w:val="4F81BD" w:themeColor="accent1"/>
                      <w:sz w:val="18"/>
                      <w:szCs w:val="18"/>
                      <w:lang w:val="en-GB"/>
                    </w:rPr>
                    <w:t>59</w:t>
                  </w:r>
                </w:p>
              </w:tc>
            </w:tr>
            <w:tr w:rsidR="00921721" w:rsidRPr="007463B9" w14:paraId="1553BBFA" w14:textId="77777777" w:rsidTr="005C3677">
              <w:trPr>
                <w:trHeight w:val="274"/>
              </w:trPr>
              <w:tc>
                <w:tcPr>
                  <w:tcW w:w="265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88D38C7"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City bus, hybrid diesel+electric (standard)</w:t>
                  </w: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CC80868"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Average</w:t>
                  </w:r>
                </w:p>
              </w:tc>
              <w:tc>
                <w:tcPr>
                  <w:tcW w:w="133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70F736A6" w14:textId="77777777" w:rsidR="00921721" w:rsidRPr="00265281" w:rsidRDefault="00921721" w:rsidP="00880D09">
                  <w:pPr>
                    <w:jc w:val="center"/>
                    <w:rPr>
                      <w:rFonts w:asciiTheme="minorHAnsi" w:hAnsiTheme="minorHAnsi" w:cs="Arial"/>
                      <w:color w:val="4F81BD" w:themeColor="accent1"/>
                      <w:sz w:val="18"/>
                      <w:szCs w:val="18"/>
                      <w:lang w:val="en-GB"/>
                    </w:rPr>
                  </w:pPr>
                  <w:r w:rsidRPr="00374624">
                    <w:rPr>
                      <w:rFonts w:asciiTheme="minorHAnsi" w:hAnsiTheme="minorHAnsi" w:cs="Arial"/>
                      <w:color w:val="4F81BD" w:themeColor="accent1"/>
                      <w:sz w:val="18"/>
                      <w:szCs w:val="18"/>
                      <w:lang w:val="en-GB"/>
                    </w:rPr>
                    <w:t>3.172</w:t>
                  </w: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6F87956" w14:textId="77777777" w:rsidR="00921721" w:rsidRPr="003166C6" w:rsidRDefault="00921721" w:rsidP="00880D09">
                  <w:pPr>
                    <w:jc w:val="center"/>
                    <w:rPr>
                      <w:rFonts w:asciiTheme="minorHAnsi" w:hAnsiTheme="minorHAnsi" w:cs="Arial"/>
                      <w:color w:val="4F81BD" w:themeColor="accent1"/>
                      <w:sz w:val="18"/>
                      <w:szCs w:val="18"/>
                      <w:lang w:val="en-GB"/>
                    </w:rPr>
                  </w:pPr>
                  <w:r w:rsidRPr="00AA10A6">
                    <w:rPr>
                      <w:rFonts w:asciiTheme="minorHAnsi" w:hAnsiTheme="minorHAnsi" w:cs="Arial"/>
                      <w:color w:val="4F81BD" w:themeColor="accent1"/>
                      <w:sz w:val="18"/>
                      <w:szCs w:val="18"/>
                      <w:lang w:val="en-GB"/>
                    </w:rPr>
                    <w:t>2</w:t>
                  </w:r>
                  <w:r>
                    <w:rPr>
                      <w:rFonts w:asciiTheme="minorHAnsi" w:hAnsiTheme="minorHAnsi" w:cs="Arial"/>
                      <w:color w:val="4F81BD" w:themeColor="accent1"/>
                      <w:sz w:val="18"/>
                      <w:szCs w:val="18"/>
                      <w:lang w:val="en-GB"/>
                    </w:rPr>
                    <w:t> </w:t>
                  </w:r>
                  <w:r w:rsidRPr="00AA10A6">
                    <w:rPr>
                      <w:rFonts w:asciiTheme="minorHAnsi" w:hAnsiTheme="minorHAnsi" w:cs="Arial"/>
                      <w:color w:val="4F81BD" w:themeColor="accent1"/>
                      <w:sz w:val="18"/>
                      <w:szCs w:val="18"/>
                      <w:lang w:val="en-GB"/>
                    </w:rPr>
                    <w:t>930</w:t>
                  </w:r>
                  <w:r>
                    <w:rPr>
                      <w:rFonts w:asciiTheme="minorHAnsi" w:hAnsiTheme="minorHAnsi" w:cs="Arial"/>
                      <w:color w:val="4F81BD" w:themeColor="accent1"/>
                      <w:sz w:val="18"/>
                      <w:szCs w:val="18"/>
                      <w:lang w:val="en-GB"/>
                    </w:rPr>
                    <w:t>.</w:t>
                  </w:r>
                  <w:r w:rsidRPr="00AA10A6">
                    <w:rPr>
                      <w:rFonts w:asciiTheme="minorHAnsi" w:hAnsiTheme="minorHAnsi" w:cs="Arial"/>
                      <w:color w:val="4F81BD" w:themeColor="accent1"/>
                      <w:sz w:val="18"/>
                      <w:szCs w:val="18"/>
                      <w:lang w:val="en-GB"/>
                    </w:rPr>
                    <w:t>20</w:t>
                  </w:r>
                </w:p>
              </w:tc>
            </w:tr>
            <w:tr w:rsidR="00921721" w:rsidRPr="007463B9" w14:paraId="469FD519" w14:textId="77777777" w:rsidTr="005C3677">
              <w:trPr>
                <w:trHeight w:val="274"/>
              </w:trPr>
              <w:tc>
                <w:tcPr>
                  <w:tcW w:w="265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85F103B"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City bus, electric (standard)</w:t>
                  </w: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1FE79EF"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Average</w:t>
                  </w:r>
                </w:p>
              </w:tc>
              <w:tc>
                <w:tcPr>
                  <w:tcW w:w="133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1A9878C7" w14:textId="77777777" w:rsidR="00921721" w:rsidRPr="00265281" w:rsidRDefault="00921721" w:rsidP="00880D09">
                  <w:pPr>
                    <w:jc w:val="center"/>
                    <w:rPr>
                      <w:rFonts w:asciiTheme="minorHAnsi" w:hAnsiTheme="minorHAnsi" w:cs="Arial"/>
                      <w:color w:val="4F81BD" w:themeColor="accent1"/>
                      <w:sz w:val="18"/>
                      <w:szCs w:val="18"/>
                      <w:lang w:val="en-GB"/>
                    </w:rPr>
                  </w:pPr>
                  <w:r w:rsidRPr="00374624">
                    <w:rPr>
                      <w:rFonts w:asciiTheme="minorHAnsi" w:hAnsiTheme="minorHAnsi" w:cs="Arial"/>
                      <w:color w:val="4F81BD" w:themeColor="accent1"/>
                      <w:sz w:val="18"/>
                      <w:szCs w:val="18"/>
                      <w:lang w:val="en-GB"/>
                    </w:rPr>
                    <w:t>2.175</w:t>
                  </w:r>
                </w:p>
              </w:tc>
              <w:tc>
                <w:tcPr>
                  <w:tcW w:w="133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65E318D" w14:textId="77777777" w:rsidR="00921721" w:rsidRPr="00AA10A6"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1 454.</w:t>
                  </w:r>
                  <w:r w:rsidRPr="00AA10A6">
                    <w:rPr>
                      <w:rFonts w:asciiTheme="minorHAnsi" w:hAnsiTheme="minorHAnsi" w:cs="Arial"/>
                      <w:color w:val="4F81BD" w:themeColor="accent1"/>
                      <w:sz w:val="18"/>
                      <w:szCs w:val="18"/>
                      <w:lang w:val="en-GB"/>
                    </w:rPr>
                    <w:t>38</w:t>
                  </w:r>
                </w:p>
              </w:tc>
            </w:tr>
          </w:tbl>
          <w:p w14:paraId="7CBF08FA" w14:textId="77777777" w:rsidR="00921721" w:rsidRPr="00AC5EF5" w:rsidRDefault="00921721" w:rsidP="00880D09">
            <w:pPr>
              <w:spacing w:after="120"/>
              <w:ind w:right="170"/>
              <w:jc w:val="both"/>
              <w:rPr>
                <w:rFonts w:asciiTheme="minorHAnsi" w:hAnsiTheme="minorHAnsi" w:cs="Arial"/>
                <w:b/>
                <w:i/>
                <w:sz w:val="16"/>
                <w:szCs w:val="16"/>
                <w:lang w:val="en-GB"/>
              </w:rPr>
            </w:pPr>
            <w:r w:rsidRPr="002C6855">
              <w:rPr>
                <w:rFonts w:asciiTheme="minorHAnsi" w:hAnsiTheme="minorHAnsi" w:cs="Arial"/>
                <w:b/>
                <w:i/>
                <w:sz w:val="16"/>
                <w:szCs w:val="16"/>
                <w:lang w:val="en-US"/>
              </w:rPr>
              <w:t xml:space="preserve">Source: </w:t>
            </w:r>
            <w:r>
              <w:rPr>
                <w:rFonts w:asciiTheme="minorHAnsi" w:hAnsiTheme="minorHAnsi" w:cs="Arial"/>
                <w:b/>
                <w:i/>
                <w:sz w:val="16"/>
                <w:szCs w:val="16"/>
                <w:lang w:val="en-GB"/>
              </w:rPr>
              <w:t xml:space="preserve">CUPT-JASPERS work based on </w:t>
            </w:r>
            <w:r w:rsidRPr="002C6855">
              <w:rPr>
                <w:rFonts w:asciiTheme="minorHAnsi" w:hAnsiTheme="minorHAnsi" w:cs="Arial"/>
                <w:b/>
                <w:i/>
                <w:sz w:val="16"/>
                <w:szCs w:val="16"/>
                <w:lang w:val="en-US"/>
              </w:rPr>
              <w:t>"EIB Project Carbon Footprint Methodologies", July 2020</w:t>
            </w:r>
            <w:r>
              <w:rPr>
                <w:rFonts w:asciiTheme="minorHAnsi" w:hAnsiTheme="minorHAnsi" w:cs="Arial"/>
                <w:b/>
                <w:i/>
                <w:sz w:val="16"/>
                <w:szCs w:val="16"/>
                <w:lang w:val="en-US"/>
              </w:rPr>
              <w:t xml:space="preserve">, and the </w:t>
            </w:r>
            <w:r w:rsidRPr="003A7E7C">
              <w:rPr>
                <w:rFonts w:asciiTheme="minorHAnsi" w:hAnsiTheme="minorHAnsi" w:cs="Arial"/>
                <w:b/>
                <w:i/>
                <w:sz w:val="16"/>
                <w:szCs w:val="16"/>
                <w:lang w:val="en-GB"/>
              </w:rPr>
              <w:t>national electricity grid GHG emission factor</w:t>
            </w:r>
            <w:r>
              <w:rPr>
                <w:rFonts w:asciiTheme="minorHAnsi" w:hAnsiTheme="minorHAnsi" w:cs="Arial"/>
                <w:b/>
                <w:i/>
                <w:sz w:val="16"/>
                <w:szCs w:val="16"/>
                <w:lang w:val="en-GB"/>
              </w:rPr>
              <w:t xml:space="preserve"> for 2019 as reported by KOBiZE (December 2020)</w:t>
            </w:r>
            <w:r w:rsidRPr="00AC5EF5">
              <w:rPr>
                <w:rFonts w:asciiTheme="minorHAnsi" w:hAnsiTheme="minorHAnsi" w:cs="Arial"/>
                <w:b/>
                <w:i/>
                <w:sz w:val="16"/>
                <w:szCs w:val="16"/>
                <w:lang w:val="en-GB"/>
              </w:rPr>
              <w:t xml:space="preserve">. </w:t>
            </w:r>
          </w:p>
          <w:p w14:paraId="47C86A69" w14:textId="77777777" w:rsidR="00921721" w:rsidRPr="002C6855" w:rsidRDefault="00921721" w:rsidP="00880D09">
            <w:pPr>
              <w:spacing w:after="120"/>
              <w:ind w:right="170"/>
              <w:jc w:val="both"/>
              <w:rPr>
                <w:rFonts w:asciiTheme="minorHAnsi" w:hAnsiTheme="minorHAnsi"/>
                <w:b/>
                <w:i/>
                <w:sz w:val="16"/>
                <w:szCs w:val="16"/>
                <w:lang w:val="en-US"/>
              </w:rPr>
            </w:pPr>
            <w:r w:rsidRPr="002C6855">
              <w:rPr>
                <w:rFonts w:asciiTheme="minorHAnsi" w:hAnsiTheme="minorHAnsi" w:cs="Arial"/>
                <w:b/>
                <w:i/>
                <w:sz w:val="16"/>
                <w:szCs w:val="16"/>
                <w:lang w:val="en-US"/>
              </w:rPr>
              <w:t>(*)</w:t>
            </w:r>
            <w:r>
              <w:rPr>
                <w:rFonts w:asciiTheme="minorHAnsi" w:hAnsiTheme="minorHAnsi" w:cs="Arial"/>
                <w:b/>
                <w:i/>
                <w:sz w:val="16"/>
                <w:szCs w:val="16"/>
                <w:lang w:val="en-US"/>
              </w:rPr>
              <w:t> </w:t>
            </w:r>
            <w:r w:rsidRPr="002C6855">
              <w:rPr>
                <w:rFonts w:asciiTheme="minorHAnsi" w:hAnsiTheme="minorHAnsi" w:cs="Arial"/>
                <w:b/>
                <w:i/>
                <w:sz w:val="16"/>
                <w:szCs w:val="16"/>
                <w:lang w:val="en-US"/>
              </w:rPr>
              <w:t xml:space="preserve">Total emissions related to the generation and transmission of grid electricity consumed by the </w:t>
            </w:r>
            <w:r>
              <w:rPr>
                <w:rFonts w:asciiTheme="minorHAnsi" w:hAnsiTheme="minorHAnsi" w:cs="Arial"/>
                <w:b/>
                <w:i/>
                <w:sz w:val="16"/>
                <w:szCs w:val="16"/>
                <w:lang w:val="en-US"/>
              </w:rPr>
              <w:t>vehicle</w:t>
            </w:r>
            <w:r w:rsidRPr="002C6855">
              <w:rPr>
                <w:rFonts w:asciiTheme="minorHAnsi" w:hAnsiTheme="minorHAnsi" w:cs="Arial"/>
                <w:b/>
                <w:i/>
                <w:sz w:val="16"/>
                <w:szCs w:val="16"/>
                <w:lang w:val="en-US"/>
              </w:rPr>
              <w:t xml:space="preserve"> and emissions related to the fuel consumption of the </w:t>
            </w:r>
            <w:r>
              <w:rPr>
                <w:rFonts w:asciiTheme="minorHAnsi" w:hAnsiTheme="minorHAnsi" w:cs="Arial"/>
                <w:b/>
                <w:i/>
                <w:sz w:val="16"/>
                <w:szCs w:val="16"/>
                <w:lang w:val="en-US"/>
              </w:rPr>
              <w:t>vehicle</w:t>
            </w:r>
            <w:r w:rsidRPr="002C6855">
              <w:rPr>
                <w:rFonts w:asciiTheme="minorHAnsi" w:hAnsiTheme="minorHAnsi" w:cs="Arial"/>
                <w:b/>
                <w:i/>
                <w:sz w:val="16"/>
                <w:szCs w:val="16"/>
                <w:lang w:val="en-US"/>
              </w:rPr>
              <w:t>.</w:t>
            </w:r>
          </w:p>
          <w:p w14:paraId="6EA72744" w14:textId="77777777" w:rsidR="00921721" w:rsidRPr="00632A68" w:rsidRDefault="00921721" w:rsidP="00880D09">
            <w:pPr>
              <w:pStyle w:val="anxnormal"/>
              <w:ind w:left="0"/>
              <w:rPr>
                <w:rFonts w:asciiTheme="minorHAnsi" w:hAnsiTheme="minorHAnsi"/>
                <w:lang w:val="en-GB" w:eastAsia="en-US"/>
              </w:rPr>
            </w:pPr>
            <w:r w:rsidRPr="00632A68">
              <w:rPr>
                <w:rFonts w:asciiTheme="minorHAnsi" w:hAnsiTheme="minorHAnsi"/>
                <w:lang w:val="en-GB" w:eastAsia="en-US"/>
              </w:rPr>
              <w:t xml:space="preserve"> </w:t>
            </w:r>
          </w:p>
          <w:p w14:paraId="5DC852C5" w14:textId="77777777" w:rsidR="00921721" w:rsidRPr="00632A68" w:rsidRDefault="00921721" w:rsidP="00880D09">
            <w:pPr>
              <w:pStyle w:val="anxnormal"/>
              <w:ind w:left="0"/>
              <w:rPr>
                <w:rFonts w:asciiTheme="minorHAnsi" w:hAnsiTheme="minorHAnsi"/>
                <w:lang w:val="en-GB" w:eastAsia="en-US"/>
              </w:rPr>
            </w:pPr>
          </w:p>
          <w:p w14:paraId="3FB73CA1" w14:textId="77777777" w:rsidR="00921721" w:rsidRPr="00ED063F" w:rsidRDefault="00921721" w:rsidP="00880D09">
            <w:pPr>
              <w:pStyle w:val="anxnormal"/>
              <w:keepNext/>
              <w:ind w:left="0"/>
              <w:rPr>
                <w:rFonts w:asciiTheme="minorHAnsi" w:hAnsiTheme="minorHAnsi"/>
                <w:u w:val="single"/>
                <w:lang w:val="en-GB" w:eastAsia="en-US"/>
              </w:rPr>
            </w:pPr>
            <w:r w:rsidRPr="00ED063F">
              <w:rPr>
                <w:rFonts w:asciiTheme="minorHAnsi" w:hAnsiTheme="minorHAnsi"/>
                <w:u w:val="single"/>
                <w:lang w:val="en-GB" w:eastAsia="en-US"/>
              </w:rPr>
              <w:t xml:space="preserve">Electricity Grid GHG emission factor and its evolution over time </w:t>
            </w:r>
          </w:p>
          <w:p w14:paraId="739DBA7C" w14:textId="77777777" w:rsidR="00921721" w:rsidRPr="003C3FD8" w:rsidRDefault="00921721" w:rsidP="00880D09">
            <w:pPr>
              <w:pStyle w:val="anxnormal"/>
              <w:ind w:left="0"/>
              <w:rPr>
                <w:rFonts w:asciiTheme="minorHAnsi" w:hAnsiTheme="minorHAnsi"/>
                <w:highlight w:val="yellow"/>
                <w:lang w:val="en-GB"/>
              </w:rPr>
            </w:pPr>
            <w:r w:rsidRPr="00ED063F">
              <w:rPr>
                <w:rFonts w:asciiTheme="minorHAnsi" w:hAnsiTheme="minorHAnsi"/>
                <w:lang w:val="en-GB"/>
              </w:rPr>
              <w:t>As above referred, the national electricity GHG emission factor is for the current base year (2021) considering the current energy mix in Poland. The evolution of this referred factor is estimated based on the above described approach referring to the adopted Energy Policy of Poland until 2040 (Polityka Energetyczna Polski do 2040</w:t>
            </w:r>
            <w:r>
              <w:rPr>
                <w:rFonts w:asciiTheme="minorHAnsi" w:hAnsiTheme="minorHAnsi"/>
                <w:lang w:val="en-GB"/>
              </w:rPr>
              <w:t> </w:t>
            </w:r>
            <w:r w:rsidRPr="00ED063F">
              <w:rPr>
                <w:rFonts w:asciiTheme="minorHAnsi" w:hAnsiTheme="minorHAnsi"/>
                <w:lang w:val="en-GB"/>
              </w:rPr>
              <w:t>r.) from 2</w:t>
            </w:r>
            <w:r w:rsidRPr="00ED063F">
              <w:rPr>
                <w:rFonts w:asciiTheme="minorHAnsi" w:hAnsiTheme="minorHAnsi"/>
                <w:vertAlign w:val="superscript"/>
                <w:lang w:val="en-GB"/>
              </w:rPr>
              <w:t>nd</w:t>
            </w:r>
            <w:r w:rsidRPr="00ED063F">
              <w:rPr>
                <w:rFonts w:asciiTheme="minorHAnsi" w:hAnsiTheme="minorHAnsi"/>
                <w:lang w:val="en-GB"/>
              </w:rPr>
              <w:t xml:space="preserve"> of February 2021. This document sets out the directions to progressively pursue climate objectives by increasing electricity produced from renewable and non-emission sources, thus reducing the amount of energy produced from fossil fuels (hard coal and lignite). </w:t>
            </w:r>
          </w:p>
          <w:p w14:paraId="05082AA0" w14:textId="77777777" w:rsidR="00921721" w:rsidRDefault="00921721" w:rsidP="00880D09">
            <w:pPr>
              <w:pStyle w:val="anxnormal"/>
              <w:ind w:left="0"/>
              <w:rPr>
                <w:rFonts w:asciiTheme="minorHAnsi" w:hAnsiTheme="minorHAnsi"/>
                <w:lang w:val="en-GB"/>
              </w:rPr>
            </w:pPr>
          </w:p>
          <w:p w14:paraId="2557EE1B" w14:textId="77777777" w:rsidR="00921721" w:rsidRDefault="00921721" w:rsidP="00880D09">
            <w:pPr>
              <w:pStyle w:val="anxnormal"/>
              <w:ind w:left="0"/>
              <w:rPr>
                <w:rFonts w:asciiTheme="minorHAnsi" w:hAnsiTheme="minorHAnsi"/>
                <w:lang w:val="en-GB"/>
              </w:rPr>
            </w:pPr>
          </w:p>
          <w:p w14:paraId="39563B34" w14:textId="77777777" w:rsidR="00921721" w:rsidRPr="00ED063F" w:rsidRDefault="00921721" w:rsidP="00880D09">
            <w:pPr>
              <w:pStyle w:val="anxnormal"/>
              <w:ind w:left="0"/>
              <w:rPr>
                <w:rFonts w:asciiTheme="minorHAnsi" w:hAnsiTheme="minorHAnsi"/>
                <w:lang w:val="en-GB"/>
              </w:rPr>
            </w:pPr>
            <w:r w:rsidRPr="00ED063F">
              <w:rPr>
                <w:rFonts w:asciiTheme="minorHAnsi" w:hAnsiTheme="minorHAnsi"/>
                <w:lang w:val="en-GB"/>
              </w:rPr>
              <w:t xml:space="preserve">On that basis, the table below presents the forecast for the national </w:t>
            </w:r>
            <w:r>
              <w:rPr>
                <w:rFonts w:asciiTheme="minorHAnsi" w:hAnsiTheme="minorHAnsi"/>
                <w:lang w:val="en-GB"/>
              </w:rPr>
              <w:t xml:space="preserve">grid </w:t>
            </w:r>
            <w:r w:rsidRPr="00ED063F">
              <w:rPr>
                <w:rFonts w:asciiTheme="minorHAnsi" w:hAnsiTheme="minorHAnsi"/>
                <w:lang w:val="en-GB"/>
              </w:rPr>
              <w:t>electricity GHG emission factor:</w:t>
            </w:r>
          </w:p>
          <w:tbl>
            <w:tblPr>
              <w:tblW w:w="6732" w:type="dxa"/>
              <w:tblLayout w:type="fixed"/>
              <w:tblLook w:val="04A0" w:firstRow="1" w:lastRow="0" w:firstColumn="1" w:lastColumn="0" w:noHBand="0" w:noVBand="1"/>
            </w:tblPr>
            <w:tblGrid>
              <w:gridCol w:w="1122"/>
              <w:gridCol w:w="1122"/>
              <w:gridCol w:w="1122"/>
              <w:gridCol w:w="1122"/>
              <w:gridCol w:w="1122"/>
              <w:gridCol w:w="1122"/>
            </w:tblGrid>
            <w:tr w:rsidR="00921721" w:rsidRPr="007463B9" w14:paraId="27CA7052" w14:textId="77777777" w:rsidTr="00880D09">
              <w:trPr>
                <w:trHeight w:hRule="exact" w:val="216"/>
              </w:trPr>
              <w:tc>
                <w:tcPr>
                  <w:tcW w:w="112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C2A18FA" w14:textId="77777777" w:rsidR="00921721" w:rsidRPr="00ED063F"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sidRPr="00ED063F">
                    <w:rPr>
                      <w:rFonts w:asciiTheme="minorHAnsi" w:eastAsia="Arial Narrow" w:hAnsiTheme="minorHAnsi" w:cs="Arial Narrow"/>
                      <w:b/>
                      <w:color w:val="FFFFFF"/>
                      <w:spacing w:val="-1"/>
                      <w:w w:val="108"/>
                      <w:position w:val="-1"/>
                      <w:sz w:val="18"/>
                      <w:szCs w:val="18"/>
                      <w:lang w:val="en-GB"/>
                    </w:rPr>
                    <w:t>Year</w:t>
                  </w:r>
                </w:p>
              </w:tc>
              <w:tc>
                <w:tcPr>
                  <w:tcW w:w="112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60CF58E" w14:textId="77777777" w:rsidR="00921721" w:rsidRPr="00ED063F"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sidRPr="00ED063F">
                    <w:rPr>
                      <w:rFonts w:asciiTheme="minorHAnsi" w:eastAsia="Arial Narrow" w:hAnsiTheme="minorHAnsi" w:cs="Arial Narrow"/>
                      <w:b/>
                      <w:color w:val="FFFFFF"/>
                      <w:spacing w:val="-1"/>
                      <w:w w:val="108"/>
                      <w:position w:val="-1"/>
                      <w:sz w:val="18"/>
                      <w:szCs w:val="18"/>
                      <w:lang w:val="en-US"/>
                    </w:rPr>
                    <w:t>2021</w:t>
                  </w:r>
                </w:p>
              </w:tc>
              <w:tc>
                <w:tcPr>
                  <w:tcW w:w="112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A350E0C" w14:textId="77777777" w:rsidR="00921721" w:rsidRPr="00ED063F"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sidRPr="00ED063F">
                    <w:rPr>
                      <w:rFonts w:asciiTheme="minorHAnsi" w:eastAsia="Arial Narrow" w:hAnsiTheme="minorHAnsi" w:cs="Arial Narrow"/>
                      <w:b/>
                      <w:color w:val="FFFFFF"/>
                      <w:spacing w:val="-1"/>
                      <w:w w:val="108"/>
                      <w:position w:val="-1"/>
                      <w:sz w:val="18"/>
                      <w:szCs w:val="18"/>
                      <w:lang w:val="en-US"/>
                    </w:rPr>
                    <w:t>2025</w:t>
                  </w:r>
                </w:p>
              </w:tc>
              <w:tc>
                <w:tcPr>
                  <w:tcW w:w="1122" w:type="dxa"/>
                  <w:tcBorders>
                    <w:top w:val="single" w:sz="4" w:space="0" w:color="FFFFFF"/>
                    <w:left w:val="single" w:sz="4" w:space="0" w:color="FFFFFF"/>
                    <w:bottom w:val="single" w:sz="4" w:space="0" w:color="FFFFFF"/>
                    <w:right w:val="nil"/>
                  </w:tcBorders>
                  <w:shd w:val="clear" w:color="auto" w:fill="A6A6A6" w:themeFill="background1" w:themeFillShade="A6"/>
                </w:tcPr>
                <w:p w14:paraId="5068A472" w14:textId="77777777" w:rsidR="00921721" w:rsidRPr="00ED063F"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sidRPr="00ED063F">
                    <w:rPr>
                      <w:rFonts w:asciiTheme="minorHAnsi" w:eastAsia="Arial Narrow" w:hAnsiTheme="minorHAnsi" w:cs="Arial Narrow"/>
                      <w:b/>
                      <w:color w:val="FFFFFF"/>
                      <w:spacing w:val="-1"/>
                      <w:w w:val="108"/>
                      <w:position w:val="-1"/>
                      <w:sz w:val="18"/>
                      <w:szCs w:val="18"/>
                      <w:lang w:val="en-US"/>
                    </w:rPr>
                    <w:t>2030</w:t>
                  </w:r>
                </w:p>
              </w:tc>
              <w:tc>
                <w:tcPr>
                  <w:tcW w:w="1122" w:type="dxa"/>
                  <w:tcBorders>
                    <w:top w:val="single" w:sz="4" w:space="0" w:color="FFFFFF"/>
                    <w:left w:val="single" w:sz="4" w:space="0" w:color="FFFFFF"/>
                    <w:bottom w:val="single" w:sz="4" w:space="0" w:color="FFFFFF"/>
                    <w:right w:val="nil"/>
                  </w:tcBorders>
                  <w:shd w:val="clear" w:color="auto" w:fill="A6A6A6" w:themeFill="background1" w:themeFillShade="A6"/>
                </w:tcPr>
                <w:p w14:paraId="59798B32" w14:textId="77777777" w:rsidR="00921721" w:rsidRPr="00ED063F"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sidRPr="00ED063F">
                    <w:rPr>
                      <w:rFonts w:asciiTheme="minorHAnsi" w:eastAsia="Arial Narrow" w:hAnsiTheme="minorHAnsi" w:cs="Arial Narrow"/>
                      <w:b/>
                      <w:color w:val="FFFFFF"/>
                      <w:spacing w:val="-1"/>
                      <w:w w:val="108"/>
                      <w:position w:val="-1"/>
                      <w:sz w:val="18"/>
                      <w:szCs w:val="18"/>
                      <w:lang w:val="en-US"/>
                    </w:rPr>
                    <w:t>2035</w:t>
                  </w:r>
                </w:p>
              </w:tc>
              <w:tc>
                <w:tcPr>
                  <w:tcW w:w="1122" w:type="dxa"/>
                  <w:tcBorders>
                    <w:top w:val="single" w:sz="4" w:space="0" w:color="FFFFFF"/>
                    <w:left w:val="single" w:sz="4" w:space="0" w:color="FFFFFF"/>
                    <w:bottom w:val="single" w:sz="4" w:space="0" w:color="FFFFFF"/>
                    <w:right w:val="nil"/>
                  </w:tcBorders>
                  <w:shd w:val="clear" w:color="auto" w:fill="A6A6A6" w:themeFill="background1" w:themeFillShade="A6"/>
                </w:tcPr>
                <w:p w14:paraId="26DDD894" w14:textId="77777777" w:rsidR="00921721" w:rsidRPr="00ED063F"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sidRPr="00ED063F">
                    <w:rPr>
                      <w:rFonts w:asciiTheme="minorHAnsi" w:eastAsia="Arial Narrow" w:hAnsiTheme="minorHAnsi" w:cs="Arial Narrow"/>
                      <w:b/>
                      <w:color w:val="FFFFFF"/>
                      <w:spacing w:val="-1"/>
                      <w:w w:val="108"/>
                      <w:position w:val="-1"/>
                      <w:sz w:val="18"/>
                      <w:szCs w:val="18"/>
                      <w:lang w:val="en-US"/>
                    </w:rPr>
                    <w:t>2040</w:t>
                  </w:r>
                </w:p>
              </w:tc>
            </w:tr>
            <w:tr w:rsidR="00921721" w:rsidRPr="007463B9" w14:paraId="6AEFADCE" w14:textId="77777777" w:rsidTr="00880D09">
              <w:trPr>
                <w:trHeight w:val="73"/>
              </w:trPr>
              <w:tc>
                <w:tcPr>
                  <w:tcW w:w="112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C43C95E" w14:textId="77777777" w:rsidR="00921721" w:rsidRPr="00ED063F" w:rsidRDefault="00921721" w:rsidP="00880D09">
                  <w:pPr>
                    <w:spacing w:before="60" w:after="60"/>
                    <w:ind w:right="28"/>
                    <w:jc w:val="center"/>
                    <w:rPr>
                      <w:rFonts w:asciiTheme="minorHAnsi" w:eastAsia="Arial Narrow" w:hAnsiTheme="minorHAnsi" w:cs="Arial Narrow"/>
                      <w:b/>
                      <w:color w:val="FFFFFF"/>
                      <w:spacing w:val="-1"/>
                      <w:w w:val="108"/>
                      <w:position w:val="-1"/>
                      <w:sz w:val="18"/>
                      <w:szCs w:val="18"/>
                      <w:lang w:val="en-US"/>
                    </w:rPr>
                  </w:pPr>
                  <w:r>
                    <w:rPr>
                      <w:rFonts w:asciiTheme="minorHAnsi" w:hAnsiTheme="minorHAnsi"/>
                      <w:color w:val="4F81BD" w:themeColor="accent1"/>
                      <w:sz w:val="18"/>
                      <w:lang w:val="en-GB"/>
                    </w:rPr>
                    <w:t>g</w:t>
                  </w:r>
                  <w:r w:rsidRPr="00ED063F">
                    <w:rPr>
                      <w:rFonts w:asciiTheme="minorHAnsi" w:hAnsiTheme="minorHAnsi"/>
                      <w:color w:val="4F81BD" w:themeColor="accent1"/>
                      <w:sz w:val="18"/>
                      <w:lang w:val="en-GB"/>
                    </w:rPr>
                    <w:t>CO</w:t>
                  </w:r>
                  <w:r w:rsidRPr="00ED063F">
                    <w:rPr>
                      <w:rFonts w:asciiTheme="minorHAnsi" w:hAnsiTheme="minorHAnsi"/>
                      <w:color w:val="4F81BD" w:themeColor="accent1"/>
                      <w:sz w:val="18"/>
                      <w:vertAlign w:val="subscript"/>
                      <w:lang w:val="en-GB"/>
                    </w:rPr>
                    <w:t>2</w:t>
                  </w:r>
                  <w:r w:rsidRPr="00ED063F">
                    <w:rPr>
                      <w:rFonts w:asciiTheme="minorHAnsi" w:hAnsiTheme="minorHAnsi"/>
                      <w:color w:val="4F81BD" w:themeColor="accent1"/>
                      <w:sz w:val="18"/>
                      <w:lang w:val="en-GB"/>
                    </w:rPr>
                    <w:t>e</w:t>
                  </w:r>
                  <w:r>
                    <w:rPr>
                      <w:rFonts w:asciiTheme="minorHAnsi" w:hAnsiTheme="minorHAnsi"/>
                      <w:color w:val="4F81BD" w:themeColor="accent1"/>
                      <w:sz w:val="18"/>
                      <w:lang w:val="en-GB"/>
                    </w:rPr>
                    <w:t xml:space="preserve">/ kWh </w:t>
                  </w:r>
                </w:p>
              </w:tc>
              <w:tc>
                <w:tcPr>
                  <w:tcW w:w="112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F90CAE0" w14:textId="77777777" w:rsidR="00921721" w:rsidRPr="00ED063F" w:rsidRDefault="00921721" w:rsidP="00880D09">
                  <w:pPr>
                    <w:spacing w:before="60" w:after="60"/>
                    <w:ind w:right="28"/>
                    <w:jc w:val="center"/>
                    <w:rPr>
                      <w:rFonts w:asciiTheme="minorHAnsi" w:hAnsiTheme="minorHAnsi"/>
                      <w:color w:val="4F81BD" w:themeColor="accent1"/>
                      <w:sz w:val="18"/>
                      <w:lang w:val="en-GB"/>
                    </w:rPr>
                  </w:pPr>
                  <w:r w:rsidRPr="00ED063F">
                    <w:rPr>
                      <w:rFonts w:asciiTheme="minorHAnsi" w:hAnsiTheme="minorHAnsi"/>
                      <w:color w:val="4F81BD" w:themeColor="accent1"/>
                      <w:sz w:val="18"/>
                      <w:lang w:val="en-GB"/>
                    </w:rPr>
                    <w:t>668.68</w:t>
                  </w:r>
                </w:p>
              </w:tc>
              <w:tc>
                <w:tcPr>
                  <w:tcW w:w="112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0C3E844" w14:textId="77777777" w:rsidR="00921721" w:rsidRPr="00ED063F" w:rsidRDefault="00921721" w:rsidP="00880D09">
                  <w:pPr>
                    <w:spacing w:before="60" w:after="60"/>
                    <w:ind w:right="28"/>
                    <w:jc w:val="center"/>
                    <w:rPr>
                      <w:rFonts w:asciiTheme="minorHAnsi" w:hAnsiTheme="minorHAnsi"/>
                      <w:color w:val="4F81BD" w:themeColor="accent1"/>
                      <w:sz w:val="18"/>
                      <w:lang w:val="en-GB"/>
                    </w:rPr>
                  </w:pPr>
                  <w:r w:rsidRPr="00ED063F">
                    <w:rPr>
                      <w:rFonts w:asciiTheme="minorHAnsi" w:hAnsiTheme="minorHAnsi"/>
                      <w:color w:val="4F81BD" w:themeColor="accent1"/>
                      <w:sz w:val="18"/>
                      <w:lang w:val="en-GB"/>
                    </w:rPr>
                    <w:t>645.57</w:t>
                  </w:r>
                </w:p>
              </w:tc>
              <w:tc>
                <w:tcPr>
                  <w:tcW w:w="112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6B239F8" w14:textId="77777777" w:rsidR="00921721" w:rsidRPr="00ED063F" w:rsidRDefault="00921721" w:rsidP="00880D09">
                  <w:pPr>
                    <w:spacing w:before="60" w:after="60"/>
                    <w:ind w:right="28"/>
                    <w:jc w:val="center"/>
                    <w:rPr>
                      <w:rFonts w:asciiTheme="minorHAnsi" w:hAnsiTheme="minorHAnsi"/>
                      <w:color w:val="4F81BD" w:themeColor="accent1"/>
                      <w:sz w:val="18"/>
                      <w:lang w:val="en-GB"/>
                    </w:rPr>
                  </w:pPr>
                  <w:r w:rsidRPr="00ED063F">
                    <w:rPr>
                      <w:rFonts w:asciiTheme="minorHAnsi" w:hAnsiTheme="minorHAnsi"/>
                      <w:color w:val="4F81BD" w:themeColor="accent1"/>
                      <w:sz w:val="18"/>
                      <w:lang w:val="en-GB"/>
                    </w:rPr>
                    <w:t>579.05</w:t>
                  </w:r>
                </w:p>
              </w:tc>
              <w:tc>
                <w:tcPr>
                  <w:tcW w:w="112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E669A96" w14:textId="77777777" w:rsidR="00921721" w:rsidRPr="00ED063F" w:rsidRDefault="00921721" w:rsidP="00880D09">
                  <w:pPr>
                    <w:spacing w:before="60" w:after="60"/>
                    <w:ind w:right="28"/>
                    <w:jc w:val="center"/>
                    <w:rPr>
                      <w:rFonts w:asciiTheme="minorHAnsi" w:hAnsiTheme="minorHAnsi"/>
                      <w:color w:val="4F81BD" w:themeColor="accent1"/>
                      <w:sz w:val="18"/>
                      <w:lang w:val="en-GB"/>
                    </w:rPr>
                  </w:pPr>
                  <w:r w:rsidRPr="00ED063F">
                    <w:rPr>
                      <w:rFonts w:asciiTheme="minorHAnsi" w:hAnsiTheme="minorHAnsi"/>
                      <w:color w:val="4F81BD" w:themeColor="accent1"/>
                      <w:sz w:val="18"/>
                      <w:lang w:val="en-GB"/>
                    </w:rPr>
                    <w:t>446.40</w:t>
                  </w:r>
                </w:p>
              </w:tc>
              <w:tc>
                <w:tcPr>
                  <w:tcW w:w="112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1454EDF" w14:textId="77777777" w:rsidR="00921721" w:rsidRPr="00ED063F" w:rsidRDefault="00921721" w:rsidP="00880D09">
                  <w:pPr>
                    <w:spacing w:before="60" w:after="60"/>
                    <w:ind w:right="28"/>
                    <w:jc w:val="center"/>
                    <w:rPr>
                      <w:rFonts w:asciiTheme="minorHAnsi" w:hAnsiTheme="minorHAnsi"/>
                      <w:color w:val="4F81BD" w:themeColor="accent1"/>
                      <w:sz w:val="18"/>
                      <w:lang w:val="en-GB"/>
                    </w:rPr>
                  </w:pPr>
                  <w:r w:rsidRPr="00ED063F">
                    <w:rPr>
                      <w:rFonts w:asciiTheme="minorHAnsi" w:hAnsiTheme="minorHAnsi"/>
                      <w:color w:val="4F81BD" w:themeColor="accent1"/>
                      <w:sz w:val="18"/>
                      <w:lang w:val="en-GB"/>
                    </w:rPr>
                    <w:t>373.31</w:t>
                  </w:r>
                </w:p>
              </w:tc>
            </w:tr>
          </w:tbl>
          <w:p w14:paraId="07EBAE27" w14:textId="77777777" w:rsidR="00921721" w:rsidRDefault="00921721" w:rsidP="00880D09">
            <w:pPr>
              <w:pStyle w:val="anxnormal"/>
              <w:ind w:left="0"/>
              <w:rPr>
                <w:rFonts w:asciiTheme="minorHAnsi" w:hAnsiTheme="minorHAnsi"/>
                <w:lang w:val="en-GB" w:eastAsia="en-US"/>
              </w:rPr>
            </w:pPr>
          </w:p>
          <w:p w14:paraId="7784BA73" w14:textId="77777777" w:rsidR="00921721" w:rsidRPr="00EC7A83" w:rsidRDefault="00921721" w:rsidP="00880D09">
            <w:pPr>
              <w:pStyle w:val="anxnormal"/>
              <w:ind w:left="0"/>
              <w:rPr>
                <w:rFonts w:asciiTheme="minorHAnsi" w:hAnsiTheme="minorHAnsi"/>
                <w:lang w:val="en-GB"/>
              </w:rPr>
            </w:pPr>
            <w:r w:rsidRPr="00EC7A83">
              <w:rPr>
                <w:rFonts w:asciiTheme="minorHAnsi" w:hAnsiTheme="minorHAnsi"/>
                <w:lang w:val="en-GB" w:eastAsia="en-US"/>
              </w:rPr>
              <w:t>The unit costs for the intermediate years are estimated based on linear interpolation of the above defined unit costs</w:t>
            </w:r>
            <w:r w:rsidRPr="00EC7A83">
              <w:rPr>
                <w:rFonts w:asciiTheme="minorHAnsi" w:hAnsiTheme="minorHAnsi"/>
                <w:lang w:val="en-GB"/>
              </w:rPr>
              <w:t xml:space="preserve"> and from 2040 onwards, it will be considered constant. The forecast values of the emission factors, both for the national electricity grid and for the categories of electric road vehicles mentioned above, are provided in the related </w:t>
            </w:r>
            <w:r w:rsidRPr="00EC7A83">
              <w:rPr>
                <w:rFonts w:asciiTheme="minorHAnsi" w:hAnsiTheme="minorHAnsi"/>
                <w:b/>
                <w:i/>
                <w:lang w:val="en-GB"/>
              </w:rPr>
              <w:t>Excel file</w:t>
            </w:r>
            <w:r w:rsidRPr="00EC7A83">
              <w:rPr>
                <w:rFonts w:asciiTheme="minorHAnsi" w:hAnsiTheme="minorHAnsi"/>
                <w:lang w:val="en-GB"/>
              </w:rPr>
              <w:t xml:space="preserve">. </w:t>
            </w:r>
          </w:p>
          <w:p w14:paraId="39F1B507" w14:textId="77777777" w:rsidR="00921721" w:rsidRPr="00632A68" w:rsidRDefault="00921721" w:rsidP="00880D09">
            <w:pPr>
              <w:pStyle w:val="anxnormal"/>
              <w:ind w:left="0"/>
              <w:rPr>
                <w:rFonts w:asciiTheme="minorHAnsi" w:hAnsiTheme="minorHAnsi"/>
                <w:lang w:val="en-GB"/>
              </w:rPr>
            </w:pPr>
            <w:r w:rsidRPr="00EC7A83">
              <w:rPr>
                <w:rFonts w:asciiTheme="minorHAnsi" w:hAnsiTheme="minorHAnsi"/>
                <w:lang w:val="en-GB"/>
              </w:rPr>
              <w:t xml:space="preserve">The above values are to be applied to electric powered vehicle fleet i.e. electric road vehicles and </w:t>
            </w:r>
            <w:r>
              <w:rPr>
                <w:rFonts w:asciiTheme="minorHAnsi" w:hAnsiTheme="minorHAnsi"/>
                <w:lang w:val="en-GB"/>
              </w:rPr>
              <w:t xml:space="preserve">railway </w:t>
            </w:r>
            <w:r w:rsidRPr="00EC7A83">
              <w:rPr>
                <w:rFonts w:asciiTheme="minorHAnsi" w:hAnsiTheme="minorHAnsi"/>
                <w:lang w:val="en-GB"/>
              </w:rPr>
              <w:t>trains as relevant for the project.</w:t>
            </w:r>
          </w:p>
          <w:p w14:paraId="08BAB313" w14:textId="77777777" w:rsidR="00921721" w:rsidRPr="00632A68" w:rsidRDefault="00921721" w:rsidP="00880D09">
            <w:pPr>
              <w:pStyle w:val="anxnormal"/>
              <w:ind w:left="0"/>
              <w:rPr>
                <w:rFonts w:asciiTheme="minorHAnsi" w:hAnsiTheme="minorHAnsi"/>
                <w:lang w:val="en-GB" w:eastAsia="en-US"/>
              </w:rPr>
            </w:pPr>
          </w:p>
          <w:p w14:paraId="7D749818" w14:textId="77777777" w:rsidR="00921721" w:rsidRDefault="00921721" w:rsidP="00880D09">
            <w:pPr>
              <w:pStyle w:val="anxnormal"/>
              <w:ind w:left="0"/>
              <w:rPr>
                <w:rFonts w:asciiTheme="minorHAnsi" w:hAnsiTheme="minorHAnsi"/>
                <w:u w:val="single"/>
                <w:lang w:val="en-GB" w:eastAsia="en-US"/>
              </w:rPr>
            </w:pPr>
          </w:p>
          <w:p w14:paraId="31558137" w14:textId="77777777" w:rsidR="00921721" w:rsidRPr="00632A68" w:rsidRDefault="00921721" w:rsidP="00880D09">
            <w:pPr>
              <w:pStyle w:val="anxnormal"/>
              <w:ind w:left="0"/>
              <w:rPr>
                <w:rFonts w:asciiTheme="minorHAnsi" w:hAnsiTheme="minorHAnsi"/>
                <w:u w:val="single"/>
                <w:lang w:val="en-GB" w:eastAsia="en-US"/>
              </w:rPr>
            </w:pPr>
            <w:r w:rsidRPr="00632A68">
              <w:rPr>
                <w:rFonts w:asciiTheme="minorHAnsi" w:hAnsiTheme="minorHAnsi"/>
                <w:u w:val="single"/>
                <w:lang w:val="en-GB" w:eastAsia="en-US"/>
              </w:rPr>
              <w:t xml:space="preserve">LV </w:t>
            </w:r>
            <w:r>
              <w:rPr>
                <w:rFonts w:asciiTheme="minorHAnsi" w:hAnsiTheme="minorHAnsi"/>
                <w:u w:val="single"/>
                <w:lang w:val="en-GB" w:eastAsia="en-US"/>
              </w:rPr>
              <w:t>–</w:t>
            </w:r>
            <w:r w:rsidRPr="00632A68">
              <w:rPr>
                <w:rFonts w:asciiTheme="minorHAnsi" w:hAnsiTheme="minorHAnsi"/>
                <w:u w:val="single"/>
                <w:lang w:val="en-GB" w:eastAsia="en-US"/>
              </w:rPr>
              <w:t xml:space="preserve"> Fleet composition</w:t>
            </w:r>
          </w:p>
          <w:p w14:paraId="384AF1E6" w14:textId="77777777" w:rsidR="00921721" w:rsidRPr="00FF1EB0" w:rsidRDefault="00921721" w:rsidP="00880D09">
            <w:pPr>
              <w:pStyle w:val="anxnormal"/>
              <w:ind w:left="0"/>
              <w:rPr>
                <w:rFonts w:asciiTheme="minorHAnsi" w:hAnsiTheme="minorHAnsi"/>
                <w:lang w:val="en-GB" w:eastAsia="en-US"/>
              </w:rPr>
            </w:pPr>
            <w:r>
              <w:rPr>
                <w:rFonts w:asciiTheme="minorHAnsi" w:hAnsiTheme="minorHAnsi"/>
                <w:lang w:val="en-GB" w:eastAsia="en-US"/>
              </w:rPr>
              <w:t>Emission factors for current combustion vehicle fleet presented in the tables</w:t>
            </w:r>
            <w:r w:rsidRPr="00983DF9">
              <w:rPr>
                <w:rFonts w:asciiTheme="minorHAnsi" w:hAnsiTheme="minorHAnsi"/>
                <w:lang w:val="en-GB" w:eastAsia="en-US"/>
              </w:rPr>
              <w:t xml:space="preserve"> above are based on current </w:t>
            </w:r>
            <w:r>
              <w:rPr>
                <w:rFonts w:asciiTheme="minorHAnsi" w:hAnsiTheme="minorHAnsi"/>
                <w:lang w:val="en-GB" w:eastAsia="en-US"/>
              </w:rPr>
              <w:t>combustion LV</w:t>
            </w:r>
            <w:r w:rsidRPr="00983DF9">
              <w:rPr>
                <w:rFonts w:asciiTheme="minorHAnsi" w:hAnsiTheme="minorHAnsi"/>
                <w:lang w:val="en-GB" w:eastAsia="en-US"/>
              </w:rPr>
              <w:t xml:space="preserve"> </w:t>
            </w:r>
            <w:r w:rsidRPr="00CF54F6">
              <w:rPr>
                <w:rFonts w:asciiTheme="minorHAnsi" w:hAnsiTheme="minorHAnsi"/>
                <w:lang w:val="en-GB" w:eastAsia="en-US"/>
              </w:rPr>
              <w:t xml:space="preserve">fuel </w:t>
            </w:r>
            <w:r>
              <w:rPr>
                <w:rFonts w:asciiTheme="minorHAnsi" w:hAnsiTheme="minorHAnsi"/>
                <w:lang w:val="en-GB" w:eastAsia="en-US"/>
              </w:rPr>
              <w:t xml:space="preserve">type </w:t>
            </w:r>
            <w:r w:rsidRPr="00CF54F6">
              <w:rPr>
                <w:rFonts w:asciiTheme="minorHAnsi" w:hAnsiTheme="minorHAnsi"/>
                <w:lang w:val="en-GB" w:eastAsia="en-US"/>
              </w:rPr>
              <w:t>consumption</w:t>
            </w:r>
            <w:r>
              <w:rPr>
                <w:rFonts w:asciiTheme="minorHAnsi" w:hAnsiTheme="minorHAnsi"/>
                <w:lang w:val="en-GB" w:eastAsia="en-US"/>
              </w:rPr>
              <w:t xml:space="preserve"> </w:t>
            </w:r>
            <w:r w:rsidRPr="00983DF9">
              <w:rPr>
                <w:rFonts w:asciiTheme="minorHAnsi" w:hAnsiTheme="minorHAnsi"/>
                <w:lang w:val="en-GB" w:eastAsia="en-US"/>
              </w:rPr>
              <w:t xml:space="preserve">fleet structure, </w:t>
            </w:r>
            <w:r>
              <w:rPr>
                <w:rFonts w:asciiTheme="minorHAnsi" w:hAnsiTheme="minorHAnsi"/>
                <w:lang w:val="en-GB" w:eastAsia="en-US"/>
              </w:rPr>
              <w:t>assumed to be constant in the future and constituted, as mentioned, by</w:t>
            </w:r>
            <w:r w:rsidRPr="00983DF9">
              <w:rPr>
                <w:rFonts w:asciiTheme="minorHAnsi" w:hAnsiTheme="minorHAnsi"/>
                <w:lang w:val="en-GB" w:eastAsia="en-US"/>
              </w:rPr>
              <w:t>: petrol (</w:t>
            </w:r>
            <w:r>
              <w:rPr>
                <w:rFonts w:asciiTheme="minorHAnsi" w:hAnsiTheme="minorHAnsi"/>
                <w:lang w:val="en-GB" w:eastAsia="en-US"/>
              </w:rPr>
              <w:t>67.9</w:t>
            </w:r>
            <w:r w:rsidRPr="00983DF9">
              <w:rPr>
                <w:rFonts w:asciiTheme="minorHAnsi" w:hAnsiTheme="minorHAnsi"/>
                <w:lang w:val="en-GB" w:eastAsia="en-US"/>
              </w:rPr>
              <w:t>%) and Diesel (</w:t>
            </w:r>
            <w:r>
              <w:rPr>
                <w:rFonts w:asciiTheme="minorHAnsi" w:hAnsiTheme="minorHAnsi"/>
                <w:lang w:val="en-GB" w:eastAsia="en-US"/>
              </w:rPr>
              <w:t>32.1</w:t>
            </w:r>
            <w:r w:rsidRPr="00983DF9">
              <w:rPr>
                <w:rFonts w:asciiTheme="minorHAnsi" w:hAnsiTheme="minorHAnsi"/>
                <w:lang w:val="en-GB" w:eastAsia="en-US"/>
              </w:rPr>
              <w:t xml:space="preserve">%). </w:t>
            </w:r>
            <w:r>
              <w:rPr>
                <w:rFonts w:asciiTheme="minorHAnsi" w:hAnsiTheme="minorHAnsi"/>
                <w:lang w:val="en-GB" w:eastAsia="en-US"/>
              </w:rPr>
              <w:t>The forecasts for fleet composition evolution to be considered are presetend in VOC category above.</w:t>
            </w:r>
          </w:p>
          <w:p w14:paraId="2E2ED302" w14:textId="77777777" w:rsidR="00921721" w:rsidRPr="00FF1EB0" w:rsidRDefault="00921721" w:rsidP="00880D09">
            <w:pPr>
              <w:pStyle w:val="anxnormal"/>
              <w:ind w:left="0"/>
              <w:rPr>
                <w:rFonts w:asciiTheme="minorHAnsi" w:hAnsiTheme="minorHAnsi"/>
                <w:lang w:val="en-GB" w:eastAsia="en-US"/>
              </w:rPr>
            </w:pPr>
          </w:p>
          <w:p w14:paraId="5561AE05" w14:textId="77777777" w:rsidR="00921721" w:rsidRPr="00EF0D43" w:rsidRDefault="00921721" w:rsidP="00880D09">
            <w:pPr>
              <w:pStyle w:val="anxnormal"/>
              <w:ind w:left="0"/>
              <w:rPr>
                <w:rFonts w:asciiTheme="minorHAnsi" w:hAnsiTheme="minorHAnsi"/>
                <w:lang w:val="en-GB" w:eastAsia="en-US"/>
              </w:rPr>
            </w:pPr>
          </w:p>
          <w:p w14:paraId="1F5DDBCC" w14:textId="77777777" w:rsidR="00921721" w:rsidRDefault="00921721" w:rsidP="00880D09">
            <w:pPr>
              <w:pStyle w:val="anxnormal"/>
              <w:keepNext/>
              <w:spacing w:after="120"/>
              <w:ind w:left="0"/>
              <w:rPr>
                <w:rFonts w:asciiTheme="minorHAnsi" w:hAnsiTheme="minorHAnsi"/>
                <w:u w:val="single"/>
                <w:lang w:val="en-GB" w:eastAsia="en-US"/>
              </w:rPr>
            </w:pPr>
            <w:r w:rsidRPr="002C6855">
              <w:rPr>
                <w:rFonts w:asciiTheme="minorHAnsi" w:hAnsiTheme="minorHAnsi"/>
                <w:u w:val="single"/>
                <w:lang w:val="en-GB" w:eastAsia="en-US"/>
              </w:rPr>
              <w:t>Rail modes</w:t>
            </w:r>
          </w:p>
          <w:p w14:paraId="6EC5DCC0" w14:textId="77777777" w:rsidR="00921721" w:rsidRPr="00171C62" w:rsidRDefault="00921721" w:rsidP="00880D09">
            <w:pPr>
              <w:pStyle w:val="anxnormal"/>
              <w:ind w:left="0"/>
              <w:rPr>
                <w:rFonts w:asciiTheme="minorHAnsi" w:hAnsiTheme="minorHAnsi"/>
                <w:lang w:val="en-GB" w:eastAsia="en-US"/>
              </w:rPr>
            </w:pPr>
            <w:r w:rsidRPr="00171C62">
              <w:rPr>
                <w:rFonts w:asciiTheme="minorHAnsi" w:hAnsiTheme="minorHAnsi"/>
                <w:lang w:val="en-GB" w:eastAsia="en-US"/>
              </w:rPr>
              <w:t>The tables below present GHG emission factors for railway trains which result from mutlipling the energy consumption rates (as per table below) by the national grid GHG emission factor (i.e.</w:t>
            </w:r>
            <w:r w:rsidRPr="00171C62">
              <w:rPr>
                <w:lang w:val="en-US"/>
              </w:rPr>
              <w:t xml:space="preserve"> </w:t>
            </w:r>
            <w:r w:rsidRPr="00171C62">
              <w:rPr>
                <w:rFonts w:asciiTheme="minorHAnsi" w:hAnsiTheme="minorHAnsi"/>
                <w:lang w:val="en-GB" w:eastAsia="en-US"/>
              </w:rPr>
              <w:t>668.68 gCO</w:t>
            </w:r>
            <w:r w:rsidRPr="00506A2F">
              <w:rPr>
                <w:rFonts w:asciiTheme="minorHAnsi" w:hAnsiTheme="minorHAnsi"/>
                <w:vertAlign w:val="subscript"/>
                <w:lang w:val="en-GB" w:eastAsia="en-US"/>
              </w:rPr>
              <w:t>2</w:t>
            </w:r>
            <w:r w:rsidRPr="00171C62">
              <w:rPr>
                <w:rFonts w:asciiTheme="minorHAnsi" w:hAnsiTheme="minorHAnsi"/>
                <w:lang w:val="en-GB" w:eastAsia="en-US"/>
              </w:rPr>
              <w:t xml:space="preserve">/kWh). These emission factors are for the current base year (2021) and consider the current energy mix in Poland. Therefore, the forecast for the evolution of the national </w:t>
            </w:r>
            <w:r>
              <w:rPr>
                <w:rFonts w:asciiTheme="minorHAnsi" w:hAnsiTheme="minorHAnsi"/>
                <w:lang w:val="en-GB" w:eastAsia="en-US"/>
              </w:rPr>
              <w:t xml:space="preserve">grid electricity </w:t>
            </w:r>
            <w:r w:rsidRPr="00171C62">
              <w:rPr>
                <w:rFonts w:asciiTheme="minorHAnsi" w:hAnsiTheme="minorHAnsi"/>
                <w:lang w:val="en-GB" w:eastAsia="en-US"/>
              </w:rPr>
              <w:t xml:space="preserve">GHG emission factor are also to be applied to obtain the respective GHG emission factors </w:t>
            </w:r>
            <w:r>
              <w:rPr>
                <w:rFonts w:asciiTheme="minorHAnsi" w:hAnsiTheme="minorHAnsi"/>
                <w:lang w:val="en-GB" w:eastAsia="en-US"/>
              </w:rPr>
              <w:t xml:space="preserve">of railway trains </w:t>
            </w:r>
            <w:r w:rsidRPr="00171C62">
              <w:rPr>
                <w:rFonts w:asciiTheme="minorHAnsi" w:hAnsiTheme="minorHAnsi"/>
                <w:lang w:val="en-GB" w:eastAsia="en-US"/>
              </w:rPr>
              <w:t xml:space="preserve">over the reference period. </w:t>
            </w:r>
          </w:p>
          <w:p w14:paraId="37B2A211" w14:textId="77777777" w:rsidR="00921721" w:rsidRPr="00EC7A83" w:rsidRDefault="00921721" w:rsidP="00880D09">
            <w:pPr>
              <w:pStyle w:val="anxnormal"/>
              <w:ind w:left="0"/>
              <w:rPr>
                <w:rFonts w:asciiTheme="minorHAnsi" w:hAnsiTheme="minorHAnsi"/>
                <w:lang w:val="en-GB" w:eastAsia="en-US"/>
              </w:rPr>
            </w:pPr>
            <w:r w:rsidRPr="00EC7A83">
              <w:rPr>
                <w:rFonts w:asciiTheme="minorHAnsi" w:hAnsiTheme="minorHAnsi"/>
                <w:lang w:val="en-GB" w:eastAsia="en-US"/>
              </w:rPr>
              <w:t xml:space="preserve">This does not apply to Diesel trains. </w:t>
            </w:r>
          </w:p>
          <w:p w14:paraId="5B004ACE" w14:textId="77777777" w:rsidR="00921721" w:rsidRPr="002A1417" w:rsidRDefault="00921721" w:rsidP="00880D09">
            <w:pPr>
              <w:pStyle w:val="anxnormal"/>
              <w:ind w:left="0"/>
              <w:rPr>
                <w:rFonts w:asciiTheme="minorHAnsi" w:hAnsiTheme="minorHAnsi"/>
                <w:lang w:val="en-US" w:eastAsia="en-US"/>
              </w:rPr>
            </w:pPr>
            <w:r w:rsidRPr="00EC7A83">
              <w:rPr>
                <w:rFonts w:asciiTheme="minorHAnsi" w:hAnsiTheme="minorHAnsi"/>
                <w:lang w:val="en-GB" w:eastAsia="en-US"/>
              </w:rPr>
              <w:t xml:space="preserve">The forecast values of the emission factors for railway trains are provided in the related </w:t>
            </w:r>
            <w:r w:rsidRPr="00EC7A83">
              <w:rPr>
                <w:rFonts w:asciiTheme="minorHAnsi" w:hAnsiTheme="minorHAnsi"/>
                <w:b/>
                <w:i/>
                <w:lang w:val="en-GB" w:eastAsia="en-US"/>
              </w:rPr>
              <w:t>Excel file</w:t>
            </w:r>
            <w:r w:rsidRPr="00EC7A83">
              <w:rPr>
                <w:rFonts w:asciiTheme="minorHAnsi" w:hAnsiTheme="minorHAnsi"/>
                <w:lang w:val="en-GB" w:eastAsia="en-US"/>
              </w:rPr>
              <w:t>.</w:t>
            </w:r>
            <w:r>
              <w:rPr>
                <w:rFonts w:asciiTheme="minorHAnsi" w:hAnsiTheme="minorHAnsi"/>
                <w:lang w:val="en-GB" w:eastAsia="en-US"/>
              </w:rPr>
              <w:t xml:space="preserve"> </w:t>
            </w:r>
          </w:p>
          <w:p w14:paraId="35429881" w14:textId="77777777" w:rsidR="00921721" w:rsidRDefault="00921721" w:rsidP="00880D09">
            <w:pPr>
              <w:pStyle w:val="anxnormal"/>
              <w:ind w:left="0"/>
              <w:rPr>
                <w:rFonts w:asciiTheme="minorHAnsi" w:hAnsiTheme="minorHAnsi"/>
                <w:lang w:val="en-GB" w:eastAsia="en-US"/>
              </w:rPr>
            </w:pPr>
          </w:p>
          <w:p w14:paraId="56E15445" w14:textId="77777777" w:rsidR="00921721" w:rsidRPr="00596C6B" w:rsidRDefault="00921721" w:rsidP="00880D09">
            <w:pPr>
              <w:pStyle w:val="anxnormal"/>
              <w:ind w:left="0"/>
              <w:rPr>
                <w:rFonts w:asciiTheme="minorHAnsi" w:hAnsiTheme="minorHAnsi"/>
                <w:lang w:val="en-GB" w:eastAsia="en-US"/>
              </w:rPr>
            </w:pPr>
          </w:p>
          <w:tbl>
            <w:tblPr>
              <w:tblW w:w="6707" w:type="dxa"/>
              <w:tblLayout w:type="fixed"/>
              <w:tblLook w:val="04A0" w:firstRow="1" w:lastRow="0" w:firstColumn="1" w:lastColumn="0" w:noHBand="0" w:noVBand="1"/>
            </w:tblPr>
            <w:tblGrid>
              <w:gridCol w:w="1129"/>
              <w:gridCol w:w="2268"/>
              <w:gridCol w:w="1559"/>
              <w:gridCol w:w="1751"/>
            </w:tblGrid>
            <w:tr w:rsidR="00921721" w:rsidRPr="007463B9" w14:paraId="50DBA9D4" w14:textId="77777777" w:rsidTr="00880D09">
              <w:trPr>
                <w:trHeight w:hRule="exact" w:val="794"/>
              </w:trPr>
              <w:tc>
                <w:tcPr>
                  <w:tcW w:w="112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D6AB8E1"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Passenger</w:t>
                  </w:r>
                </w:p>
              </w:tc>
              <w:tc>
                <w:tcPr>
                  <w:tcW w:w="2268" w:type="dxa"/>
                  <w:tcBorders>
                    <w:top w:val="single" w:sz="4" w:space="0" w:color="FFFFFF"/>
                    <w:left w:val="single" w:sz="4" w:space="0" w:color="FFFFFF"/>
                    <w:bottom w:val="single" w:sz="4" w:space="0" w:color="FFFFFF"/>
                    <w:right w:val="nil"/>
                  </w:tcBorders>
                  <w:shd w:val="clear" w:color="auto" w:fill="A6A6A6" w:themeFill="background1" w:themeFillShade="A6"/>
                  <w:hideMark/>
                </w:tcPr>
                <w:p w14:paraId="2243531A"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p>
              </w:tc>
              <w:tc>
                <w:tcPr>
                  <w:tcW w:w="1559"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tcPr>
                <w:p w14:paraId="0BD7CB3D"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Energy consumption (kWh/ seat</w:t>
                  </w:r>
                  <w:r w:rsidRPr="006856C6">
                    <w:rPr>
                      <w:rFonts w:asciiTheme="minorHAnsi" w:hAnsiTheme="minorHAnsi" w:cs="Arial"/>
                      <w:b/>
                      <w:bCs/>
                      <w:color w:val="FFFFFF"/>
                      <w:sz w:val="18"/>
                      <w:szCs w:val="18"/>
                      <w:lang w:val="en-GB"/>
                    </w:rPr>
                    <w:t>-km)</w:t>
                  </w:r>
                  <w:r>
                    <w:rPr>
                      <w:rFonts w:asciiTheme="minorHAnsi" w:hAnsiTheme="minorHAnsi" w:cs="Arial"/>
                      <w:b/>
                      <w:bCs/>
                      <w:color w:val="FFFFFF"/>
                      <w:sz w:val="18"/>
                      <w:szCs w:val="18"/>
                      <w:lang w:val="en-GB"/>
                    </w:rPr>
                    <w:t xml:space="preserve"> </w:t>
                  </w:r>
                </w:p>
              </w:tc>
              <w:tc>
                <w:tcPr>
                  <w:tcW w:w="1751" w:type="dxa"/>
                  <w:tcBorders>
                    <w:top w:val="single" w:sz="4" w:space="0" w:color="FFFFFF"/>
                    <w:left w:val="single" w:sz="4" w:space="0" w:color="FFFFFF"/>
                    <w:bottom w:val="single" w:sz="4" w:space="0" w:color="FFFFFF"/>
                    <w:right w:val="nil"/>
                  </w:tcBorders>
                  <w:shd w:val="clear" w:color="auto" w:fill="A6A6A6" w:themeFill="background1" w:themeFillShade="A6"/>
                  <w:hideMark/>
                </w:tcPr>
                <w:p w14:paraId="709C9EE0" w14:textId="77777777" w:rsidR="00921721" w:rsidRPr="00075638" w:rsidRDefault="00921721" w:rsidP="00880D09">
                  <w:pPr>
                    <w:snapToGrid w:val="0"/>
                    <w:spacing w:before="20" w:after="20"/>
                    <w:jc w:val="center"/>
                    <w:rPr>
                      <w:rFonts w:asciiTheme="minorHAnsi" w:hAnsiTheme="minorHAnsi" w:cs="Arial"/>
                      <w:b/>
                      <w:bCs/>
                      <w:color w:val="FFFFFF"/>
                      <w:sz w:val="18"/>
                      <w:szCs w:val="18"/>
                      <w:lang w:val="en-GB"/>
                    </w:rPr>
                  </w:pPr>
                  <w:r w:rsidRPr="00075638">
                    <w:rPr>
                      <w:rFonts w:asciiTheme="minorHAnsi" w:hAnsiTheme="minorHAnsi" w:cs="Arial"/>
                      <w:b/>
                      <w:bCs/>
                      <w:color w:val="FFFFFF"/>
                      <w:sz w:val="18"/>
                      <w:szCs w:val="18"/>
                      <w:lang w:val="en-GB"/>
                    </w:rPr>
                    <w:t xml:space="preserve">GHG emissions factor </w:t>
                  </w:r>
                  <w:r>
                    <w:rPr>
                      <w:rFonts w:asciiTheme="minorHAnsi" w:hAnsiTheme="minorHAnsi" w:cs="Arial"/>
                      <w:b/>
                      <w:bCs/>
                      <w:color w:val="FFFFFF"/>
                      <w:sz w:val="18"/>
                      <w:szCs w:val="18"/>
                      <w:lang w:val="en-GB"/>
                    </w:rPr>
                    <w:t>2021</w:t>
                  </w:r>
                  <w:r w:rsidRPr="00075638">
                    <w:rPr>
                      <w:rFonts w:asciiTheme="minorHAnsi" w:hAnsiTheme="minorHAnsi" w:cs="Arial"/>
                      <w:b/>
                      <w:bCs/>
                      <w:color w:val="FFFFFF"/>
                      <w:sz w:val="18"/>
                      <w:szCs w:val="18"/>
                      <w:lang w:val="en-US"/>
                    </w:rPr>
                    <w:t>(*)</w:t>
                  </w:r>
                </w:p>
                <w:p w14:paraId="4387EEA9" w14:textId="77777777" w:rsidR="00921721" w:rsidRPr="00075638" w:rsidRDefault="00921721" w:rsidP="00880D09">
                  <w:pPr>
                    <w:snapToGrid w:val="0"/>
                    <w:spacing w:before="20" w:after="20"/>
                    <w:jc w:val="center"/>
                    <w:rPr>
                      <w:rFonts w:asciiTheme="minorHAnsi" w:hAnsiTheme="minorHAnsi" w:cs="Arial"/>
                      <w:b/>
                      <w:bCs/>
                      <w:color w:val="FFFFFF"/>
                      <w:sz w:val="18"/>
                      <w:szCs w:val="18"/>
                      <w:lang w:val="en-GB"/>
                    </w:rPr>
                  </w:pPr>
                  <w:r w:rsidRPr="00075638">
                    <w:rPr>
                      <w:rFonts w:asciiTheme="minorHAnsi" w:hAnsiTheme="minorHAnsi" w:cs="Arial"/>
                      <w:b/>
                      <w:bCs/>
                      <w:color w:val="FFFFFF"/>
                      <w:sz w:val="18"/>
                      <w:szCs w:val="18"/>
                      <w:lang w:val="en-GB"/>
                    </w:rPr>
                    <w:t>[gCO</w:t>
                  </w:r>
                  <w:r w:rsidRPr="00075638">
                    <w:rPr>
                      <w:rFonts w:asciiTheme="minorHAnsi" w:hAnsiTheme="minorHAnsi" w:cs="Arial"/>
                      <w:b/>
                      <w:bCs/>
                      <w:color w:val="FFFFFF"/>
                      <w:sz w:val="18"/>
                      <w:szCs w:val="18"/>
                      <w:vertAlign w:val="subscript"/>
                      <w:lang w:val="en-GB"/>
                    </w:rPr>
                    <w:t>2</w:t>
                  </w:r>
                  <w:r w:rsidRPr="00075638">
                    <w:rPr>
                      <w:rFonts w:asciiTheme="minorHAnsi" w:hAnsiTheme="minorHAnsi" w:cs="Arial"/>
                      <w:b/>
                      <w:bCs/>
                      <w:color w:val="FFFFFF"/>
                      <w:sz w:val="18"/>
                      <w:szCs w:val="18"/>
                      <w:lang w:val="en-GB"/>
                    </w:rPr>
                    <w:t xml:space="preserve">e/ seat-km] </w:t>
                  </w:r>
                </w:p>
              </w:tc>
            </w:tr>
            <w:tr w:rsidR="00921721" w:rsidRPr="006856C6" w14:paraId="16812365" w14:textId="77777777" w:rsidTr="00880D09">
              <w:trPr>
                <w:trHeight w:val="194"/>
              </w:trPr>
              <w:tc>
                <w:tcPr>
                  <w:tcW w:w="1129" w:type="dxa"/>
                  <w:vMerge w:val="restart"/>
                  <w:tcBorders>
                    <w:top w:val="single" w:sz="4" w:space="0" w:color="FFFFFF"/>
                    <w:left w:val="single" w:sz="4" w:space="0" w:color="FFFFFF"/>
                    <w:right w:val="nil"/>
                  </w:tcBorders>
                  <w:shd w:val="clear" w:color="auto" w:fill="DBE5F1" w:themeFill="accent1" w:themeFillTint="33"/>
                  <w:vAlign w:val="center"/>
                </w:tcPr>
                <w:p w14:paraId="160EFB17"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Electric</w:t>
                  </w:r>
                </w:p>
              </w:tc>
              <w:tc>
                <w:tcPr>
                  <w:tcW w:w="226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7C3695C" w14:textId="77777777" w:rsidR="00921721" w:rsidRPr="00D22938"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Average, all types</w:t>
                  </w:r>
                </w:p>
              </w:tc>
              <w:tc>
                <w:tcPr>
                  <w:tcW w:w="155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7EADDD9D" w14:textId="77777777" w:rsidR="00921721" w:rsidRPr="0026528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0.031</w:t>
                  </w:r>
                </w:p>
              </w:tc>
              <w:tc>
                <w:tcPr>
                  <w:tcW w:w="17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F1BBF27" w14:textId="77777777" w:rsidR="00921721" w:rsidRPr="000756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20</w:t>
                  </w:r>
                  <w:r>
                    <w:rPr>
                      <w:rFonts w:asciiTheme="minorHAnsi" w:hAnsiTheme="minorHAnsi" w:cs="Arial"/>
                      <w:color w:val="4F81BD" w:themeColor="accent1"/>
                      <w:sz w:val="18"/>
                      <w:szCs w:val="18"/>
                      <w:lang w:val="en-GB"/>
                    </w:rPr>
                    <w:t>.</w:t>
                  </w:r>
                  <w:r w:rsidRPr="001F3A35">
                    <w:rPr>
                      <w:rFonts w:asciiTheme="minorHAnsi" w:hAnsiTheme="minorHAnsi" w:cs="Arial"/>
                      <w:color w:val="4F81BD" w:themeColor="accent1"/>
                      <w:sz w:val="18"/>
                      <w:szCs w:val="18"/>
                      <w:lang w:val="en-GB"/>
                    </w:rPr>
                    <w:t>43</w:t>
                  </w:r>
                  <w:r>
                    <w:rPr>
                      <w:rFonts w:asciiTheme="minorHAnsi" w:hAnsiTheme="minorHAnsi" w:cs="Arial"/>
                      <w:color w:val="4F81BD" w:themeColor="accent1"/>
                      <w:sz w:val="18"/>
                      <w:szCs w:val="18"/>
                      <w:lang w:val="en-GB"/>
                    </w:rPr>
                    <w:t xml:space="preserve"> </w:t>
                  </w:r>
                </w:p>
              </w:tc>
            </w:tr>
            <w:tr w:rsidR="00921721" w:rsidRPr="006856C6" w14:paraId="7785B931" w14:textId="77777777" w:rsidTr="00880D09">
              <w:trPr>
                <w:trHeight w:val="194"/>
              </w:trPr>
              <w:tc>
                <w:tcPr>
                  <w:tcW w:w="1129" w:type="dxa"/>
                  <w:vMerge/>
                  <w:tcBorders>
                    <w:left w:val="single" w:sz="4" w:space="0" w:color="FFFFFF"/>
                    <w:right w:val="nil"/>
                  </w:tcBorders>
                  <w:shd w:val="clear" w:color="auto" w:fill="DBE5F1" w:themeFill="accent1" w:themeFillTint="33"/>
                  <w:vAlign w:val="center"/>
                </w:tcPr>
                <w:p w14:paraId="7337A6A4"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p>
              </w:tc>
              <w:tc>
                <w:tcPr>
                  <w:tcW w:w="226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900D053" w14:textId="77777777" w:rsidR="00921721" w:rsidRPr="00D22938"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Regional/ Suburban</w:t>
                  </w:r>
                </w:p>
              </w:tc>
              <w:tc>
                <w:tcPr>
                  <w:tcW w:w="155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6F44C59C" w14:textId="77777777" w:rsidR="00921721" w:rsidRPr="0026528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0.025</w:t>
                  </w:r>
                </w:p>
              </w:tc>
              <w:tc>
                <w:tcPr>
                  <w:tcW w:w="17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3C5DDA1F" w14:textId="77777777" w:rsidR="00921721" w:rsidRPr="000756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16</w:t>
                  </w:r>
                  <w:r>
                    <w:rPr>
                      <w:rFonts w:asciiTheme="minorHAnsi" w:hAnsiTheme="minorHAnsi" w:cs="Arial"/>
                      <w:color w:val="4F81BD" w:themeColor="accent1"/>
                      <w:sz w:val="18"/>
                      <w:szCs w:val="18"/>
                      <w:lang w:val="en-GB"/>
                    </w:rPr>
                    <w:t>.</w:t>
                  </w:r>
                  <w:r w:rsidRPr="001F3A35">
                    <w:rPr>
                      <w:rFonts w:asciiTheme="minorHAnsi" w:hAnsiTheme="minorHAnsi" w:cs="Arial"/>
                      <w:color w:val="4F81BD" w:themeColor="accent1"/>
                      <w:sz w:val="18"/>
                      <w:szCs w:val="18"/>
                      <w:lang w:val="en-GB"/>
                    </w:rPr>
                    <w:t>72</w:t>
                  </w:r>
                  <w:r>
                    <w:rPr>
                      <w:rFonts w:asciiTheme="minorHAnsi" w:hAnsiTheme="minorHAnsi" w:cs="Arial"/>
                      <w:color w:val="4F81BD" w:themeColor="accent1"/>
                      <w:sz w:val="18"/>
                      <w:szCs w:val="18"/>
                      <w:lang w:val="en-GB"/>
                    </w:rPr>
                    <w:t xml:space="preserve"> </w:t>
                  </w:r>
                </w:p>
              </w:tc>
            </w:tr>
            <w:tr w:rsidR="00921721" w:rsidRPr="006856C6" w14:paraId="3D98DC60" w14:textId="77777777" w:rsidTr="00880D09">
              <w:trPr>
                <w:trHeight w:val="194"/>
              </w:trPr>
              <w:tc>
                <w:tcPr>
                  <w:tcW w:w="1129" w:type="dxa"/>
                  <w:vMerge/>
                  <w:tcBorders>
                    <w:left w:val="single" w:sz="4" w:space="0" w:color="FFFFFF"/>
                    <w:right w:val="nil"/>
                  </w:tcBorders>
                  <w:shd w:val="clear" w:color="auto" w:fill="DBE5F1" w:themeFill="accent1" w:themeFillTint="33"/>
                  <w:vAlign w:val="center"/>
                </w:tcPr>
                <w:p w14:paraId="601E7626"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26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0BA778A2"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Intercity</w:t>
                  </w:r>
                </w:p>
              </w:tc>
              <w:tc>
                <w:tcPr>
                  <w:tcW w:w="155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32CB96C0" w14:textId="77777777" w:rsidR="00921721" w:rsidRPr="0026528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0.033</w:t>
                  </w:r>
                </w:p>
              </w:tc>
              <w:tc>
                <w:tcPr>
                  <w:tcW w:w="17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7630A8F" w14:textId="77777777" w:rsidR="00921721" w:rsidRPr="000756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22</w:t>
                  </w:r>
                  <w:r>
                    <w:rPr>
                      <w:rFonts w:asciiTheme="minorHAnsi" w:hAnsiTheme="minorHAnsi" w:cs="Arial"/>
                      <w:color w:val="4F81BD" w:themeColor="accent1"/>
                      <w:sz w:val="18"/>
                      <w:szCs w:val="18"/>
                      <w:lang w:val="en-GB"/>
                    </w:rPr>
                    <w:t>.</w:t>
                  </w:r>
                  <w:r w:rsidRPr="001F3A35">
                    <w:rPr>
                      <w:rFonts w:asciiTheme="minorHAnsi" w:hAnsiTheme="minorHAnsi" w:cs="Arial"/>
                      <w:color w:val="4F81BD" w:themeColor="accent1"/>
                      <w:sz w:val="18"/>
                      <w:szCs w:val="18"/>
                      <w:lang w:val="en-GB"/>
                    </w:rPr>
                    <w:t>29</w:t>
                  </w:r>
                  <w:r>
                    <w:rPr>
                      <w:rFonts w:asciiTheme="minorHAnsi" w:hAnsiTheme="minorHAnsi" w:cs="Arial"/>
                      <w:color w:val="4F81BD" w:themeColor="accent1"/>
                      <w:sz w:val="18"/>
                      <w:szCs w:val="18"/>
                      <w:lang w:val="en-GB"/>
                    </w:rPr>
                    <w:t xml:space="preserve"> </w:t>
                  </w:r>
                </w:p>
              </w:tc>
            </w:tr>
            <w:tr w:rsidR="00921721" w:rsidRPr="006856C6" w14:paraId="4167F4C3" w14:textId="77777777" w:rsidTr="00880D09">
              <w:trPr>
                <w:trHeight w:val="194"/>
              </w:trPr>
              <w:tc>
                <w:tcPr>
                  <w:tcW w:w="1129" w:type="dxa"/>
                  <w:vMerge/>
                  <w:tcBorders>
                    <w:left w:val="single" w:sz="4" w:space="0" w:color="FFFFFF"/>
                    <w:bottom w:val="single" w:sz="4" w:space="0" w:color="FFFFFF"/>
                    <w:right w:val="nil"/>
                  </w:tcBorders>
                  <w:shd w:val="clear" w:color="auto" w:fill="DBE5F1" w:themeFill="accent1" w:themeFillTint="33"/>
                  <w:vAlign w:val="center"/>
                </w:tcPr>
                <w:p w14:paraId="2C4B3335"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26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BF8340C"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Hihgspeed</w:t>
                  </w:r>
                </w:p>
              </w:tc>
              <w:tc>
                <w:tcPr>
                  <w:tcW w:w="155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bottom"/>
                </w:tcPr>
                <w:p w14:paraId="5BF18840" w14:textId="77777777" w:rsidR="00921721" w:rsidRPr="0026528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0.031</w:t>
                  </w:r>
                </w:p>
              </w:tc>
              <w:tc>
                <w:tcPr>
                  <w:tcW w:w="1751"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C04DB8F" w14:textId="77777777" w:rsidR="00921721" w:rsidRPr="000756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20</w:t>
                  </w:r>
                  <w:r>
                    <w:rPr>
                      <w:rFonts w:asciiTheme="minorHAnsi" w:hAnsiTheme="minorHAnsi" w:cs="Arial"/>
                      <w:color w:val="4F81BD" w:themeColor="accent1"/>
                      <w:sz w:val="18"/>
                      <w:szCs w:val="18"/>
                      <w:lang w:val="en-GB"/>
                    </w:rPr>
                    <w:t>.</w:t>
                  </w:r>
                  <w:r w:rsidRPr="001F3A35">
                    <w:rPr>
                      <w:rFonts w:asciiTheme="minorHAnsi" w:hAnsiTheme="minorHAnsi" w:cs="Arial"/>
                      <w:color w:val="4F81BD" w:themeColor="accent1"/>
                      <w:sz w:val="18"/>
                      <w:szCs w:val="18"/>
                      <w:lang w:val="en-GB"/>
                    </w:rPr>
                    <w:t>43</w:t>
                  </w:r>
                  <w:r>
                    <w:rPr>
                      <w:rFonts w:asciiTheme="minorHAnsi" w:hAnsiTheme="minorHAnsi" w:cs="Arial"/>
                      <w:color w:val="4F81BD" w:themeColor="accent1"/>
                      <w:sz w:val="18"/>
                      <w:szCs w:val="18"/>
                      <w:lang w:val="en-GB"/>
                    </w:rPr>
                    <w:t xml:space="preserve"> </w:t>
                  </w:r>
                </w:p>
              </w:tc>
            </w:tr>
            <w:tr w:rsidR="00921721" w:rsidRPr="003E7EB2" w14:paraId="134EB097" w14:textId="77777777" w:rsidTr="00880D09">
              <w:trPr>
                <w:trHeight w:val="194"/>
              </w:trPr>
              <w:tc>
                <w:tcPr>
                  <w:tcW w:w="1129" w:type="dxa"/>
                  <w:vMerge w:val="restart"/>
                  <w:tcBorders>
                    <w:top w:val="single" w:sz="4" w:space="0" w:color="FFFFFF"/>
                    <w:left w:val="single" w:sz="4" w:space="0" w:color="FFFFFF"/>
                    <w:right w:val="nil"/>
                  </w:tcBorders>
                  <w:shd w:val="clear" w:color="auto" w:fill="DBE5F1" w:themeFill="accent1" w:themeFillTint="33"/>
                  <w:vAlign w:val="center"/>
                </w:tcPr>
                <w:p w14:paraId="4C25A153"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Diesel</w:t>
                  </w:r>
                </w:p>
              </w:tc>
              <w:tc>
                <w:tcPr>
                  <w:tcW w:w="226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5AAAC7BD"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Average, all types</w:t>
                  </w:r>
                </w:p>
              </w:tc>
              <w:tc>
                <w:tcPr>
                  <w:tcW w:w="155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64BD8EA6" w14:textId="77777777" w:rsidR="00921721" w:rsidRPr="0026528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0.072</w:t>
                  </w:r>
                </w:p>
              </w:tc>
              <w:tc>
                <w:tcPr>
                  <w:tcW w:w="1751" w:type="dxa"/>
                  <w:tcBorders>
                    <w:top w:val="single" w:sz="4" w:space="0" w:color="FFFFFF"/>
                    <w:left w:val="single" w:sz="4" w:space="0" w:color="FFFFFF"/>
                    <w:bottom w:val="single" w:sz="4" w:space="0" w:color="FFFFFF"/>
                    <w:right w:val="nil"/>
                  </w:tcBorders>
                  <w:shd w:val="clear" w:color="auto" w:fill="DBE5F1" w:themeFill="accent1" w:themeFillTint="33"/>
                </w:tcPr>
                <w:p w14:paraId="57167336" w14:textId="77777777" w:rsidR="00921721" w:rsidRPr="000756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70</w:t>
                  </w:r>
                  <w:r>
                    <w:rPr>
                      <w:rFonts w:asciiTheme="minorHAnsi" w:hAnsiTheme="minorHAnsi" w:cs="Arial"/>
                      <w:color w:val="4F81BD" w:themeColor="accent1"/>
                      <w:sz w:val="18"/>
                      <w:szCs w:val="18"/>
                      <w:lang w:val="en-GB"/>
                    </w:rPr>
                    <w:t>.</w:t>
                  </w:r>
                  <w:r w:rsidRPr="001F3A35">
                    <w:rPr>
                      <w:rFonts w:asciiTheme="minorHAnsi" w:hAnsiTheme="minorHAnsi" w:cs="Arial"/>
                      <w:color w:val="4F81BD" w:themeColor="accent1"/>
                      <w:sz w:val="18"/>
                      <w:szCs w:val="18"/>
                      <w:lang w:val="en-GB"/>
                    </w:rPr>
                    <w:t>43</w:t>
                  </w:r>
                  <w:r>
                    <w:rPr>
                      <w:rFonts w:asciiTheme="minorHAnsi" w:hAnsiTheme="minorHAnsi" w:cs="Arial"/>
                      <w:color w:val="4F81BD" w:themeColor="accent1"/>
                      <w:sz w:val="18"/>
                      <w:szCs w:val="18"/>
                      <w:lang w:val="en-GB"/>
                    </w:rPr>
                    <w:t xml:space="preserve"> </w:t>
                  </w:r>
                </w:p>
              </w:tc>
            </w:tr>
            <w:tr w:rsidR="00921721" w:rsidRPr="003E7EB2" w14:paraId="6F473424" w14:textId="77777777" w:rsidTr="00880D09">
              <w:trPr>
                <w:trHeight w:val="194"/>
              </w:trPr>
              <w:tc>
                <w:tcPr>
                  <w:tcW w:w="1129" w:type="dxa"/>
                  <w:vMerge/>
                  <w:tcBorders>
                    <w:left w:val="single" w:sz="4" w:space="0" w:color="FFFFFF"/>
                    <w:right w:val="nil"/>
                  </w:tcBorders>
                  <w:shd w:val="clear" w:color="auto" w:fill="DBE5F1" w:themeFill="accent1" w:themeFillTint="33"/>
                  <w:vAlign w:val="center"/>
                </w:tcPr>
                <w:p w14:paraId="4CD95FC1"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26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4A3B5338" w14:textId="77777777" w:rsidR="00921721" w:rsidRPr="00265281"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Regional/ Suburban</w:t>
                  </w:r>
                </w:p>
              </w:tc>
              <w:tc>
                <w:tcPr>
                  <w:tcW w:w="155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60F45898" w14:textId="77777777" w:rsidR="00921721" w:rsidRPr="0026528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0.061</w:t>
                  </w:r>
                </w:p>
              </w:tc>
              <w:tc>
                <w:tcPr>
                  <w:tcW w:w="1751" w:type="dxa"/>
                  <w:tcBorders>
                    <w:top w:val="single" w:sz="4" w:space="0" w:color="FFFFFF"/>
                    <w:left w:val="single" w:sz="4" w:space="0" w:color="FFFFFF"/>
                    <w:bottom w:val="single" w:sz="4" w:space="0" w:color="FFFFFF"/>
                    <w:right w:val="nil"/>
                  </w:tcBorders>
                  <w:shd w:val="clear" w:color="auto" w:fill="DBE5F1" w:themeFill="accent1" w:themeFillTint="33"/>
                </w:tcPr>
                <w:p w14:paraId="18F7A37A" w14:textId="77777777" w:rsidR="00921721" w:rsidRPr="000756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59</w:t>
                  </w:r>
                  <w:r>
                    <w:rPr>
                      <w:rFonts w:asciiTheme="minorHAnsi" w:hAnsiTheme="minorHAnsi" w:cs="Arial"/>
                      <w:color w:val="4F81BD" w:themeColor="accent1"/>
                      <w:sz w:val="18"/>
                      <w:szCs w:val="18"/>
                      <w:lang w:val="en-GB"/>
                    </w:rPr>
                    <w:t>.</w:t>
                  </w:r>
                  <w:r w:rsidRPr="001F3A35">
                    <w:rPr>
                      <w:rFonts w:asciiTheme="minorHAnsi" w:hAnsiTheme="minorHAnsi" w:cs="Arial"/>
                      <w:color w:val="4F81BD" w:themeColor="accent1"/>
                      <w:sz w:val="18"/>
                      <w:szCs w:val="18"/>
                      <w:lang w:val="en-GB"/>
                    </w:rPr>
                    <w:t>34</w:t>
                  </w:r>
                  <w:r>
                    <w:rPr>
                      <w:rFonts w:asciiTheme="minorHAnsi" w:hAnsiTheme="minorHAnsi" w:cs="Arial"/>
                      <w:color w:val="4F81BD" w:themeColor="accent1"/>
                      <w:sz w:val="18"/>
                      <w:szCs w:val="18"/>
                      <w:lang w:val="en-GB"/>
                    </w:rPr>
                    <w:t xml:space="preserve"> </w:t>
                  </w:r>
                </w:p>
              </w:tc>
            </w:tr>
            <w:tr w:rsidR="00921721" w:rsidRPr="003E7EB2" w14:paraId="156C802F" w14:textId="77777777" w:rsidTr="00880D09">
              <w:trPr>
                <w:trHeight w:val="194"/>
              </w:trPr>
              <w:tc>
                <w:tcPr>
                  <w:tcW w:w="1129" w:type="dxa"/>
                  <w:vMerge/>
                  <w:tcBorders>
                    <w:left w:val="single" w:sz="4" w:space="0" w:color="FFFFFF"/>
                    <w:right w:val="nil"/>
                  </w:tcBorders>
                  <w:shd w:val="clear" w:color="auto" w:fill="DBE5F1" w:themeFill="accent1" w:themeFillTint="33"/>
                  <w:vAlign w:val="center"/>
                </w:tcPr>
                <w:p w14:paraId="19A84B75"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268" w:type="dxa"/>
                  <w:tcBorders>
                    <w:top w:val="single" w:sz="4" w:space="0" w:color="FFFFFF"/>
                    <w:left w:val="single" w:sz="4" w:space="0" w:color="FFFFFF"/>
                    <w:bottom w:val="single" w:sz="4" w:space="0" w:color="FFFFFF"/>
                    <w:right w:val="nil"/>
                  </w:tcBorders>
                  <w:shd w:val="clear" w:color="auto" w:fill="DBE5F1" w:themeFill="accent1" w:themeFillTint="33"/>
                  <w:vAlign w:val="bottom"/>
                </w:tcPr>
                <w:p w14:paraId="68637D13" w14:textId="77777777" w:rsidR="00921721" w:rsidRPr="00B72029" w:rsidRDefault="00921721" w:rsidP="00880D09">
                  <w:pPr>
                    <w:jc w:val="center"/>
                    <w:rPr>
                      <w:rFonts w:asciiTheme="minorHAnsi" w:hAnsiTheme="minorHAnsi" w:cs="Arial"/>
                      <w:color w:val="4F81BD" w:themeColor="accent1"/>
                      <w:sz w:val="18"/>
                      <w:szCs w:val="18"/>
                      <w:highlight w:val="yellow"/>
                      <w:lang w:val="en-GB"/>
                    </w:rPr>
                  </w:pPr>
                  <w:r w:rsidRPr="007D0A7F">
                    <w:rPr>
                      <w:rFonts w:asciiTheme="minorHAnsi" w:hAnsiTheme="minorHAnsi" w:cs="Arial"/>
                      <w:color w:val="4F81BD" w:themeColor="accent1"/>
                      <w:sz w:val="18"/>
                      <w:szCs w:val="18"/>
                      <w:lang w:val="en-GB"/>
                    </w:rPr>
                    <w:t>Intercity</w:t>
                  </w:r>
                </w:p>
              </w:tc>
              <w:tc>
                <w:tcPr>
                  <w:tcW w:w="155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tcPr>
                <w:p w14:paraId="4BC23D3C" w14:textId="77777777" w:rsidR="00921721" w:rsidRPr="00374624"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0.086</w:t>
                  </w:r>
                </w:p>
              </w:tc>
              <w:tc>
                <w:tcPr>
                  <w:tcW w:w="1751" w:type="dxa"/>
                  <w:tcBorders>
                    <w:top w:val="single" w:sz="4" w:space="0" w:color="FFFFFF"/>
                    <w:left w:val="single" w:sz="4" w:space="0" w:color="FFFFFF"/>
                    <w:bottom w:val="single" w:sz="4" w:space="0" w:color="FFFFFF"/>
                    <w:right w:val="nil"/>
                  </w:tcBorders>
                  <w:shd w:val="clear" w:color="auto" w:fill="DBE5F1" w:themeFill="accent1" w:themeFillTint="33"/>
                </w:tcPr>
                <w:p w14:paraId="75B3FFE2" w14:textId="77777777" w:rsidR="00921721" w:rsidRPr="000756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83</w:t>
                  </w:r>
                  <w:r>
                    <w:rPr>
                      <w:rFonts w:asciiTheme="minorHAnsi" w:hAnsiTheme="minorHAnsi" w:cs="Arial"/>
                      <w:color w:val="4F81BD" w:themeColor="accent1"/>
                      <w:sz w:val="18"/>
                      <w:szCs w:val="18"/>
                      <w:lang w:val="en-GB"/>
                    </w:rPr>
                    <w:t>.</w:t>
                  </w:r>
                  <w:r w:rsidRPr="001F3A35">
                    <w:rPr>
                      <w:rFonts w:asciiTheme="minorHAnsi" w:hAnsiTheme="minorHAnsi" w:cs="Arial"/>
                      <w:color w:val="4F81BD" w:themeColor="accent1"/>
                      <w:sz w:val="18"/>
                      <w:szCs w:val="18"/>
                      <w:lang w:val="en-GB"/>
                    </w:rPr>
                    <w:t>61</w:t>
                  </w:r>
                  <w:r>
                    <w:rPr>
                      <w:rFonts w:asciiTheme="minorHAnsi" w:hAnsiTheme="minorHAnsi" w:cs="Arial"/>
                      <w:color w:val="4F81BD" w:themeColor="accent1"/>
                      <w:sz w:val="18"/>
                      <w:szCs w:val="18"/>
                      <w:lang w:val="en-GB"/>
                    </w:rPr>
                    <w:t xml:space="preserve"> </w:t>
                  </w:r>
                </w:p>
              </w:tc>
            </w:tr>
          </w:tbl>
          <w:p w14:paraId="7E7E40F2" w14:textId="77777777" w:rsidR="00921721" w:rsidRDefault="00921721" w:rsidP="00880D09">
            <w:pPr>
              <w:pStyle w:val="anxnormal"/>
              <w:spacing w:after="120"/>
              <w:ind w:left="0"/>
              <w:rPr>
                <w:rFonts w:asciiTheme="minorHAnsi" w:hAnsiTheme="minorHAnsi"/>
                <w:lang w:val="en-US" w:eastAsia="en-US"/>
              </w:rPr>
            </w:pPr>
          </w:p>
          <w:tbl>
            <w:tblPr>
              <w:tblW w:w="6729" w:type="dxa"/>
              <w:tblLayout w:type="fixed"/>
              <w:tblLook w:val="04A0" w:firstRow="1" w:lastRow="0" w:firstColumn="1" w:lastColumn="0" w:noHBand="0" w:noVBand="1"/>
            </w:tblPr>
            <w:tblGrid>
              <w:gridCol w:w="1280"/>
              <w:gridCol w:w="2141"/>
              <w:gridCol w:w="1535"/>
              <w:gridCol w:w="1773"/>
            </w:tblGrid>
            <w:tr w:rsidR="00921721" w:rsidRPr="007463B9" w14:paraId="64147EB2" w14:textId="77777777" w:rsidTr="00880D09">
              <w:trPr>
                <w:trHeight w:hRule="exact" w:val="794"/>
              </w:trPr>
              <w:tc>
                <w:tcPr>
                  <w:tcW w:w="128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C8E74C1"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Freight</w:t>
                  </w:r>
                </w:p>
              </w:tc>
              <w:tc>
                <w:tcPr>
                  <w:tcW w:w="2141"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021FF3C"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p>
              </w:tc>
              <w:tc>
                <w:tcPr>
                  <w:tcW w:w="1535"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03496297"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Energy consumption (kWh/ train</w:t>
                  </w:r>
                  <w:r w:rsidRPr="006856C6">
                    <w:rPr>
                      <w:rFonts w:asciiTheme="minorHAnsi" w:hAnsiTheme="minorHAnsi" w:cs="Arial"/>
                      <w:b/>
                      <w:bCs/>
                      <w:color w:val="FFFFFF"/>
                      <w:sz w:val="18"/>
                      <w:szCs w:val="18"/>
                      <w:lang w:val="en-GB"/>
                    </w:rPr>
                    <w:t>-km)</w:t>
                  </w:r>
                </w:p>
              </w:tc>
              <w:tc>
                <w:tcPr>
                  <w:tcW w:w="177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157DA67" w14:textId="77777777" w:rsidR="00921721" w:rsidRPr="00075638" w:rsidRDefault="00921721" w:rsidP="00880D09">
                  <w:pPr>
                    <w:snapToGrid w:val="0"/>
                    <w:spacing w:before="20" w:after="20"/>
                    <w:jc w:val="center"/>
                    <w:rPr>
                      <w:rFonts w:asciiTheme="minorHAnsi" w:hAnsiTheme="minorHAnsi" w:cs="Arial"/>
                      <w:b/>
                      <w:bCs/>
                      <w:color w:val="FFFFFF"/>
                      <w:sz w:val="18"/>
                      <w:szCs w:val="18"/>
                      <w:lang w:val="en-GB"/>
                    </w:rPr>
                  </w:pPr>
                  <w:r w:rsidRPr="00075638">
                    <w:rPr>
                      <w:rFonts w:asciiTheme="minorHAnsi" w:hAnsiTheme="minorHAnsi" w:cs="Arial"/>
                      <w:b/>
                      <w:bCs/>
                      <w:color w:val="FFFFFF"/>
                      <w:sz w:val="18"/>
                      <w:szCs w:val="18"/>
                      <w:lang w:val="en-GB"/>
                    </w:rPr>
                    <w:t xml:space="preserve">GHG emissions factor </w:t>
                  </w:r>
                  <w:r>
                    <w:rPr>
                      <w:rFonts w:asciiTheme="minorHAnsi" w:hAnsiTheme="minorHAnsi" w:cs="Arial"/>
                      <w:b/>
                      <w:bCs/>
                      <w:color w:val="FFFFFF"/>
                      <w:sz w:val="18"/>
                      <w:szCs w:val="18"/>
                      <w:lang w:val="en-GB"/>
                    </w:rPr>
                    <w:t>2021</w:t>
                  </w:r>
                  <w:r w:rsidRPr="00075638">
                    <w:rPr>
                      <w:rFonts w:asciiTheme="minorHAnsi" w:hAnsiTheme="minorHAnsi" w:cs="Arial"/>
                      <w:b/>
                      <w:bCs/>
                      <w:color w:val="FFFFFF"/>
                      <w:sz w:val="18"/>
                      <w:szCs w:val="18"/>
                      <w:lang w:val="en-US"/>
                    </w:rPr>
                    <w:t>(*)</w:t>
                  </w:r>
                </w:p>
                <w:p w14:paraId="126266F5" w14:textId="77777777" w:rsidR="00921721" w:rsidRPr="003E43DF" w:rsidRDefault="00921721" w:rsidP="00880D09">
                  <w:pPr>
                    <w:snapToGrid w:val="0"/>
                    <w:spacing w:before="20" w:after="20"/>
                    <w:jc w:val="center"/>
                    <w:rPr>
                      <w:rFonts w:asciiTheme="minorHAnsi" w:hAnsiTheme="minorHAnsi" w:cs="Arial"/>
                      <w:b/>
                      <w:bCs/>
                      <w:color w:val="FFFFFF"/>
                      <w:sz w:val="18"/>
                      <w:szCs w:val="18"/>
                      <w:lang w:val="en-US"/>
                    </w:rPr>
                  </w:pPr>
                  <w:r w:rsidRPr="003E43DF">
                    <w:rPr>
                      <w:rFonts w:asciiTheme="minorHAnsi" w:hAnsiTheme="minorHAnsi" w:cs="Arial"/>
                      <w:b/>
                      <w:bCs/>
                      <w:color w:val="FFFFFF"/>
                      <w:sz w:val="18"/>
                      <w:szCs w:val="18"/>
                      <w:lang w:val="en-US"/>
                    </w:rPr>
                    <w:t>[g CO</w:t>
                  </w:r>
                  <w:r w:rsidRPr="003E43DF">
                    <w:rPr>
                      <w:rFonts w:asciiTheme="minorHAnsi" w:hAnsiTheme="minorHAnsi" w:cs="Arial"/>
                      <w:b/>
                      <w:bCs/>
                      <w:color w:val="FFFFFF"/>
                      <w:sz w:val="18"/>
                      <w:szCs w:val="18"/>
                      <w:vertAlign w:val="subscript"/>
                      <w:lang w:val="en-US"/>
                    </w:rPr>
                    <w:t>2</w:t>
                  </w:r>
                  <w:r w:rsidRPr="003E43DF">
                    <w:rPr>
                      <w:rFonts w:asciiTheme="minorHAnsi" w:hAnsiTheme="minorHAnsi" w:cs="Arial"/>
                      <w:b/>
                      <w:bCs/>
                      <w:color w:val="FFFFFF"/>
                      <w:sz w:val="18"/>
                      <w:szCs w:val="18"/>
                      <w:lang w:val="en-US"/>
                    </w:rPr>
                    <w:t>e/ train-km]</w:t>
                  </w:r>
                </w:p>
              </w:tc>
            </w:tr>
            <w:tr w:rsidR="00921721" w:rsidRPr="00D0310E" w14:paraId="2644C04C" w14:textId="77777777" w:rsidTr="00880D09">
              <w:trPr>
                <w:trHeight w:val="382"/>
              </w:trPr>
              <w:tc>
                <w:tcPr>
                  <w:tcW w:w="1280" w:type="dxa"/>
                  <w:vMerge w:val="restart"/>
                  <w:tcBorders>
                    <w:top w:val="single" w:sz="4" w:space="0" w:color="FFFFFF"/>
                    <w:left w:val="single" w:sz="4" w:space="0" w:color="FFFFFF"/>
                    <w:right w:val="nil"/>
                  </w:tcBorders>
                  <w:shd w:val="clear" w:color="auto" w:fill="DBE5F1" w:themeFill="accent1" w:themeFillTint="33"/>
                  <w:vAlign w:val="center"/>
                </w:tcPr>
                <w:p w14:paraId="014D6DA0"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Electric</w:t>
                  </w:r>
                </w:p>
              </w:tc>
              <w:tc>
                <w:tcPr>
                  <w:tcW w:w="214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2734960" w14:textId="77777777" w:rsidR="00921721" w:rsidRPr="00493091" w:rsidRDefault="00921721" w:rsidP="00880D09">
                  <w:pPr>
                    <w:jc w:val="center"/>
                    <w:rPr>
                      <w:rFonts w:asciiTheme="minorHAnsi" w:hAnsiTheme="minorHAnsi" w:cs="Arial"/>
                      <w:color w:val="4F81BD" w:themeColor="accent1"/>
                      <w:sz w:val="18"/>
                      <w:szCs w:val="18"/>
                      <w:lang w:val="en-US"/>
                    </w:rPr>
                  </w:pPr>
                  <w:r w:rsidRPr="00493091">
                    <w:rPr>
                      <w:rFonts w:asciiTheme="minorHAnsi" w:hAnsiTheme="minorHAnsi" w:cs="Arial"/>
                      <w:color w:val="4F81BD" w:themeColor="accent1"/>
                      <w:sz w:val="18"/>
                      <w:szCs w:val="18"/>
                      <w:lang w:val="en-US"/>
                    </w:rPr>
                    <w:t>Average, all types (1000t - 21W)</w:t>
                  </w:r>
                </w:p>
              </w:tc>
              <w:tc>
                <w:tcPr>
                  <w:tcW w:w="153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6BD2AED5" w14:textId="77777777" w:rsidR="00921721" w:rsidRPr="0010476A"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16.611</w:t>
                  </w:r>
                </w:p>
              </w:tc>
              <w:tc>
                <w:tcPr>
                  <w:tcW w:w="17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C8A073F" w14:textId="77777777" w:rsidR="00921721" w:rsidRPr="000756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11</w:t>
                  </w:r>
                  <w:r>
                    <w:rPr>
                      <w:rFonts w:asciiTheme="minorHAnsi" w:hAnsiTheme="minorHAnsi" w:cs="Arial"/>
                      <w:color w:val="4F81BD" w:themeColor="accent1"/>
                      <w:sz w:val="18"/>
                      <w:szCs w:val="18"/>
                      <w:lang w:val="en-GB"/>
                    </w:rPr>
                    <w:t>,</w:t>
                  </w:r>
                  <w:r w:rsidRPr="001F3A35">
                    <w:rPr>
                      <w:rFonts w:asciiTheme="minorHAnsi" w:hAnsiTheme="minorHAnsi" w:cs="Arial"/>
                      <w:color w:val="4F81BD" w:themeColor="accent1"/>
                      <w:sz w:val="18"/>
                      <w:szCs w:val="18"/>
                      <w:lang w:val="en-GB"/>
                    </w:rPr>
                    <w:t>107</w:t>
                  </w:r>
                  <w:r>
                    <w:rPr>
                      <w:rFonts w:asciiTheme="minorHAnsi" w:hAnsiTheme="minorHAnsi" w:cs="Arial"/>
                      <w:color w:val="4F81BD" w:themeColor="accent1"/>
                      <w:sz w:val="18"/>
                      <w:szCs w:val="18"/>
                      <w:lang w:val="en-GB"/>
                    </w:rPr>
                    <w:t>.</w:t>
                  </w:r>
                  <w:r w:rsidRPr="001F3A35">
                    <w:rPr>
                      <w:rFonts w:asciiTheme="minorHAnsi" w:hAnsiTheme="minorHAnsi" w:cs="Arial"/>
                      <w:color w:val="4F81BD" w:themeColor="accent1"/>
                      <w:sz w:val="18"/>
                      <w:szCs w:val="18"/>
                      <w:lang w:val="en-GB"/>
                    </w:rPr>
                    <w:t xml:space="preserve">53 </w:t>
                  </w:r>
                </w:p>
              </w:tc>
            </w:tr>
            <w:tr w:rsidR="00921721" w:rsidRPr="00D0310E" w14:paraId="7437AAF4" w14:textId="77777777" w:rsidTr="00880D09">
              <w:trPr>
                <w:trHeight w:val="382"/>
              </w:trPr>
              <w:tc>
                <w:tcPr>
                  <w:tcW w:w="1280" w:type="dxa"/>
                  <w:vMerge/>
                  <w:tcBorders>
                    <w:left w:val="single" w:sz="4" w:space="0" w:color="FFFFFF"/>
                    <w:right w:val="nil"/>
                  </w:tcBorders>
                  <w:shd w:val="clear" w:color="auto" w:fill="DBE5F1" w:themeFill="accent1" w:themeFillTint="33"/>
                  <w:vAlign w:val="center"/>
                </w:tcPr>
                <w:p w14:paraId="3691F73B" w14:textId="77777777" w:rsidR="00921721" w:rsidRPr="002C6855" w:rsidRDefault="00921721" w:rsidP="00880D09">
                  <w:pPr>
                    <w:spacing w:before="20"/>
                    <w:jc w:val="center"/>
                    <w:rPr>
                      <w:rFonts w:asciiTheme="minorHAnsi" w:hAnsiTheme="minorHAnsi" w:cs="Arial"/>
                      <w:color w:val="4F81BD" w:themeColor="accent1"/>
                      <w:sz w:val="18"/>
                      <w:szCs w:val="18"/>
                      <w:lang w:val="fr-BE"/>
                    </w:rPr>
                  </w:pPr>
                </w:p>
              </w:tc>
              <w:tc>
                <w:tcPr>
                  <w:tcW w:w="214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8C66130" w14:textId="77777777" w:rsidR="00921721" w:rsidRPr="002C6855" w:rsidRDefault="00921721" w:rsidP="00880D09">
                  <w:pPr>
                    <w:jc w:val="center"/>
                    <w:rPr>
                      <w:rFonts w:asciiTheme="minorHAnsi" w:hAnsiTheme="minorHAnsi" w:cs="Arial"/>
                      <w:color w:val="4F81BD" w:themeColor="accent1"/>
                      <w:sz w:val="18"/>
                      <w:szCs w:val="18"/>
                      <w:lang w:val="fr-BE"/>
                    </w:rPr>
                  </w:pPr>
                  <w:r w:rsidRPr="002C6855">
                    <w:rPr>
                      <w:rFonts w:asciiTheme="minorHAnsi" w:hAnsiTheme="minorHAnsi" w:cs="Arial"/>
                      <w:color w:val="4F81BD" w:themeColor="accent1"/>
                      <w:sz w:val="18"/>
                      <w:szCs w:val="18"/>
                      <w:lang w:val="fr-BE"/>
                    </w:rPr>
                    <w:t>Bulk (1000t - 18W)</w:t>
                  </w:r>
                </w:p>
              </w:tc>
              <w:tc>
                <w:tcPr>
                  <w:tcW w:w="153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0D8B1E3F" w14:textId="77777777" w:rsidR="00921721" w:rsidRPr="0010476A"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16.611</w:t>
                  </w:r>
                </w:p>
              </w:tc>
              <w:tc>
                <w:tcPr>
                  <w:tcW w:w="17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D140605" w14:textId="77777777" w:rsidR="00921721" w:rsidRPr="00075638" w:rsidRDefault="00921721" w:rsidP="00880D09">
                  <w:pPr>
                    <w:jc w:val="center"/>
                    <w:rPr>
                      <w:rFonts w:asciiTheme="minorHAnsi" w:hAnsiTheme="minorHAnsi" w:cs="Arial"/>
                      <w:color w:val="4F81BD" w:themeColor="accent1"/>
                      <w:sz w:val="18"/>
                      <w:szCs w:val="18"/>
                      <w:lang w:val="en-GB"/>
                    </w:rPr>
                  </w:pPr>
                  <w:r w:rsidRPr="001F3A35">
                    <w:rPr>
                      <w:rFonts w:asciiTheme="minorHAnsi" w:hAnsiTheme="minorHAnsi" w:cs="Arial"/>
                      <w:color w:val="4F81BD" w:themeColor="accent1"/>
                      <w:sz w:val="18"/>
                      <w:szCs w:val="18"/>
                      <w:lang w:val="en-GB"/>
                    </w:rPr>
                    <w:t>11</w:t>
                  </w:r>
                  <w:r>
                    <w:rPr>
                      <w:rFonts w:asciiTheme="minorHAnsi" w:hAnsiTheme="minorHAnsi" w:cs="Arial"/>
                      <w:color w:val="4F81BD" w:themeColor="accent1"/>
                      <w:sz w:val="18"/>
                      <w:szCs w:val="18"/>
                      <w:lang w:val="en-GB"/>
                    </w:rPr>
                    <w:t>,107.</w:t>
                  </w:r>
                  <w:r w:rsidRPr="001F3A35">
                    <w:rPr>
                      <w:rFonts w:asciiTheme="minorHAnsi" w:hAnsiTheme="minorHAnsi" w:cs="Arial"/>
                      <w:color w:val="4F81BD" w:themeColor="accent1"/>
                      <w:sz w:val="18"/>
                      <w:szCs w:val="18"/>
                      <w:lang w:val="en-GB"/>
                    </w:rPr>
                    <w:t xml:space="preserve">53 </w:t>
                  </w:r>
                </w:p>
              </w:tc>
            </w:tr>
            <w:tr w:rsidR="00921721" w:rsidRPr="006856C6" w14:paraId="7A1D6292" w14:textId="77777777" w:rsidTr="00880D09">
              <w:trPr>
                <w:trHeight w:val="382"/>
              </w:trPr>
              <w:tc>
                <w:tcPr>
                  <w:tcW w:w="1280" w:type="dxa"/>
                  <w:vMerge/>
                  <w:tcBorders>
                    <w:left w:val="single" w:sz="4" w:space="0" w:color="FFFFFF"/>
                    <w:right w:val="nil"/>
                  </w:tcBorders>
                  <w:shd w:val="clear" w:color="auto" w:fill="DBE5F1" w:themeFill="accent1" w:themeFillTint="33"/>
                  <w:vAlign w:val="center"/>
                </w:tcPr>
                <w:p w14:paraId="16A65B3D" w14:textId="77777777" w:rsidR="00921721" w:rsidRPr="002C6855" w:rsidRDefault="00921721" w:rsidP="00880D09">
                  <w:pPr>
                    <w:spacing w:before="20"/>
                    <w:jc w:val="center"/>
                    <w:rPr>
                      <w:rFonts w:asciiTheme="minorHAnsi" w:hAnsiTheme="minorHAnsi" w:cs="Arial"/>
                      <w:color w:val="4F81BD" w:themeColor="accent1"/>
                      <w:sz w:val="18"/>
                      <w:szCs w:val="18"/>
                      <w:lang w:val="fr-BE"/>
                    </w:rPr>
                  </w:pPr>
                </w:p>
              </w:tc>
              <w:tc>
                <w:tcPr>
                  <w:tcW w:w="214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706EBBC" w14:textId="77777777" w:rsidR="00921721" w:rsidRPr="002C6855" w:rsidRDefault="00921721" w:rsidP="00880D09">
                  <w:pPr>
                    <w:jc w:val="center"/>
                    <w:rPr>
                      <w:rFonts w:asciiTheme="minorHAnsi" w:hAnsiTheme="minorHAnsi" w:cs="Arial"/>
                      <w:color w:val="4F81BD" w:themeColor="accent1"/>
                      <w:sz w:val="18"/>
                      <w:szCs w:val="18"/>
                      <w:lang w:val="fr-BE"/>
                    </w:rPr>
                  </w:pPr>
                  <w:r w:rsidRPr="002C6855">
                    <w:rPr>
                      <w:rFonts w:asciiTheme="minorHAnsi" w:hAnsiTheme="minorHAnsi" w:cs="Arial"/>
                      <w:color w:val="4F81BD" w:themeColor="accent1"/>
                      <w:sz w:val="18"/>
                      <w:szCs w:val="18"/>
                      <w:lang w:val="fr-BE"/>
                    </w:rPr>
                    <w:t>Volume (1000t - 26W)</w:t>
                  </w:r>
                </w:p>
              </w:tc>
              <w:tc>
                <w:tcPr>
                  <w:tcW w:w="153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2F8E4418" w14:textId="77777777" w:rsidR="00921721" w:rsidRPr="0026528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16.611</w:t>
                  </w:r>
                </w:p>
              </w:tc>
              <w:tc>
                <w:tcPr>
                  <w:tcW w:w="17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FD71A6A" w14:textId="77777777" w:rsidR="00921721" w:rsidRPr="00075638"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11,107.</w:t>
                  </w:r>
                  <w:r w:rsidRPr="001F3A35">
                    <w:rPr>
                      <w:rFonts w:asciiTheme="minorHAnsi" w:hAnsiTheme="minorHAnsi" w:cs="Arial"/>
                      <w:color w:val="4F81BD" w:themeColor="accent1"/>
                      <w:sz w:val="18"/>
                      <w:szCs w:val="18"/>
                      <w:lang w:val="en-GB"/>
                    </w:rPr>
                    <w:t xml:space="preserve">53 </w:t>
                  </w:r>
                </w:p>
              </w:tc>
            </w:tr>
            <w:tr w:rsidR="00921721" w:rsidRPr="006856C6" w14:paraId="139FB365" w14:textId="77777777" w:rsidTr="00880D09">
              <w:trPr>
                <w:trHeight w:val="382"/>
              </w:trPr>
              <w:tc>
                <w:tcPr>
                  <w:tcW w:w="1280" w:type="dxa"/>
                  <w:vMerge/>
                  <w:tcBorders>
                    <w:left w:val="single" w:sz="4" w:space="0" w:color="FFFFFF"/>
                    <w:bottom w:val="single" w:sz="4" w:space="0" w:color="FFFFFF"/>
                    <w:right w:val="nil"/>
                  </w:tcBorders>
                  <w:shd w:val="clear" w:color="auto" w:fill="DBE5F1" w:themeFill="accent1" w:themeFillTint="33"/>
                  <w:vAlign w:val="center"/>
                </w:tcPr>
                <w:p w14:paraId="545B63DD"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p>
              </w:tc>
              <w:tc>
                <w:tcPr>
                  <w:tcW w:w="214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112F39F" w14:textId="77777777" w:rsidR="00921721" w:rsidRPr="002C6855" w:rsidRDefault="00921721" w:rsidP="00880D09">
                  <w:pPr>
                    <w:jc w:val="center"/>
                    <w:rPr>
                      <w:rFonts w:asciiTheme="minorHAnsi" w:hAnsiTheme="minorHAnsi" w:cs="Arial"/>
                      <w:color w:val="4F81BD" w:themeColor="accent1"/>
                      <w:sz w:val="18"/>
                      <w:szCs w:val="18"/>
                      <w:lang w:val="fr-BE"/>
                    </w:rPr>
                  </w:pPr>
                  <w:r w:rsidRPr="002C6855">
                    <w:rPr>
                      <w:rFonts w:asciiTheme="minorHAnsi" w:hAnsiTheme="minorHAnsi" w:cs="Arial"/>
                      <w:color w:val="4F81BD" w:themeColor="accent1"/>
                      <w:sz w:val="18"/>
                      <w:szCs w:val="18"/>
                      <w:lang w:val="fr-BE"/>
                    </w:rPr>
                    <w:t>Container (1000t - 21W)</w:t>
                  </w:r>
                </w:p>
              </w:tc>
              <w:tc>
                <w:tcPr>
                  <w:tcW w:w="153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5F18E889" w14:textId="77777777" w:rsidR="00921721" w:rsidRPr="00265281"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16.611</w:t>
                  </w:r>
                </w:p>
              </w:tc>
              <w:tc>
                <w:tcPr>
                  <w:tcW w:w="17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599DBE70" w14:textId="77777777" w:rsidR="00921721" w:rsidRPr="00075638"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11,107.</w:t>
                  </w:r>
                  <w:r w:rsidRPr="001F3A35">
                    <w:rPr>
                      <w:rFonts w:asciiTheme="minorHAnsi" w:hAnsiTheme="minorHAnsi" w:cs="Arial"/>
                      <w:color w:val="4F81BD" w:themeColor="accent1"/>
                      <w:sz w:val="18"/>
                      <w:szCs w:val="18"/>
                      <w:lang w:val="en-GB"/>
                    </w:rPr>
                    <w:t xml:space="preserve">53 </w:t>
                  </w:r>
                </w:p>
              </w:tc>
            </w:tr>
            <w:tr w:rsidR="00921721" w:rsidRPr="007463B9" w14:paraId="792BB711" w14:textId="77777777" w:rsidTr="00880D09">
              <w:trPr>
                <w:trHeight w:val="382"/>
              </w:trPr>
              <w:tc>
                <w:tcPr>
                  <w:tcW w:w="1280" w:type="dxa"/>
                  <w:vMerge w:val="restart"/>
                  <w:tcBorders>
                    <w:top w:val="single" w:sz="4" w:space="0" w:color="FFFFFF"/>
                    <w:left w:val="single" w:sz="4" w:space="0" w:color="FFFFFF"/>
                    <w:right w:val="nil"/>
                  </w:tcBorders>
                  <w:shd w:val="clear" w:color="auto" w:fill="DBE5F1" w:themeFill="accent1" w:themeFillTint="33"/>
                  <w:vAlign w:val="center"/>
                </w:tcPr>
                <w:p w14:paraId="70B1E1F6" w14:textId="77777777" w:rsidR="00921721" w:rsidRPr="00265281"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Diesel</w:t>
                  </w:r>
                </w:p>
              </w:tc>
              <w:tc>
                <w:tcPr>
                  <w:tcW w:w="214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73368403" w14:textId="77777777" w:rsidR="00921721" w:rsidRPr="00493091" w:rsidRDefault="00921721" w:rsidP="00880D09">
                  <w:pPr>
                    <w:jc w:val="center"/>
                    <w:rPr>
                      <w:rFonts w:asciiTheme="minorHAnsi" w:hAnsiTheme="minorHAnsi" w:cs="Arial"/>
                      <w:color w:val="4F81BD" w:themeColor="accent1"/>
                      <w:sz w:val="18"/>
                      <w:szCs w:val="18"/>
                      <w:lang w:val="en-US"/>
                    </w:rPr>
                  </w:pPr>
                  <w:r w:rsidRPr="00493091">
                    <w:rPr>
                      <w:rFonts w:asciiTheme="minorHAnsi" w:hAnsiTheme="minorHAnsi" w:cs="Arial"/>
                      <w:color w:val="4F81BD" w:themeColor="accent1"/>
                      <w:sz w:val="18"/>
                      <w:szCs w:val="18"/>
                      <w:lang w:val="en-US"/>
                    </w:rPr>
                    <w:t>Average, all types (1000t - 21W)</w:t>
                  </w:r>
                </w:p>
              </w:tc>
              <w:tc>
                <w:tcPr>
                  <w:tcW w:w="153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0D736BCB" w14:textId="77777777" w:rsidR="00921721" w:rsidRPr="00437FA6" w:rsidRDefault="00921721" w:rsidP="00880D09">
                  <w:pPr>
                    <w:jc w:val="center"/>
                    <w:rPr>
                      <w:rFonts w:asciiTheme="minorHAnsi" w:hAnsiTheme="minorHAnsi" w:cs="Arial"/>
                      <w:color w:val="4F81BD" w:themeColor="accent1"/>
                      <w:sz w:val="18"/>
                      <w:szCs w:val="18"/>
                      <w:lang w:val="en-US"/>
                    </w:rPr>
                  </w:pPr>
                  <w:r w:rsidRPr="00437FA6">
                    <w:rPr>
                      <w:rFonts w:asciiTheme="minorHAnsi" w:hAnsiTheme="minorHAnsi" w:cs="Arial"/>
                      <w:color w:val="4F81BD" w:themeColor="accent1"/>
                      <w:sz w:val="18"/>
                      <w:szCs w:val="18"/>
                      <w:lang w:val="en-US"/>
                    </w:rPr>
                    <w:t>44.861</w:t>
                  </w:r>
                </w:p>
              </w:tc>
              <w:tc>
                <w:tcPr>
                  <w:tcW w:w="17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FFAF23C" w14:textId="77777777" w:rsidR="00921721" w:rsidRPr="001F3A35"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32,266.</w:t>
                  </w:r>
                  <w:r w:rsidRPr="001F3A35">
                    <w:rPr>
                      <w:rFonts w:asciiTheme="minorHAnsi" w:hAnsiTheme="minorHAnsi" w:cs="Arial"/>
                      <w:color w:val="4F81BD" w:themeColor="accent1"/>
                      <w:sz w:val="18"/>
                      <w:szCs w:val="18"/>
                      <w:lang w:val="en-GB"/>
                    </w:rPr>
                    <w:t xml:space="preserve">57 </w:t>
                  </w:r>
                </w:p>
              </w:tc>
            </w:tr>
            <w:tr w:rsidR="00921721" w:rsidRPr="007463B9" w14:paraId="4FD5634D" w14:textId="77777777" w:rsidTr="00880D09">
              <w:trPr>
                <w:trHeight w:val="382"/>
              </w:trPr>
              <w:tc>
                <w:tcPr>
                  <w:tcW w:w="1280" w:type="dxa"/>
                  <w:vMerge/>
                  <w:tcBorders>
                    <w:left w:val="single" w:sz="4" w:space="0" w:color="FFFFFF"/>
                    <w:right w:val="nil"/>
                  </w:tcBorders>
                  <w:shd w:val="clear" w:color="auto" w:fill="DBE5F1" w:themeFill="accent1" w:themeFillTint="33"/>
                  <w:vAlign w:val="center"/>
                </w:tcPr>
                <w:p w14:paraId="1D1B0E20" w14:textId="77777777" w:rsidR="00921721" w:rsidRPr="00437FA6" w:rsidRDefault="00921721" w:rsidP="00880D09">
                  <w:pPr>
                    <w:spacing w:before="20"/>
                    <w:jc w:val="center"/>
                    <w:rPr>
                      <w:rFonts w:asciiTheme="minorHAnsi" w:hAnsiTheme="minorHAnsi" w:cs="Arial"/>
                      <w:color w:val="4F81BD" w:themeColor="accent1"/>
                      <w:sz w:val="18"/>
                      <w:szCs w:val="18"/>
                      <w:lang w:val="en-US"/>
                    </w:rPr>
                  </w:pPr>
                </w:p>
              </w:tc>
              <w:tc>
                <w:tcPr>
                  <w:tcW w:w="214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1F99A59" w14:textId="77777777" w:rsidR="00921721" w:rsidRPr="00437FA6" w:rsidRDefault="00921721" w:rsidP="00880D09">
                  <w:pPr>
                    <w:jc w:val="center"/>
                    <w:rPr>
                      <w:rFonts w:asciiTheme="minorHAnsi" w:hAnsiTheme="minorHAnsi" w:cs="Arial"/>
                      <w:color w:val="4F81BD" w:themeColor="accent1"/>
                      <w:sz w:val="18"/>
                      <w:szCs w:val="18"/>
                      <w:lang w:val="en-US"/>
                    </w:rPr>
                  </w:pPr>
                  <w:r w:rsidRPr="00437FA6">
                    <w:rPr>
                      <w:rFonts w:asciiTheme="minorHAnsi" w:hAnsiTheme="minorHAnsi" w:cs="Arial"/>
                      <w:color w:val="4F81BD" w:themeColor="accent1"/>
                      <w:sz w:val="18"/>
                      <w:szCs w:val="18"/>
                      <w:lang w:val="en-US"/>
                    </w:rPr>
                    <w:t>Bulk (1000t - 18W)</w:t>
                  </w:r>
                </w:p>
              </w:tc>
              <w:tc>
                <w:tcPr>
                  <w:tcW w:w="153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4FA30F10" w14:textId="77777777" w:rsidR="00921721" w:rsidRPr="00437FA6" w:rsidRDefault="00921721" w:rsidP="00880D09">
                  <w:pPr>
                    <w:jc w:val="center"/>
                    <w:rPr>
                      <w:rFonts w:asciiTheme="minorHAnsi" w:hAnsiTheme="minorHAnsi" w:cs="Arial"/>
                      <w:color w:val="4F81BD" w:themeColor="accent1"/>
                      <w:sz w:val="18"/>
                      <w:szCs w:val="18"/>
                      <w:lang w:val="en-US"/>
                    </w:rPr>
                  </w:pPr>
                  <w:r w:rsidRPr="00437FA6">
                    <w:rPr>
                      <w:rFonts w:asciiTheme="minorHAnsi" w:hAnsiTheme="minorHAnsi" w:cs="Arial"/>
                      <w:color w:val="4F81BD" w:themeColor="accent1"/>
                      <w:sz w:val="18"/>
                      <w:szCs w:val="18"/>
                      <w:lang w:val="en-US"/>
                    </w:rPr>
                    <w:t>44.861</w:t>
                  </w:r>
                </w:p>
              </w:tc>
              <w:tc>
                <w:tcPr>
                  <w:tcW w:w="17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D85C4A3" w14:textId="77777777" w:rsidR="00921721" w:rsidRPr="001F3A35"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32,266.</w:t>
                  </w:r>
                  <w:r w:rsidRPr="001F3A35">
                    <w:rPr>
                      <w:rFonts w:asciiTheme="minorHAnsi" w:hAnsiTheme="minorHAnsi" w:cs="Arial"/>
                      <w:color w:val="4F81BD" w:themeColor="accent1"/>
                      <w:sz w:val="18"/>
                      <w:szCs w:val="18"/>
                      <w:lang w:val="en-GB"/>
                    </w:rPr>
                    <w:t xml:space="preserve">57 </w:t>
                  </w:r>
                </w:p>
              </w:tc>
            </w:tr>
            <w:tr w:rsidR="00921721" w:rsidRPr="007463B9" w14:paraId="17404FA0" w14:textId="77777777" w:rsidTr="00880D09">
              <w:trPr>
                <w:trHeight w:val="382"/>
              </w:trPr>
              <w:tc>
                <w:tcPr>
                  <w:tcW w:w="1280" w:type="dxa"/>
                  <w:vMerge/>
                  <w:tcBorders>
                    <w:left w:val="single" w:sz="4" w:space="0" w:color="FFFFFF"/>
                    <w:right w:val="nil"/>
                  </w:tcBorders>
                  <w:shd w:val="clear" w:color="auto" w:fill="DBE5F1" w:themeFill="accent1" w:themeFillTint="33"/>
                  <w:vAlign w:val="center"/>
                </w:tcPr>
                <w:p w14:paraId="484F62C1" w14:textId="77777777" w:rsidR="00921721" w:rsidRPr="00437FA6" w:rsidRDefault="00921721" w:rsidP="00880D09">
                  <w:pPr>
                    <w:spacing w:before="20"/>
                    <w:jc w:val="center"/>
                    <w:rPr>
                      <w:rFonts w:asciiTheme="minorHAnsi" w:hAnsiTheme="minorHAnsi" w:cs="Arial"/>
                      <w:color w:val="4F81BD" w:themeColor="accent1"/>
                      <w:sz w:val="18"/>
                      <w:szCs w:val="18"/>
                      <w:lang w:val="en-US"/>
                    </w:rPr>
                  </w:pPr>
                </w:p>
              </w:tc>
              <w:tc>
                <w:tcPr>
                  <w:tcW w:w="214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88C6187" w14:textId="77777777" w:rsidR="00921721" w:rsidRPr="00437FA6" w:rsidRDefault="00921721" w:rsidP="00880D09">
                  <w:pPr>
                    <w:jc w:val="center"/>
                    <w:rPr>
                      <w:rFonts w:asciiTheme="minorHAnsi" w:hAnsiTheme="minorHAnsi" w:cs="Arial"/>
                      <w:color w:val="4F81BD" w:themeColor="accent1"/>
                      <w:sz w:val="18"/>
                      <w:szCs w:val="18"/>
                      <w:lang w:val="en-US"/>
                    </w:rPr>
                  </w:pPr>
                  <w:r w:rsidRPr="00437FA6">
                    <w:rPr>
                      <w:rFonts w:asciiTheme="minorHAnsi" w:hAnsiTheme="minorHAnsi" w:cs="Arial"/>
                      <w:color w:val="4F81BD" w:themeColor="accent1"/>
                      <w:sz w:val="18"/>
                      <w:szCs w:val="18"/>
                      <w:lang w:val="en-US"/>
                    </w:rPr>
                    <w:t>Volume (1000t - 26W)</w:t>
                  </w:r>
                </w:p>
              </w:tc>
              <w:tc>
                <w:tcPr>
                  <w:tcW w:w="153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2C864299" w14:textId="77777777" w:rsidR="00921721" w:rsidRPr="00437FA6" w:rsidRDefault="00921721" w:rsidP="00880D09">
                  <w:pPr>
                    <w:jc w:val="center"/>
                    <w:rPr>
                      <w:rFonts w:asciiTheme="minorHAnsi" w:hAnsiTheme="minorHAnsi" w:cs="Arial"/>
                      <w:color w:val="4F81BD" w:themeColor="accent1"/>
                      <w:sz w:val="18"/>
                      <w:szCs w:val="18"/>
                      <w:lang w:val="en-US"/>
                    </w:rPr>
                  </w:pPr>
                  <w:r w:rsidRPr="00437FA6">
                    <w:rPr>
                      <w:rFonts w:asciiTheme="minorHAnsi" w:hAnsiTheme="minorHAnsi" w:cs="Arial"/>
                      <w:color w:val="4F81BD" w:themeColor="accent1"/>
                      <w:sz w:val="18"/>
                      <w:szCs w:val="18"/>
                      <w:lang w:val="en-US"/>
                    </w:rPr>
                    <w:t>44.861</w:t>
                  </w:r>
                </w:p>
              </w:tc>
              <w:tc>
                <w:tcPr>
                  <w:tcW w:w="17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5B5B728" w14:textId="77777777" w:rsidR="00921721" w:rsidRPr="001F3A35"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32,266.</w:t>
                  </w:r>
                  <w:r w:rsidRPr="001F3A35">
                    <w:rPr>
                      <w:rFonts w:asciiTheme="minorHAnsi" w:hAnsiTheme="minorHAnsi" w:cs="Arial"/>
                      <w:color w:val="4F81BD" w:themeColor="accent1"/>
                      <w:sz w:val="18"/>
                      <w:szCs w:val="18"/>
                      <w:lang w:val="en-GB"/>
                    </w:rPr>
                    <w:t xml:space="preserve">57 </w:t>
                  </w:r>
                </w:p>
              </w:tc>
            </w:tr>
            <w:tr w:rsidR="00921721" w:rsidRPr="007463B9" w14:paraId="46BBD6A2" w14:textId="77777777" w:rsidTr="00880D09">
              <w:trPr>
                <w:trHeight w:val="382"/>
              </w:trPr>
              <w:tc>
                <w:tcPr>
                  <w:tcW w:w="1280" w:type="dxa"/>
                  <w:vMerge/>
                  <w:tcBorders>
                    <w:left w:val="single" w:sz="4" w:space="0" w:color="FFFFFF"/>
                    <w:bottom w:val="single" w:sz="4" w:space="0" w:color="FFFFFF"/>
                    <w:right w:val="nil"/>
                  </w:tcBorders>
                  <w:shd w:val="clear" w:color="auto" w:fill="DBE5F1" w:themeFill="accent1" w:themeFillTint="33"/>
                  <w:vAlign w:val="center"/>
                </w:tcPr>
                <w:p w14:paraId="193B7BA7" w14:textId="77777777" w:rsidR="00921721" w:rsidRPr="00437FA6" w:rsidRDefault="00921721" w:rsidP="00880D09">
                  <w:pPr>
                    <w:spacing w:before="20"/>
                    <w:jc w:val="center"/>
                    <w:rPr>
                      <w:rFonts w:asciiTheme="minorHAnsi" w:hAnsiTheme="minorHAnsi" w:cs="Arial"/>
                      <w:color w:val="4F81BD" w:themeColor="accent1"/>
                      <w:sz w:val="18"/>
                      <w:szCs w:val="18"/>
                      <w:lang w:val="en-US"/>
                    </w:rPr>
                  </w:pPr>
                </w:p>
              </w:tc>
              <w:tc>
                <w:tcPr>
                  <w:tcW w:w="2141"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A0376EF" w14:textId="77777777" w:rsidR="00921721" w:rsidRPr="00437FA6" w:rsidRDefault="00921721" w:rsidP="00880D09">
                  <w:pPr>
                    <w:jc w:val="center"/>
                    <w:rPr>
                      <w:rFonts w:asciiTheme="minorHAnsi" w:hAnsiTheme="minorHAnsi" w:cs="Arial"/>
                      <w:color w:val="4F81BD" w:themeColor="accent1"/>
                      <w:sz w:val="18"/>
                      <w:szCs w:val="18"/>
                      <w:lang w:val="en-US"/>
                    </w:rPr>
                  </w:pPr>
                  <w:r w:rsidRPr="00437FA6">
                    <w:rPr>
                      <w:rFonts w:asciiTheme="minorHAnsi" w:hAnsiTheme="minorHAnsi" w:cs="Arial"/>
                      <w:color w:val="4F81BD" w:themeColor="accent1"/>
                      <w:sz w:val="18"/>
                      <w:szCs w:val="18"/>
                      <w:lang w:val="en-US"/>
                    </w:rPr>
                    <w:t>Container (1000t - 21W)</w:t>
                  </w:r>
                </w:p>
              </w:tc>
              <w:tc>
                <w:tcPr>
                  <w:tcW w:w="153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11F66A52" w14:textId="77777777" w:rsidR="00921721" w:rsidRPr="00437FA6" w:rsidRDefault="00921721" w:rsidP="00880D09">
                  <w:pPr>
                    <w:jc w:val="center"/>
                    <w:rPr>
                      <w:rFonts w:asciiTheme="minorHAnsi" w:hAnsiTheme="minorHAnsi" w:cs="Arial"/>
                      <w:color w:val="4F81BD" w:themeColor="accent1"/>
                      <w:sz w:val="18"/>
                      <w:szCs w:val="18"/>
                      <w:lang w:val="en-US"/>
                    </w:rPr>
                  </w:pPr>
                  <w:r w:rsidRPr="00437FA6">
                    <w:rPr>
                      <w:rFonts w:asciiTheme="minorHAnsi" w:hAnsiTheme="minorHAnsi" w:cs="Arial"/>
                      <w:color w:val="4F81BD" w:themeColor="accent1"/>
                      <w:sz w:val="18"/>
                      <w:szCs w:val="18"/>
                      <w:lang w:val="en-US"/>
                    </w:rPr>
                    <w:t>44.861</w:t>
                  </w:r>
                </w:p>
              </w:tc>
              <w:tc>
                <w:tcPr>
                  <w:tcW w:w="177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55987CF" w14:textId="77777777" w:rsidR="00921721" w:rsidRPr="001F3A35"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32,266.</w:t>
                  </w:r>
                  <w:r w:rsidRPr="001F3A35">
                    <w:rPr>
                      <w:rFonts w:asciiTheme="minorHAnsi" w:hAnsiTheme="minorHAnsi" w:cs="Arial"/>
                      <w:color w:val="4F81BD" w:themeColor="accent1"/>
                      <w:sz w:val="18"/>
                      <w:szCs w:val="18"/>
                      <w:lang w:val="en-GB"/>
                    </w:rPr>
                    <w:t xml:space="preserve">57 </w:t>
                  </w:r>
                </w:p>
              </w:tc>
            </w:tr>
          </w:tbl>
          <w:p w14:paraId="2F25D4CD" w14:textId="77777777" w:rsidR="00921721" w:rsidRDefault="00921721" w:rsidP="00880D09">
            <w:pPr>
              <w:spacing w:after="120"/>
              <w:ind w:right="170"/>
              <w:jc w:val="both"/>
              <w:rPr>
                <w:rFonts w:asciiTheme="minorHAnsi" w:hAnsiTheme="minorHAnsi" w:cs="Arial"/>
                <w:b/>
                <w:i/>
                <w:sz w:val="16"/>
                <w:szCs w:val="16"/>
                <w:lang w:val="en-US"/>
              </w:rPr>
            </w:pPr>
            <w:r w:rsidRPr="00437FA6">
              <w:rPr>
                <w:rFonts w:asciiTheme="minorHAnsi" w:hAnsiTheme="minorHAnsi" w:cs="Arial"/>
                <w:b/>
                <w:i/>
                <w:sz w:val="16"/>
                <w:szCs w:val="16"/>
                <w:lang w:val="en-US"/>
              </w:rPr>
              <w:t xml:space="preserve">Source: CUPT </w:t>
            </w:r>
            <w:r>
              <w:rPr>
                <w:rFonts w:asciiTheme="minorHAnsi" w:hAnsiTheme="minorHAnsi" w:cs="Arial"/>
                <w:b/>
                <w:i/>
                <w:sz w:val="16"/>
                <w:szCs w:val="16"/>
                <w:lang w:val="en-GB"/>
              </w:rPr>
              <w:t>work based on</w:t>
            </w:r>
            <w:r w:rsidRPr="00437FA6">
              <w:rPr>
                <w:rFonts w:asciiTheme="minorHAnsi" w:hAnsiTheme="minorHAnsi" w:cs="Arial"/>
                <w:b/>
                <w:i/>
                <w:sz w:val="16"/>
                <w:szCs w:val="16"/>
                <w:lang w:val="en-US"/>
              </w:rPr>
              <w:t xml:space="preserve"> "EIB Project Carbon Footprint Methodologies", July 2020</w:t>
            </w:r>
            <w:r w:rsidRPr="00BA2098">
              <w:rPr>
                <w:rFonts w:asciiTheme="minorHAnsi" w:hAnsiTheme="minorHAnsi" w:cs="Arial"/>
                <w:b/>
                <w:i/>
                <w:sz w:val="16"/>
                <w:szCs w:val="16"/>
                <w:lang w:val="en-US"/>
              </w:rPr>
              <w:t xml:space="preserve">, </w:t>
            </w:r>
            <w:r>
              <w:rPr>
                <w:rFonts w:asciiTheme="minorHAnsi" w:hAnsiTheme="minorHAnsi" w:cs="Arial"/>
                <w:b/>
                <w:i/>
                <w:sz w:val="16"/>
                <w:szCs w:val="16"/>
                <w:lang w:val="en-US"/>
              </w:rPr>
              <w:t xml:space="preserve">and the </w:t>
            </w:r>
            <w:r w:rsidRPr="003A7E7C">
              <w:rPr>
                <w:rFonts w:asciiTheme="minorHAnsi" w:hAnsiTheme="minorHAnsi" w:cs="Arial"/>
                <w:b/>
                <w:i/>
                <w:sz w:val="16"/>
                <w:szCs w:val="16"/>
                <w:lang w:val="en-GB"/>
              </w:rPr>
              <w:t>national electricity grid GHG emission factor</w:t>
            </w:r>
            <w:r>
              <w:rPr>
                <w:rFonts w:asciiTheme="minorHAnsi" w:hAnsiTheme="minorHAnsi" w:cs="Arial"/>
                <w:b/>
                <w:i/>
                <w:sz w:val="16"/>
                <w:szCs w:val="16"/>
                <w:lang w:val="en-GB"/>
              </w:rPr>
              <w:t xml:space="preserve"> for 2019 as reported by KOBiZE (December 2020)</w:t>
            </w:r>
            <w:r w:rsidRPr="00BA2098">
              <w:rPr>
                <w:rFonts w:asciiTheme="minorHAnsi" w:hAnsiTheme="minorHAnsi" w:cs="Arial"/>
                <w:b/>
                <w:i/>
                <w:sz w:val="16"/>
                <w:szCs w:val="16"/>
                <w:lang w:val="en-US"/>
              </w:rPr>
              <w:t xml:space="preserve">. </w:t>
            </w:r>
          </w:p>
          <w:p w14:paraId="59618F0B" w14:textId="77777777" w:rsidR="00921721" w:rsidRPr="002C6855" w:rsidRDefault="00921721" w:rsidP="00880D09">
            <w:pPr>
              <w:spacing w:after="120"/>
              <w:ind w:right="170"/>
              <w:jc w:val="both"/>
              <w:rPr>
                <w:rFonts w:asciiTheme="minorHAnsi" w:hAnsiTheme="minorHAnsi"/>
                <w:b/>
                <w:i/>
                <w:sz w:val="16"/>
                <w:szCs w:val="16"/>
                <w:lang w:val="en-GB"/>
              </w:rPr>
            </w:pPr>
            <w:r w:rsidRPr="002C6855">
              <w:rPr>
                <w:rFonts w:asciiTheme="minorHAnsi" w:hAnsiTheme="minorHAnsi" w:cs="Arial"/>
                <w:b/>
                <w:i/>
                <w:sz w:val="16"/>
                <w:szCs w:val="16"/>
                <w:lang w:val="en-GB"/>
              </w:rPr>
              <w:t>(*)</w:t>
            </w:r>
            <w:r>
              <w:rPr>
                <w:rFonts w:asciiTheme="minorHAnsi" w:hAnsiTheme="minorHAnsi" w:cs="Arial"/>
                <w:b/>
                <w:i/>
                <w:sz w:val="16"/>
                <w:szCs w:val="16"/>
                <w:lang w:val="en-GB"/>
              </w:rPr>
              <w:t> </w:t>
            </w:r>
            <w:r w:rsidRPr="002C6855">
              <w:rPr>
                <w:rFonts w:asciiTheme="minorHAnsi" w:hAnsiTheme="minorHAnsi" w:cs="Arial"/>
                <w:b/>
                <w:i/>
                <w:sz w:val="16"/>
                <w:szCs w:val="16"/>
                <w:lang w:val="en-GB"/>
              </w:rPr>
              <w:t>Total emissions related to the generation and transmission of grid electricity consumed by the train and emissions related to the fuel consumption of the train.</w:t>
            </w:r>
          </w:p>
          <w:p w14:paraId="0EB97948" w14:textId="77777777" w:rsidR="00921721" w:rsidRDefault="00921721" w:rsidP="00880D09">
            <w:pPr>
              <w:pStyle w:val="anxnormal"/>
              <w:spacing w:after="120"/>
              <w:ind w:left="0"/>
              <w:rPr>
                <w:rFonts w:asciiTheme="minorHAnsi" w:hAnsiTheme="minorHAnsi"/>
                <w:u w:val="single"/>
                <w:lang w:val="en-GB" w:eastAsia="en-US"/>
              </w:rPr>
            </w:pPr>
          </w:p>
          <w:p w14:paraId="7C6E824A" w14:textId="77777777" w:rsidR="00921721" w:rsidRDefault="00921721" w:rsidP="00880D09">
            <w:pPr>
              <w:pStyle w:val="anxnormal"/>
              <w:spacing w:after="120"/>
              <w:ind w:left="0"/>
              <w:rPr>
                <w:rFonts w:asciiTheme="minorHAnsi" w:hAnsiTheme="minorHAnsi"/>
                <w:u w:val="single"/>
                <w:lang w:val="en-GB" w:eastAsia="en-US"/>
              </w:rPr>
            </w:pPr>
          </w:p>
          <w:p w14:paraId="3689477F" w14:textId="77777777" w:rsidR="00921721" w:rsidRDefault="00921721" w:rsidP="00880D09">
            <w:pPr>
              <w:pStyle w:val="anxnormal"/>
              <w:spacing w:after="120"/>
              <w:ind w:left="0"/>
              <w:rPr>
                <w:rFonts w:asciiTheme="minorHAnsi" w:hAnsiTheme="minorHAnsi"/>
                <w:u w:val="single"/>
                <w:lang w:val="en-GB" w:eastAsia="en-US"/>
              </w:rPr>
            </w:pPr>
          </w:p>
          <w:p w14:paraId="4B889B4B" w14:textId="77777777" w:rsidR="00921721" w:rsidRPr="002C6855" w:rsidRDefault="00921721" w:rsidP="00880D09">
            <w:pPr>
              <w:pStyle w:val="anxnormal"/>
              <w:spacing w:after="120"/>
              <w:ind w:left="0"/>
              <w:rPr>
                <w:rFonts w:asciiTheme="minorHAnsi" w:hAnsiTheme="minorHAnsi"/>
                <w:u w:val="single"/>
                <w:lang w:val="en-GB" w:eastAsia="en-US"/>
              </w:rPr>
            </w:pPr>
            <w:r w:rsidRPr="002C6855">
              <w:rPr>
                <w:rFonts w:asciiTheme="minorHAnsi" w:hAnsiTheme="minorHAnsi"/>
                <w:u w:val="single"/>
                <w:lang w:val="en-GB" w:eastAsia="en-US"/>
              </w:rPr>
              <w:t>Unit cost of GHG emissions</w:t>
            </w:r>
          </w:p>
          <w:p w14:paraId="52BA6303" w14:textId="77777777" w:rsidR="00921721" w:rsidRDefault="00921721" w:rsidP="00880D09">
            <w:pPr>
              <w:pStyle w:val="anxnormal"/>
              <w:spacing w:after="120"/>
              <w:ind w:left="0"/>
              <w:rPr>
                <w:rFonts w:asciiTheme="minorHAnsi" w:hAnsiTheme="minorHAnsi"/>
                <w:lang w:val="en-GB" w:eastAsia="en-US"/>
              </w:rPr>
            </w:pPr>
            <w:r>
              <w:rPr>
                <w:rFonts w:asciiTheme="minorHAnsi" w:hAnsiTheme="minorHAnsi"/>
                <w:lang w:val="en-GB" w:eastAsia="en-US"/>
              </w:rPr>
              <w:t xml:space="preserve">EIB shadow cost of carbon </w:t>
            </w:r>
            <w:r w:rsidRPr="00E9220B">
              <w:rPr>
                <w:rFonts w:asciiTheme="minorHAnsi" w:hAnsiTheme="minorHAnsi"/>
                <w:lang w:val="en-GB" w:eastAsia="en-US"/>
              </w:rPr>
              <w:t>in €/tCO</w:t>
            </w:r>
            <w:r w:rsidRPr="00FF1EB0">
              <w:rPr>
                <w:rFonts w:asciiTheme="minorHAnsi" w:hAnsiTheme="minorHAnsi"/>
                <w:vertAlign w:val="subscript"/>
                <w:lang w:val="en-GB" w:eastAsia="en-US"/>
              </w:rPr>
              <w:t>2</w:t>
            </w:r>
            <w:r w:rsidRPr="00E9220B">
              <w:rPr>
                <w:rFonts w:asciiTheme="minorHAnsi" w:hAnsiTheme="minorHAnsi"/>
                <w:lang w:val="en-GB" w:eastAsia="en-US"/>
              </w:rPr>
              <w:t>e, 2016-prices</w:t>
            </w:r>
          </w:p>
          <w:tbl>
            <w:tblPr>
              <w:tblW w:w="7217" w:type="dxa"/>
              <w:tblLayout w:type="fixed"/>
              <w:tblLook w:val="04A0" w:firstRow="1" w:lastRow="0" w:firstColumn="1" w:lastColumn="0" w:noHBand="0" w:noVBand="1"/>
            </w:tblPr>
            <w:tblGrid>
              <w:gridCol w:w="902"/>
              <w:gridCol w:w="902"/>
              <w:gridCol w:w="902"/>
              <w:gridCol w:w="902"/>
              <w:gridCol w:w="902"/>
              <w:gridCol w:w="902"/>
              <w:gridCol w:w="902"/>
              <w:gridCol w:w="903"/>
            </w:tblGrid>
            <w:tr w:rsidR="00921721" w:rsidRPr="007463B9" w14:paraId="5E49CE21" w14:textId="77777777" w:rsidTr="00880D09">
              <w:trPr>
                <w:trHeight w:hRule="exact" w:val="424"/>
              </w:trPr>
              <w:tc>
                <w:tcPr>
                  <w:tcW w:w="90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37550F7" w14:textId="77777777" w:rsidR="00921721" w:rsidRPr="00D74336"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Pr>
                      <w:rFonts w:asciiTheme="minorHAnsi" w:eastAsia="Arial Narrow" w:hAnsiTheme="minorHAnsi" w:cs="Arial Narrow"/>
                      <w:b/>
                      <w:color w:val="FFFFFF"/>
                      <w:spacing w:val="-1"/>
                      <w:w w:val="108"/>
                      <w:position w:val="-1"/>
                      <w:sz w:val="18"/>
                      <w:szCs w:val="18"/>
                      <w:lang w:val="en-GB"/>
                    </w:rPr>
                    <w:t>Year</w:t>
                  </w:r>
                </w:p>
              </w:tc>
              <w:tc>
                <w:tcPr>
                  <w:tcW w:w="90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6AFFCA1" w14:textId="77777777" w:rsidR="00921721" w:rsidRPr="00983DF9"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sidRPr="00983DF9">
                    <w:rPr>
                      <w:rFonts w:asciiTheme="minorHAnsi" w:eastAsia="Arial Narrow" w:hAnsiTheme="minorHAnsi" w:cs="Arial Narrow"/>
                      <w:b/>
                      <w:color w:val="FFFFFF"/>
                      <w:spacing w:val="-1"/>
                      <w:w w:val="108"/>
                      <w:position w:val="-1"/>
                      <w:sz w:val="18"/>
                      <w:szCs w:val="18"/>
                      <w:lang w:val="en-US"/>
                    </w:rPr>
                    <w:t>2020</w:t>
                  </w:r>
                </w:p>
              </w:tc>
              <w:tc>
                <w:tcPr>
                  <w:tcW w:w="90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87B91B8" w14:textId="77777777" w:rsidR="00921721" w:rsidRPr="00B74323"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Pr>
                      <w:rFonts w:asciiTheme="minorHAnsi" w:eastAsia="Arial Narrow" w:hAnsiTheme="minorHAnsi" w:cs="Arial Narrow"/>
                      <w:b/>
                      <w:color w:val="FFFFFF"/>
                      <w:spacing w:val="-1"/>
                      <w:w w:val="108"/>
                      <w:position w:val="-1"/>
                      <w:sz w:val="18"/>
                      <w:szCs w:val="18"/>
                      <w:lang w:val="en-US"/>
                    </w:rPr>
                    <w:t>2025</w:t>
                  </w:r>
                </w:p>
              </w:tc>
              <w:tc>
                <w:tcPr>
                  <w:tcW w:w="902"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77920287" w14:textId="77777777" w:rsidR="00921721" w:rsidRPr="00983DF9"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2030</w:t>
                  </w:r>
                </w:p>
              </w:tc>
              <w:tc>
                <w:tcPr>
                  <w:tcW w:w="902"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3777E835" w14:textId="77777777" w:rsidR="00921721" w:rsidRPr="00983DF9"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2035</w:t>
                  </w:r>
                </w:p>
              </w:tc>
              <w:tc>
                <w:tcPr>
                  <w:tcW w:w="902"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0E141A24" w14:textId="77777777" w:rsidR="00921721" w:rsidRPr="00983DF9"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2040</w:t>
                  </w:r>
                </w:p>
              </w:tc>
              <w:tc>
                <w:tcPr>
                  <w:tcW w:w="902"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343B853C" w14:textId="77777777" w:rsidR="00921721"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2045</w:t>
                  </w:r>
                </w:p>
              </w:tc>
              <w:tc>
                <w:tcPr>
                  <w:tcW w:w="903"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6A732470" w14:textId="77777777" w:rsidR="00921721" w:rsidRDefault="00921721" w:rsidP="00880D09">
                  <w:pPr>
                    <w:ind w:right="170"/>
                    <w:jc w:val="center"/>
                    <w:rPr>
                      <w:rFonts w:asciiTheme="minorHAnsi" w:eastAsia="Arial Narrow" w:hAnsiTheme="minorHAnsi" w:cs="Arial Narrow"/>
                      <w:b/>
                      <w:color w:val="FFFFFF"/>
                      <w:spacing w:val="-1"/>
                      <w:w w:val="108"/>
                      <w:position w:val="-1"/>
                      <w:sz w:val="18"/>
                      <w:szCs w:val="18"/>
                      <w:lang w:val="en-US"/>
                    </w:rPr>
                  </w:pPr>
                  <w:r>
                    <w:rPr>
                      <w:rFonts w:asciiTheme="minorHAnsi" w:eastAsia="Arial Narrow" w:hAnsiTheme="minorHAnsi" w:cs="Arial Narrow"/>
                      <w:b/>
                      <w:color w:val="FFFFFF"/>
                      <w:spacing w:val="-1"/>
                      <w:w w:val="108"/>
                      <w:position w:val="-1"/>
                      <w:sz w:val="18"/>
                      <w:szCs w:val="18"/>
                      <w:lang w:val="en-US"/>
                    </w:rPr>
                    <w:t>2050</w:t>
                  </w:r>
                </w:p>
              </w:tc>
            </w:tr>
            <w:tr w:rsidR="00921721" w:rsidRPr="007463B9" w14:paraId="67FE3659" w14:textId="77777777" w:rsidTr="00880D09">
              <w:trPr>
                <w:trHeight w:val="143"/>
              </w:trPr>
              <w:tc>
                <w:tcPr>
                  <w:tcW w:w="90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075A1FA" w14:textId="77777777" w:rsidR="00921721" w:rsidRPr="002C6855" w:rsidRDefault="00921721" w:rsidP="00880D09">
                  <w:pPr>
                    <w:spacing w:before="60" w:after="60"/>
                    <w:ind w:right="28"/>
                    <w:jc w:val="center"/>
                    <w:rPr>
                      <w:rFonts w:asciiTheme="minorHAnsi" w:eastAsia="Arial Narrow" w:hAnsiTheme="minorHAnsi" w:cs="Arial Narrow"/>
                      <w:b/>
                      <w:color w:val="FFFFFF"/>
                      <w:spacing w:val="-1"/>
                      <w:w w:val="108"/>
                      <w:position w:val="-1"/>
                      <w:sz w:val="18"/>
                      <w:szCs w:val="18"/>
                      <w:lang w:val="en-US"/>
                    </w:rPr>
                  </w:pPr>
                  <w:r w:rsidRPr="00B72029">
                    <w:rPr>
                      <w:rFonts w:asciiTheme="minorHAnsi" w:hAnsiTheme="minorHAnsi"/>
                      <w:color w:val="4F81BD" w:themeColor="accent1"/>
                      <w:sz w:val="18"/>
                      <w:lang w:val="en-GB"/>
                    </w:rPr>
                    <w:t>E</w:t>
                  </w:r>
                  <w:r w:rsidRPr="00637253">
                    <w:rPr>
                      <w:rFonts w:asciiTheme="minorHAnsi" w:hAnsiTheme="minorHAnsi"/>
                      <w:color w:val="4F81BD" w:themeColor="accent1"/>
                      <w:sz w:val="18"/>
                      <w:lang w:val="en-GB"/>
                    </w:rPr>
                    <w:t>UR/</w:t>
                  </w:r>
                  <w:r>
                    <w:rPr>
                      <w:rFonts w:asciiTheme="minorHAnsi" w:hAnsiTheme="minorHAnsi"/>
                      <w:color w:val="4F81BD" w:themeColor="accent1"/>
                      <w:sz w:val="18"/>
                      <w:lang w:val="en-GB"/>
                    </w:rPr>
                    <w:t xml:space="preserve"> </w:t>
                  </w:r>
                  <w:r w:rsidRPr="00637253">
                    <w:rPr>
                      <w:rFonts w:asciiTheme="minorHAnsi" w:hAnsiTheme="minorHAnsi"/>
                      <w:color w:val="4F81BD" w:themeColor="accent1"/>
                      <w:sz w:val="18"/>
                      <w:lang w:val="en-GB"/>
                    </w:rPr>
                    <w:t>tCO</w:t>
                  </w:r>
                  <w:r w:rsidRPr="00FF1EB0">
                    <w:rPr>
                      <w:rFonts w:asciiTheme="minorHAnsi" w:hAnsiTheme="minorHAnsi"/>
                      <w:color w:val="4F81BD" w:themeColor="accent1"/>
                      <w:sz w:val="18"/>
                      <w:vertAlign w:val="subscript"/>
                      <w:lang w:val="en-GB"/>
                    </w:rPr>
                    <w:t>2</w:t>
                  </w:r>
                  <w:r>
                    <w:rPr>
                      <w:rFonts w:asciiTheme="minorHAnsi" w:hAnsiTheme="minorHAnsi"/>
                      <w:color w:val="4F81BD" w:themeColor="accent1"/>
                      <w:sz w:val="18"/>
                      <w:lang w:val="en-GB"/>
                    </w:rPr>
                    <w:t>e</w:t>
                  </w:r>
                </w:p>
              </w:tc>
              <w:tc>
                <w:tcPr>
                  <w:tcW w:w="90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BD3D36E" w14:textId="77777777" w:rsidR="00921721" w:rsidRPr="00D74336"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80</w:t>
                  </w:r>
                </w:p>
              </w:tc>
              <w:tc>
                <w:tcPr>
                  <w:tcW w:w="90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862F41C" w14:textId="77777777" w:rsidR="00921721" w:rsidRPr="00D74336"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165</w:t>
                  </w:r>
                </w:p>
              </w:tc>
              <w:tc>
                <w:tcPr>
                  <w:tcW w:w="90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273BA526"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250</w:t>
                  </w:r>
                </w:p>
              </w:tc>
              <w:tc>
                <w:tcPr>
                  <w:tcW w:w="90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63B6784"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390</w:t>
                  </w:r>
                </w:p>
              </w:tc>
              <w:tc>
                <w:tcPr>
                  <w:tcW w:w="90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FFEFC16"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525</w:t>
                  </w:r>
                </w:p>
              </w:tc>
              <w:tc>
                <w:tcPr>
                  <w:tcW w:w="902"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14199643"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660</w:t>
                  </w:r>
                </w:p>
              </w:tc>
              <w:tc>
                <w:tcPr>
                  <w:tcW w:w="903"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34A639A5" w14:textId="77777777" w:rsidR="00921721" w:rsidRDefault="00921721" w:rsidP="00880D09">
                  <w:pPr>
                    <w:spacing w:before="60" w:after="60"/>
                    <w:ind w:right="28"/>
                    <w:jc w:val="center"/>
                    <w:rPr>
                      <w:rFonts w:asciiTheme="minorHAnsi" w:hAnsiTheme="minorHAnsi"/>
                      <w:color w:val="4F81BD" w:themeColor="accent1"/>
                      <w:sz w:val="18"/>
                      <w:lang w:val="en-GB"/>
                    </w:rPr>
                  </w:pPr>
                  <w:r>
                    <w:rPr>
                      <w:rFonts w:asciiTheme="minorHAnsi" w:hAnsiTheme="minorHAnsi"/>
                      <w:color w:val="4F81BD" w:themeColor="accent1"/>
                      <w:sz w:val="18"/>
                      <w:lang w:val="en-GB"/>
                    </w:rPr>
                    <w:t>800</w:t>
                  </w:r>
                </w:p>
              </w:tc>
            </w:tr>
          </w:tbl>
          <w:p w14:paraId="1E77D225" w14:textId="77777777" w:rsidR="00921721" w:rsidRPr="00D74336" w:rsidRDefault="00921721" w:rsidP="00880D09">
            <w:pPr>
              <w:ind w:right="170"/>
              <w:jc w:val="both"/>
              <w:rPr>
                <w:rFonts w:asciiTheme="minorHAnsi" w:hAnsiTheme="minorHAnsi" w:cs="Arial"/>
                <w:b/>
                <w:i/>
                <w:sz w:val="16"/>
                <w:szCs w:val="16"/>
                <w:lang w:val="en-GB"/>
              </w:rPr>
            </w:pPr>
            <w:r w:rsidRPr="00D74336">
              <w:rPr>
                <w:rFonts w:asciiTheme="minorHAnsi" w:hAnsiTheme="minorHAnsi" w:cs="Arial"/>
                <w:b/>
                <w:i/>
                <w:sz w:val="16"/>
                <w:szCs w:val="16"/>
                <w:lang w:val="en-GB"/>
              </w:rPr>
              <w:t xml:space="preserve">Source: </w:t>
            </w:r>
            <w:r w:rsidRPr="00983DF9">
              <w:rPr>
                <w:rFonts w:asciiTheme="minorHAnsi" w:hAnsiTheme="minorHAnsi" w:cs="Arial"/>
                <w:b/>
                <w:i/>
                <w:sz w:val="16"/>
                <w:szCs w:val="16"/>
                <w:lang w:val="en-US"/>
              </w:rPr>
              <w:t>EIB Group Climate Bank Roadmap (2020) (Annex 5. Aligned carbon prices)</w:t>
            </w:r>
            <w:r w:rsidRPr="00D74336">
              <w:rPr>
                <w:rFonts w:asciiTheme="minorHAnsi" w:hAnsiTheme="minorHAnsi" w:cs="Arial"/>
                <w:b/>
                <w:i/>
                <w:sz w:val="16"/>
                <w:szCs w:val="16"/>
                <w:lang w:val="en-GB"/>
              </w:rPr>
              <w:t>.</w:t>
            </w:r>
          </w:p>
          <w:p w14:paraId="75C598CD" w14:textId="77777777" w:rsidR="00921721" w:rsidRDefault="00921721" w:rsidP="00880D09">
            <w:pPr>
              <w:pStyle w:val="anxnormal"/>
              <w:spacing w:after="120"/>
              <w:ind w:left="0"/>
              <w:rPr>
                <w:rFonts w:asciiTheme="minorHAnsi" w:hAnsiTheme="minorHAnsi"/>
                <w:u w:val="single"/>
                <w:lang w:val="en-GB" w:eastAsia="en-US"/>
              </w:rPr>
            </w:pPr>
          </w:p>
          <w:p w14:paraId="3883D5A0" w14:textId="77777777" w:rsidR="00921721" w:rsidRDefault="00921721" w:rsidP="00880D09">
            <w:pPr>
              <w:pStyle w:val="anxnormal"/>
              <w:spacing w:after="120"/>
              <w:ind w:left="0"/>
              <w:rPr>
                <w:rFonts w:asciiTheme="minorHAnsi" w:hAnsiTheme="minorHAnsi"/>
                <w:u w:val="single"/>
                <w:lang w:val="en-GB" w:eastAsia="en-US"/>
              </w:rPr>
            </w:pPr>
          </w:p>
          <w:p w14:paraId="34A73D5B" w14:textId="77777777" w:rsidR="00921721" w:rsidRDefault="00921721" w:rsidP="00880D09">
            <w:pPr>
              <w:pStyle w:val="anxnormal"/>
              <w:spacing w:after="120"/>
              <w:ind w:left="0"/>
              <w:rPr>
                <w:rFonts w:asciiTheme="minorHAnsi" w:hAnsiTheme="minorHAnsi"/>
                <w:u w:val="single"/>
                <w:lang w:val="en-GB" w:eastAsia="en-US"/>
              </w:rPr>
            </w:pPr>
          </w:p>
          <w:p w14:paraId="0EE9AAEC" w14:textId="77777777" w:rsidR="00921721" w:rsidRPr="00187A0E" w:rsidRDefault="00921721" w:rsidP="00880D09">
            <w:pPr>
              <w:pStyle w:val="anxnormal"/>
              <w:spacing w:after="120"/>
              <w:ind w:left="0"/>
              <w:rPr>
                <w:rFonts w:asciiTheme="minorHAnsi" w:hAnsiTheme="minorHAnsi"/>
                <w:u w:val="single"/>
                <w:lang w:val="en-GB" w:eastAsia="en-US"/>
              </w:rPr>
            </w:pPr>
            <w:r w:rsidRPr="00187A0E">
              <w:rPr>
                <w:rFonts w:asciiTheme="minorHAnsi" w:hAnsiTheme="minorHAnsi"/>
                <w:u w:val="single"/>
                <w:lang w:val="en-GB" w:eastAsia="en-US"/>
              </w:rPr>
              <w:t>Climate change unit costs calculation and evolution over time</w:t>
            </w:r>
          </w:p>
          <w:p w14:paraId="354ED190" w14:textId="77777777" w:rsidR="00921721" w:rsidRDefault="00921721" w:rsidP="00880D09">
            <w:pPr>
              <w:pStyle w:val="anxnormal"/>
              <w:spacing w:after="120"/>
              <w:ind w:left="0"/>
              <w:rPr>
                <w:rFonts w:asciiTheme="minorHAnsi" w:hAnsiTheme="minorHAnsi"/>
                <w:lang w:val="en-GB" w:eastAsia="en-US"/>
              </w:rPr>
            </w:pPr>
            <w:r>
              <w:rPr>
                <w:rFonts w:asciiTheme="minorHAnsi" w:hAnsiTheme="minorHAnsi"/>
                <w:lang w:val="en-GB" w:eastAsia="en-US"/>
              </w:rPr>
              <w:t xml:space="preserve">The </w:t>
            </w:r>
            <w:r w:rsidRPr="00187A0E">
              <w:rPr>
                <w:rFonts w:asciiTheme="minorHAnsi" w:hAnsiTheme="minorHAnsi"/>
                <w:lang w:val="en-GB" w:eastAsia="en-US"/>
              </w:rPr>
              <w:t xml:space="preserve">unit cost for the </w:t>
            </w:r>
            <w:r>
              <w:rPr>
                <w:rFonts w:asciiTheme="minorHAnsi" w:hAnsiTheme="minorHAnsi"/>
                <w:lang w:val="en-GB" w:eastAsia="en-US"/>
              </w:rPr>
              <w:t xml:space="preserve">currently adopted </w:t>
            </w:r>
            <w:r w:rsidRPr="00187A0E">
              <w:rPr>
                <w:rFonts w:asciiTheme="minorHAnsi" w:hAnsiTheme="minorHAnsi"/>
                <w:lang w:val="en-GB" w:eastAsia="en-US"/>
              </w:rPr>
              <w:t>base year</w:t>
            </w:r>
            <w:r w:rsidRPr="00983DF9">
              <w:rPr>
                <w:rFonts w:asciiTheme="minorHAnsi" w:hAnsiTheme="minorHAnsi"/>
                <w:lang w:val="en-GB" w:eastAsia="en-US"/>
              </w:rPr>
              <w:t xml:space="preserve"> (202</w:t>
            </w:r>
            <w:r>
              <w:rPr>
                <w:rFonts w:asciiTheme="minorHAnsi" w:hAnsiTheme="minorHAnsi"/>
                <w:lang w:val="en-GB" w:eastAsia="en-US"/>
              </w:rPr>
              <w:t>1</w:t>
            </w:r>
            <w:r w:rsidRPr="00983DF9">
              <w:rPr>
                <w:rFonts w:asciiTheme="minorHAnsi" w:hAnsiTheme="minorHAnsi"/>
                <w:lang w:val="en-GB" w:eastAsia="en-US"/>
              </w:rPr>
              <w:t xml:space="preserve">) </w:t>
            </w:r>
            <w:r>
              <w:rPr>
                <w:rFonts w:asciiTheme="minorHAnsi" w:hAnsiTheme="minorHAnsi"/>
                <w:lang w:val="en-GB" w:eastAsia="en-US"/>
              </w:rPr>
              <w:t xml:space="preserve">is </w:t>
            </w:r>
            <w:r w:rsidRPr="00983DF9">
              <w:rPr>
                <w:rFonts w:asciiTheme="minorHAnsi" w:hAnsiTheme="minorHAnsi"/>
                <w:lang w:val="en-GB" w:eastAsia="en-US"/>
              </w:rPr>
              <w:t>first exchange</w:t>
            </w:r>
            <w:r>
              <w:rPr>
                <w:rFonts w:asciiTheme="minorHAnsi" w:hAnsiTheme="minorHAnsi"/>
                <w:lang w:val="en-GB" w:eastAsia="en-US"/>
              </w:rPr>
              <w:t>d</w:t>
            </w:r>
            <w:r w:rsidRPr="00983DF9">
              <w:rPr>
                <w:rFonts w:asciiTheme="minorHAnsi" w:hAnsiTheme="minorHAnsi"/>
                <w:lang w:val="en-GB" w:eastAsia="en-US"/>
              </w:rPr>
              <w:t xml:space="preserve"> from EUR to PLN (exchange rate 2016), then </w:t>
            </w:r>
            <w:r>
              <w:rPr>
                <w:rFonts w:asciiTheme="minorHAnsi" w:hAnsiTheme="minorHAnsi"/>
                <w:lang w:val="en-GB" w:eastAsia="en-US"/>
              </w:rPr>
              <w:t>the</w:t>
            </w:r>
            <w:r w:rsidRPr="00983DF9">
              <w:rPr>
                <w:rFonts w:asciiTheme="minorHAnsi" w:hAnsiTheme="minorHAnsi"/>
                <w:lang w:val="en-GB" w:eastAsia="en-US"/>
              </w:rPr>
              <w:t xml:space="preserve"> price basis of CO</w:t>
            </w:r>
            <w:r w:rsidRPr="002C6855">
              <w:rPr>
                <w:rFonts w:asciiTheme="minorHAnsi" w:hAnsiTheme="minorHAnsi"/>
                <w:vertAlign w:val="subscript"/>
                <w:lang w:val="en-GB" w:eastAsia="en-US"/>
              </w:rPr>
              <w:t>2</w:t>
            </w:r>
            <w:r w:rsidRPr="00983DF9">
              <w:rPr>
                <w:rFonts w:asciiTheme="minorHAnsi" w:hAnsiTheme="minorHAnsi"/>
                <w:lang w:val="en-GB" w:eastAsia="en-US"/>
              </w:rPr>
              <w:t xml:space="preserve"> unit cost (2016)</w:t>
            </w:r>
            <w:r>
              <w:rPr>
                <w:rFonts w:asciiTheme="minorHAnsi" w:hAnsiTheme="minorHAnsi"/>
                <w:lang w:val="en-GB" w:eastAsia="en-US"/>
              </w:rPr>
              <w:t xml:space="preserve"> is converted</w:t>
            </w:r>
            <w:r w:rsidRPr="00983DF9">
              <w:rPr>
                <w:rFonts w:asciiTheme="minorHAnsi" w:hAnsiTheme="minorHAnsi"/>
                <w:lang w:val="en-GB" w:eastAsia="en-US"/>
              </w:rPr>
              <w:t xml:space="preserve"> to price level of </w:t>
            </w:r>
            <w:r w:rsidRPr="004F720E">
              <w:rPr>
                <w:rFonts w:asciiTheme="minorHAnsi" w:hAnsiTheme="minorHAnsi"/>
                <w:lang w:val="en-GB" w:eastAsia="en-US"/>
              </w:rPr>
              <w:t>analysis (2021). The</w:t>
            </w:r>
            <w:r w:rsidRPr="00983DF9">
              <w:rPr>
                <w:rFonts w:asciiTheme="minorHAnsi" w:hAnsiTheme="minorHAnsi"/>
                <w:lang w:val="en-GB" w:eastAsia="en-US"/>
              </w:rPr>
              <w:t xml:space="preserve"> unit costs for the rest of</w:t>
            </w:r>
            <w:r>
              <w:rPr>
                <w:rFonts w:asciiTheme="minorHAnsi" w:hAnsiTheme="minorHAnsi"/>
                <w:lang w:val="en-GB" w:eastAsia="en-US"/>
              </w:rPr>
              <w:t xml:space="preserve"> the</w:t>
            </w:r>
            <w:r w:rsidRPr="00983DF9">
              <w:rPr>
                <w:rFonts w:asciiTheme="minorHAnsi" w:hAnsiTheme="minorHAnsi"/>
                <w:lang w:val="en-GB" w:eastAsia="en-US"/>
              </w:rPr>
              <w:t xml:space="preserve"> reference period </w:t>
            </w:r>
            <w:r>
              <w:rPr>
                <w:rFonts w:asciiTheme="minorHAnsi" w:hAnsiTheme="minorHAnsi"/>
                <w:lang w:val="en-GB" w:eastAsia="en-US"/>
              </w:rPr>
              <w:t>are</w:t>
            </w:r>
            <w:r w:rsidRPr="00983DF9">
              <w:rPr>
                <w:rFonts w:asciiTheme="minorHAnsi" w:hAnsiTheme="minorHAnsi"/>
                <w:lang w:val="en-GB" w:eastAsia="en-US"/>
              </w:rPr>
              <w:t xml:space="preserve"> estimated based on linear interpolation of the above defined unit costs</w:t>
            </w:r>
            <w:r>
              <w:rPr>
                <w:rFonts w:asciiTheme="minorHAnsi" w:hAnsiTheme="minorHAnsi"/>
                <w:lang w:val="en-GB" w:eastAsia="en-US"/>
              </w:rPr>
              <w:t xml:space="preserve">, as presented in the </w:t>
            </w:r>
            <w:r w:rsidRPr="00506A2F">
              <w:rPr>
                <w:rFonts w:asciiTheme="minorHAnsi" w:hAnsiTheme="minorHAnsi"/>
                <w:b/>
                <w:i/>
                <w:lang w:val="en-GB" w:eastAsia="en-US"/>
              </w:rPr>
              <w:t>Excel file</w:t>
            </w:r>
            <w:r w:rsidRPr="00983DF9">
              <w:rPr>
                <w:rFonts w:asciiTheme="minorHAnsi" w:hAnsiTheme="minorHAnsi"/>
                <w:lang w:val="en-GB" w:eastAsia="en-US"/>
              </w:rPr>
              <w:t xml:space="preserve"> for unit costs.</w:t>
            </w:r>
            <w:r w:rsidRPr="00983DF9" w:rsidDel="00E20A3A">
              <w:rPr>
                <w:rFonts w:asciiTheme="minorHAnsi" w:hAnsiTheme="minorHAnsi"/>
                <w:lang w:val="en-GB" w:eastAsia="en-US"/>
              </w:rPr>
              <w:t xml:space="preserve"> </w:t>
            </w:r>
          </w:p>
          <w:p w14:paraId="2BCA5323" w14:textId="77777777" w:rsidR="00921721" w:rsidRDefault="00921721" w:rsidP="00880D09">
            <w:pPr>
              <w:pStyle w:val="anxnormal"/>
              <w:spacing w:after="120"/>
              <w:ind w:left="0"/>
              <w:rPr>
                <w:rFonts w:asciiTheme="minorHAnsi" w:hAnsiTheme="minorHAnsi"/>
                <w:lang w:val="en-GB" w:eastAsia="en-US"/>
              </w:rPr>
            </w:pPr>
          </w:p>
          <w:p w14:paraId="0BE426AE" w14:textId="77777777" w:rsidR="00921721" w:rsidRDefault="00921721" w:rsidP="00880D09">
            <w:pPr>
              <w:pStyle w:val="anxnormal"/>
              <w:spacing w:after="120"/>
              <w:ind w:left="0"/>
              <w:rPr>
                <w:rFonts w:asciiTheme="minorHAnsi" w:hAnsiTheme="minorHAnsi"/>
                <w:lang w:val="en-GB" w:eastAsia="en-US"/>
              </w:rPr>
            </w:pPr>
          </w:p>
          <w:p w14:paraId="4AACA732" w14:textId="77777777" w:rsidR="00921721" w:rsidRPr="009F2FD2" w:rsidRDefault="00921721" w:rsidP="00880D09">
            <w:pPr>
              <w:pStyle w:val="anxnormal"/>
              <w:spacing w:after="120"/>
              <w:ind w:left="0"/>
              <w:rPr>
                <w:rFonts w:asciiTheme="minorHAnsi" w:hAnsiTheme="minorHAnsi" w:cs="Arial-Narrow,Bold"/>
                <w:b/>
                <w:bCs/>
                <w:color w:val="4F81BD" w:themeColor="accent1"/>
                <w:sz w:val="23"/>
                <w:szCs w:val="23"/>
                <w:lang w:val="en-GB" w:eastAsia="en-GB"/>
              </w:rPr>
            </w:pPr>
            <w:r w:rsidRPr="009F2FD2">
              <w:rPr>
                <w:rFonts w:asciiTheme="minorHAnsi" w:hAnsiTheme="minorHAnsi" w:cs="Arial-Narrow,Bold"/>
                <w:b/>
                <w:bCs/>
                <w:color w:val="4F81BD" w:themeColor="accent1"/>
                <w:sz w:val="23"/>
                <w:szCs w:val="23"/>
                <w:lang w:val="en-GB" w:eastAsia="en-GB"/>
              </w:rPr>
              <w:t>8. Costs of noise</w:t>
            </w:r>
          </w:p>
          <w:p w14:paraId="5C96F5AA" w14:textId="77777777" w:rsidR="00921721" w:rsidRPr="00731E4E" w:rsidRDefault="00921721" w:rsidP="00880D09">
            <w:pPr>
              <w:pStyle w:val="anxnormal"/>
              <w:ind w:left="0"/>
              <w:rPr>
                <w:rFonts w:asciiTheme="minorHAnsi" w:hAnsiTheme="minorHAnsi"/>
                <w:u w:val="single"/>
                <w:lang w:val="en-GB" w:eastAsia="en-US"/>
              </w:rPr>
            </w:pPr>
            <w:r w:rsidRPr="00731E4E">
              <w:rPr>
                <w:rFonts w:asciiTheme="minorHAnsi" w:hAnsiTheme="minorHAnsi"/>
                <w:u w:val="single"/>
                <w:lang w:val="en-GB" w:eastAsia="en-US"/>
              </w:rPr>
              <w:t>First method</w:t>
            </w:r>
          </w:p>
          <w:p w14:paraId="265B660F" w14:textId="77777777" w:rsidR="00921721" w:rsidRPr="00731E4E"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Economic unit costs of noise</w:t>
            </w:r>
            <w:r>
              <w:rPr>
                <w:rFonts w:asciiTheme="minorHAnsi" w:hAnsiTheme="minorHAnsi"/>
                <w:lang w:val="en-GB" w:eastAsia="en-US"/>
              </w:rPr>
              <w:t xml:space="preserve"> of road vehicles</w:t>
            </w:r>
            <w:r w:rsidRPr="00731E4E">
              <w:rPr>
                <w:rFonts w:asciiTheme="minorHAnsi" w:hAnsiTheme="minorHAnsi"/>
                <w:lang w:val="en-GB" w:eastAsia="en-US"/>
              </w:rPr>
              <w:t xml:space="preserve"> [PLN/veh-km], prices 20</w:t>
            </w:r>
            <w:r>
              <w:rPr>
                <w:rFonts w:asciiTheme="minorHAnsi" w:hAnsiTheme="minorHAnsi"/>
                <w:lang w:val="en-GB" w:eastAsia="en-US"/>
              </w:rPr>
              <w:t>21</w:t>
            </w:r>
          </w:p>
          <w:tbl>
            <w:tblPr>
              <w:tblW w:w="6227" w:type="dxa"/>
              <w:tblLayout w:type="fixed"/>
              <w:tblLook w:val="04A0" w:firstRow="1" w:lastRow="0" w:firstColumn="1" w:lastColumn="0" w:noHBand="0" w:noVBand="1"/>
            </w:tblPr>
            <w:tblGrid>
              <w:gridCol w:w="2486"/>
              <w:gridCol w:w="1247"/>
              <w:gridCol w:w="1247"/>
              <w:gridCol w:w="1247"/>
            </w:tblGrid>
            <w:tr w:rsidR="00921721" w:rsidRPr="007463B9" w14:paraId="301A87DA" w14:textId="77777777" w:rsidTr="00880D09">
              <w:trPr>
                <w:trHeight w:hRule="exact" w:val="712"/>
              </w:trPr>
              <w:tc>
                <w:tcPr>
                  <w:tcW w:w="248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B670520"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Unit values based on marginal</w:t>
                  </w:r>
                  <w:r w:rsidRPr="003E7EB2">
                    <w:rPr>
                      <w:rFonts w:asciiTheme="minorHAnsi" w:hAnsiTheme="minorHAnsi" w:cs="Arial"/>
                      <w:b/>
                      <w:bCs/>
                      <w:color w:val="FFFFFF"/>
                      <w:sz w:val="18"/>
                      <w:szCs w:val="18"/>
                      <w:lang w:val="en-GB"/>
                    </w:rPr>
                    <w:t xml:space="preserve"> </w:t>
                  </w:r>
                  <w:r>
                    <w:rPr>
                      <w:rFonts w:asciiTheme="minorHAnsi" w:hAnsiTheme="minorHAnsi" w:cs="Arial"/>
                      <w:b/>
                      <w:bCs/>
                      <w:color w:val="FFFFFF"/>
                      <w:sz w:val="18"/>
                      <w:szCs w:val="18"/>
                      <w:lang w:val="en-GB"/>
                    </w:rPr>
                    <w:t xml:space="preserve">external </w:t>
                  </w:r>
                  <w:r w:rsidRPr="003E7EB2">
                    <w:rPr>
                      <w:rFonts w:asciiTheme="minorHAnsi" w:hAnsiTheme="minorHAnsi" w:cs="Arial"/>
                      <w:b/>
                      <w:bCs/>
                      <w:color w:val="FFFFFF"/>
                      <w:sz w:val="18"/>
                      <w:szCs w:val="18"/>
                      <w:lang w:val="en-GB"/>
                    </w:rPr>
                    <w:t>cost</w:t>
                  </w:r>
                  <w:r>
                    <w:rPr>
                      <w:rFonts w:asciiTheme="minorHAnsi" w:hAnsiTheme="minorHAnsi" w:cs="Arial"/>
                      <w:b/>
                      <w:bCs/>
                      <w:color w:val="FFFFFF"/>
                      <w:sz w:val="18"/>
                      <w:szCs w:val="18"/>
                      <w:lang w:val="en-GB"/>
                    </w:rPr>
                    <w:t xml:space="preserve"> of noise</w:t>
                  </w:r>
                  <w:r w:rsidRPr="003E7EB2">
                    <w:rPr>
                      <w:rFonts w:asciiTheme="minorHAnsi" w:hAnsiTheme="minorHAnsi" w:cs="Arial"/>
                      <w:b/>
                      <w:bCs/>
                      <w:color w:val="FFFFFF"/>
                      <w:sz w:val="18"/>
                      <w:szCs w:val="18"/>
                      <w:lang w:val="en-GB"/>
                    </w:rPr>
                    <w:t xml:space="preserve"> (PLN/vehkm</w:t>
                  </w:r>
                  <w:r>
                    <w:rPr>
                      <w:rFonts w:asciiTheme="minorHAnsi" w:hAnsiTheme="minorHAnsi" w:cs="Arial"/>
                      <w:b/>
                      <w:bCs/>
                      <w:color w:val="FFFFFF"/>
                      <w:sz w:val="18"/>
                      <w:szCs w:val="18"/>
                      <w:lang w:val="en-GB"/>
                    </w:rPr>
                    <w:t>)</w:t>
                  </w:r>
                </w:p>
              </w:tc>
              <w:tc>
                <w:tcPr>
                  <w:tcW w:w="1247"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A3C4E87"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Metropolitan area (*)</w:t>
                  </w:r>
                </w:p>
              </w:tc>
              <w:tc>
                <w:tcPr>
                  <w:tcW w:w="1247"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569D69D5"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Urban area</w:t>
                  </w:r>
                </w:p>
              </w:tc>
              <w:tc>
                <w:tcPr>
                  <w:tcW w:w="1247"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6FF1F395"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Rural area</w:t>
                  </w:r>
                </w:p>
              </w:tc>
            </w:tr>
            <w:tr w:rsidR="00921721" w:rsidRPr="007463B9" w14:paraId="179B1265" w14:textId="77777777" w:rsidTr="00880D09">
              <w:trPr>
                <w:trHeight w:hRule="exact" w:val="311"/>
              </w:trPr>
              <w:tc>
                <w:tcPr>
                  <w:tcW w:w="248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4DA7F41" w14:textId="77777777" w:rsidR="00921721" w:rsidRPr="001569CA" w:rsidRDefault="00921721" w:rsidP="00880D09">
                  <w:pPr>
                    <w:spacing w:before="20"/>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 xml:space="preserve">LV </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hideMark/>
                </w:tcPr>
                <w:p w14:paraId="4D5097E9"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0.057</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27E0A16F"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0.004</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6F9DE65B"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0.0004</w:t>
                  </w:r>
                </w:p>
              </w:tc>
            </w:tr>
            <w:tr w:rsidR="00921721" w:rsidRPr="007463B9" w14:paraId="30CCEDF3" w14:textId="77777777" w:rsidTr="00880D09">
              <w:trPr>
                <w:trHeight w:hRule="exact" w:val="311"/>
              </w:trPr>
              <w:tc>
                <w:tcPr>
                  <w:tcW w:w="248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31D5E5F" w14:textId="77777777" w:rsidR="00921721" w:rsidRPr="00CA444D" w:rsidRDefault="00921721" w:rsidP="00880D09">
                  <w:pPr>
                    <w:spacing w:before="20"/>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HGV</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hideMark/>
                </w:tcPr>
                <w:p w14:paraId="08BA2667"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0.703</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685FE042"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0.044</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412B2F93"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0.005</w:t>
                  </w:r>
                </w:p>
              </w:tc>
            </w:tr>
            <w:tr w:rsidR="00921721" w:rsidRPr="007463B9" w14:paraId="0D0DA644" w14:textId="77777777" w:rsidTr="00880D09">
              <w:trPr>
                <w:trHeight w:hRule="exact" w:val="311"/>
              </w:trPr>
              <w:tc>
                <w:tcPr>
                  <w:tcW w:w="2486"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40D14B0F" w14:textId="77777777" w:rsidR="00921721" w:rsidRDefault="00921721" w:rsidP="00880D09">
                  <w:pPr>
                    <w:spacing w:before="20"/>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 xml:space="preserve">Bus </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383958BD"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0.444</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0B0E1FC8"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0.028</w:t>
                  </w:r>
                </w:p>
              </w:tc>
              <w:tc>
                <w:tcPr>
                  <w:tcW w:w="1247" w:type="dxa"/>
                  <w:tcBorders>
                    <w:top w:val="single" w:sz="4" w:space="0" w:color="FFFFFF"/>
                    <w:left w:val="single" w:sz="4" w:space="0" w:color="FFFFFF"/>
                    <w:bottom w:val="single" w:sz="4" w:space="0" w:color="FFFFFF"/>
                    <w:right w:val="nil"/>
                  </w:tcBorders>
                  <w:shd w:val="clear" w:color="auto" w:fill="DBE5F1" w:themeFill="accent1" w:themeFillTint="33"/>
                </w:tcPr>
                <w:p w14:paraId="37E5FC52"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0.003</w:t>
                  </w:r>
                </w:p>
              </w:tc>
            </w:tr>
          </w:tbl>
          <w:p w14:paraId="5FB03553" w14:textId="77777777" w:rsidR="00921721" w:rsidRPr="002708B4" w:rsidRDefault="00921721" w:rsidP="00880D09">
            <w:pPr>
              <w:ind w:right="170"/>
              <w:jc w:val="both"/>
              <w:rPr>
                <w:rFonts w:asciiTheme="minorHAnsi" w:hAnsiTheme="minorHAnsi" w:cs="Arial"/>
                <w:b/>
                <w:i/>
                <w:sz w:val="16"/>
                <w:szCs w:val="16"/>
                <w:lang w:val="en-US"/>
              </w:rPr>
            </w:pPr>
            <w:r w:rsidRPr="00CF54F6">
              <w:rPr>
                <w:rFonts w:asciiTheme="minorHAnsi" w:hAnsiTheme="minorHAnsi" w:cs="Arial"/>
                <w:b/>
                <w:i/>
                <w:sz w:val="16"/>
                <w:szCs w:val="16"/>
                <w:lang w:val="en-US"/>
              </w:rPr>
              <w:t xml:space="preserve">Source: CUPT-JASPERS work based on </w:t>
            </w:r>
            <w:r w:rsidRPr="00D22938">
              <w:rPr>
                <w:rFonts w:asciiTheme="minorHAnsi" w:hAnsiTheme="minorHAnsi" w:cs="Arial"/>
                <w:b/>
                <w:i/>
                <w:sz w:val="16"/>
                <w:szCs w:val="16"/>
                <w:lang w:val="en-US"/>
              </w:rPr>
              <w:t>Handbook on the External Costs of Transport (January 2019)</w:t>
            </w:r>
            <w:r>
              <w:rPr>
                <w:rFonts w:asciiTheme="minorHAnsi" w:hAnsiTheme="minorHAnsi" w:cs="Arial"/>
                <w:b/>
                <w:i/>
                <w:sz w:val="16"/>
                <w:szCs w:val="16"/>
                <w:lang w:val="en-US"/>
              </w:rPr>
              <w:t>.</w:t>
            </w:r>
            <w:r w:rsidRPr="002708B4">
              <w:rPr>
                <w:rFonts w:asciiTheme="minorHAnsi" w:hAnsiTheme="minorHAnsi" w:cs="Arial"/>
                <w:b/>
                <w:i/>
                <w:sz w:val="16"/>
                <w:szCs w:val="16"/>
                <w:lang w:val="en-US"/>
              </w:rPr>
              <w:t xml:space="preserve"> </w:t>
            </w:r>
          </w:p>
          <w:p w14:paraId="05FA9AF4" w14:textId="77777777" w:rsidR="00921721" w:rsidRPr="002F209F" w:rsidRDefault="00921721" w:rsidP="00880D09">
            <w:pPr>
              <w:ind w:right="170"/>
              <w:jc w:val="both"/>
              <w:rPr>
                <w:rFonts w:asciiTheme="minorHAnsi" w:hAnsiTheme="minorHAnsi" w:cs="Arial"/>
                <w:b/>
                <w:i/>
                <w:sz w:val="16"/>
                <w:szCs w:val="16"/>
                <w:lang w:val="en-US"/>
              </w:rPr>
            </w:pPr>
            <w:r w:rsidRPr="002F209F">
              <w:rPr>
                <w:rFonts w:asciiTheme="minorHAnsi" w:hAnsiTheme="minorHAnsi" w:cs="Arial"/>
                <w:b/>
                <w:i/>
                <w:sz w:val="16"/>
                <w:szCs w:val="16"/>
                <w:lang w:val="en-US"/>
              </w:rPr>
              <w:t xml:space="preserve">(*) </w:t>
            </w:r>
            <w:r w:rsidRPr="002C6855">
              <w:rPr>
                <w:rFonts w:asciiTheme="minorHAnsi" w:hAnsiTheme="minorHAnsi" w:cs="Arial"/>
                <w:b/>
                <w:i/>
                <w:sz w:val="16"/>
                <w:szCs w:val="16"/>
                <w:lang w:val="en-US"/>
              </w:rPr>
              <w:t>Metropolitan area</w:t>
            </w:r>
            <w:r w:rsidRPr="002F209F">
              <w:rPr>
                <w:rFonts w:asciiTheme="minorHAnsi" w:hAnsiTheme="minorHAnsi" w:cs="Arial"/>
                <w:b/>
                <w:i/>
                <w:sz w:val="16"/>
                <w:szCs w:val="16"/>
                <w:lang w:val="en-US"/>
              </w:rPr>
              <w:t xml:space="preserve">: </w:t>
            </w:r>
            <w:r w:rsidRPr="002C6855">
              <w:rPr>
                <w:rFonts w:asciiTheme="minorHAnsi" w:hAnsiTheme="minorHAnsi" w:cs="Arial"/>
                <w:b/>
                <w:i/>
                <w:sz w:val="16"/>
                <w:szCs w:val="16"/>
                <w:lang w:val="en-US"/>
              </w:rPr>
              <w:t xml:space="preserve">city or agglomeration </w:t>
            </w:r>
            <w:r>
              <w:rPr>
                <w:rFonts w:asciiTheme="minorHAnsi" w:hAnsiTheme="minorHAnsi" w:cs="Arial"/>
                <w:b/>
                <w:i/>
                <w:sz w:val="16"/>
                <w:szCs w:val="16"/>
                <w:lang w:val="en-US"/>
              </w:rPr>
              <w:t>larger than</w:t>
            </w:r>
            <w:r w:rsidRPr="002F209F">
              <w:rPr>
                <w:rFonts w:asciiTheme="minorHAnsi" w:hAnsiTheme="minorHAnsi" w:cs="Arial"/>
                <w:b/>
                <w:i/>
                <w:sz w:val="16"/>
                <w:szCs w:val="16"/>
                <w:lang w:val="en-US"/>
              </w:rPr>
              <w:t xml:space="preserve"> 0.5 million </w:t>
            </w:r>
            <w:r>
              <w:rPr>
                <w:rFonts w:asciiTheme="minorHAnsi" w:hAnsiTheme="minorHAnsi" w:cs="Arial"/>
                <w:b/>
                <w:i/>
                <w:sz w:val="16"/>
                <w:szCs w:val="16"/>
                <w:lang w:val="en-US"/>
              </w:rPr>
              <w:t xml:space="preserve">inhabitants </w:t>
            </w:r>
            <w:r w:rsidRPr="002F209F">
              <w:rPr>
                <w:rFonts w:asciiTheme="minorHAnsi" w:hAnsiTheme="minorHAnsi" w:cs="Arial"/>
                <w:b/>
                <w:i/>
                <w:sz w:val="16"/>
                <w:szCs w:val="16"/>
                <w:lang w:val="en-US"/>
              </w:rPr>
              <w:t xml:space="preserve">(definition </w:t>
            </w:r>
            <w:r>
              <w:rPr>
                <w:rFonts w:asciiTheme="minorHAnsi" w:hAnsiTheme="minorHAnsi" w:cs="Arial"/>
                <w:b/>
                <w:i/>
                <w:sz w:val="16"/>
                <w:szCs w:val="16"/>
                <w:lang w:val="en-US"/>
              </w:rPr>
              <w:t xml:space="preserve">according to </w:t>
            </w:r>
            <w:r w:rsidRPr="00277A80">
              <w:rPr>
                <w:rFonts w:asciiTheme="minorHAnsi" w:hAnsiTheme="minorHAnsi" w:cs="Arial"/>
                <w:b/>
                <w:i/>
                <w:sz w:val="16"/>
                <w:szCs w:val="16"/>
                <w:lang w:val="en-US"/>
              </w:rPr>
              <w:t>Handbook on the External Costs of Transport, EC, January 2019</w:t>
            </w:r>
            <w:r w:rsidRPr="002F209F">
              <w:rPr>
                <w:rFonts w:asciiTheme="minorHAnsi" w:hAnsiTheme="minorHAnsi" w:cs="Arial"/>
                <w:b/>
                <w:i/>
                <w:sz w:val="16"/>
                <w:szCs w:val="16"/>
                <w:lang w:val="en-US"/>
              </w:rPr>
              <w:t xml:space="preserve">). </w:t>
            </w:r>
          </w:p>
          <w:p w14:paraId="7A174865" w14:textId="77777777" w:rsidR="00921721" w:rsidRPr="002F209F" w:rsidRDefault="00921721" w:rsidP="00880D09">
            <w:pPr>
              <w:ind w:right="170"/>
              <w:jc w:val="both"/>
              <w:rPr>
                <w:rFonts w:asciiTheme="minorHAnsi" w:hAnsiTheme="minorHAnsi" w:cs="Arial"/>
                <w:b/>
                <w:i/>
                <w:sz w:val="16"/>
                <w:szCs w:val="16"/>
                <w:lang w:val="en-US"/>
              </w:rPr>
            </w:pPr>
          </w:p>
          <w:p w14:paraId="6A414F03" w14:textId="77777777" w:rsidR="00921721" w:rsidRDefault="00921721" w:rsidP="00880D09">
            <w:pPr>
              <w:ind w:right="170"/>
              <w:jc w:val="both"/>
              <w:rPr>
                <w:rFonts w:asciiTheme="minorHAnsi" w:hAnsiTheme="minorHAnsi" w:cs="Arial"/>
                <w:snapToGrid w:val="0"/>
                <w:sz w:val="20"/>
                <w:szCs w:val="20"/>
                <w:lang w:val="en-GB" w:eastAsia="en-US"/>
              </w:rPr>
            </w:pPr>
            <w:r w:rsidRPr="002C6855">
              <w:rPr>
                <w:rFonts w:asciiTheme="minorHAnsi" w:hAnsiTheme="minorHAnsi" w:cs="Arial"/>
                <w:snapToGrid w:val="0"/>
                <w:sz w:val="20"/>
                <w:szCs w:val="20"/>
                <w:lang w:val="en-GB" w:eastAsia="en-US"/>
              </w:rPr>
              <w:t>Electric vehicles are not include</w:t>
            </w:r>
            <w:r>
              <w:rPr>
                <w:rFonts w:asciiTheme="minorHAnsi" w:hAnsiTheme="minorHAnsi" w:cs="Arial"/>
                <w:snapToGrid w:val="0"/>
                <w:sz w:val="20"/>
                <w:szCs w:val="20"/>
                <w:lang w:val="en-GB" w:eastAsia="en-US"/>
              </w:rPr>
              <w:t>d</w:t>
            </w:r>
            <w:r w:rsidRPr="002C6855">
              <w:rPr>
                <w:rFonts w:asciiTheme="minorHAnsi" w:hAnsiTheme="minorHAnsi" w:cs="Arial"/>
                <w:snapToGrid w:val="0"/>
                <w:sz w:val="20"/>
                <w:szCs w:val="20"/>
                <w:lang w:val="en-GB" w:eastAsia="en-US"/>
              </w:rPr>
              <w:t xml:space="preserve">. It is assumed that noise costs are omitted for electric vehicles, i.e. unit values apply only to combustion-engine vehicles. </w:t>
            </w:r>
          </w:p>
          <w:p w14:paraId="66811DE6" w14:textId="77777777" w:rsidR="00921721" w:rsidRDefault="00921721" w:rsidP="00880D09">
            <w:pPr>
              <w:ind w:right="170"/>
              <w:jc w:val="both"/>
              <w:rPr>
                <w:rFonts w:asciiTheme="minorHAnsi" w:hAnsiTheme="minorHAnsi" w:cs="Arial"/>
                <w:snapToGrid w:val="0"/>
                <w:sz w:val="20"/>
                <w:szCs w:val="20"/>
                <w:lang w:val="en-GB" w:eastAsia="en-US"/>
              </w:rPr>
            </w:pPr>
          </w:p>
          <w:p w14:paraId="0264EB68" w14:textId="77777777" w:rsidR="00921721" w:rsidRDefault="00921721" w:rsidP="00880D09">
            <w:pPr>
              <w:ind w:right="170"/>
              <w:jc w:val="both"/>
              <w:rPr>
                <w:rFonts w:asciiTheme="minorHAnsi" w:hAnsiTheme="minorHAnsi" w:cs="Arial"/>
                <w:snapToGrid w:val="0"/>
                <w:sz w:val="20"/>
                <w:szCs w:val="20"/>
                <w:lang w:val="en-GB" w:eastAsia="en-US"/>
              </w:rPr>
            </w:pPr>
          </w:p>
          <w:p w14:paraId="74A7A901" w14:textId="77777777" w:rsidR="00921721" w:rsidRPr="00A40C0A" w:rsidRDefault="00921721" w:rsidP="00880D09">
            <w:pPr>
              <w:ind w:right="170"/>
              <w:jc w:val="both"/>
              <w:rPr>
                <w:rFonts w:asciiTheme="minorHAnsi" w:hAnsiTheme="minorHAnsi" w:cs="Arial"/>
                <w:snapToGrid w:val="0"/>
                <w:sz w:val="20"/>
                <w:szCs w:val="20"/>
                <w:u w:val="single"/>
                <w:lang w:val="en-GB" w:eastAsia="en-US"/>
              </w:rPr>
            </w:pPr>
            <w:r w:rsidRPr="00A40C0A">
              <w:rPr>
                <w:rFonts w:asciiTheme="minorHAnsi" w:hAnsiTheme="minorHAnsi" w:cs="Arial"/>
                <w:snapToGrid w:val="0"/>
                <w:sz w:val="20"/>
                <w:szCs w:val="20"/>
                <w:u w:val="single"/>
                <w:lang w:val="en-GB" w:eastAsia="en-US"/>
              </w:rPr>
              <w:t>Rail modes</w:t>
            </w:r>
            <w:r>
              <w:rPr>
                <w:rFonts w:asciiTheme="minorHAnsi" w:hAnsiTheme="minorHAnsi" w:cs="Arial"/>
                <w:snapToGrid w:val="0"/>
                <w:sz w:val="20"/>
                <w:szCs w:val="20"/>
                <w:u w:val="single"/>
                <w:lang w:val="en-GB" w:eastAsia="en-US"/>
              </w:rPr>
              <w:t xml:space="preserve"> </w:t>
            </w:r>
          </w:p>
          <w:p w14:paraId="5F0B7C5B" w14:textId="77777777" w:rsidR="00921721" w:rsidRPr="00731E4E"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 xml:space="preserve">Economic unit costs of noise </w:t>
            </w:r>
            <w:r>
              <w:rPr>
                <w:rFonts w:asciiTheme="minorHAnsi" w:hAnsiTheme="minorHAnsi"/>
                <w:lang w:val="en-GB" w:eastAsia="en-US"/>
              </w:rPr>
              <w:t>of railway trains</w:t>
            </w:r>
            <w:r w:rsidRPr="00731E4E">
              <w:rPr>
                <w:rFonts w:asciiTheme="minorHAnsi" w:hAnsiTheme="minorHAnsi"/>
                <w:lang w:val="en-GB" w:eastAsia="en-US"/>
              </w:rPr>
              <w:t xml:space="preserve"> [PLN/</w:t>
            </w:r>
            <w:r>
              <w:rPr>
                <w:rFonts w:asciiTheme="minorHAnsi" w:hAnsiTheme="minorHAnsi"/>
                <w:lang w:val="en-GB" w:eastAsia="en-US"/>
              </w:rPr>
              <w:t>train</w:t>
            </w:r>
            <w:r w:rsidRPr="00731E4E">
              <w:rPr>
                <w:rFonts w:asciiTheme="minorHAnsi" w:hAnsiTheme="minorHAnsi"/>
                <w:lang w:val="en-GB" w:eastAsia="en-US"/>
              </w:rPr>
              <w:t>-km], prices 20</w:t>
            </w:r>
            <w:r>
              <w:rPr>
                <w:rFonts w:asciiTheme="minorHAnsi" w:hAnsiTheme="minorHAnsi"/>
                <w:lang w:val="en-GB" w:eastAsia="en-US"/>
              </w:rPr>
              <w:t>21</w:t>
            </w:r>
          </w:p>
          <w:tbl>
            <w:tblPr>
              <w:tblW w:w="6556" w:type="dxa"/>
              <w:tblLayout w:type="fixed"/>
              <w:tblLook w:val="04A0" w:firstRow="1" w:lastRow="0" w:firstColumn="1" w:lastColumn="0" w:noHBand="0" w:noVBand="1"/>
            </w:tblPr>
            <w:tblGrid>
              <w:gridCol w:w="2616"/>
              <w:gridCol w:w="1312"/>
              <w:gridCol w:w="1314"/>
              <w:gridCol w:w="1314"/>
            </w:tblGrid>
            <w:tr w:rsidR="00921721" w:rsidRPr="007463B9" w14:paraId="6542993C" w14:textId="77777777" w:rsidTr="00880D09">
              <w:trPr>
                <w:trHeight w:hRule="exact" w:val="712"/>
              </w:trPr>
              <w:tc>
                <w:tcPr>
                  <w:tcW w:w="2616"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6AE9CAD" w14:textId="77777777" w:rsidR="00921721"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Unit values based on marginal</w:t>
                  </w:r>
                  <w:r w:rsidRPr="003E7EB2">
                    <w:rPr>
                      <w:rFonts w:asciiTheme="minorHAnsi" w:hAnsiTheme="minorHAnsi" w:cs="Arial"/>
                      <w:b/>
                      <w:bCs/>
                      <w:color w:val="FFFFFF"/>
                      <w:sz w:val="18"/>
                      <w:szCs w:val="18"/>
                      <w:lang w:val="en-GB"/>
                    </w:rPr>
                    <w:t xml:space="preserve"> </w:t>
                  </w:r>
                  <w:r>
                    <w:rPr>
                      <w:rFonts w:asciiTheme="minorHAnsi" w:hAnsiTheme="minorHAnsi" w:cs="Arial"/>
                      <w:b/>
                      <w:bCs/>
                      <w:color w:val="FFFFFF"/>
                      <w:sz w:val="18"/>
                      <w:szCs w:val="18"/>
                      <w:lang w:val="en-GB"/>
                    </w:rPr>
                    <w:t xml:space="preserve">external </w:t>
                  </w:r>
                  <w:r w:rsidRPr="003E7EB2">
                    <w:rPr>
                      <w:rFonts w:asciiTheme="minorHAnsi" w:hAnsiTheme="minorHAnsi" w:cs="Arial"/>
                      <w:b/>
                      <w:bCs/>
                      <w:color w:val="FFFFFF"/>
                      <w:sz w:val="18"/>
                      <w:szCs w:val="18"/>
                      <w:lang w:val="en-GB"/>
                    </w:rPr>
                    <w:t>cost</w:t>
                  </w:r>
                  <w:r>
                    <w:rPr>
                      <w:rFonts w:asciiTheme="minorHAnsi" w:hAnsiTheme="minorHAnsi" w:cs="Arial"/>
                      <w:b/>
                      <w:bCs/>
                      <w:color w:val="FFFFFF"/>
                      <w:sz w:val="18"/>
                      <w:szCs w:val="18"/>
                      <w:lang w:val="en-GB"/>
                    </w:rPr>
                    <w:t xml:space="preserve"> of noise</w:t>
                  </w:r>
                  <w:r w:rsidRPr="003E7EB2">
                    <w:rPr>
                      <w:rFonts w:asciiTheme="minorHAnsi" w:hAnsiTheme="minorHAnsi" w:cs="Arial"/>
                      <w:b/>
                      <w:bCs/>
                      <w:color w:val="FFFFFF"/>
                      <w:sz w:val="18"/>
                      <w:szCs w:val="18"/>
                      <w:lang w:val="en-GB"/>
                    </w:rPr>
                    <w:t xml:space="preserve"> </w:t>
                  </w:r>
                </w:p>
                <w:p w14:paraId="03BD8F17"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sidRPr="003E7EB2">
                    <w:rPr>
                      <w:rFonts w:asciiTheme="minorHAnsi" w:hAnsiTheme="minorHAnsi" w:cs="Arial"/>
                      <w:b/>
                      <w:bCs/>
                      <w:color w:val="FFFFFF"/>
                      <w:sz w:val="18"/>
                      <w:szCs w:val="18"/>
                      <w:lang w:val="en-GB"/>
                    </w:rPr>
                    <w:t>(PLN/</w:t>
                  </w:r>
                  <w:r>
                    <w:rPr>
                      <w:rFonts w:asciiTheme="minorHAnsi" w:hAnsiTheme="minorHAnsi" w:cs="Arial"/>
                      <w:b/>
                      <w:bCs/>
                      <w:color w:val="FFFFFF"/>
                      <w:sz w:val="18"/>
                      <w:szCs w:val="18"/>
                      <w:lang w:val="en-GB"/>
                    </w:rPr>
                    <w:t>train-</w:t>
                  </w:r>
                  <w:r w:rsidRPr="003E7EB2">
                    <w:rPr>
                      <w:rFonts w:asciiTheme="minorHAnsi" w:hAnsiTheme="minorHAnsi" w:cs="Arial"/>
                      <w:b/>
                      <w:bCs/>
                      <w:color w:val="FFFFFF"/>
                      <w:sz w:val="18"/>
                      <w:szCs w:val="18"/>
                      <w:lang w:val="en-GB"/>
                    </w:rPr>
                    <w:t>km</w:t>
                  </w:r>
                  <w:r>
                    <w:rPr>
                      <w:rFonts w:asciiTheme="minorHAnsi" w:hAnsiTheme="minorHAnsi" w:cs="Arial"/>
                      <w:b/>
                      <w:bCs/>
                      <w:color w:val="FFFFFF"/>
                      <w:sz w:val="18"/>
                      <w:szCs w:val="18"/>
                      <w:lang w:val="en-GB"/>
                    </w:rPr>
                    <w:t>)</w:t>
                  </w:r>
                </w:p>
              </w:tc>
              <w:tc>
                <w:tcPr>
                  <w:tcW w:w="1312"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A270A99"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Metropolitan area (*)</w:t>
                  </w:r>
                </w:p>
              </w:tc>
              <w:tc>
                <w:tcPr>
                  <w:tcW w:w="1314" w:type="dxa"/>
                  <w:tcBorders>
                    <w:top w:val="single" w:sz="4" w:space="0" w:color="FFFFFF"/>
                    <w:left w:val="single" w:sz="4" w:space="0" w:color="FFFFFF"/>
                    <w:bottom w:val="single" w:sz="4" w:space="0" w:color="FFFFFF"/>
                    <w:right w:val="nil"/>
                  </w:tcBorders>
                  <w:shd w:val="clear" w:color="auto" w:fill="A6A6A6" w:themeFill="background1" w:themeFillShade="A6"/>
                  <w:hideMark/>
                </w:tcPr>
                <w:p w14:paraId="66CE4D9F" w14:textId="77777777" w:rsidR="00921721" w:rsidRPr="00731E4E"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Urban area</w:t>
                  </w:r>
                </w:p>
              </w:tc>
              <w:tc>
                <w:tcPr>
                  <w:tcW w:w="1314" w:type="dxa"/>
                  <w:tcBorders>
                    <w:top w:val="single" w:sz="4" w:space="0" w:color="FFFFFF"/>
                    <w:left w:val="single" w:sz="4" w:space="0" w:color="FFFFFF"/>
                    <w:bottom w:val="single" w:sz="4" w:space="0" w:color="FFFFFF"/>
                    <w:right w:val="nil"/>
                  </w:tcBorders>
                  <w:shd w:val="clear" w:color="auto" w:fill="A6A6A6" w:themeFill="background1" w:themeFillShade="A6"/>
                </w:tcPr>
                <w:p w14:paraId="1384B5E4" w14:textId="77777777" w:rsidR="00921721"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Rural area</w:t>
                  </w:r>
                </w:p>
              </w:tc>
            </w:tr>
            <w:tr w:rsidR="00921721" w:rsidRPr="007463B9" w14:paraId="35AF8CCB" w14:textId="77777777" w:rsidTr="00880D09">
              <w:trPr>
                <w:trHeight w:val="255"/>
              </w:trPr>
              <w:tc>
                <w:tcPr>
                  <w:tcW w:w="261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6FD6F7C" w14:textId="77777777" w:rsidR="00921721" w:rsidRPr="00CA444D" w:rsidRDefault="00921721" w:rsidP="00880D09">
                  <w:pPr>
                    <w:spacing w:before="20"/>
                    <w:jc w:val="center"/>
                    <w:rPr>
                      <w:rFonts w:asciiTheme="minorHAnsi" w:hAnsiTheme="minorHAnsi" w:cs="Calibri"/>
                      <w:color w:val="4F81BD" w:themeColor="accent1"/>
                      <w:sz w:val="18"/>
                      <w:szCs w:val="18"/>
                      <w:lang w:val="en-GB"/>
                    </w:rPr>
                  </w:pPr>
                  <w:r>
                    <w:rPr>
                      <w:rFonts w:asciiTheme="minorHAnsi" w:hAnsiTheme="minorHAnsi" w:cs="Arial"/>
                      <w:color w:val="4F81BD" w:themeColor="accent1"/>
                      <w:sz w:val="18"/>
                      <w:szCs w:val="18"/>
                      <w:lang w:val="en-GB"/>
                    </w:rPr>
                    <w:t>Passenger train</w:t>
                  </w:r>
                </w:p>
              </w:tc>
              <w:tc>
                <w:tcPr>
                  <w:tcW w:w="131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3AAB5FA"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269</w:t>
                  </w:r>
                </w:p>
              </w:tc>
              <w:tc>
                <w:tcPr>
                  <w:tcW w:w="131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713E7B3"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0.627</w:t>
                  </w:r>
                </w:p>
              </w:tc>
              <w:tc>
                <w:tcPr>
                  <w:tcW w:w="131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61AC9A7D"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0.081</w:t>
                  </w:r>
                </w:p>
              </w:tc>
            </w:tr>
            <w:tr w:rsidR="00921721" w:rsidRPr="007463B9" w14:paraId="133E8269" w14:textId="77777777" w:rsidTr="00880D09">
              <w:trPr>
                <w:trHeight w:val="207"/>
              </w:trPr>
              <w:tc>
                <w:tcPr>
                  <w:tcW w:w="2616"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AB92A5A" w14:textId="77777777" w:rsidR="00921721" w:rsidRPr="00CA444D"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Freight train</w:t>
                  </w:r>
                </w:p>
              </w:tc>
              <w:tc>
                <w:tcPr>
                  <w:tcW w:w="131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C9A9A09"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sidRPr="003E7EB2">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.852</w:t>
                  </w:r>
                </w:p>
              </w:tc>
              <w:tc>
                <w:tcPr>
                  <w:tcW w:w="131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2140EDA" w14:textId="77777777" w:rsidR="00921721" w:rsidRPr="00D22938"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0.808</w:t>
                  </w:r>
                </w:p>
              </w:tc>
              <w:tc>
                <w:tcPr>
                  <w:tcW w:w="1314" w:type="dxa"/>
                  <w:tcBorders>
                    <w:top w:val="single" w:sz="4" w:space="0" w:color="FFFFFF"/>
                    <w:left w:val="single" w:sz="4" w:space="0" w:color="FFFFFF"/>
                    <w:bottom w:val="single" w:sz="4" w:space="0" w:color="FFFFFF"/>
                    <w:right w:val="nil"/>
                  </w:tcBorders>
                  <w:shd w:val="clear" w:color="auto" w:fill="DBE5F1" w:themeFill="accent1" w:themeFillTint="33"/>
                  <w:vAlign w:val="center"/>
                </w:tcPr>
                <w:p w14:paraId="068ABB42" w14:textId="77777777" w:rsidR="00921721" w:rsidRPr="003E7EB2"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0.117</w:t>
                  </w:r>
                </w:p>
              </w:tc>
            </w:tr>
          </w:tbl>
          <w:p w14:paraId="601DA8CB" w14:textId="77777777" w:rsidR="00921721" w:rsidRDefault="00921721" w:rsidP="00880D09">
            <w:pPr>
              <w:ind w:right="170"/>
              <w:jc w:val="both"/>
              <w:rPr>
                <w:rFonts w:asciiTheme="minorHAnsi" w:hAnsiTheme="minorHAnsi" w:cs="Arial"/>
                <w:snapToGrid w:val="0"/>
                <w:sz w:val="20"/>
                <w:szCs w:val="20"/>
                <w:lang w:val="en-GB" w:eastAsia="en-US"/>
              </w:rPr>
            </w:pPr>
            <w:r w:rsidRPr="00CF54F6">
              <w:rPr>
                <w:rFonts w:asciiTheme="minorHAnsi" w:hAnsiTheme="minorHAnsi" w:cs="Arial"/>
                <w:b/>
                <w:i/>
                <w:sz w:val="16"/>
                <w:szCs w:val="16"/>
                <w:lang w:val="en-US"/>
              </w:rPr>
              <w:t>Source:</w:t>
            </w:r>
            <w:r w:rsidRPr="003E7EB2">
              <w:rPr>
                <w:lang w:val="en-US"/>
              </w:rPr>
              <w:t xml:space="preserve"> </w:t>
            </w:r>
            <w:r w:rsidRPr="00CF54F6">
              <w:rPr>
                <w:rFonts w:asciiTheme="minorHAnsi" w:hAnsiTheme="minorHAnsi" w:cs="Arial"/>
                <w:b/>
                <w:i/>
                <w:sz w:val="16"/>
                <w:szCs w:val="16"/>
                <w:lang w:val="en-US"/>
              </w:rPr>
              <w:t xml:space="preserve">CUPT-JASPERS work based on </w:t>
            </w:r>
            <w:r w:rsidRPr="00747F5E">
              <w:rPr>
                <w:rFonts w:asciiTheme="minorHAnsi" w:hAnsiTheme="minorHAnsi" w:cs="Arial"/>
                <w:b/>
                <w:i/>
                <w:sz w:val="16"/>
                <w:szCs w:val="16"/>
                <w:lang w:val="en-US"/>
              </w:rPr>
              <w:t xml:space="preserve">Handbook on the External Costs of Transport (January 2019), </w:t>
            </w:r>
            <w:r>
              <w:rPr>
                <w:rFonts w:asciiTheme="minorHAnsi" w:hAnsiTheme="minorHAnsi" w:cs="Arial"/>
                <w:b/>
                <w:i/>
                <w:sz w:val="16"/>
                <w:szCs w:val="16"/>
                <w:lang w:val="en-US"/>
              </w:rPr>
              <w:t>file</w:t>
            </w:r>
            <w:r w:rsidRPr="00747F5E">
              <w:rPr>
                <w:rFonts w:asciiTheme="minorHAnsi" w:hAnsiTheme="minorHAnsi" w:cs="Arial"/>
                <w:b/>
                <w:i/>
                <w:sz w:val="16"/>
                <w:szCs w:val="16"/>
                <w:lang w:val="en-US"/>
              </w:rPr>
              <w:t xml:space="preserve"> "FINAL_marginal_costs_air-poll_climate_WTT_noise.xlsx"</w:t>
            </w:r>
            <w:r>
              <w:rPr>
                <w:rFonts w:asciiTheme="minorHAnsi" w:hAnsiTheme="minorHAnsi" w:cs="Arial"/>
                <w:b/>
                <w:i/>
                <w:sz w:val="16"/>
                <w:szCs w:val="16"/>
                <w:lang w:val="en-US"/>
              </w:rPr>
              <w:t>, sheet “</w:t>
            </w:r>
            <w:r w:rsidRPr="002E7D1B">
              <w:rPr>
                <w:rFonts w:asciiTheme="minorHAnsi" w:hAnsiTheme="minorHAnsi" w:cs="Arial"/>
                <w:b/>
                <w:i/>
                <w:sz w:val="16"/>
                <w:szCs w:val="16"/>
                <w:lang w:val="en-GB"/>
              </w:rPr>
              <w:t>noise_all</w:t>
            </w:r>
            <w:r>
              <w:rPr>
                <w:rFonts w:asciiTheme="minorHAnsi" w:hAnsiTheme="minorHAnsi" w:cs="Arial"/>
                <w:b/>
                <w:i/>
                <w:sz w:val="16"/>
                <w:szCs w:val="16"/>
                <w:lang w:val="en-US"/>
              </w:rPr>
              <w:t>”</w:t>
            </w:r>
          </w:p>
          <w:p w14:paraId="6CE16BDB" w14:textId="77777777" w:rsidR="00921721" w:rsidRDefault="00921721" w:rsidP="00880D09">
            <w:pPr>
              <w:ind w:right="170"/>
              <w:jc w:val="both"/>
              <w:rPr>
                <w:rFonts w:asciiTheme="minorHAnsi" w:hAnsiTheme="minorHAnsi" w:cs="Arial"/>
                <w:snapToGrid w:val="0"/>
                <w:sz w:val="20"/>
                <w:szCs w:val="20"/>
                <w:lang w:val="en-GB" w:eastAsia="en-US"/>
              </w:rPr>
            </w:pPr>
          </w:p>
          <w:p w14:paraId="1EF390EB" w14:textId="77777777" w:rsidR="00921721" w:rsidRDefault="00921721" w:rsidP="00880D09">
            <w:pPr>
              <w:pStyle w:val="anxnormal"/>
              <w:ind w:left="0"/>
              <w:rPr>
                <w:rFonts w:asciiTheme="minorHAnsi" w:hAnsiTheme="minorHAnsi"/>
                <w:u w:val="single"/>
                <w:lang w:val="en-GB" w:eastAsia="en-US"/>
              </w:rPr>
            </w:pPr>
          </w:p>
          <w:p w14:paraId="010B51A1" w14:textId="77777777" w:rsidR="00921721" w:rsidRDefault="00921721" w:rsidP="00880D09">
            <w:pPr>
              <w:pStyle w:val="anxnormal"/>
              <w:ind w:left="0"/>
              <w:rPr>
                <w:rFonts w:asciiTheme="minorHAnsi" w:hAnsiTheme="minorHAnsi"/>
                <w:u w:val="single"/>
                <w:lang w:val="en-GB" w:eastAsia="en-US"/>
              </w:rPr>
            </w:pPr>
          </w:p>
          <w:p w14:paraId="2A474131" w14:textId="77777777" w:rsidR="00921721" w:rsidRPr="00731E4E" w:rsidRDefault="00921721" w:rsidP="00880D09">
            <w:pPr>
              <w:pStyle w:val="anxnormal"/>
              <w:ind w:left="0"/>
              <w:rPr>
                <w:rFonts w:asciiTheme="minorHAnsi" w:hAnsiTheme="minorHAnsi"/>
                <w:u w:val="single"/>
                <w:lang w:val="en-GB" w:eastAsia="en-US"/>
              </w:rPr>
            </w:pPr>
            <w:r w:rsidRPr="00731E4E">
              <w:rPr>
                <w:rFonts w:asciiTheme="minorHAnsi" w:hAnsiTheme="minorHAnsi"/>
                <w:u w:val="single"/>
                <w:lang w:val="en-GB" w:eastAsia="en-US"/>
              </w:rPr>
              <w:t>Second method</w:t>
            </w:r>
          </w:p>
          <w:p w14:paraId="0A9CB505" w14:textId="77777777" w:rsidR="00921721" w:rsidRPr="002C6855" w:rsidRDefault="00921721" w:rsidP="00880D09">
            <w:pPr>
              <w:pStyle w:val="anxnormal"/>
              <w:spacing w:after="120"/>
              <w:ind w:left="0"/>
              <w:rPr>
                <w:rFonts w:asciiTheme="minorHAnsi" w:hAnsiTheme="minorHAnsi"/>
                <w:lang w:val="en-GB" w:eastAsia="en-US"/>
              </w:rPr>
            </w:pPr>
            <w:r w:rsidRPr="002C6855">
              <w:rPr>
                <w:rFonts w:asciiTheme="minorHAnsi" w:hAnsiTheme="minorHAnsi"/>
                <w:lang w:val="en-GB" w:eastAsia="en-US"/>
              </w:rPr>
              <w:t>Impact indicator for noise exposure: percentage of adult persons highly annoyed per person (all ages) exposed</w:t>
            </w:r>
            <w:r>
              <w:rPr>
                <w:rFonts w:asciiTheme="minorHAnsi" w:hAnsiTheme="minorHAnsi"/>
                <w:lang w:val="en-GB" w:eastAsia="en-US"/>
              </w:rPr>
              <w:t xml:space="preserve"> to excessive noise</w:t>
            </w:r>
          </w:p>
          <w:tbl>
            <w:tblPr>
              <w:tblW w:w="3962" w:type="dxa"/>
              <w:tblLayout w:type="fixed"/>
              <w:tblLook w:val="04A0" w:firstRow="1" w:lastRow="0" w:firstColumn="1" w:lastColumn="0" w:noHBand="0" w:noVBand="1"/>
            </w:tblPr>
            <w:tblGrid>
              <w:gridCol w:w="1378"/>
              <w:gridCol w:w="2584"/>
            </w:tblGrid>
            <w:tr w:rsidR="00921721" w:rsidRPr="007463B9" w14:paraId="451EBDB6" w14:textId="77777777" w:rsidTr="00880D09">
              <w:trPr>
                <w:trHeight w:hRule="exact" w:val="569"/>
              </w:trPr>
              <w:tc>
                <w:tcPr>
                  <w:tcW w:w="1378"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8D932FB" w14:textId="77777777" w:rsidR="00921721" w:rsidRPr="002C6855" w:rsidRDefault="00921721" w:rsidP="00880D09">
                  <w:pPr>
                    <w:jc w:val="center"/>
                    <w:rPr>
                      <w:rFonts w:asciiTheme="minorHAnsi" w:hAnsiTheme="minorHAnsi" w:cs="Arial"/>
                      <w:b/>
                      <w:bCs/>
                      <w:color w:val="FFFFFF"/>
                      <w:sz w:val="18"/>
                      <w:szCs w:val="18"/>
                    </w:rPr>
                  </w:pPr>
                  <w:r w:rsidRPr="002C6855">
                    <w:rPr>
                      <w:rFonts w:asciiTheme="minorHAnsi" w:hAnsiTheme="minorHAnsi" w:cs="Arial"/>
                      <w:b/>
                      <w:bCs/>
                      <w:color w:val="FFFFFF"/>
                      <w:sz w:val="18"/>
                      <w:szCs w:val="18"/>
                    </w:rPr>
                    <w:t>LAeq dB</w:t>
                  </w:r>
                </w:p>
              </w:tc>
              <w:tc>
                <w:tcPr>
                  <w:tcW w:w="258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F85A52D" w14:textId="77777777" w:rsidR="00921721" w:rsidRPr="002C6855" w:rsidRDefault="00921721" w:rsidP="00880D09">
                  <w:pPr>
                    <w:jc w:val="center"/>
                    <w:rPr>
                      <w:rFonts w:asciiTheme="minorHAnsi" w:hAnsiTheme="minorHAnsi" w:cs="Arial"/>
                      <w:b/>
                      <w:bCs/>
                      <w:color w:val="FFFFFF"/>
                      <w:sz w:val="18"/>
                      <w:szCs w:val="18"/>
                      <w:lang w:val="en-GB"/>
                    </w:rPr>
                  </w:pPr>
                  <w:r w:rsidRPr="002C6855">
                    <w:rPr>
                      <w:rFonts w:asciiTheme="minorHAnsi" w:hAnsiTheme="minorHAnsi" w:cs="Arial"/>
                      <w:b/>
                      <w:bCs/>
                      <w:color w:val="FFFFFF"/>
                      <w:sz w:val="18"/>
                      <w:szCs w:val="18"/>
                      <w:lang w:val="en-GB"/>
                    </w:rPr>
                    <w:t>Percentage of people annoyed by noise (%)</w:t>
                  </w:r>
                </w:p>
              </w:tc>
            </w:tr>
            <w:tr w:rsidR="00921721" w:rsidRPr="007463B9" w14:paraId="657B07AD"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760CD74"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55-57</w:t>
                  </w:r>
                </w:p>
              </w:tc>
              <w:tc>
                <w:tcPr>
                  <w:tcW w:w="258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7B6A8EA"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w:t>
                  </w:r>
                  <w:r>
                    <w:rPr>
                      <w:rFonts w:asciiTheme="minorHAnsi" w:hAnsiTheme="minorHAnsi" w:cs="Arial"/>
                      <w:color w:val="4F81BD" w:themeColor="accent1"/>
                      <w:sz w:val="18"/>
                      <w:szCs w:val="18"/>
                      <w:lang w:val="en-GB"/>
                    </w:rPr>
                    <w:t>.</w:t>
                  </w:r>
                  <w:r w:rsidRPr="002C6855">
                    <w:rPr>
                      <w:rFonts w:asciiTheme="minorHAnsi" w:hAnsiTheme="minorHAnsi" w:cs="Arial"/>
                      <w:color w:val="4F81BD" w:themeColor="accent1"/>
                      <w:sz w:val="18"/>
                      <w:szCs w:val="18"/>
                      <w:lang w:val="en-GB"/>
                    </w:rPr>
                    <w:t>6</w:t>
                  </w:r>
                </w:p>
              </w:tc>
            </w:tr>
            <w:tr w:rsidR="00921721" w:rsidRPr="007463B9" w14:paraId="49079A35"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BE25C8D"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58-60</w:t>
                  </w:r>
                </w:p>
              </w:tc>
              <w:tc>
                <w:tcPr>
                  <w:tcW w:w="258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6056BDB"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w:t>
                  </w:r>
                  <w:r>
                    <w:rPr>
                      <w:rFonts w:asciiTheme="minorHAnsi" w:hAnsiTheme="minorHAnsi" w:cs="Arial"/>
                      <w:color w:val="4F81BD" w:themeColor="accent1"/>
                      <w:sz w:val="18"/>
                      <w:szCs w:val="18"/>
                      <w:lang w:val="en-GB"/>
                    </w:rPr>
                    <w:t>.</w:t>
                  </w:r>
                  <w:r w:rsidRPr="002C6855">
                    <w:rPr>
                      <w:rFonts w:asciiTheme="minorHAnsi" w:hAnsiTheme="minorHAnsi" w:cs="Arial"/>
                      <w:color w:val="4F81BD" w:themeColor="accent1"/>
                      <w:sz w:val="18"/>
                      <w:szCs w:val="18"/>
                      <w:lang w:val="en-GB"/>
                    </w:rPr>
                    <w:t>5</w:t>
                  </w:r>
                </w:p>
              </w:tc>
            </w:tr>
            <w:tr w:rsidR="00921721" w:rsidRPr="007463B9" w14:paraId="15F78E29"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3B3C197"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61-63</w:t>
                  </w:r>
                </w:p>
              </w:tc>
              <w:tc>
                <w:tcPr>
                  <w:tcW w:w="258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2168BA1"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9</w:t>
                  </w:r>
                  <w:r>
                    <w:rPr>
                      <w:rFonts w:asciiTheme="minorHAnsi" w:hAnsiTheme="minorHAnsi" w:cs="Arial"/>
                      <w:color w:val="4F81BD" w:themeColor="accent1"/>
                      <w:sz w:val="18"/>
                      <w:szCs w:val="18"/>
                      <w:lang w:val="en-GB"/>
                    </w:rPr>
                    <w:t>.</w:t>
                  </w:r>
                  <w:r w:rsidRPr="002C6855">
                    <w:rPr>
                      <w:rFonts w:asciiTheme="minorHAnsi" w:hAnsiTheme="minorHAnsi" w:cs="Arial"/>
                      <w:color w:val="4F81BD" w:themeColor="accent1"/>
                      <w:sz w:val="18"/>
                      <w:szCs w:val="18"/>
                      <w:lang w:val="en-GB"/>
                    </w:rPr>
                    <w:t>9</w:t>
                  </w:r>
                </w:p>
              </w:tc>
            </w:tr>
            <w:tr w:rsidR="00921721" w:rsidRPr="007463B9" w14:paraId="1FE7529D"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515793C"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64-66</w:t>
                  </w:r>
                </w:p>
              </w:tc>
              <w:tc>
                <w:tcPr>
                  <w:tcW w:w="258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3D8D16F"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13</w:t>
                  </w:r>
                  <w:r>
                    <w:rPr>
                      <w:rFonts w:asciiTheme="minorHAnsi" w:hAnsiTheme="minorHAnsi" w:cs="Arial"/>
                      <w:color w:val="4F81BD" w:themeColor="accent1"/>
                      <w:sz w:val="18"/>
                      <w:szCs w:val="18"/>
                      <w:lang w:val="en-GB"/>
                    </w:rPr>
                    <w:t>.</w:t>
                  </w:r>
                  <w:r w:rsidRPr="002C6855">
                    <w:rPr>
                      <w:rFonts w:asciiTheme="minorHAnsi" w:hAnsiTheme="minorHAnsi" w:cs="Arial"/>
                      <w:color w:val="4F81BD" w:themeColor="accent1"/>
                      <w:sz w:val="18"/>
                      <w:szCs w:val="18"/>
                      <w:lang w:val="en-GB"/>
                    </w:rPr>
                    <w:t>0</w:t>
                  </w:r>
                </w:p>
              </w:tc>
            </w:tr>
            <w:tr w:rsidR="00921721" w:rsidRPr="007463B9" w14:paraId="04BECC64"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85908DC"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67-69</w:t>
                  </w:r>
                </w:p>
              </w:tc>
              <w:tc>
                <w:tcPr>
                  <w:tcW w:w="258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AB59FC2"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16</w:t>
                  </w:r>
                  <w:r>
                    <w:rPr>
                      <w:rFonts w:asciiTheme="minorHAnsi" w:hAnsiTheme="minorHAnsi" w:cs="Arial"/>
                      <w:color w:val="4F81BD" w:themeColor="accent1"/>
                      <w:sz w:val="18"/>
                      <w:szCs w:val="18"/>
                      <w:lang w:val="en-GB"/>
                    </w:rPr>
                    <w:t>.</w:t>
                  </w:r>
                  <w:r w:rsidRPr="002C6855">
                    <w:rPr>
                      <w:rFonts w:asciiTheme="minorHAnsi" w:hAnsiTheme="minorHAnsi" w:cs="Arial"/>
                      <w:color w:val="4F81BD" w:themeColor="accent1"/>
                      <w:sz w:val="18"/>
                      <w:szCs w:val="18"/>
                      <w:lang w:val="en-GB"/>
                    </w:rPr>
                    <w:t>8</w:t>
                  </w:r>
                </w:p>
              </w:tc>
            </w:tr>
            <w:tr w:rsidR="00921721" w:rsidRPr="007463B9" w14:paraId="324A7EDB"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6B3D5EC"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70-72</w:t>
                  </w:r>
                </w:p>
              </w:tc>
              <w:tc>
                <w:tcPr>
                  <w:tcW w:w="258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C227E0C"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21</w:t>
                  </w:r>
                  <w:r>
                    <w:rPr>
                      <w:rFonts w:asciiTheme="minorHAnsi" w:hAnsiTheme="minorHAnsi" w:cs="Arial"/>
                      <w:color w:val="4F81BD" w:themeColor="accent1"/>
                      <w:sz w:val="18"/>
                      <w:szCs w:val="18"/>
                      <w:lang w:val="en-GB"/>
                    </w:rPr>
                    <w:t>.</w:t>
                  </w:r>
                  <w:r w:rsidRPr="002C6855">
                    <w:rPr>
                      <w:rFonts w:asciiTheme="minorHAnsi" w:hAnsiTheme="minorHAnsi" w:cs="Arial"/>
                      <w:color w:val="4F81BD" w:themeColor="accent1"/>
                      <w:sz w:val="18"/>
                      <w:szCs w:val="18"/>
                      <w:lang w:val="en-GB"/>
                    </w:rPr>
                    <w:t>5</w:t>
                  </w:r>
                </w:p>
              </w:tc>
            </w:tr>
            <w:tr w:rsidR="00921721" w:rsidRPr="007463B9" w14:paraId="3D6C333C"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EF171FF"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73-75</w:t>
                  </w:r>
                </w:p>
              </w:tc>
              <w:tc>
                <w:tcPr>
                  <w:tcW w:w="258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FAF26B1"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27</w:t>
                  </w:r>
                  <w:r>
                    <w:rPr>
                      <w:rFonts w:asciiTheme="minorHAnsi" w:hAnsiTheme="minorHAnsi" w:cs="Arial"/>
                      <w:color w:val="4F81BD" w:themeColor="accent1"/>
                      <w:sz w:val="18"/>
                      <w:szCs w:val="18"/>
                      <w:lang w:val="en-GB"/>
                    </w:rPr>
                    <w:t>.</w:t>
                  </w:r>
                  <w:r w:rsidRPr="002C6855">
                    <w:rPr>
                      <w:rFonts w:asciiTheme="minorHAnsi" w:hAnsiTheme="minorHAnsi" w:cs="Arial"/>
                      <w:color w:val="4F81BD" w:themeColor="accent1"/>
                      <w:sz w:val="18"/>
                      <w:szCs w:val="18"/>
                      <w:lang w:val="en-GB"/>
                    </w:rPr>
                    <w:t>3</w:t>
                  </w:r>
                </w:p>
              </w:tc>
            </w:tr>
            <w:tr w:rsidR="00921721" w:rsidRPr="007463B9" w14:paraId="2547902B"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AF663F4"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76-78</w:t>
                  </w:r>
                </w:p>
              </w:tc>
              <w:tc>
                <w:tcPr>
                  <w:tcW w:w="258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9657BB4"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34</w:t>
                  </w:r>
                  <w:r>
                    <w:rPr>
                      <w:rFonts w:asciiTheme="minorHAnsi" w:hAnsiTheme="minorHAnsi" w:cs="Arial"/>
                      <w:color w:val="4F81BD" w:themeColor="accent1"/>
                      <w:sz w:val="18"/>
                      <w:szCs w:val="18"/>
                      <w:lang w:val="en-GB"/>
                    </w:rPr>
                    <w:t>.</w:t>
                  </w:r>
                  <w:r w:rsidRPr="002C6855">
                    <w:rPr>
                      <w:rFonts w:asciiTheme="minorHAnsi" w:hAnsiTheme="minorHAnsi" w:cs="Arial"/>
                      <w:color w:val="4F81BD" w:themeColor="accent1"/>
                      <w:sz w:val="18"/>
                      <w:szCs w:val="18"/>
                      <w:lang w:val="en-GB"/>
                    </w:rPr>
                    <w:t>2</w:t>
                  </w:r>
                </w:p>
              </w:tc>
            </w:tr>
            <w:tr w:rsidR="00921721" w:rsidRPr="007463B9" w14:paraId="6E642477" w14:textId="77777777" w:rsidTr="00880D09">
              <w:trPr>
                <w:trHeight w:val="256"/>
              </w:trPr>
              <w:tc>
                <w:tcPr>
                  <w:tcW w:w="1378"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5728B0D"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78-81</w:t>
                  </w:r>
                </w:p>
              </w:tc>
              <w:tc>
                <w:tcPr>
                  <w:tcW w:w="2584"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64D4BDC" w14:textId="77777777" w:rsidR="00921721" w:rsidRPr="002C6855" w:rsidRDefault="00921721" w:rsidP="00880D09">
                  <w:pPr>
                    <w:jc w:val="center"/>
                    <w:rPr>
                      <w:rFonts w:asciiTheme="minorHAnsi" w:hAnsiTheme="minorHAnsi" w:cs="Arial"/>
                      <w:color w:val="4F81BD" w:themeColor="accent1"/>
                      <w:sz w:val="18"/>
                      <w:szCs w:val="18"/>
                      <w:lang w:val="en-GB"/>
                    </w:rPr>
                  </w:pPr>
                  <w:r w:rsidRPr="002C6855">
                    <w:rPr>
                      <w:rFonts w:asciiTheme="minorHAnsi" w:hAnsiTheme="minorHAnsi" w:cs="Arial"/>
                      <w:color w:val="4F81BD" w:themeColor="accent1"/>
                      <w:sz w:val="18"/>
                      <w:szCs w:val="18"/>
                      <w:lang w:val="en-GB"/>
                    </w:rPr>
                    <w:t>42</w:t>
                  </w:r>
                  <w:r>
                    <w:rPr>
                      <w:rFonts w:asciiTheme="minorHAnsi" w:hAnsiTheme="minorHAnsi" w:cs="Arial"/>
                      <w:color w:val="4F81BD" w:themeColor="accent1"/>
                      <w:sz w:val="18"/>
                      <w:szCs w:val="18"/>
                      <w:lang w:val="en-GB"/>
                    </w:rPr>
                    <w:t>.</w:t>
                  </w:r>
                  <w:r w:rsidRPr="002C6855">
                    <w:rPr>
                      <w:rFonts w:asciiTheme="minorHAnsi" w:hAnsiTheme="minorHAnsi" w:cs="Arial"/>
                      <w:color w:val="4F81BD" w:themeColor="accent1"/>
                      <w:sz w:val="18"/>
                      <w:szCs w:val="18"/>
                      <w:lang w:val="en-GB"/>
                    </w:rPr>
                    <w:t>4</w:t>
                  </w:r>
                </w:p>
              </w:tc>
            </w:tr>
          </w:tbl>
          <w:p w14:paraId="12D7D881" w14:textId="77777777" w:rsidR="00921721" w:rsidRPr="002C6855" w:rsidRDefault="00921721" w:rsidP="00880D09">
            <w:pPr>
              <w:ind w:right="170"/>
              <w:jc w:val="both"/>
              <w:rPr>
                <w:rFonts w:asciiTheme="minorHAnsi" w:hAnsiTheme="minorHAnsi" w:cs="Arial"/>
                <w:b/>
                <w:i/>
                <w:sz w:val="16"/>
                <w:szCs w:val="16"/>
                <w:lang w:val="en-GB"/>
              </w:rPr>
            </w:pPr>
            <w:r w:rsidRPr="002C6855">
              <w:rPr>
                <w:rFonts w:asciiTheme="minorHAnsi" w:hAnsiTheme="minorHAnsi" w:cs="Arial"/>
                <w:b/>
                <w:i/>
                <w:sz w:val="16"/>
                <w:szCs w:val="16"/>
                <w:lang w:val="en-GB"/>
              </w:rPr>
              <w:t>Source: Proprietary work based on HEATCO.</w:t>
            </w:r>
          </w:p>
          <w:p w14:paraId="7D99764C" w14:textId="77777777" w:rsidR="00921721" w:rsidRPr="002C6855" w:rsidRDefault="00921721" w:rsidP="00880D09">
            <w:pPr>
              <w:pStyle w:val="anxnormal"/>
              <w:spacing w:after="120"/>
              <w:ind w:left="0"/>
              <w:rPr>
                <w:rFonts w:asciiTheme="minorHAnsi" w:hAnsiTheme="minorHAnsi"/>
                <w:lang w:val="en-GB" w:eastAsia="en-US"/>
              </w:rPr>
            </w:pPr>
            <w:r w:rsidRPr="002C6855">
              <w:rPr>
                <w:rFonts w:asciiTheme="minorHAnsi" w:hAnsiTheme="minorHAnsi"/>
                <w:lang w:val="en-GB" w:eastAsia="en-US"/>
              </w:rPr>
              <w:t>Economic unit costs of noise [PLN/person/year], prices 20</w:t>
            </w:r>
            <w:r>
              <w:rPr>
                <w:rFonts w:asciiTheme="minorHAnsi" w:hAnsiTheme="minorHAnsi"/>
                <w:lang w:val="en-GB" w:eastAsia="en-US"/>
              </w:rPr>
              <w:t>21</w:t>
            </w:r>
          </w:p>
          <w:tbl>
            <w:tblPr>
              <w:tblW w:w="4849" w:type="dxa"/>
              <w:tblLayout w:type="fixed"/>
              <w:tblLook w:val="04A0" w:firstRow="1" w:lastRow="0" w:firstColumn="1" w:lastColumn="0" w:noHBand="0" w:noVBand="1"/>
            </w:tblPr>
            <w:tblGrid>
              <w:gridCol w:w="969"/>
              <w:gridCol w:w="969"/>
              <w:gridCol w:w="969"/>
              <w:gridCol w:w="969"/>
              <w:gridCol w:w="973"/>
            </w:tblGrid>
            <w:tr w:rsidR="00921721" w:rsidRPr="007463B9" w14:paraId="02281ED6" w14:textId="77777777" w:rsidTr="00880D09">
              <w:trPr>
                <w:trHeight w:val="478"/>
              </w:trPr>
              <w:tc>
                <w:tcPr>
                  <w:tcW w:w="4849" w:type="dxa"/>
                  <w:gridSpan w:val="5"/>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35C2C9C" w14:textId="77777777" w:rsidR="00921721" w:rsidRPr="002C6855" w:rsidRDefault="00921721" w:rsidP="00880D09">
                  <w:pPr>
                    <w:snapToGrid w:val="0"/>
                    <w:spacing w:before="20" w:after="20"/>
                    <w:jc w:val="center"/>
                    <w:rPr>
                      <w:rFonts w:asciiTheme="minorHAnsi" w:hAnsiTheme="minorHAnsi" w:cs="Arial"/>
                      <w:b/>
                      <w:bCs/>
                      <w:color w:val="FFFFFF"/>
                      <w:sz w:val="18"/>
                      <w:szCs w:val="18"/>
                      <w:lang w:val="en-GB"/>
                    </w:rPr>
                  </w:pPr>
                  <w:r w:rsidRPr="002C6855">
                    <w:rPr>
                      <w:rFonts w:asciiTheme="minorHAnsi" w:hAnsiTheme="minorHAnsi" w:cs="Arial"/>
                      <w:b/>
                      <w:bCs/>
                      <w:color w:val="FFFFFF"/>
                      <w:sz w:val="18"/>
                      <w:szCs w:val="18"/>
                      <w:lang w:val="en-GB"/>
                    </w:rPr>
                    <w:t>Unit noise costs for different levels in dB (A) (PLN/person/year)</w:t>
                  </w:r>
                </w:p>
              </w:tc>
            </w:tr>
            <w:tr w:rsidR="00921721" w:rsidRPr="007463B9" w14:paraId="4B00C87B" w14:textId="77777777" w:rsidTr="00880D09">
              <w:trPr>
                <w:trHeight w:hRule="exact" w:val="309"/>
              </w:trPr>
              <w:tc>
                <w:tcPr>
                  <w:tcW w:w="96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833BA21" w14:textId="77777777" w:rsidR="00921721" w:rsidRPr="002C6855" w:rsidRDefault="00921721" w:rsidP="00880D09">
                  <w:pPr>
                    <w:snapToGrid w:val="0"/>
                    <w:spacing w:before="20" w:after="20"/>
                    <w:jc w:val="center"/>
                    <w:rPr>
                      <w:rFonts w:asciiTheme="minorHAnsi" w:hAnsiTheme="minorHAnsi" w:cs="Arial"/>
                      <w:b/>
                      <w:bCs/>
                      <w:color w:val="FFFFFF"/>
                      <w:sz w:val="18"/>
                      <w:szCs w:val="18"/>
                      <w:lang w:val="en-GB"/>
                    </w:rPr>
                  </w:pPr>
                  <w:r w:rsidRPr="002C6855">
                    <w:rPr>
                      <w:rFonts w:asciiTheme="minorHAnsi" w:hAnsiTheme="minorHAnsi" w:cs="Arial"/>
                      <w:b/>
                      <w:bCs/>
                      <w:color w:val="FFFFFF"/>
                      <w:sz w:val="18"/>
                      <w:szCs w:val="18"/>
                      <w:lang w:val="en-GB"/>
                    </w:rPr>
                    <w:t>55-59</w:t>
                  </w:r>
                </w:p>
              </w:tc>
              <w:tc>
                <w:tcPr>
                  <w:tcW w:w="96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3785B48" w14:textId="77777777" w:rsidR="00921721" w:rsidRPr="002C6855" w:rsidRDefault="00921721" w:rsidP="00880D09">
                  <w:pPr>
                    <w:snapToGrid w:val="0"/>
                    <w:spacing w:before="20" w:after="20"/>
                    <w:jc w:val="center"/>
                    <w:rPr>
                      <w:rFonts w:asciiTheme="minorHAnsi" w:hAnsiTheme="minorHAnsi" w:cs="Arial"/>
                      <w:b/>
                      <w:bCs/>
                      <w:color w:val="FFFFFF"/>
                      <w:sz w:val="18"/>
                      <w:szCs w:val="18"/>
                      <w:lang w:val="en-GB"/>
                    </w:rPr>
                  </w:pPr>
                  <w:r w:rsidRPr="002C6855">
                    <w:rPr>
                      <w:rFonts w:asciiTheme="minorHAnsi" w:hAnsiTheme="minorHAnsi" w:cs="Arial"/>
                      <w:b/>
                      <w:bCs/>
                      <w:color w:val="FFFFFF"/>
                      <w:sz w:val="18"/>
                      <w:szCs w:val="18"/>
                      <w:lang w:val="en-GB"/>
                    </w:rPr>
                    <w:t>60-64</w:t>
                  </w:r>
                </w:p>
              </w:tc>
              <w:tc>
                <w:tcPr>
                  <w:tcW w:w="969"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4B52BB16" w14:textId="77777777" w:rsidR="00921721" w:rsidRPr="002C6855" w:rsidRDefault="00921721" w:rsidP="00880D09">
                  <w:pPr>
                    <w:snapToGrid w:val="0"/>
                    <w:spacing w:before="20" w:after="20"/>
                    <w:jc w:val="center"/>
                    <w:rPr>
                      <w:rFonts w:asciiTheme="minorHAnsi" w:hAnsiTheme="minorHAnsi" w:cs="Arial"/>
                      <w:b/>
                      <w:bCs/>
                      <w:color w:val="FFFFFF"/>
                      <w:sz w:val="18"/>
                      <w:szCs w:val="18"/>
                      <w:lang w:val="en-GB"/>
                    </w:rPr>
                  </w:pPr>
                  <w:r w:rsidRPr="002C6855">
                    <w:rPr>
                      <w:rFonts w:asciiTheme="minorHAnsi" w:hAnsiTheme="minorHAnsi" w:cs="Arial"/>
                      <w:b/>
                      <w:bCs/>
                      <w:color w:val="FFFFFF"/>
                      <w:sz w:val="18"/>
                      <w:szCs w:val="18"/>
                      <w:lang w:val="en-GB"/>
                    </w:rPr>
                    <w:t>65-69</w:t>
                  </w:r>
                </w:p>
              </w:tc>
              <w:tc>
                <w:tcPr>
                  <w:tcW w:w="969"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3FE02457" w14:textId="77777777" w:rsidR="00921721" w:rsidRPr="002C6855" w:rsidRDefault="00921721" w:rsidP="00880D09">
                  <w:pPr>
                    <w:snapToGrid w:val="0"/>
                    <w:spacing w:before="20" w:after="20"/>
                    <w:jc w:val="center"/>
                    <w:rPr>
                      <w:rFonts w:asciiTheme="minorHAnsi" w:hAnsiTheme="minorHAnsi" w:cs="Arial"/>
                      <w:b/>
                      <w:bCs/>
                      <w:color w:val="FFFFFF"/>
                      <w:sz w:val="18"/>
                      <w:szCs w:val="18"/>
                      <w:lang w:val="en-GB"/>
                    </w:rPr>
                  </w:pPr>
                  <w:r w:rsidRPr="002C6855">
                    <w:rPr>
                      <w:rFonts w:asciiTheme="minorHAnsi" w:hAnsiTheme="minorHAnsi" w:cs="Arial"/>
                      <w:b/>
                      <w:bCs/>
                      <w:color w:val="FFFFFF"/>
                      <w:sz w:val="18"/>
                      <w:szCs w:val="18"/>
                      <w:lang w:val="en-GB"/>
                    </w:rPr>
                    <w:t>70-74</w:t>
                  </w:r>
                </w:p>
              </w:tc>
              <w:tc>
                <w:tcPr>
                  <w:tcW w:w="973"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4DF0649" w14:textId="77777777" w:rsidR="00921721" w:rsidRPr="002C6855" w:rsidRDefault="00921721" w:rsidP="00880D09">
                  <w:pPr>
                    <w:snapToGrid w:val="0"/>
                    <w:spacing w:before="20" w:after="20"/>
                    <w:jc w:val="center"/>
                    <w:rPr>
                      <w:rFonts w:asciiTheme="minorHAnsi" w:hAnsiTheme="minorHAnsi" w:cs="Arial"/>
                      <w:b/>
                      <w:bCs/>
                      <w:color w:val="FFFFFF"/>
                      <w:sz w:val="18"/>
                      <w:szCs w:val="18"/>
                      <w:lang w:val="en-GB"/>
                    </w:rPr>
                  </w:pPr>
                  <w:r>
                    <w:rPr>
                      <w:rFonts w:asciiTheme="minorHAnsi" w:hAnsiTheme="minorHAnsi" w:cs="Arial"/>
                      <w:b/>
                      <w:bCs/>
                      <w:color w:val="FFFFFF"/>
                      <w:sz w:val="18"/>
                      <w:szCs w:val="18"/>
                      <w:lang w:val="en-GB"/>
                    </w:rPr>
                    <w:t>&gt;</w:t>
                  </w:r>
                  <w:r w:rsidRPr="002C6855">
                    <w:rPr>
                      <w:rFonts w:asciiTheme="minorHAnsi" w:hAnsiTheme="minorHAnsi" w:cs="Arial"/>
                      <w:b/>
                      <w:bCs/>
                      <w:color w:val="FFFFFF"/>
                      <w:sz w:val="18"/>
                      <w:szCs w:val="18"/>
                      <w:lang w:val="en-GB"/>
                    </w:rPr>
                    <w:t>75</w:t>
                  </w:r>
                </w:p>
              </w:tc>
            </w:tr>
            <w:tr w:rsidR="00921721" w:rsidRPr="007463B9" w14:paraId="6E4F06EF" w14:textId="77777777" w:rsidTr="00880D09">
              <w:trPr>
                <w:trHeight w:val="258"/>
              </w:trPr>
              <w:tc>
                <w:tcPr>
                  <w:tcW w:w="9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817E5BB" w14:textId="77777777" w:rsidR="00921721" w:rsidRPr="002C6855"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414</w:t>
                  </w:r>
                </w:p>
              </w:tc>
              <w:tc>
                <w:tcPr>
                  <w:tcW w:w="9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7D528F9" w14:textId="77777777" w:rsidR="00921721" w:rsidRPr="002C6855"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879</w:t>
                  </w:r>
                </w:p>
              </w:tc>
              <w:tc>
                <w:tcPr>
                  <w:tcW w:w="9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791C3FA" w14:textId="77777777" w:rsidR="00921721" w:rsidRPr="002C6855"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1,514</w:t>
                  </w:r>
                </w:p>
              </w:tc>
              <w:tc>
                <w:tcPr>
                  <w:tcW w:w="969"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0E1840C4" w14:textId="77777777" w:rsidR="00921721" w:rsidRPr="002C6855"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2,435</w:t>
                  </w:r>
                </w:p>
              </w:tc>
              <w:tc>
                <w:tcPr>
                  <w:tcW w:w="973"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37944BE" w14:textId="77777777" w:rsidR="00921721" w:rsidRPr="002C6855" w:rsidRDefault="00921721" w:rsidP="00880D09">
                  <w:pPr>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3,089</w:t>
                  </w:r>
                </w:p>
              </w:tc>
            </w:tr>
          </w:tbl>
          <w:p w14:paraId="68C9FDD3" w14:textId="77777777" w:rsidR="00921721" w:rsidRPr="00645142" w:rsidRDefault="00921721" w:rsidP="00880D09">
            <w:pPr>
              <w:spacing w:after="120"/>
              <w:rPr>
                <w:rFonts w:asciiTheme="minorHAnsi" w:hAnsiTheme="minorHAnsi" w:cs="Arial"/>
                <w:b/>
                <w:i/>
                <w:sz w:val="16"/>
                <w:szCs w:val="16"/>
                <w:lang w:val="en-US"/>
              </w:rPr>
            </w:pPr>
            <w:r w:rsidRPr="002C6855">
              <w:rPr>
                <w:rFonts w:asciiTheme="minorHAnsi" w:hAnsiTheme="minorHAnsi" w:cs="Arial"/>
                <w:b/>
                <w:i/>
                <w:sz w:val="16"/>
                <w:szCs w:val="16"/>
                <w:lang w:val="en-GB"/>
              </w:rPr>
              <w:t xml:space="preserve">Source: </w:t>
            </w:r>
            <w:r w:rsidRPr="00CF54F6">
              <w:rPr>
                <w:rFonts w:asciiTheme="minorHAnsi" w:hAnsiTheme="minorHAnsi" w:cs="Arial"/>
                <w:b/>
                <w:i/>
                <w:sz w:val="16"/>
                <w:szCs w:val="16"/>
                <w:lang w:val="en-US"/>
              </w:rPr>
              <w:t xml:space="preserve">CUPT-JASPERS work based on </w:t>
            </w:r>
            <w:r w:rsidRPr="00747F5E">
              <w:rPr>
                <w:rFonts w:asciiTheme="minorHAnsi" w:hAnsiTheme="minorHAnsi" w:cs="Arial"/>
                <w:b/>
                <w:i/>
                <w:sz w:val="16"/>
                <w:szCs w:val="16"/>
                <w:lang w:val="en-US"/>
              </w:rPr>
              <w:t>Handbook on the External Costs of Transport (January 2019)</w:t>
            </w:r>
            <w:r>
              <w:rPr>
                <w:rFonts w:asciiTheme="minorHAnsi" w:hAnsiTheme="minorHAnsi" w:cs="Arial"/>
                <w:b/>
                <w:i/>
                <w:sz w:val="16"/>
                <w:szCs w:val="16"/>
                <w:lang w:val="en-US"/>
              </w:rPr>
              <w:t>, file</w:t>
            </w:r>
            <w:r w:rsidRPr="00747F5E">
              <w:rPr>
                <w:rFonts w:asciiTheme="minorHAnsi" w:hAnsiTheme="minorHAnsi" w:cs="Arial"/>
                <w:b/>
                <w:i/>
                <w:sz w:val="16"/>
                <w:szCs w:val="16"/>
                <w:lang w:val="en-US"/>
              </w:rPr>
              <w:t xml:space="preserve"> "FINAL_marginal_costs_air-poll_climate_WTT_noise.xlsx"</w:t>
            </w:r>
            <w:r>
              <w:rPr>
                <w:rFonts w:asciiTheme="minorHAnsi" w:hAnsiTheme="minorHAnsi" w:cs="Arial"/>
                <w:b/>
                <w:i/>
                <w:sz w:val="16"/>
                <w:szCs w:val="16"/>
                <w:lang w:val="en-US"/>
              </w:rPr>
              <w:t>, sheet “</w:t>
            </w:r>
            <w:r w:rsidRPr="002E7D1B">
              <w:rPr>
                <w:rFonts w:asciiTheme="minorHAnsi" w:hAnsiTheme="minorHAnsi" w:cs="Arial"/>
                <w:b/>
                <w:i/>
                <w:sz w:val="16"/>
                <w:szCs w:val="16"/>
                <w:lang w:val="en-GB"/>
              </w:rPr>
              <w:t>noise_</w:t>
            </w:r>
            <w:r>
              <w:rPr>
                <w:rFonts w:asciiTheme="minorHAnsi" w:hAnsiTheme="minorHAnsi" w:cs="Arial"/>
                <w:b/>
                <w:i/>
                <w:sz w:val="16"/>
                <w:szCs w:val="16"/>
                <w:lang w:val="en-GB"/>
              </w:rPr>
              <w:t>input</w:t>
            </w:r>
            <w:r>
              <w:rPr>
                <w:rFonts w:asciiTheme="minorHAnsi" w:hAnsiTheme="minorHAnsi" w:cs="Arial"/>
                <w:b/>
                <w:i/>
                <w:sz w:val="16"/>
                <w:szCs w:val="16"/>
                <w:lang w:val="en-US"/>
              </w:rPr>
              <w:t>”.</w:t>
            </w:r>
          </w:p>
          <w:p w14:paraId="281B835C" w14:textId="77777777" w:rsidR="00921721" w:rsidRDefault="00921721" w:rsidP="00880D09">
            <w:pPr>
              <w:pStyle w:val="anxnormal"/>
              <w:ind w:left="0"/>
              <w:rPr>
                <w:rFonts w:asciiTheme="minorHAnsi" w:hAnsiTheme="minorHAnsi"/>
                <w:u w:val="single"/>
                <w:lang w:val="en-GB" w:eastAsia="en-US"/>
              </w:rPr>
            </w:pPr>
          </w:p>
          <w:p w14:paraId="428B35FD" w14:textId="77777777" w:rsidR="00921721" w:rsidRDefault="00921721" w:rsidP="00880D09">
            <w:pPr>
              <w:pStyle w:val="anxnormal"/>
              <w:ind w:left="0"/>
              <w:rPr>
                <w:rFonts w:asciiTheme="minorHAnsi" w:hAnsiTheme="minorHAnsi"/>
                <w:u w:val="single"/>
                <w:lang w:val="en-GB" w:eastAsia="en-US"/>
              </w:rPr>
            </w:pPr>
          </w:p>
          <w:p w14:paraId="71A31561" w14:textId="77777777" w:rsidR="00921721" w:rsidRPr="00731E4E" w:rsidRDefault="00921721" w:rsidP="00880D09">
            <w:pPr>
              <w:pStyle w:val="anxnormal"/>
              <w:ind w:left="0"/>
              <w:rPr>
                <w:rFonts w:asciiTheme="minorHAnsi" w:hAnsiTheme="minorHAnsi"/>
                <w:u w:val="single"/>
                <w:lang w:val="en-GB" w:eastAsia="en-US"/>
              </w:rPr>
            </w:pPr>
            <w:r w:rsidRPr="00731E4E">
              <w:rPr>
                <w:rFonts w:asciiTheme="minorHAnsi" w:hAnsiTheme="minorHAnsi"/>
                <w:u w:val="single"/>
                <w:lang w:val="en-GB" w:eastAsia="en-US"/>
              </w:rPr>
              <w:t>Unit cost evolution over time</w:t>
            </w:r>
          </w:p>
          <w:p w14:paraId="18782EB7" w14:textId="77777777" w:rsidR="00921721" w:rsidRPr="00731E4E"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 xml:space="preserve">Unit noise costs evolution over time (to be calculated) </w:t>
            </w:r>
            <w:r>
              <w:rPr>
                <w:rFonts w:asciiTheme="minorHAnsi" w:hAnsiTheme="minorHAnsi"/>
                <w:lang w:val="en-GB" w:eastAsia="en-US"/>
              </w:rPr>
              <w:t>is</w:t>
            </w:r>
            <w:r w:rsidRPr="00731E4E">
              <w:rPr>
                <w:rFonts w:asciiTheme="minorHAnsi" w:hAnsiTheme="minorHAnsi"/>
                <w:lang w:val="en-GB" w:eastAsia="en-US"/>
              </w:rPr>
              <w:t xml:space="preserve"> based on GDP per capita growth (</w:t>
            </w:r>
            <w:r>
              <w:rPr>
                <w:rFonts w:asciiTheme="minorHAnsi" w:hAnsiTheme="minorHAnsi"/>
                <w:lang w:val="en-GB" w:eastAsia="en-US"/>
              </w:rPr>
              <w:t>values provided in point </w:t>
            </w:r>
            <w:r w:rsidRPr="00731E4E">
              <w:rPr>
                <w:rFonts w:asciiTheme="minorHAnsi" w:hAnsiTheme="minorHAnsi"/>
                <w:lang w:val="en-GB" w:eastAsia="en-US"/>
              </w:rPr>
              <w:t xml:space="preserve">2) with an elasticity of 0.8. </w:t>
            </w:r>
          </w:p>
          <w:p w14:paraId="55A4DB5A" w14:textId="77777777" w:rsidR="00921721" w:rsidRDefault="00921721" w:rsidP="00880D09">
            <w:pPr>
              <w:ind w:right="170"/>
              <w:jc w:val="both"/>
              <w:rPr>
                <w:rFonts w:asciiTheme="minorHAnsi" w:hAnsiTheme="minorHAnsi" w:cs="Arial"/>
                <w:sz w:val="20"/>
                <w:szCs w:val="20"/>
                <w:highlight w:val="magenta"/>
                <w:lang w:val="en-GB"/>
              </w:rPr>
            </w:pPr>
          </w:p>
          <w:p w14:paraId="307FE05E" w14:textId="77777777" w:rsidR="00921721" w:rsidRDefault="00921721" w:rsidP="00880D09">
            <w:pPr>
              <w:ind w:right="170"/>
              <w:jc w:val="both"/>
              <w:rPr>
                <w:rFonts w:asciiTheme="minorHAnsi" w:hAnsiTheme="minorHAnsi" w:cs="Arial"/>
                <w:sz w:val="20"/>
                <w:szCs w:val="20"/>
                <w:highlight w:val="magenta"/>
                <w:lang w:val="en-GB"/>
              </w:rPr>
            </w:pPr>
          </w:p>
          <w:p w14:paraId="34CF335E" w14:textId="77777777" w:rsidR="00921721" w:rsidRDefault="00921721" w:rsidP="00880D09">
            <w:pPr>
              <w:ind w:right="170"/>
              <w:jc w:val="both"/>
              <w:rPr>
                <w:rFonts w:asciiTheme="minorHAnsi" w:hAnsiTheme="minorHAnsi" w:cs="Arial"/>
                <w:sz w:val="20"/>
                <w:szCs w:val="20"/>
                <w:lang w:val="en-GB"/>
              </w:rPr>
            </w:pPr>
          </w:p>
          <w:p w14:paraId="0BF25FFD" w14:textId="77777777" w:rsidR="00921721" w:rsidRDefault="00921721" w:rsidP="00880D09">
            <w:pPr>
              <w:pStyle w:val="anxnormal"/>
              <w:ind w:left="0"/>
              <w:rPr>
                <w:rFonts w:asciiTheme="minorHAnsi" w:hAnsiTheme="minorHAnsi" w:cs="Arial-Narrow,Bold"/>
                <w:b/>
                <w:bCs/>
                <w:color w:val="4F81BD" w:themeColor="accent1"/>
                <w:sz w:val="23"/>
                <w:szCs w:val="23"/>
                <w:lang w:val="en-GB" w:eastAsia="en-GB"/>
              </w:rPr>
            </w:pPr>
            <w:r w:rsidRPr="00F13EAB">
              <w:rPr>
                <w:rFonts w:asciiTheme="minorHAnsi" w:hAnsiTheme="minorHAnsi" w:cs="Arial-Narrow,Bold"/>
                <w:b/>
                <w:bCs/>
                <w:color w:val="4F81BD" w:themeColor="accent1"/>
                <w:sz w:val="23"/>
                <w:szCs w:val="23"/>
                <w:lang w:val="en-GB" w:eastAsia="en-GB"/>
              </w:rPr>
              <w:t xml:space="preserve">9. </w:t>
            </w:r>
            <w:r w:rsidRPr="008C036A">
              <w:rPr>
                <w:rFonts w:asciiTheme="minorHAnsi" w:hAnsiTheme="minorHAnsi" w:cs="Arial-Narrow,Bold"/>
                <w:b/>
                <w:bCs/>
                <w:color w:val="4F81BD" w:themeColor="accent1"/>
                <w:sz w:val="23"/>
                <w:szCs w:val="23"/>
                <w:lang w:val="en-GB" w:eastAsia="en-GB"/>
              </w:rPr>
              <w:t>Costs of</w:t>
            </w:r>
            <w:r w:rsidRPr="00CD7B3F">
              <w:rPr>
                <w:rFonts w:asciiTheme="minorHAnsi" w:hAnsiTheme="minorHAnsi" w:cs="Arial-Narrow,Bold"/>
                <w:b/>
                <w:bCs/>
                <w:color w:val="4F81BD" w:themeColor="accent1"/>
                <w:sz w:val="23"/>
                <w:szCs w:val="23"/>
                <w:lang w:val="en-GB" w:eastAsia="en-GB"/>
              </w:rPr>
              <w:t xml:space="preserve"> maintenance of road infrastructure (unit costs applicable to</w:t>
            </w:r>
            <w:r>
              <w:rPr>
                <w:rFonts w:asciiTheme="minorHAnsi" w:hAnsiTheme="minorHAnsi" w:cs="Arial-Narrow,Bold"/>
                <w:b/>
                <w:bCs/>
                <w:color w:val="4F81BD" w:themeColor="accent1"/>
                <w:sz w:val="23"/>
                <w:szCs w:val="23"/>
                <w:lang w:val="en-GB" w:eastAsia="en-GB"/>
              </w:rPr>
              <w:t xml:space="preserve"> </w:t>
            </w:r>
            <w:r w:rsidRPr="00CD7B3F">
              <w:rPr>
                <w:rFonts w:asciiTheme="minorHAnsi" w:hAnsiTheme="minorHAnsi" w:cs="Arial-Narrow,Bold"/>
                <w:b/>
                <w:bCs/>
                <w:color w:val="4F81BD" w:themeColor="accent1"/>
                <w:sz w:val="23"/>
                <w:szCs w:val="23"/>
                <w:lang w:val="en-GB" w:eastAsia="en-GB"/>
              </w:rPr>
              <w:t>bituminous and concrete pavements)</w:t>
            </w:r>
          </w:p>
          <w:p w14:paraId="6C592148" w14:textId="77777777" w:rsidR="00921721" w:rsidRDefault="00921721" w:rsidP="00880D09">
            <w:pPr>
              <w:pStyle w:val="anxnormal"/>
              <w:spacing w:after="120"/>
              <w:ind w:left="0"/>
              <w:rPr>
                <w:rFonts w:asciiTheme="minorHAnsi" w:hAnsiTheme="minorHAnsi"/>
                <w:lang w:val="en-GB" w:eastAsia="en-US"/>
              </w:rPr>
            </w:pPr>
            <w:r w:rsidRPr="00D011D4">
              <w:rPr>
                <w:rFonts w:asciiTheme="minorHAnsi" w:hAnsiTheme="minorHAnsi"/>
                <w:lang w:val="en-GB" w:eastAsia="en-US"/>
              </w:rPr>
              <w:t>If project-specific and justified O&amp;M costs data is available (i.e. the maintenance approach proposed in chapter 1.9.2 and values proposed below are not appropriate for consideration), the proposed specific operation and maintenance costs should be presented in unit costs per km and in the particular components in order to facilitate a quick comparison between project investment options.</w:t>
            </w:r>
            <w:r>
              <w:rPr>
                <w:rFonts w:asciiTheme="minorHAnsi" w:hAnsiTheme="minorHAnsi"/>
                <w:lang w:val="en-GB" w:eastAsia="en-US"/>
              </w:rPr>
              <w:t xml:space="preserve"> </w:t>
            </w:r>
          </w:p>
          <w:p w14:paraId="325EC616" w14:textId="77777777" w:rsidR="00921721" w:rsidRPr="00CD7B3F" w:rsidRDefault="00921721" w:rsidP="00880D09">
            <w:pPr>
              <w:pStyle w:val="anxnormal"/>
              <w:spacing w:after="120"/>
              <w:ind w:left="0"/>
              <w:rPr>
                <w:rFonts w:asciiTheme="minorHAnsi" w:hAnsiTheme="minorHAnsi"/>
                <w:lang w:val="en-GB" w:eastAsia="en-US"/>
              </w:rPr>
            </w:pPr>
            <w:r w:rsidRPr="00CD7B3F">
              <w:rPr>
                <w:rFonts w:asciiTheme="minorHAnsi" w:hAnsiTheme="minorHAnsi"/>
                <w:lang w:val="en-GB" w:eastAsia="en-US"/>
              </w:rPr>
              <w:t>Unit costs of routine operation and maintenance [PLN/km]</w:t>
            </w:r>
            <w:r>
              <w:rPr>
                <w:rFonts w:asciiTheme="minorHAnsi" w:hAnsiTheme="minorHAnsi"/>
                <w:lang w:val="en-GB" w:eastAsia="en-US"/>
              </w:rPr>
              <w:t>, prices 2021</w:t>
            </w:r>
          </w:p>
          <w:tbl>
            <w:tblPr>
              <w:tblW w:w="6939" w:type="dxa"/>
              <w:tblLayout w:type="fixed"/>
              <w:tblLook w:val="04A0" w:firstRow="1" w:lastRow="0" w:firstColumn="1" w:lastColumn="0" w:noHBand="0" w:noVBand="1"/>
            </w:tblPr>
            <w:tblGrid>
              <w:gridCol w:w="3469"/>
              <w:gridCol w:w="3470"/>
            </w:tblGrid>
            <w:tr w:rsidR="00921721" w:rsidRPr="007463B9" w14:paraId="231680E2" w14:textId="77777777" w:rsidTr="00880D09">
              <w:trPr>
                <w:trHeight w:hRule="exact" w:val="535"/>
              </w:trPr>
              <w:tc>
                <w:tcPr>
                  <w:tcW w:w="346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78E20870" w14:textId="77777777" w:rsidR="00921721" w:rsidRPr="00CD7B3F" w:rsidRDefault="00921721" w:rsidP="00880D09">
                  <w:pPr>
                    <w:snapToGrid w:val="0"/>
                    <w:spacing w:before="20" w:after="20"/>
                    <w:jc w:val="center"/>
                    <w:rPr>
                      <w:rFonts w:asciiTheme="minorHAnsi" w:hAnsiTheme="minorHAnsi" w:cs="Arial"/>
                      <w:b/>
                      <w:bCs/>
                      <w:color w:val="FFFFFF"/>
                      <w:sz w:val="18"/>
                      <w:szCs w:val="18"/>
                      <w:lang w:val="en-US"/>
                    </w:rPr>
                  </w:pPr>
                  <w:r w:rsidRPr="00CD7B3F">
                    <w:rPr>
                      <w:rFonts w:asciiTheme="minorHAnsi" w:hAnsiTheme="minorHAnsi" w:cs="Arial"/>
                      <w:b/>
                      <w:bCs/>
                      <w:color w:val="FFFFFF"/>
                      <w:sz w:val="18"/>
                      <w:szCs w:val="18"/>
                      <w:lang w:val="en-US"/>
                    </w:rPr>
                    <w:t>Road class</w:t>
                  </w:r>
                </w:p>
              </w:tc>
              <w:tc>
                <w:tcPr>
                  <w:tcW w:w="347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126AB7B6" w14:textId="77777777" w:rsidR="00921721" w:rsidRPr="00CD7B3F" w:rsidRDefault="00921721" w:rsidP="00880D09">
                  <w:pPr>
                    <w:snapToGrid w:val="0"/>
                    <w:spacing w:before="20" w:after="20"/>
                    <w:jc w:val="center"/>
                    <w:rPr>
                      <w:rFonts w:asciiTheme="minorHAnsi" w:hAnsiTheme="minorHAnsi" w:cs="Arial"/>
                      <w:b/>
                      <w:bCs/>
                      <w:color w:val="FFFFFF"/>
                      <w:sz w:val="18"/>
                      <w:szCs w:val="18"/>
                      <w:lang w:val="en-GB"/>
                    </w:rPr>
                  </w:pPr>
                  <w:r w:rsidRPr="00CD7B3F">
                    <w:rPr>
                      <w:rFonts w:asciiTheme="minorHAnsi" w:hAnsiTheme="minorHAnsi" w:cs="Arial"/>
                      <w:b/>
                      <w:bCs/>
                      <w:color w:val="FFFFFF"/>
                      <w:sz w:val="18"/>
                      <w:szCs w:val="18"/>
                      <w:lang w:val="en-GB"/>
                    </w:rPr>
                    <w:t>Unit costs of routine operation and maintenance [PLN/km], net</w:t>
                  </w:r>
                </w:p>
              </w:tc>
            </w:tr>
            <w:tr w:rsidR="00921721" w:rsidRPr="007463B9" w14:paraId="66DFA3D2"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15B27AF"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A,S - 2x2</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10E264A"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9</w:t>
                  </w:r>
                  <w:r w:rsidRPr="00CD7B3F">
                    <w:rPr>
                      <w:rFonts w:asciiTheme="minorHAnsi" w:hAnsiTheme="minorHAnsi" w:cs="Arial"/>
                      <w:color w:val="4F81BD" w:themeColor="accent1"/>
                      <w:sz w:val="18"/>
                      <w:szCs w:val="18"/>
                      <w:lang w:val="en-GB"/>
                    </w:rPr>
                    <w:t>0 000</w:t>
                  </w:r>
                </w:p>
              </w:tc>
            </w:tr>
            <w:tr w:rsidR="00921721" w:rsidRPr="007463B9" w14:paraId="6403046B"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C9C9F4F"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S 2+1</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0F986262"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4</w:t>
                  </w:r>
                  <w:r w:rsidRPr="00CD7B3F">
                    <w:rPr>
                      <w:rFonts w:asciiTheme="minorHAnsi" w:hAnsiTheme="minorHAnsi" w:cs="Arial"/>
                      <w:color w:val="4F81BD" w:themeColor="accent1"/>
                      <w:sz w:val="18"/>
                      <w:szCs w:val="18"/>
                      <w:lang w:val="en-GB"/>
                    </w:rPr>
                    <w:t>0 000</w:t>
                  </w:r>
                </w:p>
              </w:tc>
            </w:tr>
            <w:tr w:rsidR="00921721" w:rsidRPr="007463B9" w14:paraId="6AA680DC"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2CD6D43"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S 1x2</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DE58EDC"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10</w:t>
                  </w:r>
                  <w:r w:rsidRPr="00CD7B3F">
                    <w:rPr>
                      <w:rFonts w:asciiTheme="minorHAnsi" w:hAnsiTheme="minorHAnsi" w:cs="Arial"/>
                      <w:color w:val="4F81BD" w:themeColor="accent1"/>
                      <w:sz w:val="18"/>
                      <w:szCs w:val="18"/>
                      <w:lang w:val="en-GB"/>
                    </w:rPr>
                    <w:t xml:space="preserve"> 000</w:t>
                  </w:r>
                </w:p>
              </w:tc>
            </w:tr>
            <w:tr w:rsidR="00921721" w:rsidRPr="007463B9" w14:paraId="43A0621E"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0AA6A57"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GP 2x2</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4BE4D17"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1</w:t>
                  </w:r>
                  <w:r>
                    <w:rPr>
                      <w:rFonts w:asciiTheme="minorHAnsi" w:hAnsiTheme="minorHAnsi" w:cs="Arial"/>
                      <w:color w:val="4F81BD" w:themeColor="accent1"/>
                      <w:sz w:val="18"/>
                      <w:szCs w:val="18"/>
                      <w:lang w:val="en-GB"/>
                    </w:rPr>
                    <w:t>3</w:t>
                  </w:r>
                  <w:r w:rsidRPr="00CD7B3F">
                    <w:rPr>
                      <w:rFonts w:asciiTheme="minorHAnsi" w:hAnsiTheme="minorHAnsi" w:cs="Arial"/>
                      <w:color w:val="4F81BD" w:themeColor="accent1"/>
                      <w:sz w:val="18"/>
                      <w:szCs w:val="18"/>
                      <w:lang w:val="en-GB"/>
                    </w:rPr>
                    <w:t>0 000</w:t>
                  </w:r>
                </w:p>
              </w:tc>
            </w:tr>
            <w:tr w:rsidR="00921721" w:rsidRPr="007463B9" w14:paraId="25EAFDBD"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AE0EEFD"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GP 1x2</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23D54CD"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6</w:t>
                  </w:r>
                  <w:r>
                    <w:rPr>
                      <w:rFonts w:asciiTheme="minorHAnsi" w:hAnsiTheme="minorHAnsi" w:cs="Arial"/>
                      <w:color w:val="4F81BD" w:themeColor="accent1"/>
                      <w:sz w:val="18"/>
                      <w:szCs w:val="18"/>
                      <w:lang w:val="en-GB"/>
                    </w:rPr>
                    <w:t>5</w:t>
                  </w:r>
                  <w:r w:rsidRPr="00CD7B3F">
                    <w:rPr>
                      <w:rFonts w:asciiTheme="minorHAnsi" w:hAnsiTheme="minorHAnsi" w:cs="Arial"/>
                      <w:color w:val="4F81BD" w:themeColor="accent1"/>
                      <w:sz w:val="18"/>
                      <w:szCs w:val="18"/>
                      <w:lang w:val="en-GB"/>
                    </w:rPr>
                    <w:t xml:space="preserve"> 000</w:t>
                  </w:r>
                </w:p>
              </w:tc>
            </w:tr>
            <w:tr w:rsidR="00921721" w:rsidRPr="007463B9" w14:paraId="275C68A8"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314F727"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G</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65A758D"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6</w:t>
                  </w:r>
                  <w:r>
                    <w:rPr>
                      <w:rFonts w:asciiTheme="minorHAnsi" w:hAnsiTheme="minorHAnsi" w:cs="Arial"/>
                      <w:color w:val="4F81BD" w:themeColor="accent1"/>
                      <w:sz w:val="18"/>
                      <w:szCs w:val="18"/>
                      <w:lang w:val="en-GB"/>
                    </w:rPr>
                    <w:t>5</w:t>
                  </w:r>
                  <w:r w:rsidRPr="00CD7B3F">
                    <w:rPr>
                      <w:rFonts w:asciiTheme="minorHAnsi" w:hAnsiTheme="minorHAnsi" w:cs="Arial"/>
                      <w:color w:val="4F81BD" w:themeColor="accent1"/>
                      <w:sz w:val="18"/>
                      <w:szCs w:val="18"/>
                      <w:lang w:val="en-GB"/>
                    </w:rPr>
                    <w:t xml:space="preserve"> 000</w:t>
                  </w:r>
                </w:p>
              </w:tc>
            </w:tr>
          </w:tbl>
          <w:p w14:paraId="1F27C4FB" w14:textId="77777777" w:rsidR="00921721" w:rsidRPr="00CD7B3F" w:rsidRDefault="00921721" w:rsidP="00880D09">
            <w:pPr>
              <w:spacing w:before="120" w:after="120"/>
              <w:ind w:right="170"/>
              <w:jc w:val="both"/>
              <w:rPr>
                <w:rFonts w:asciiTheme="minorHAnsi" w:hAnsiTheme="minorHAnsi" w:cs="Arial"/>
                <w:b/>
                <w:i/>
                <w:sz w:val="16"/>
                <w:szCs w:val="16"/>
                <w:lang w:val="en-GB"/>
              </w:rPr>
            </w:pPr>
            <w:r w:rsidRPr="00CD7B3F">
              <w:rPr>
                <w:rFonts w:asciiTheme="minorHAnsi" w:hAnsiTheme="minorHAnsi" w:cs="Arial"/>
                <w:b/>
                <w:i/>
                <w:sz w:val="16"/>
                <w:szCs w:val="16"/>
                <w:lang w:val="en-GB"/>
              </w:rPr>
              <w:t>Source: Proprietary calculations based on costs taken from GDDKiA “Maintain standard”</w:t>
            </w:r>
            <w:r>
              <w:rPr>
                <w:rFonts w:asciiTheme="minorHAnsi" w:hAnsiTheme="minorHAnsi" w:cs="Arial"/>
                <w:b/>
                <w:i/>
                <w:sz w:val="16"/>
                <w:szCs w:val="16"/>
                <w:lang w:val="en-GB"/>
              </w:rPr>
              <w:t xml:space="preserve"> tenders</w:t>
            </w:r>
            <w:r w:rsidRPr="00CD7B3F">
              <w:rPr>
                <w:rFonts w:asciiTheme="minorHAnsi" w:hAnsiTheme="minorHAnsi" w:cs="Arial"/>
                <w:b/>
                <w:i/>
                <w:sz w:val="16"/>
                <w:szCs w:val="16"/>
                <w:lang w:val="en-GB"/>
              </w:rPr>
              <w:t xml:space="preserve">. </w:t>
            </w:r>
          </w:p>
          <w:p w14:paraId="53BCA3C1" w14:textId="77777777" w:rsidR="00921721" w:rsidRPr="00CD7B3F" w:rsidRDefault="00921721" w:rsidP="00880D09">
            <w:pPr>
              <w:ind w:right="170"/>
              <w:jc w:val="both"/>
              <w:rPr>
                <w:rFonts w:asciiTheme="minorHAnsi" w:hAnsiTheme="minorHAnsi" w:cs="Arial"/>
                <w:sz w:val="16"/>
                <w:szCs w:val="16"/>
                <w:lang w:val="en-GB"/>
              </w:rPr>
            </w:pPr>
            <w:r w:rsidRPr="00CD7B3F">
              <w:rPr>
                <w:rFonts w:asciiTheme="minorHAnsi" w:hAnsiTheme="minorHAnsi" w:cs="Arial"/>
                <w:sz w:val="16"/>
                <w:szCs w:val="16"/>
                <w:lang w:val="en-GB"/>
              </w:rPr>
              <w:t>Note: (1)</w:t>
            </w:r>
            <w:r>
              <w:rPr>
                <w:rFonts w:asciiTheme="minorHAnsi" w:hAnsiTheme="minorHAnsi" w:cs="Arial"/>
                <w:sz w:val="16"/>
                <w:szCs w:val="16"/>
                <w:lang w:val="en-GB"/>
              </w:rPr>
              <w:t> </w:t>
            </w:r>
            <w:r w:rsidRPr="00CD7B3F">
              <w:rPr>
                <w:rFonts w:asciiTheme="minorHAnsi" w:hAnsiTheme="minorHAnsi" w:cs="Arial"/>
                <w:sz w:val="16"/>
                <w:szCs w:val="16"/>
                <w:lang w:val="en-GB"/>
              </w:rPr>
              <w:t xml:space="preserve">The above mentioned unit costs include all routine and preventive maintenance activities </w:t>
            </w:r>
            <w:r>
              <w:rPr>
                <w:rFonts w:asciiTheme="minorHAnsi" w:hAnsiTheme="minorHAnsi" w:cs="Arial"/>
                <w:sz w:val="16"/>
                <w:szCs w:val="16"/>
                <w:lang w:val="en-GB"/>
              </w:rPr>
              <w:t>for</w:t>
            </w:r>
            <w:r w:rsidRPr="00CD7B3F">
              <w:rPr>
                <w:rFonts w:asciiTheme="minorHAnsi" w:hAnsiTheme="minorHAnsi" w:cs="Arial"/>
                <w:sz w:val="16"/>
                <w:szCs w:val="16"/>
                <w:lang w:val="en-GB"/>
              </w:rPr>
              <w:t xml:space="preserve"> all road infrastructure assets (pavement, </w:t>
            </w:r>
            <w:r>
              <w:rPr>
                <w:rFonts w:asciiTheme="minorHAnsi" w:hAnsiTheme="minorHAnsi" w:cs="Arial"/>
                <w:sz w:val="16"/>
                <w:szCs w:val="16"/>
                <w:lang w:val="en-GB"/>
              </w:rPr>
              <w:t xml:space="preserve">interchanges and other facilities, service roads, </w:t>
            </w:r>
            <w:r w:rsidRPr="00CD7B3F">
              <w:rPr>
                <w:rFonts w:asciiTheme="minorHAnsi" w:hAnsiTheme="minorHAnsi" w:cs="Arial"/>
                <w:sz w:val="16"/>
                <w:szCs w:val="16"/>
                <w:lang w:val="en-GB"/>
              </w:rPr>
              <w:t xml:space="preserve">drainage, safety equipment, noise screens, etc.). </w:t>
            </w:r>
          </w:p>
          <w:p w14:paraId="06E30366" w14:textId="77777777" w:rsidR="00921721" w:rsidRPr="00CD7B3F" w:rsidRDefault="00921721" w:rsidP="00880D09">
            <w:pPr>
              <w:ind w:right="170"/>
              <w:jc w:val="both"/>
              <w:rPr>
                <w:rFonts w:asciiTheme="minorHAnsi" w:hAnsiTheme="minorHAnsi" w:cs="Arial"/>
                <w:sz w:val="16"/>
                <w:szCs w:val="16"/>
                <w:lang w:val="en-GB"/>
              </w:rPr>
            </w:pPr>
            <w:r>
              <w:rPr>
                <w:rFonts w:asciiTheme="minorHAnsi" w:hAnsiTheme="minorHAnsi" w:cs="Arial"/>
                <w:sz w:val="16"/>
                <w:szCs w:val="16"/>
                <w:lang w:val="en-GB"/>
              </w:rPr>
              <w:t>(2) </w:t>
            </w:r>
            <w:r w:rsidRPr="00CD7B3F">
              <w:rPr>
                <w:rFonts w:asciiTheme="minorHAnsi" w:hAnsiTheme="minorHAnsi" w:cs="Arial"/>
                <w:sz w:val="16"/>
                <w:szCs w:val="16"/>
                <w:lang w:val="en-GB"/>
              </w:rPr>
              <w:t>In case of cross-sections other than the ones listed above (also for lower categories of roads), a pro-rata correction coefficient may be applied to reflect the difference in lanes (or width).</w:t>
            </w:r>
          </w:p>
          <w:p w14:paraId="4E062331" w14:textId="77777777" w:rsidR="00921721" w:rsidRDefault="00921721" w:rsidP="00880D09">
            <w:pPr>
              <w:pStyle w:val="anxnormal"/>
              <w:spacing w:after="120"/>
              <w:ind w:left="0"/>
              <w:rPr>
                <w:rFonts w:asciiTheme="minorHAnsi" w:hAnsiTheme="minorHAnsi"/>
                <w:lang w:val="en-GB" w:eastAsia="en-US"/>
              </w:rPr>
            </w:pPr>
          </w:p>
          <w:p w14:paraId="5C80DF0C" w14:textId="77777777" w:rsidR="00921721" w:rsidRPr="00CD7B3F" w:rsidRDefault="00921721" w:rsidP="00880D09">
            <w:pPr>
              <w:pStyle w:val="anxnormal"/>
              <w:spacing w:after="120"/>
              <w:ind w:left="0"/>
              <w:rPr>
                <w:rFonts w:asciiTheme="minorHAnsi" w:hAnsiTheme="minorHAnsi"/>
                <w:lang w:val="en-GB" w:eastAsia="en-US"/>
              </w:rPr>
            </w:pPr>
            <w:r w:rsidRPr="00CD7B3F">
              <w:rPr>
                <w:rFonts w:asciiTheme="minorHAnsi" w:hAnsiTheme="minorHAnsi"/>
                <w:lang w:val="en-GB" w:eastAsia="en-US"/>
              </w:rPr>
              <w:t>Unit costs of periodic maintenance [PLN/km]</w:t>
            </w:r>
            <w:r>
              <w:rPr>
                <w:rFonts w:asciiTheme="minorHAnsi" w:hAnsiTheme="minorHAnsi"/>
                <w:lang w:val="en-GB" w:eastAsia="en-US"/>
              </w:rPr>
              <w:t>, prices 2021</w:t>
            </w:r>
          </w:p>
          <w:tbl>
            <w:tblPr>
              <w:tblW w:w="6939" w:type="dxa"/>
              <w:tblLayout w:type="fixed"/>
              <w:tblLook w:val="04A0" w:firstRow="1" w:lastRow="0" w:firstColumn="1" w:lastColumn="0" w:noHBand="0" w:noVBand="1"/>
            </w:tblPr>
            <w:tblGrid>
              <w:gridCol w:w="3469"/>
              <w:gridCol w:w="3470"/>
            </w:tblGrid>
            <w:tr w:rsidR="00921721" w:rsidRPr="007463B9" w14:paraId="2375CCDA" w14:textId="77777777" w:rsidTr="00880D09">
              <w:trPr>
                <w:trHeight w:hRule="exact" w:val="536"/>
              </w:trPr>
              <w:tc>
                <w:tcPr>
                  <w:tcW w:w="346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6F9BDCD" w14:textId="77777777" w:rsidR="00921721" w:rsidRPr="00C61254" w:rsidRDefault="00921721" w:rsidP="00880D09">
                  <w:pPr>
                    <w:snapToGrid w:val="0"/>
                    <w:spacing w:before="20" w:after="20"/>
                    <w:jc w:val="center"/>
                    <w:rPr>
                      <w:rFonts w:asciiTheme="minorHAnsi" w:hAnsiTheme="minorHAnsi" w:cs="Arial"/>
                      <w:b/>
                      <w:bCs/>
                      <w:color w:val="FFFFFF"/>
                      <w:sz w:val="18"/>
                      <w:szCs w:val="18"/>
                      <w:lang w:val="en-US"/>
                    </w:rPr>
                  </w:pPr>
                  <w:r w:rsidRPr="00C61254">
                    <w:rPr>
                      <w:rFonts w:asciiTheme="minorHAnsi" w:hAnsiTheme="minorHAnsi" w:cs="Arial"/>
                      <w:b/>
                      <w:bCs/>
                      <w:color w:val="FFFFFF"/>
                      <w:sz w:val="18"/>
                      <w:szCs w:val="18"/>
                      <w:lang w:val="en-US"/>
                    </w:rPr>
                    <w:t>Road class</w:t>
                  </w:r>
                </w:p>
              </w:tc>
              <w:tc>
                <w:tcPr>
                  <w:tcW w:w="347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45F357A2" w14:textId="77777777" w:rsidR="00921721" w:rsidRPr="00CD7B3F" w:rsidRDefault="00921721" w:rsidP="00880D09">
                  <w:pPr>
                    <w:snapToGrid w:val="0"/>
                    <w:spacing w:before="20" w:after="20"/>
                    <w:jc w:val="center"/>
                    <w:rPr>
                      <w:rFonts w:asciiTheme="minorHAnsi" w:hAnsiTheme="minorHAnsi" w:cs="Arial"/>
                      <w:b/>
                      <w:bCs/>
                      <w:color w:val="FFFFFF"/>
                      <w:sz w:val="18"/>
                      <w:szCs w:val="18"/>
                      <w:lang w:val="en-GB"/>
                    </w:rPr>
                  </w:pPr>
                  <w:r w:rsidRPr="00CD7B3F">
                    <w:rPr>
                      <w:rFonts w:asciiTheme="minorHAnsi" w:hAnsiTheme="minorHAnsi" w:cs="Arial"/>
                      <w:b/>
                      <w:bCs/>
                      <w:color w:val="FFFFFF"/>
                      <w:sz w:val="18"/>
                      <w:szCs w:val="18"/>
                      <w:lang w:val="en-GB"/>
                    </w:rPr>
                    <w:t>Unit costs of periodic maintenance [PLN/km], net</w:t>
                  </w:r>
                </w:p>
              </w:tc>
            </w:tr>
            <w:tr w:rsidR="00921721" w:rsidRPr="007463B9" w14:paraId="7442ECA3"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940895B"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A,S - 2x2</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BE250CF"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 xml:space="preserve">1 </w:t>
                  </w:r>
                  <w:r>
                    <w:rPr>
                      <w:rFonts w:asciiTheme="minorHAnsi" w:hAnsiTheme="minorHAnsi" w:cs="Arial"/>
                      <w:color w:val="4F81BD" w:themeColor="accent1"/>
                      <w:sz w:val="18"/>
                      <w:szCs w:val="18"/>
                      <w:lang w:val="en-GB"/>
                    </w:rPr>
                    <w:t>5</w:t>
                  </w:r>
                  <w:r w:rsidRPr="00CD7B3F">
                    <w:rPr>
                      <w:rFonts w:asciiTheme="minorHAnsi" w:hAnsiTheme="minorHAnsi" w:cs="Arial"/>
                      <w:color w:val="4F81BD" w:themeColor="accent1"/>
                      <w:sz w:val="18"/>
                      <w:szCs w:val="18"/>
                      <w:lang w:val="en-GB"/>
                    </w:rPr>
                    <w:t>00 000</w:t>
                  </w:r>
                </w:p>
              </w:tc>
            </w:tr>
            <w:tr w:rsidR="00921721" w:rsidRPr="007463B9" w14:paraId="79F5700C"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67D2871"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S 2+1</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A856160"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 xml:space="preserve">1 </w:t>
                  </w:r>
                  <w:r>
                    <w:rPr>
                      <w:rFonts w:asciiTheme="minorHAnsi" w:hAnsiTheme="minorHAnsi" w:cs="Arial"/>
                      <w:color w:val="4F81BD" w:themeColor="accent1"/>
                      <w:sz w:val="18"/>
                      <w:szCs w:val="18"/>
                      <w:lang w:val="en-GB"/>
                    </w:rPr>
                    <w:t>1</w:t>
                  </w:r>
                  <w:r w:rsidRPr="00CD7B3F">
                    <w:rPr>
                      <w:rFonts w:asciiTheme="minorHAnsi" w:hAnsiTheme="minorHAnsi" w:cs="Arial"/>
                      <w:color w:val="4F81BD" w:themeColor="accent1"/>
                      <w:sz w:val="18"/>
                      <w:szCs w:val="18"/>
                      <w:lang w:val="en-GB"/>
                    </w:rPr>
                    <w:t>00 000</w:t>
                  </w:r>
                </w:p>
              </w:tc>
            </w:tr>
            <w:tr w:rsidR="00921721" w:rsidRPr="007463B9" w14:paraId="3B7309E4"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7D863D6"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S 1x2</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37ADCBD"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9</w:t>
                  </w:r>
                  <w:r w:rsidRPr="00CD7B3F">
                    <w:rPr>
                      <w:rFonts w:asciiTheme="minorHAnsi" w:hAnsiTheme="minorHAnsi" w:cs="Arial"/>
                      <w:color w:val="4F81BD" w:themeColor="accent1"/>
                      <w:sz w:val="18"/>
                      <w:szCs w:val="18"/>
                      <w:lang w:val="en-GB"/>
                    </w:rPr>
                    <w:t>00 000</w:t>
                  </w:r>
                </w:p>
              </w:tc>
            </w:tr>
            <w:tr w:rsidR="00921721" w:rsidRPr="007463B9" w14:paraId="18EF9E90"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74F3164"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GP 2x2</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426A0B2"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 xml:space="preserve">1 </w:t>
                  </w:r>
                  <w:r>
                    <w:rPr>
                      <w:rFonts w:asciiTheme="minorHAnsi" w:hAnsiTheme="minorHAnsi" w:cs="Arial"/>
                      <w:color w:val="4F81BD" w:themeColor="accent1"/>
                      <w:sz w:val="18"/>
                      <w:szCs w:val="18"/>
                      <w:lang w:val="en-GB"/>
                    </w:rPr>
                    <w:t>2</w:t>
                  </w:r>
                  <w:r w:rsidRPr="00CD7B3F">
                    <w:rPr>
                      <w:rFonts w:asciiTheme="minorHAnsi" w:hAnsiTheme="minorHAnsi" w:cs="Arial"/>
                      <w:color w:val="4F81BD" w:themeColor="accent1"/>
                      <w:sz w:val="18"/>
                      <w:szCs w:val="18"/>
                      <w:lang w:val="en-GB"/>
                    </w:rPr>
                    <w:t>00 000</w:t>
                  </w:r>
                </w:p>
              </w:tc>
            </w:tr>
            <w:tr w:rsidR="00921721" w:rsidRPr="007463B9" w14:paraId="77AA0EA0"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BA2C23F"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GP 1x2</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E02ACBF"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8</w:t>
                  </w:r>
                  <w:r w:rsidRPr="00CD7B3F">
                    <w:rPr>
                      <w:rFonts w:asciiTheme="minorHAnsi" w:hAnsiTheme="minorHAnsi" w:cs="Arial"/>
                      <w:color w:val="4F81BD" w:themeColor="accent1"/>
                      <w:sz w:val="18"/>
                      <w:szCs w:val="18"/>
                      <w:lang w:val="en-GB"/>
                    </w:rPr>
                    <w:t>00 000</w:t>
                  </w:r>
                </w:p>
              </w:tc>
            </w:tr>
            <w:tr w:rsidR="00921721" w:rsidRPr="007463B9" w14:paraId="05803E20" w14:textId="77777777" w:rsidTr="00880D09">
              <w:trPr>
                <w:trHeight w:val="20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51FFF80D"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G</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3DBE22A" w14:textId="77777777" w:rsidR="00921721" w:rsidRPr="00CD7B3F" w:rsidRDefault="00921721" w:rsidP="00880D09">
                  <w:pPr>
                    <w:tabs>
                      <w:tab w:val="left" w:pos="945"/>
                      <w:tab w:val="center" w:pos="1284"/>
                    </w:tabs>
                    <w:spacing w:before="20"/>
                    <w:jc w:val="center"/>
                    <w:rPr>
                      <w:rFonts w:asciiTheme="minorHAnsi" w:hAnsiTheme="minorHAnsi" w:cs="Arial"/>
                      <w:color w:val="4F81BD" w:themeColor="accent1"/>
                      <w:sz w:val="18"/>
                      <w:szCs w:val="18"/>
                      <w:lang w:val="en-GB"/>
                    </w:rPr>
                  </w:pPr>
                  <w:r w:rsidRPr="00CD7B3F">
                    <w:rPr>
                      <w:rFonts w:asciiTheme="minorHAnsi" w:hAnsiTheme="minorHAnsi" w:cs="Arial"/>
                      <w:color w:val="4F81BD" w:themeColor="accent1"/>
                      <w:sz w:val="18"/>
                      <w:szCs w:val="18"/>
                      <w:lang w:val="en-GB"/>
                    </w:rPr>
                    <w:t>6</w:t>
                  </w:r>
                  <w:r>
                    <w:rPr>
                      <w:rFonts w:asciiTheme="minorHAnsi" w:hAnsiTheme="minorHAnsi" w:cs="Arial"/>
                      <w:color w:val="4F81BD" w:themeColor="accent1"/>
                      <w:sz w:val="18"/>
                      <w:szCs w:val="18"/>
                      <w:lang w:val="en-GB"/>
                    </w:rPr>
                    <w:t>5</w:t>
                  </w:r>
                  <w:r w:rsidRPr="00CD7B3F">
                    <w:rPr>
                      <w:rFonts w:asciiTheme="minorHAnsi" w:hAnsiTheme="minorHAnsi" w:cs="Arial"/>
                      <w:color w:val="4F81BD" w:themeColor="accent1"/>
                      <w:sz w:val="18"/>
                      <w:szCs w:val="18"/>
                      <w:lang w:val="en-GB"/>
                    </w:rPr>
                    <w:t>0 000</w:t>
                  </w:r>
                </w:p>
              </w:tc>
            </w:tr>
          </w:tbl>
          <w:p w14:paraId="23DC1570" w14:textId="77777777" w:rsidR="00921721" w:rsidRPr="00CD7B3F" w:rsidRDefault="00921721" w:rsidP="00880D09">
            <w:pPr>
              <w:spacing w:before="120" w:after="120"/>
              <w:ind w:right="170"/>
              <w:jc w:val="both"/>
              <w:rPr>
                <w:rFonts w:asciiTheme="minorHAnsi" w:hAnsiTheme="minorHAnsi" w:cs="Arial"/>
                <w:b/>
                <w:i/>
                <w:spacing w:val="-2"/>
                <w:sz w:val="16"/>
                <w:szCs w:val="16"/>
                <w:lang w:val="en-GB"/>
              </w:rPr>
            </w:pPr>
            <w:r w:rsidRPr="00CD7B3F">
              <w:rPr>
                <w:rFonts w:asciiTheme="minorHAnsi" w:hAnsiTheme="minorHAnsi" w:cs="Arial"/>
                <w:b/>
                <w:i/>
                <w:spacing w:val="-2"/>
                <w:sz w:val="16"/>
                <w:szCs w:val="16"/>
                <w:lang w:val="en-GB"/>
              </w:rPr>
              <w:t xml:space="preserve">Source: Proprietary calculations based on costs taken from GDDKiA’s </w:t>
            </w:r>
            <w:r>
              <w:rPr>
                <w:rFonts w:asciiTheme="minorHAnsi" w:hAnsiTheme="minorHAnsi" w:cs="Arial"/>
                <w:b/>
                <w:i/>
                <w:spacing w:val="-2"/>
                <w:sz w:val="16"/>
                <w:szCs w:val="16"/>
                <w:lang w:val="en-GB"/>
              </w:rPr>
              <w:t>maintenance tenders</w:t>
            </w:r>
            <w:r w:rsidRPr="00CD7B3F">
              <w:rPr>
                <w:rFonts w:asciiTheme="minorHAnsi" w:hAnsiTheme="minorHAnsi" w:cs="Arial"/>
                <w:b/>
                <w:i/>
                <w:spacing w:val="-2"/>
                <w:sz w:val="16"/>
                <w:szCs w:val="16"/>
                <w:lang w:val="en-GB"/>
              </w:rPr>
              <w:t>.</w:t>
            </w:r>
          </w:p>
          <w:p w14:paraId="4D2F2BEC" w14:textId="77777777" w:rsidR="00921721" w:rsidRPr="00CD7B3F" w:rsidRDefault="00921721" w:rsidP="00880D09">
            <w:pPr>
              <w:ind w:right="170"/>
              <w:jc w:val="both"/>
              <w:rPr>
                <w:rFonts w:asciiTheme="minorHAnsi" w:hAnsiTheme="minorHAnsi" w:cs="Arial"/>
                <w:sz w:val="16"/>
                <w:szCs w:val="16"/>
                <w:lang w:val="en-GB"/>
              </w:rPr>
            </w:pPr>
            <w:r>
              <w:rPr>
                <w:rFonts w:asciiTheme="minorHAnsi" w:hAnsiTheme="minorHAnsi" w:cs="Arial"/>
                <w:sz w:val="16"/>
                <w:szCs w:val="16"/>
                <w:lang w:val="en-GB"/>
              </w:rPr>
              <w:t>Note: (1) </w:t>
            </w:r>
            <w:r w:rsidRPr="00CD7B3F">
              <w:rPr>
                <w:rFonts w:asciiTheme="minorHAnsi" w:hAnsiTheme="minorHAnsi" w:cs="Arial"/>
                <w:sz w:val="16"/>
                <w:szCs w:val="16"/>
                <w:lang w:val="en-GB"/>
              </w:rPr>
              <w:t xml:space="preserve">The above mentioned unit costs include all periodic maintenance </w:t>
            </w:r>
            <w:r>
              <w:rPr>
                <w:rFonts w:asciiTheme="minorHAnsi" w:hAnsiTheme="minorHAnsi" w:cs="Arial"/>
                <w:sz w:val="16"/>
                <w:szCs w:val="16"/>
                <w:lang w:val="en-GB"/>
              </w:rPr>
              <w:t xml:space="preserve">for </w:t>
            </w:r>
            <w:r w:rsidRPr="00CD7B3F">
              <w:rPr>
                <w:rFonts w:asciiTheme="minorHAnsi" w:hAnsiTheme="minorHAnsi" w:cs="Arial"/>
                <w:sz w:val="16"/>
                <w:szCs w:val="16"/>
                <w:lang w:val="en-GB"/>
              </w:rPr>
              <w:t xml:space="preserve">all road infrastructure assets (pavement, </w:t>
            </w:r>
            <w:r>
              <w:rPr>
                <w:rFonts w:asciiTheme="minorHAnsi" w:hAnsiTheme="minorHAnsi" w:cs="Arial"/>
                <w:sz w:val="16"/>
                <w:szCs w:val="16"/>
                <w:lang w:val="en-GB"/>
              </w:rPr>
              <w:t xml:space="preserve">interchanges and other facilities, service roads, </w:t>
            </w:r>
            <w:r w:rsidRPr="00CD7B3F">
              <w:rPr>
                <w:rFonts w:asciiTheme="minorHAnsi" w:hAnsiTheme="minorHAnsi" w:cs="Arial"/>
                <w:sz w:val="16"/>
                <w:szCs w:val="16"/>
                <w:lang w:val="en-GB"/>
              </w:rPr>
              <w:t>drainage, safety equipment, noise screens, etc.).</w:t>
            </w:r>
          </w:p>
          <w:p w14:paraId="25B4EC74" w14:textId="77777777" w:rsidR="00921721" w:rsidRPr="00CD7B3F" w:rsidRDefault="00921721" w:rsidP="00880D09">
            <w:pPr>
              <w:ind w:right="170"/>
              <w:jc w:val="both"/>
              <w:rPr>
                <w:rFonts w:asciiTheme="minorHAnsi" w:hAnsiTheme="minorHAnsi" w:cs="Arial"/>
                <w:sz w:val="16"/>
                <w:szCs w:val="16"/>
                <w:lang w:val="en-GB"/>
              </w:rPr>
            </w:pPr>
            <w:r>
              <w:rPr>
                <w:rFonts w:asciiTheme="minorHAnsi" w:hAnsiTheme="minorHAnsi" w:cs="Arial"/>
                <w:sz w:val="16"/>
                <w:szCs w:val="16"/>
                <w:lang w:val="en-GB"/>
              </w:rPr>
              <w:t>(2) </w:t>
            </w:r>
            <w:r w:rsidRPr="00CD7B3F">
              <w:rPr>
                <w:rFonts w:asciiTheme="minorHAnsi" w:hAnsiTheme="minorHAnsi" w:cs="Arial"/>
                <w:sz w:val="16"/>
                <w:szCs w:val="16"/>
                <w:lang w:val="en-GB"/>
              </w:rPr>
              <w:t>In case of cross-sections other than the ones listed above (also for lower categories of roads), a pro-rata correction coefficient may be applied to reflect the difference in lanes (or width).</w:t>
            </w:r>
          </w:p>
          <w:p w14:paraId="28DFF150" w14:textId="77777777" w:rsidR="00921721" w:rsidRPr="00CD7B3F" w:rsidRDefault="00921721" w:rsidP="00880D09">
            <w:pPr>
              <w:ind w:right="170"/>
              <w:jc w:val="both"/>
              <w:rPr>
                <w:rFonts w:asciiTheme="minorHAnsi" w:hAnsiTheme="minorHAnsi" w:cs="Arial"/>
                <w:sz w:val="16"/>
                <w:szCs w:val="16"/>
                <w:lang w:val="en-GB"/>
              </w:rPr>
            </w:pPr>
          </w:p>
          <w:p w14:paraId="3239555E" w14:textId="77777777" w:rsidR="00921721" w:rsidRPr="00CD7B3F" w:rsidRDefault="00921721" w:rsidP="00880D09">
            <w:pPr>
              <w:pStyle w:val="anxnormal"/>
              <w:ind w:left="0"/>
              <w:rPr>
                <w:rFonts w:asciiTheme="minorHAnsi" w:hAnsiTheme="minorHAnsi"/>
                <w:u w:val="single"/>
                <w:lang w:val="en-GB" w:eastAsia="en-US"/>
              </w:rPr>
            </w:pPr>
            <w:r w:rsidRPr="00CD7B3F">
              <w:rPr>
                <w:rFonts w:asciiTheme="minorHAnsi" w:hAnsiTheme="minorHAnsi"/>
                <w:u w:val="single"/>
                <w:lang w:val="en-GB" w:eastAsia="en-US"/>
              </w:rPr>
              <w:t>Unit cost evolution over time</w:t>
            </w:r>
          </w:p>
          <w:p w14:paraId="5C8CBFAD" w14:textId="77777777" w:rsidR="00921721"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 xml:space="preserve">It is assumed that there will be </w:t>
            </w:r>
            <w:r>
              <w:rPr>
                <w:rFonts w:asciiTheme="minorHAnsi" w:hAnsiTheme="minorHAnsi"/>
                <w:lang w:val="en-GB" w:eastAsia="en-US"/>
              </w:rPr>
              <w:t>no</w:t>
            </w:r>
            <w:r w:rsidRPr="00731E4E">
              <w:rPr>
                <w:rFonts w:asciiTheme="minorHAnsi" w:hAnsiTheme="minorHAnsi"/>
                <w:lang w:val="en-GB" w:eastAsia="en-US"/>
              </w:rPr>
              <w:t xml:space="preserve"> real increase in unit </w:t>
            </w:r>
            <w:r>
              <w:rPr>
                <w:rFonts w:asciiTheme="minorHAnsi" w:hAnsiTheme="minorHAnsi"/>
                <w:lang w:val="en-GB" w:eastAsia="en-US"/>
              </w:rPr>
              <w:t xml:space="preserve">costs of </w:t>
            </w:r>
            <w:r w:rsidRPr="00CD7B3F">
              <w:rPr>
                <w:rFonts w:asciiTheme="minorHAnsi" w:hAnsiTheme="minorHAnsi"/>
                <w:lang w:val="en-GB" w:eastAsia="en-US"/>
              </w:rPr>
              <w:t>operation and maintenance</w:t>
            </w:r>
            <w:r w:rsidRPr="00731E4E">
              <w:rPr>
                <w:rFonts w:asciiTheme="minorHAnsi" w:hAnsiTheme="minorHAnsi"/>
                <w:lang w:val="en-GB" w:eastAsia="en-US"/>
              </w:rPr>
              <w:t xml:space="preserve"> </w:t>
            </w:r>
            <w:r>
              <w:rPr>
                <w:rFonts w:asciiTheme="minorHAnsi" w:hAnsiTheme="minorHAnsi"/>
                <w:lang w:val="en-GB" w:eastAsia="en-US"/>
              </w:rPr>
              <w:t xml:space="preserve">of road infrastructure </w:t>
            </w:r>
            <w:r w:rsidRPr="00731E4E">
              <w:rPr>
                <w:rFonts w:asciiTheme="minorHAnsi" w:hAnsiTheme="minorHAnsi"/>
                <w:lang w:val="en-GB" w:eastAsia="en-US"/>
              </w:rPr>
              <w:t>over time</w:t>
            </w:r>
            <w:r w:rsidRPr="005057A8">
              <w:rPr>
                <w:rFonts w:asciiTheme="minorHAnsi" w:hAnsiTheme="minorHAnsi"/>
                <w:lang w:val="en-GB" w:eastAsia="en-US"/>
              </w:rPr>
              <w:t>.</w:t>
            </w:r>
            <w:r w:rsidRPr="002C6855">
              <w:rPr>
                <w:rFonts w:asciiTheme="minorHAnsi" w:hAnsiTheme="minorHAnsi"/>
                <w:lang w:val="en-GB" w:eastAsia="en-US"/>
              </w:rPr>
              <w:t xml:space="preserve"> Only nominal indexation to the price level appropriate for the base year, when it moves on from the </w:t>
            </w:r>
            <w:r w:rsidRPr="0097372E">
              <w:rPr>
                <w:rFonts w:asciiTheme="minorHAnsi" w:hAnsiTheme="minorHAnsi"/>
                <w:lang w:val="en-GB" w:eastAsia="en-US"/>
              </w:rPr>
              <w:t>currently adopted (202</w:t>
            </w:r>
            <w:r>
              <w:rPr>
                <w:rFonts w:asciiTheme="minorHAnsi" w:hAnsiTheme="minorHAnsi"/>
                <w:lang w:val="en-GB" w:eastAsia="en-US"/>
              </w:rPr>
              <w:t>1</w:t>
            </w:r>
            <w:r w:rsidRPr="0097372E">
              <w:rPr>
                <w:rFonts w:asciiTheme="minorHAnsi" w:hAnsiTheme="minorHAnsi"/>
                <w:lang w:val="en-GB" w:eastAsia="en-US"/>
              </w:rPr>
              <w:t>),</w:t>
            </w:r>
            <w:r w:rsidRPr="002C6855">
              <w:rPr>
                <w:rFonts w:asciiTheme="minorHAnsi" w:hAnsiTheme="minorHAnsi"/>
                <w:lang w:val="en-GB" w:eastAsia="en-US"/>
              </w:rPr>
              <w:t xml:space="preserve"> should be conducted with the use of Polish </w:t>
            </w:r>
            <w:r>
              <w:rPr>
                <w:rFonts w:asciiTheme="minorHAnsi" w:hAnsiTheme="minorHAnsi"/>
                <w:lang w:val="en-GB" w:eastAsia="en-US"/>
              </w:rPr>
              <w:t>inflation of prices in construction and assembly industry</w:t>
            </w:r>
            <w:r w:rsidRPr="002C6855">
              <w:rPr>
                <w:rFonts w:asciiTheme="minorHAnsi" w:hAnsiTheme="minorHAnsi"/>
                <w:lang w:val="en-GB" w:eastAsia="en-US"/>
              </w:rPr>
              <w:t>.</w:t>
            </w:r>
            <w:r>
              <w:rPr>
                <w:rFonts w:asciiTheme="minorHAnsi" w:hAnsiTheme="minorHAnsi"/>
                <w:lang w:val="en-GB" w:eastAsia="en-US"/>
              </w:rPr>
              <w:t xml:space="preserve"> </w:t>
            </w:r>
          </w:p>
          <w:p w14:paraId="1EA24975" w14:textId="77777777" w:rsidR="00921721" w:rsidRPr="00CD7B3F" w:rsidRDefault="00921721" w:rsidP="00880D09">
            <w:pPr>
              <w:pStyle w:val="anxnormal"/>
              <w:spacing w:before="0"/>
              <w:ind w:left="0"/>
              <w:rPr>
                <w:rFonts w:asciiTheme="minorHAnsi" w:hAnsiTheme="minorHAnsi"/>
                <w:lang w:val="en-GB" w:eastAsia="en-US"/>
              </w:rPr>
            </w:pPr>
          </w:p>
          <w:p w14:paraId="52E8DFC6" w14:textId="77777777" w:rsidR="00921721" w:rsidRPr="00CD7B3F" w:rsidRDefault="00921721" w:rsidP="00880D09">
            <w:pPr>
              <w:ind w:right="170"/>
              <w:jc w:val="both"/>
              <w:rPr>
                <w:rFonts w:asciiTheme="minorHAnsi" w:hAnsiTheme="minorHAnsi" w:cs="Arial-Narrow,Bold"/>
                <w:b/>
                <w:bCs/>
                <w:color w:val="4F81BD" w:themeColor="accent1"/>
                <w:sz w:val="20"/>
                <w:szCs w:val="20"/>
                <w:lang w:val="en-GB"/>
              </w:rPr>
            </w:pPr>
            <w:r w:rsidRPr="00CD7B3F">
              <w:rPr>
                <w:rFonts w:asciiTheme="minorHAnsi" w:hAnsiTheme="minorHAnsi" w:cs="Arial-Narrow,Bold"/>
                <w:b/>
                <w:bCs/>
                <w:color w:val="4F81BD" w:themeColor="accent1"/>
                <w:sz w:val="20"/>
                <w:szCs w:val="20"/>
                <w:lang w:val="en-GB"/>
              </w:rPr>
              <w:t xml:space="preserve">Unit costs of </w:t>
            </w:r>
            <w:r>
              <w:rPr>
                <w:rFonts w:asciiTheme="minorHAnsi" w:hAnsiTheme="minorHAnsi" w:cs="Arial-Narrow,Bold"/>
                <w:b/>
                <w:bCs/>
                <w:color w:val="4F81BD" w:themeColor="accent1"/>
                <w:sz w:val="20"/>
                <w:szCs w:val="20"/>
                <w:lang w:val="en-GB"/>
              </w:rPr>
              <w:t>large engineering</w:t>
            </w:r>
            <w:r w:rsidRPr="00CD7B3F">
              <w:rPr>
                <w:rFonts w:asciiTheme="minorHAnsi" w:hAnsiTheme="minorHAnsi" w:cs="Arial-Narrow,Bold"/>
                <w:b/>
                <w:bCs/>
                <w:color w:val="4F81BD" w:themeColor="accent1"/>
                <w:sz w:val="20"/>
                <w:szCs w:val="20"/>
                <w:lang w:val="en-GB"/>
              </w:rPr>
              <w:t xml:space="preserve"> structures (only in exceptional cases)</w:t>
            </w:r>
          </w:p>
          <w:p w14:paraId="4ADD99B4" w14:textId="77777777" w:rsidR="00921721" w:rsidRPr="00CD7B3F" w:rsidRDefault="00921721" w:rsidP="00880D09">
            <w:pPr>
              <w:pStyle w:val="anxnormal"/>
              <w:ind w:left="0"/>
              <w:rPr>
                <w:rFonts w:asciiTheme="minorHAnsi" w:hAnsiTheme="minorHAnsi"/>
                <w:lang w:val="en-GB" w:eastAsia="en-US"/>
              </w:rPr>
            </w:pPr>
            <w:r w:rsidRPr="00CD7B3F">
              <w:rPr>
                <w:rFonts w:asciiTheme="minorHAnsi" w:hAnsiTheme="minorHAnsi"/>
                <w:lang w:val="en-GB" w:eastAsia="en-US"/>
              </w:rPr>
              <w:t xml:space="preserve">Generally, it is recommended </w:t>
            </w:r>
            <w:r w:rsidRPr="00CD7B3F">
              <w:rPr>
                <w:rFonts w:asciiTheme="minorHAnsi" w:hAnsiTheme="minorHAnsi"/>
                <w:u w:val="single"/>
                <w:lang w:val="en-GB" w:eastAsia="en-US"/>
              </w:rPr>
              <w:t xml:space="preserve">to </w:t>
            </w:r>
            <w:r>
              <w:rPr>
                <w:rFonts w:asciiTheme="minorHAnsi" w:hAnsiTheme="minorHAnsi"/>
                <w:u w:val="single"/>
                <w:lang w:val="en-GB" w:eastAsia="en-US"/>
              </w:rPr>
              <w:t>have</w:t>
            </w:r>
            <w:r w:rsidRPr="00CD7B3F">
              <w:rPr>
                <w:rFonts w:asciiTheme="minorHAnsi" w:hAnsiTheme="minorHAnsi"/>
                <w:u w:val="single"/>
                <w:lang w:val="en-GB" w:eastAsia="en-US"/>
              </w:rPr>
              <w:t xml:space="preserve"> a particular analysis</w:t>
            </w:r>
            <w:r>
              <w:rPr>
                <w:rFonts w:asciiTheme="minorHAnsi" w:hAnsiTheme="minorHAnsi"/>
                <w:u w:val="single"/>
                <w:lang w:val="en-GB" w:eastAsia="en-US"/>
              </w:rPr>
              <w:t xml:space="preserve"> conducted</w:t>
            </w:r>
            <w:r w:rsidRPr="00CD7B3F">
              <w:rPr>
                <w:rFonts w:asciiTheme="minorHAnsi" w:hAnsiTheme="minorHAnsi"/>
                <w:u w:val="single"/>
                <w:lang w:val="en-GB" w:eastAsia="en-US"/>
              </w:rPr>
              <w:t xml:space="preserve">, case by case, by </w:t>
            </w:r>
            <w:r>
              <w:rPr>
                <w:rFonts w:asciiTheme="minorHAnsi" w:hAnsiTheme="minorHAnsi"/>
                <w:u w:val="single"/>
                <w:lang w:val="en-GB" w:eastAsia="en-US"/>
              </w:rPr>
              <w:t>an</w:t>
            </w:r>
            <w:r w:rsidRPr="00CD7B3F">
              <w:rPr>
                <w:rFonts w:asciiTheme="minorHAnsi" w:hAnsiTheme="minorHAnsi"/>
                <w:u w:val="single"/>
                <w:lang w:val="en-GB" w:eastAsia="en-US"/>
              </w:rPr>
              <w:t xml:space="preserve"> engineering expert</w:t>
            </w:r>
            <w:r w:rsidRPr="00CD7B3F">
              <w:rPr>
                <w:rFonts w:asciiTheme="minorHAnsi" w:hAnsiTheme="minorHAnsi"/>
                <w:lang w:val="en-GB" w:eastAsia="en-US"/>
              </w:rPr>
              <w:t>, to estimate the respective O&amp;M costs, in particular</w:t>
            </w:r>
            <w:r>
              <w:rPr>
                <w:rFonts w:asciiTheme="minorHAnsi" w:hAnsiTheme="minorHAnsi"/>
                <w:lang w:val="en-GB" w:eastAsia="en-US"/>
              </w:rPr>
              <w:t xml:space="preserve"> if the estimates are used to</w:t>
            </w:r>
            <w:r w:rsidRPr="00CD7B3F">
              <w:rPr>
                <w:rFonts w:asciiTheme="minorHAnsi" w:hAnsiTheme="minorHAnsi"/>
                <w:lang w:val="en-GB" w:eastAsia="en-US"/>
              </w:rPr>
              <w:t xml:space="preserve"> forecast</w:t>
            </w:r>
            <w:r>
              <w:rPr>
                <w:rFonts w:asciiTheme="minorHAnsi" w:hAnsiTheme="minorHAnsi"/>
                <w:lang w:val="en-GB" w:eastAsia="en-US"/>
              </w:rPr>
              <w:t xml:space="preserve"> an</w:t>
            </w:r>
            <w:r w:rsidRPr="00CD7B3F">
              <w:rPr>
                <w:rFonts w:asciiTheme="minorHAnsi" w:hAnsiTheme="minorHAnsi"/>
                <w:lang w:val="en-GB" w:eastAsia="en-US"/>
              </w:rPr>
              <w:t xml:space="preserve"> O&amp;M budget</w:t>
            </w:r>
            <w:r>
              <w:rPr>
                <w:rFonts w:asciiTheme="minorHAnsi" w:hAnsiTheme="minorHAnsi"/>
                <w:lang w:val="en-GB" w:eastAsia="en-US"/>
              </w:rPr>
              <w:t xml:space="preserve"> necessary to maintain these structures</w:t>
            </w:r>
            <w:r w:rsidRPr="00CD7B3F">
              <w:rPr>
                <w:rFonts w:asciiTheme="minorHAnsi" w:hAnsiTheme="minorHAnsi"/>
                <w:lang w:val="en-GB" w:eastAsia="en-US"/>
              </w:rPr>
              <w:t>.</w:t>
            </w:r>
          </w:p>
          <w:p w14:paraId="325E6203" w14:textId="77777777" w:rsidR="00921721" w:rsidRPr="00CD7B3F" w:rsidRDefault="00921721" w:rsidP="00880D09">
            <w:pPr>
              <w:pStyle w:val="anxnormal"/>
              <w:ind w:left="0"/>
              <w:rPr>
                <w:rFonts w:asciiTheme="minorHAnsi" w:hAnsiTheme="minorHAnsi"/>
                <w:lang w:val="en-GB" w:eastAsia="en-US"/>
              </w:rPr>
            </w:pPr>
            <w:r>
              <w:rPr>
                <w:rFonts w:asciiTheme="minorHAnsi" w:hAnsiTheme="minorHAnsi"/>
                <w:lang w:val="en-GB" w:eastAsia="en-US"/>
              </w:rPr>
              <w:t>When no other reliable data is available, for</w:t>
            </w:r>
            <w:r w:rsidRPr="00CD7B3F">
              <w:rPr>
                <w:rFonts w:asciiTheme="minorHAnsi" w:hAnsiTheme="minorHAnsi"/>
                <w:lang w:val="en-GB" w:eastAsia="en-US"/>
              </w:rPr>
              <w:t xml:space="preserve"> purposes of CBA, 1.5% of the investment costs </w:t>
            </w:r>
            <w:r>
              <w:rPr>
                <w:rFonts w:asciiTheme="minorHAnsi" w:hAnsiTheme="minorHAnsi"/>
                <w:lang w:val="en-GB" w:eastAsia="en-US"/>
              </w:rPr>
              <w:t xml:space="preserve">is </w:t>
            </w:r>
            <w:r w:rsidRPr="00CD7B3F">
              <w:rPr>
                <w:rFonts w:asciiTheme="minorHAnsi" w:hAnsiTheme="minorHAnsi"/>
                <w:lang w:val="en-GB" w:eastAsia="en-US"/>
              </w:rPr>
              <w:t>consider</w:t>
            </w:r>
            <w:r>
              <w:rPr>
                <w:rFonts w:asciiTheme="minorHAnsi" w:hAnsiTheme="minorHAnsi"/>
                <w:lang w:val="en-GB" w:eastAsia="en-US"/>
              </w:rPr>
              <w:t>ed valid as a preliminary estimation of</w:t>
            </w:r>
            <w:r w:rsidRPr="00CD7B3F">
              <w:rPr>
                <w:rFonts w:asciiTheme="minorHAnsi" w:hAnsiTheme="minorHAnsi"/>
                <w:lang w:val="en-GB" w:eastAsia="en-US"/>
              </w:rPr>
              <w:t xml:space="preserve"> total yearly average routine and periodic O&amp;M costs for the given </w:t>
            </w:r>
            <w:r>
              <w:rPr>
                <w:rFonts w:asciiTheme="minorHAnsi" w:hAnsiTheme="minorHAnsi"/>
                <w:lang w:val="en-GB" w:eastAsia="en-US"/>
              </w:rPr>
              <w:t xml:space="preserve">engineering </w:t>
            </w:r>
            <w:r w:rsidRPr="00CD7B3F">
              <w:rPr>
                <w:rFonts w:asciiTheme="minorHAnsi" w:hAnsiTheme="minorHAnsi"/>
                <w:lang w:val="en-GB" w:eastAsia="en-US"/>
              </w:rPr>
              <w:t xml:space="preserve">structure (identified by </w:t>
            </w:r>
            <w:r>
              <w:rPr>
                <w:rFonts w:asciiTheme="minorHAnsi" w:hAnsiTheme="minorHAnsi"/>
                <w:lang w:val="en-GB" w:eastAsia="en-US"/>
              </w:rPr>
              <w:t>means of</w:t>
            </w:r>
            <w:r w:rsidRPr="00CD7B3F">
              <w:rPr>
                <w:rFonts w:asciiTheme="minorHAnsi" w:hAnsiTheme="minorHAnsi"/>
                <w:lang w:val="en-GB" w:eastAsia="en-US"/>
              </w:rPr>
              <w:t xml:space="preserve"> sound project engineer</w:t>
            </w:r>
            <w:r>
              <w:rPr>
                <w:rFonts w:asciiTheme="minorHAnsi" w:hAnsiTheme="minorHAnsi"/>
                <w:lang w:val="en-GB" w:eastAsia="en-US"/>
              </w:rPr>
              <w:t>ing</w:t>
            </w:r>
            <w:r w:rsidRPr="00CD7B3F">
              <w:rPr>
                <w:rFonts w:asciiTheme="minorHAnsi" w:hAnsiTheme="minorHAnsi"/>
                <w:lang w:val="en-GB" w:eastAsia="en-US"/>
              </w:rPr>
              <w:t xml:space="preserve"> criteria). </w:t>
            </w:r>
            <w:r>
              <w:rPr>
                <w:rFonts w:asciiTheme="minorHAnsi" w:hAnsiTheme="minorHAnsi"/>
                <w:lang w:val="en-GB" w:eastAsia="en-US"/>
              </w:rPr>
              <w:t>F</w:t>
            </w:r>
            <w:r w:rsidRPr="00CD7B3F">
              <w:rPr>
                <w:rFonts w:asciiTheme="minorHAnsi" w:hAnsiTheme="minorHAnsi"/>
                <w:lang w:val="en-GB" w:eastAsia="en-US"/>
              </w:rPr>
              <w:t xml:space="preserve">or the rest of the project </w:t>
            </w:r>
            <w:r>
              <w:rPr>
                <w:rFonts w:asciiTheme="minorHAnsi" w:hAnsiTheme="minorHAnsi"/>
                <w:lang w:val="en-GB" w:eastAsia="en-US"/>
              </w:rPr>
              <w:t xml:space="preserve">road </w:t>
            </w:r>
            <w:r w:rsidRPr="00CD7B3F">
              <w:rPr>
                <w:rFonts w:asciiTheme="minorHAnsi" w:hAnsiTheme="minorHAnsi"/>
                <w:lang w:val="en-GB" w:eastAsia="en-US"/>
              </w:rPr>
              <w:t xml:space="preserve">length, the above proposed overall unit costs </w:t>
            </w:r>
            <w:r>
              <w:rPr>
                <w:rFonts w:asciiTheme="minorHAnsi" w:hAnsiTheme="minorHAnsi"/>
                <w:lang w:val="en-GB" w:eastAsia="en-US"/>
              </w:rPr>
              <w:t xml:space="preserve">of maintenance </w:t>
            </w:r>
            <w:r w:rsidRPr="00CD7B3F">
              <w:rPr>
                <w:rFonts w:asciiTheme="minorHAnsi" w:hAnsiTheme="minorHAnsi"/>
                <w:lang w:val="en-GB" w:eastAsia="en-US"/>
              </w:rPr>
              <w:t xml:space="preserve">(routine and periodic) should be applied. </w:t>
            </w:r>
          </w:p>
          <w:p w14:paraId="69E2DBD6" w14:textId="77777777" w:rsidR="00921721" w:rsidRPr="00141B51" w:rsidRDefault="00921721" w:rsidP="00880D09">
            <w:pPr>
              <w:pStyle w:val="anxnormal"/>
              <w:ind w:left="0"/>
              <w:rPr>
                <w:rFonts w:asciiTheme="minorHAnsi" w:hAnsiTheme="minorHAnsi"/>
                <w:lang w:val="en-GB" w:eastAsia="en-US"/>
              </w:rPr>
            </w:pPr>
          </w:p>
          <w:p w14:paraId="3F189D46" w14:textId="77777777" w:rsidR="00921721" w:rsidRPr="00CD7B3F" w:rsidRDefault="00921721" w:rsidP="00880D09">
            <w:pPr>
              <w:ind w:right="170"/>
              <w:jc w:val="both"/>
              <w:rPr>
                <w:rFonts w:asciiTheme="minorHAnsi" w:hAnsiTheme="minorHAnsi" w:cs="Arial-Narrow,Bold"/>
                <w:b/>
                <w:bCs/>
                <w:color w:val="4F81BD" w:themeColor="accent1"/>
                <w:sz w:val="20"/>
                <w:szCs w:val="20"/>
                <w:lang w:val="en-GB"/>
              </w:rPr>
            </w:pPr>
            <w:r w:rsidRPr="00CD7B3F">
              <w:rPr>
                <w:rFonts w:asciiTheme="minorHAnsi" w:hAnsiTheme="minorHAnsi" w:cs="Arial-Narrow,Bold"/>
                <w:b/>
                <w:bCs/>
                <w:color w:val="4F81BD" w:themeColor="accent1"/>
                <w:sz w:val="20"/>
                <w:szCs w:val="20"/>
                <w:lang w:val="en-GB"/>
              </w:rPr>
              <w:t>Unit operating costs of the tolling system</w:t>
            </w:r>
          </w:p>
          <w:p w14:paraId="2E565BED" w14:textId="77777777" w:rsidR="00921721" w:rsidRDefault="00921721" w:rsidP="00880D09">
            <w:pPr>
              <w:pStyle w:val="anxnormal"/>
              <w:ind w:left="0"/>
              <w:rPr>
                <w:rFonts w:asciiTheme="minorHAnsi" w:hAnsiTheme="minorHAnsi"/>
                <w:lang w:val="en-GB" w:eastAsia="en-US"/>
              </w:rPr>
            </w:pPr>
            <w:r w:rsidRPr="00DA45AE">
              <w:rPr>
                <w:rFonts w:asciiTheme="minorHAnsi" w:hAnsiTheme="minorHAnsi"/>
                <w:lang w:val="en-GB" w:eastAsia="en-US"/>
              </w:rPr>
              <w:t>Proposed electronic toll operating unit costs below are based on</w:t>
            </w:r>
            <w:r>
              <w:rPr>
                <w:rFonts w:asciiTheme="minorHAnsi" w:hAnsiTheme="minorHAnsi"/>
                <w:lang w:val="en-GB" w:eastAsia="en-US"/>
              </w:rPr>
              <w:t xml:space="preserve"> costs associated with operation of the Electronic Tolling System in July, August and September 2021. Until the end of September there were two electronic tolling systems running in parallel: the incumbent viaTOLL and the introduced e-TOLL. Cost data concerning operation of the Electronic Tolling System refers to both systems. Since 1</w:t>
            </w:r>
            <w:r w:rsidRPr="00DA45AE">
              <w:rPr>
                <w:rFonts w:asciiTheme="minorHAnsi" w:hAnsiTheme="minorHAnsi"/>
                <w:vertAlign w:val="superscript"/>
                <w:lang w:val="en-GB" w:eastAsia="en-US"/>
              </w:rPr>
              <w:t>st</w:t>
            </w:r>
            <w:r>
              <w:rPr>
                <w:rFonts w:asciiTheme="minorHAnsi" w:hAnsiTheme="minorHAnsi"/>
                <w:lang w:val="en-GB" w:eastAsia="en-US"/>
              </w:rPr>
              <w:t xml:space="preserve"> October 2021 e-TOLL became the only system for paying the toll for driving on tolled roads in Poland. During the period covered by cost data, the total length of public tolled roads managed by GDDKiA amounted to 3.68 thousand kilometres. It will be possible to update unit operating costs of the tolling system based on cost data concerning the system operation after the completion of the introductory period. This may be effected as part of the routine update of unit cost tables published by CUPT. </w:t>
            </w:r>
          </w:p>
          <w:p w14:paraId="4211503D" w14:textId="77777777" w:rsidR="00921721" w:rsidRPr="00CD7B3F" w:rsidRDefault="00921721" w:rsidP="00880D09">
            <w:pPr>
              <w:pStyle w:val="anxnormal"/>
              <w:ind w:left="0"/>
              <w:rPr>
                <w:rFonts w:asciiTheme="minorHAnsi" w:hAnsiTheme="minorHAnsi"/>
                <w:lang w:val="en-GB" w:eastAsia="en-US"/>
              </w:rPr>
            </w:pPr>
          </w:p>
          <w:p w14:paraId="2D401665" w14:textId="79DC29E6" w:rsidR="00921721" w:rsidRDefault="00921721" w:rsidP="00880D09">
            <w:pPr>
              <w:pStyle w:val="anxnormal"/>
              <w:ind w:left="0"/>
              <w:rPr>
                <w:rFonts w:asciiTheme="minorHAnsi" w:hAnsiTheme="minorHAnsi"/>
                <w:lang w:val="en-GB" w:eastAsia="en-US"/>
              </w:rPr>
            </w:pPr>
          </w:p>
          <w:p w14:paraId="0E406574" w14:textId="0C3C7D1C" w:rsidR="00921721" w:rsidRDefault="00921721" w:rsidP="00880D09">
            <w:pPr>
              <w:pStyle w:val="anxnormal"/>
              <w:ind w:left="0"/>
              <w:rPr>
                <w:rFonts w:asciiTheme="minorHAnsi" w:hAnsiTheme="minorHAnsi"/>
                <w:lang w:val="en-GB" w:eastAsia="en-US"/>
              </w:rPr>
            </w:pPr>
          </w:p>
          <w:p w14:paraId="0798626F" w14:textId="77777777" w:rsidR="00921721" w:rsidRPr="00CD7B3F" w:rsidRDefault="00921721" w:rsidP="00880D09">
            <w:pPr>
              <w:pStyle w:val="anxnormal"/>
              <w:ind w:left="0"/>
              <w:rPr>
                <w:rFonts w:asciiTheme="minorHAnsi" w:hAnsiTheme="minorHAnsi"/>
                <w:lang w:val="en-GB" w:eastAsia="en-US"/>
              </w:rPr>
            </w:pPr>
          </w:p>
          <w:p w14:paraId="0EA7D931" w14:textId="77777777" w:rsidR="00921721" w:rsidRPr="00CD7B3F" w:rsidRDefault="00921721" w:rsidP="00880D09">
            <w:pPr>
              <w:pStyle w:val="anxnormal"/>
              <w:spacing w:after="120"/>
              <w:ind w:left="0"/>
              <w:rPr>
                <w:rFonts w:asciiTheme="minorHAnsi" w:hAnsiTheme="minorHAnsi"/>
                <w:lang w:val="en-GB" w:eastAsia="en-US"/>
              </w:rPr>
            </w:pPr>
            <w:r w:rsidRPr="00CD7B3F">
              <w:rPr>
                <w:rFonts w:asciiTheme="minorHAnsi" w:hAnsiTheme="minorHAnsi"/>
                <w:lang w:val="en-GB" w:eastAsia="en-US"/>
              </w:rPr>
              <w:t>Electronic tolling system operating unit costs [PLN/km]</w:t>
            </w:r>
          </w:p>
          <w:tbl>
            <w:tblPr>
              <w:tblW w:w="6939" w:type="dxa"/>
              <w:tblLayout w:type="fixed"/>
              <w:tblLook w:val="04A0" w:firstRow="1" w:lastRow="0" w:firstColumn="1" w:lastColumn="0" w:noHBand="0" w:noVBand="1"/>
            </w:tblPr>
            <w:tblGrid>
              <w:gridCol w:w="3469"/>
              <w:gridCol w:w="3470"/>
            </w:tblGrid>
            <w:tr w:rsidR="00921721" w:rsidRPr="007463B9" w14:paraId="7D9FF606" w14:textId="77777777" w:rsidTr="00880D09">
              <w:trPr>
                <w:trHeight w:hRule="exact" w:val="499"/>
              </w:trPr>
              <w:tc>
                <w:tcPr>
                  <w:tcW w:w="3469"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5843DEA0" w14:textId="77777777" w:rsidR="00921721" w:rsidRPr="00CD7B3F" w:rsidRDefault="00921721" w:rsidP="00880D09">
                  <w:pPr>
                    <w:snapToGrid w:val="0"/>
                    <w:spacing w:before="20" w:after="20"/>
                    <w:jc w:val="center"/>
                    <w:rPr>
                      <w:rFonts w:asciiTheme="minorHAnsi" w:hAnsiTheme="minorHAnsi" w:cs="Arial"/>
                      <w:b/>
                      <w:bCs/>
                      <w:color w:val="FFFFFF"/>
                      <w:sz w:val="18"/>
                      <w:szCs w:val="18"/>
                    </w:rPr>
                  </w:pPr>
                  <w:r w:rsidRPr="00CD7B3F">
                    <w:rPr>
                      <w:rFonts w:asciiTheme="minorHAnsi" w:hAnsiTheme="minorHAnsi" w:cs="Arial"/>
                      <w:b/>
                      <w:bCs/>
                      <w:color w:val="FFFFFF"/>
                      <w:sz w:val="18"/>
                      <w:szCs w:val="18"/>
                    </w:rPr>
                    <w:t>Year</w:t>
                  </w:r>
                </w:p>
              </w:tc>
              <w:tc>
                <w:tcPr>
                  <w:tcW w:w="3470"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3EC0984F" w14:textId="77777777" w:rsidR="00921721" w:rsidRPr="00CD7B3F" w:rsidRDefault="00921721" w:rsidP="00880D09">
                  <w:pPr>
                    <w:snapToGrid w:val="0"/>
                    <w:spacing w:before="20" w:after="20"/>
                    <w:jc w:val="center"/>
                    <w:rPr>
                      <w:rFonts w:asciiTheme="minorHAnsi" w:hAnsiTheme="minorHAnsi" w:cs="Arial"/>
                      <w:b/>
                      <w:bCs/>
                      <w:color w:val="FFFFFF"/>
                      <w:sz w:val="18"/>
                      <w:szCs w:val="18"/>
                      <w:lang w:val="en-GB"/>
                    </w:rPr>
                  </w:pPr>
                  <w:r w:rsidRPr="00CD7B3F">
                    <w:rPr>
                      <w:rFonts w:asciiTheme="minorHAnsi" w:hAnsiTheme="minorHAnsi" w:cs="Arial"/>
                      <w:b/>
                      <w:bCs/>
                      <w:color w:val="FFFFFF"/>
                      <w:sz w:val="18"/>
                      <w:szCs w:val="18"/>
                      <w:lang w:val="en-GB"/>
                    </w:rPr>
                    <w:t>Electronic tolling system operating unit costs (PLN/km), net</w:t>
                  </w:r>
                </w:p>
              </w:tc>
            </w:tr>
            <w:tr w:rsidR="00921721" w:rsidRPr="007463B9" w14:paraId="2B64BA9C" w14:textId="77777777" w:rsidTr="00880D09">
              <w:trPr>
                <w:trHeight w:val="227"/>
              </w:trPr>
              <w:tc>
                <w:tcPr>
                  <w:tcW w:w="3469"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7CAE3086"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2021</w:t>
                  </w:r>
                </w:p>
              </w:tc>
              <w:tc>
                <w:tcPr>
                  <w:tcW w:w="3470"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418877B2" w14:textId="77777777" w:rsidR="00921721" w:rsidRPr="00CD7B3F" w:rsidRDefault="00921721" w:rsidP="00880D09">
                  <w:pPr>
                    <w:spacing w:before="20"/>
                    <w:jc w:val="center"/>
                    <w:rPr>
                      <w:rFonts w:asciiTheme="minorHAnsi" w:hAnsiTheme="minorHAnsi" w:cs="Arial"/>
                      <w:color w:val="4F81BD" w:themeColor="accent1"/>
                      <w:sz w:val="18"/>
                      <w:szCs w:val="18"/>
                      <w:lang w:val="en-GB"/>
                    </w:rPr>
                  </w:pPr>
                  <w:r>
                    <w:rPr>
                      <w:rFonts w:asciiTheme="minorHAnsi" w:hAnsiTheme="minorHAnsi" w:cs="Arial"/>
                      <w:color w:val="4F81BD" w:themeColor="accent1"/>
                      <w:sz w:val="18"/>
                      <w:szCs w:val="18"/>
                      <w:lang w:val="en-GB"/>
                    </w:rPr>
                    <w:t>63 535</w:t>
                  </w:r>
                </w:p>
              </w:tc>
            </w:tr>
          </w:tbl>
          <w:p w14:paraId="5257CF6F" w14:textId="77777777" w:rsidR="00921721" w:rsidRPr="00CD7B3F" w:rsidRDefault="00921721" w:rsidP="00880D09">
            <w:pPr>
              <w:spacing w:before="120" w:after="120"/>
              <w:ind w:right="170"/>
              <w:jc w:val="both"/>
              <w:rPr>
                <w:rFonts w:asciiTheme="minorHAnsi" w:hAnsiTheme="minorHAnsi" w:cs="Arial"/>
                <w:sz w:val="20"/>
                <w:szCs w:val="20"/>
                <w:lang w:val="en-GB"/>
              </w:rPr>
            </w:pPr>
            <w:r w:rsidRPr="00CD7B3F">
              <w:rPr>
                <w:rFonts w:asciiTheme="minorHAnsi" w:hAnsiTheme="minorHAnsi" w:cs="Arial"/>
                <w:b/>
                <w:i/>
                <w:sz w:val="16"/>
                <w:szCs w:val="16"/>
                <w:lang w:val="en-GB"/>
              </w:rPr>
              <w:t xml:space="preserve">Source: </w:t>
            </w:r>
            <w:r>
              <w:rPr>
                <w:rFonts w:asciiTheme="minorHAnsi" w:hAnsiTheme="minorHAnsi" w:cs="Arial"/>
                <w:b/>
                <w:i/>
                <w:sz w:val="16"/>
                <w:szCs w:val="16"/>
                <w:lang w:val="en-GB"/>
              </w:rPr>
              <w:t>CUPT work based on data from the Ministry of Finance – National Revenue Administration</w:t>
            </w:r>
            <w:r w:rsidRPr="00CD7B3F">
              <w:rPr>
                <w:rFonts w:asciiTheme="minorHAnsi" w:hAnsiTheme="minorHAnsi" w:cs="Arial"/>
                <w:b/>
                <w:i/>
                <w:sz w:val="16"/>
                <w:szCs w:val="16"/>
                <w:lang w:val="en-GB"/>
              </w:rPr>
              <w:t>.</w:t>
            </w:r>
          </w:p>
          <w:p w14:paraId="0DBDAA39" w14:textId="77777777" w:rsidR="00921721" w:rsidRPr="00CD7B3F" w:rsidRDefault="00921721" w:rsidP="00880D09">
            <w:pPr>
              <w:pStyle w:val="anxnormal"/>
              <w:ind w:left="0"/>
              <w:rPr>
                <w:rFonts w:asciiTheme="minorHAnsi" w:hAnsiTheme="minorHAnsi"/>
                <w:u w:val="single"/>
                <w:lang w:val="en-GB" w:eastAsia="en-US"/>
              </w:rPr>
            </w:pPr>
          </w:p>
          <w:p w14:paraId="4037F877" w14:textId="77777777" w:rsidR="00921721" w:rsidRPr="00CD7B3F" w:rsidRDefault="00921721" w:rsidP="00880D09">
            <w:pPr>
              <w:pStyle w:val="anxnormal"/>
              <w:ind w:left="0"/>
              <w:rPr>
                <w:rFonts w:asciiTheme="minorHAnsi" w:hAnsiTheme="minorHAnsi"/>
                <w:u w:val="single"/>
                <w:lang w:val="en-GB" w:eastAsia="en-US"/>
              </w:rPr>
            </w:pPr>
            <w:r w:rsidRPr="00CD7B3F">
              <w:rPr>
                <w:rFonts w:asciiTheme="minorHAnsi" w:hAnsiTheme="minorHAnsi"/>
                <w:u w:val="single"/>
                <w:lang w:val="en-GB" w:eastAsia="en-US"/>
              </w:rPr>
              <w:t>Unit cost evolution over time</w:t>
            </w:r>
          </w:p>
          <w:p w14:paraId="3E43CA11" w14:textId="77777777" w:rsidR="00921721" w:rsidRPr="00AC4126" w:rsidRDefault="00921721" w:rsidP="00880D09">
            <w:pPr>
              <w:pStyle w:val="anxnormal"/>
              <w:ind w:left="0"/>
              <w:rPr>
                <w:rFonts w:asciiTheme="minorHAnsi" w:hAnsiTheme="minorHAnsi"/>
                <w:lang w:val="en-GB" w:eastAsia="en-US"/>
              </w:rPr>
            </w:pPr>
            <w:r w:rsidRPr="00AC4126">
              <w:rPr>
                <w:rFonts w:asciiTheme="minorHAnsi" w:hAnsiTheme="minorHAnsi"/>
                <w:lang w:val="en-GB" w:eastAsia="en-US"/>
              </w:rPr>
              <w:t xml:space="preserve">It is assumed that there will be no real increase in unit costs of operation and maintenance of </w:t>
            </w:r>
            <w:r>
              <w:rPr>
                <w:rFonts w:asciiTheme="minorHAnsi" w:hAnsiTheme="minorHAnsi"/>
                <w:lang w:val="en-GB" w:eastAsia="en-US"/>
              </w:rPr>
              <w:t xml:space="preserve">the electronic tolling system </w:t>
            </w:r>
            <w:r w:rsidRPr="00AC4126">
              <w:rPr>
                <w:rFonts w:asciiTheme="minorHAnsi" w:hAnsiTheme="minorHAnsi"/>
                <w:lang w:val="en-GB" w:eastAsia="en-US"/>
              </w:rPr>
              <w:t xml:space="preserve">over time. Only nominal indexation to the price level appropriate for the base year, when it moves on from the </w:t>
            </w:r>
            <w:r>
              <w:rPr>
                <w:rFonts w:asciiTheme="minorHAnsi" w:hAnsiTheme="minorHAnsi"/>
                <w:lang w:val="en-GB" w:eastAsia="en-US"/>
              </w:rPr>
              <w:t>currently adopted (2021</w:t>
            </w:r>
            <w:r w:rsidRPr="00AC4126">
              <w:rPr>
                <w:rFonts w:asciiTheme="minorHAnsi" w:hAnsiTheme="minorHAnsi"/>
                <w:lang w:val="en-GB" w:eastAsia="en-US"/>
              </w:rPr>
              <w:t>), should be conducted with the use of Polish inflation of prices in construction and assembly industry.</w:t>
            </w:r>
            <w:r>
              <w:rPr>
                <w:rFonts w:asciiTheme="minorHAnsi" w:hAnsiTheme="minorHAnsi"/>
                <w:lang w:val="en-GB" w:eastAsia="en-US"/>
              </w:rPr>
              <w:t xml:space="preserve"> </w:t>
            </w:r>
          </w:p>
          <w:p w14:paraId="49ABCA0A" w14:textId="77777777" w:rsidR="00921721" w:rsidRDefault="00921721" w:rsidP="00880D09">
            <w:pPr>
              <w:pStyle w:val="anxnormal"/>
              <w:ind w:left="0"/>
              <w:rPr>
                <w:rFonts w:asciiTheme="minorHAnsi" w:hAnsiTheme="minorHAnsi"/>
                <w:lang w:val="en-GB" w:eastAsia="en-US"/>
              </w:rPr>
            </w:pPr>
          </w:p>
          <w:p w14:paraId="5E72AFA2" w14:textId="77777777" w:rsidR="00921721" w:rsidRDefault="00921721" w:rsidP="00880D09">
            <w:pPr>
              <w:pStyle w:val="anxnormal"/>
              <w:ind w:left="0"/>
              <w:rPr>
                <w:rFonts w:asciiTheme="minorHAnsi" w:hAnsiTheme="minorHAnsi"/>
                <w:lang w:val="en-GB" w:eastAsia="en-US"/>
              </w:rPr>
            </w:pPr>
          </w:p>
          <w:p w14:paraId="70C8B70F" w14:textId="77777777" w:rsidR="00921721" w:rsidRDefault="00921721" w:rsidP="00880D09">
            <w:pPr>
              <w:pStyle w:val="anxnormal"/>
              <w:ind w:left="0"/>
              <w:rPr>
                <w:rFonts w:asciiTheme="minorHAnsi" w:hAnsiTheme="minorHAnsi"/>
                <w:lang w:val="en-GB" w:eastAsia="en-US"/>
              </w:rPr>
            </w:pPr>
          </w:p>
          <w:p w14:paraId="5F23B927" w14:textId="77777777" w:rsidR="00921721" w:rsidRDefault="00921721" w:rsidP="00880D09">
            <w:pPr>
              <w:pStyle w:val="anxnormal"/>
              <w:ind w:left="0"/>
              <w:rPr>
                <w:rFonts w:asciiTheme="minorHAnsi" w:hAnsiTheme="minorHAnsi"/>
                <w:lang w:val="en-GB" w:eastAsia="en-US"/>
              </w:rPr>
            </w:pPr>
          </w:p>
          <w:p w14:paraId="7882ED00" w14:textId="77777777" w:rsidR="00921721" w:rsidRDefault="00921721" w:rsidP="00880D09">
            <w:pPr>
              <w:pStyle w:val="anxnormal"/>
              <w:ind w:left="0"/>
              <w:rPr>
                <w:rFonts w:asciiTheme="minorHAnsi" w:hAnsiTheme="minorHAnsi"/>
                <w:lang w:val="en-GB" w:eastAsia="en-US"/>
              </w:rPr>
            </w:pPr>
          </w:p>
          <w:p w14:paraId="51CAFF0D" w14:textId="77777777" w:rsidR="00921721" w:rsidRDefault="00921721" w:rsidP="00880D09">
            <w:pPr>
              <w:pStyle w:val="anxnormal"/>
              <w:ind w:left="0"/>
              <w:rPr>
                <w:rFonts w:asciiTheme="minorHAnsi" w:hAnsiTheme="minorHAnsi"/>
                <w:lang w:val="en-GB" w:eastAsia="en-US"/>
              </w:rPr>
            </w:pPr>
          </w:p>
          <w:p w14:paraId="73A77ED8" w14:textId="77777777" w:rsidR="00921721" w:rsidRDefault="00921721" w:rsidP="00880D09">
            <w:pPr>
              <w:pStyle w:val="anxnormal"/>
              <w:ind w:left="0"/>
              <w:rPr>
                <w:rFonts w:asciiTheme="minorHAnsi" w:hAnsiTheme="minorHAnsi"/>
                <w:lang w:val="en-GB" w:eastAsia="en-US"/>
              </w:rPr>
            </w:pPr>
          </w:p>
          <w:p w14:paraId="7BBA1E99" w14:textId="77777777" w:rsidR="00921721" w:rsidRDefault="00921721" w:rsidP="00880D09">
            <w:pPr>
              <w:pStyle w:val="anxnormal"/>
              <w:ind w:left="0"/>
              <w:rPr>
                <w:rFonts w:asciiTheme="minorHAnsi" w:hAnsiTheme="minorHAnsi"/>
                <w:lang w:val="en-GB" w:eastAsia="en-US"/>
              </w:rPr>
            </w:pPr>
          </w:p>
          <w:p w14:paraId="2E34D6C8" w14:textId="77777777" w:rsidR="00921721" w:rsidRDefault="00921721" w:rsidP="00880D09">
            <w:pPr>
              <w:pStyle w:val="anxnormal"/>
              <w:ind w:left="0"/>
              <w:rPr>
                <w:rFonts w:asciiTheme="minorHAnsi" w:hAnsiTheme="minorHAnsi"/>
                <w:lang w:val="en-GB" w:eastAsia="en-US"/>
              </w:rPr>
            </w:pPr>
          </w:p>
          <w:p w14:paraId="3C209298" w14:textId="77777777" w:rsidR="00921721" w:rsidRDefault="00921721" w:rsidP="00880D09">
            <w:pPr>
              <w:pStyle w:val="anxnormal"/>
              <w:ind w:left="0"/>
              <w:rPr>
                <w:rFonts w:asciiTheme="minorHAnsi" w:hAnsiTheme="minorHAnsi"/>
                <w:lang w:val="en-GB" w:eastAsia="en-US"/>
              </w:rPr>
            </w:pPr>
          </w:p>
          <w:p w14:paraId="5CB90BC2" w14:textId="77777777" w:rsidR="00921721" w:rsidRPr="00821B08" w:rsidRDefault="00921721" w:rsidP="00880D09">
            <w:pPr>
              <w:pStyle w:val="anxnormal"/>
              <w:ind w:left="0"/>
              <w:rPr>
                <w:rFonts w:asciiTheme="minorHAnsi" w:hAnsiTheme="minorHAnsi" w:cs="Arial-Narrow,Bold"/>
                <w:b/>
                <w:bCs/>
                <w:color w:val="4F81BD" w:themeColor="accent1"/>
                <w:sz w:val="23"/>
                <w:szCs w:val="23"/>
                <w:lang w:val="en-GB" w:eastAsia="en-GB"/>
              </w:rPr>
            </w:pPr>
            <w:r w:rsidRPr="00821B08">
              <w:rPr>
                <w:rFonts w:asciiTheme="minorHAnsi" w:hAnsiTheme="minorHAnsi" w:cs="Arial-Narrow,Bold"/>
                <w:b/>
                <w:bCs/>
                <w:color w:val="4F81BD" w:themeColor="accent1"/>
                <w:sz w:val="23"/>
                <w:szCs w:val="23"/>
                <w:lang w:val="en-GB" w:eastAsia="en-GB"/>
              </w:rPr>
              <w:t>10. Example: Residual value calculation based on depreciation</w:t>
            </w:r>
          </w:p>
          <w:p w14:paraId="4204EDB7" w14:textId="77777777" w:rsidR="00921721" w:rsidRPr="00731E4E" w:rsidRDefault="00921721" w:rsidP="00880D09">
            <w:pPr>
              <w:pStyle w:val="anxnormal"/>
              <w:spacing w:after="120"/>
              <w:ind w:left="0"/>
              <w:rPr>
                <w:rFonts w:asciiTheme="minorHAnsi" w:hAnsiTheme="minorHAnsi"/>
                <w:lang w:val="en-GB" w:eastAsia="en-US"/>
              </w:rPr>
            </w:pPr>
            <w:r w:rsidRPr="00731E4E">
              <w:rPr>
                <w:rFonts w:asciiTheme="minorHAnsi" w:hAnsiTheme="minorHAnsi"/>
                <w:lang w:val="en-GB" w:eastAsia="en-US"/>
              </w:rPr>
              <w:t>Project X construction costs breakdown is presented in the table below:</w:t>
            </w:r>
          </w:p>
          <w:tbl>
            <w:tblPr>
              <w:tblW w:w="7227" w:type="dxa"/>
              <w:tblBorders>
                <w:insideH w:val="single" w:sz="4" w:space="0" w:color="FFFFFF"/>
                <w:insideV w:val="single" w:sz="4" w:space="0" w:color="FFFFFF"/>
              </w:tblBorders>
              <w:tblLayout w:type="fixed"/>
              <w:tblLook w:val="04A0" w:firstRow="1" w:lastRow="0" w:firstColumn="1" w:lastColumn="0" w:noHBand="0" w:noVBand="1"/>
            </w:tblPr>
            <w:tblGrid>
              <w:gridCol w:w="1487"/>
              <w:gridCol w:w="921"/>
              <w:gridCol w:w="1275"/>
              <w:gridCol w:w="1276"/>
              <w:gridCol w:w="1276"/>
              <w:gridCol w:w="992"/>
            </w:tblGrid>
            <w:tr w:rsidR="00921721" w:rsidRPr="007463B9" w14:paraId="4C70D755" w14:textId="77777777" w:rsidTr="00880D09">
              <w:trPr>
                <w:trHeight w:val="226"/>
              </w:trPr>
              <w:tc>
                <w:tcPr>
                  <w:tcW w:w="1487" w:type="dxa"/>
                  <w:vMerge w:val="restart"/>
                  <w:tcBorders>
                    <w:top w:val="nil"/>
                    <w:left w:val="nil"/>
                    <w:bottom w:val="single" w:sz="4" w:space="0" w:color="FFFFFF"/>
                    <w:right w:val="single" w:sz="4" w:space="0" w:color="FFFFFF"/>
                  </w:tcBorders>
                  <w:shd w:val="clear" w:color="auto" w:fill="A6A6A6" w:themeFill="background1" w:themeFillShade="A6"/>
                  <w:vAlign w:val="center"/>
                  <w:hideMark/>
                </w:tcPr>
                <w:p w14:paraId="52204FF5"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rPr>
                  </w:pPr>
                  <w:r w:rsidRPr="0021282C">
                    <w:rPr>
                      <w:rFonts w:asciiTheme="minorHAnsi" w:eastAsia="Arial Narrow" w:hAnsiTheme="minorHAnsi" w:cs="Arial Narrow"/>
                      <w:b/>
                      <w:color w:val="FFFFFF"/>
                      <w:spacing w:val="-1"/>
                      <w:w w:val="108"/>
                      <w:position w:val="-1"/>
                      <w:sz w:val="18"/>
                      <w:szCs w:val="18"/>
                    </w:rPr>
                    <w:t>Project Item</w:t>
                  </w:r>
                </w:p>
              </w:tc>
              <w:tc>
                <w:tcPr>
                  <w:tcW w:w="921" w:type="dxa"/>
                  <w:tcBorders>
                    <w:top w:val="nil"/>
                    <w:left w:val="single" w:sz="4" w:space="0" w:color="FFFFFF"/>
                    <w:bottom w:val="single" w:sz="4" w:space="0" w:color="FFFFFF"/>
                    <w:right w:val="single" w:sz="4" w:space="0" w:color="FFFFFF"/>
                  </w:tcBorders>
                  <w:shd w:val="clear" w:color="auto" w:fill="A6A6A6" w:themeFill="background1" w:themeFillShade="A6"/>
                  <w:vAlign w:val="center"/>
                  <w:hideMark/>
                </w:tcPr>
                <w:p w14:paraId="3CA858F9"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rPr>
                  </w:pPr>
                  <w:r w:rsidRPr="0021282C">
                    <w:rPr>
                      <w:rFonts w:asciiTheme="minorHAnsi" w:eastAsia="Arial Narrow" w:hAnsiTheme="minorHAnsi" w:cs="Arial Narrow"/>
                      <w:b/>
                      <w:color w:val="FFFFFF"/>
                      <w:spacing w:val="-1"/>
                      <w:w w:val="108"/>
                      <w:position w:val="-1"/>
                      <w:sz w:val="18"/>
                      <w:szCs w:val="18"/>
                    </w:rPr>
                    <w:t>Costs</w:t>
                  </w:r>
                </w:p>
              </w:tc>
              <w:tc>
                <w:tcPr>
                  <w:tcW w:w="1275" w:type="dxa"/>
                  <w:tcBorders>
                    <w:top w:val="nil"/>
                    <w:left w:val="single" w:sz="4" w:space="0" w:color="FFFFFF"/>
                    <w:bottom w:val="single" w:sz="4" w:space="0" w:color="FFFFFF"/>
                    <w:right w:val="single" w:sz="4" w:space="0" w:color="FFFFFF"/>
                  </w:tcBorders>
                  <w:shd w:val="clear" w:color="auto" w:fill="A6A6A6" w:themeFill="background1" w:themeFillShade="A6"/>
                  <w:vAlign w:val="center"/>
                  <w:hideMark/>
                </w:tcPr>
                <w:p w14:paraId="216A22AC"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sidRPr="0021282C">
                    <w:rPr>
                      <w:rFonts w:asciiTheme="minorHAnsi" w:eastAsia="Arial Narrow" w:hAnsiTheme="minorHAnsi" w:cs="Arial Narrow"/>
                      <w:b/>
                      <w:color w:val="FFFFFF"/>
                      <w:spacing w:val="-1"/>
                      <w:w w:val="108"/>
                      <w:position w:val="-1"/>
                      <w:sz w:val="18"/>
                      <w:szCs w:val="18"/>
                      <w:lang w:val="en-GB"/>
                    </w:rPr>
                    <w:t>Average physical life of assets</w:t>
                  </w:r>
                </w:p>
              </w:tc>
              <w:tc>
                <w:tcPr>
                  <w:tcW w:w="1276" w:type="dxa"/>
                  <w:tcBorders>
                    <w:top w:val="nil"/>
                    <w:left w:val="single" w:sz="4" w:space="0" w:color="FFFFFF"/>
                    <w:bottom w:val="single" w:sz="4" w:space="0" w:color="FFFFFF"/>
                    <w:right w:val="single" w:sz="4" w:space="0" w:color="FFFFFF"/>
                  </w:tcBorders>
                  <w:shd w:val="clear" w:color="auto" w:fill="A6A6A6" w:themeFill="background1" w:themeFillShade="A6"/>
                  <w:vAlign w:val="center"/>
                  <w:hideMark/>
                </w:tcPr>
                <w:p w14:paraId="7FC0EEA2"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sidRPr="0021282C">
                    <w:rPr>
                      <w:rFonts w:asciiTheme="minorHAnsi" w:eastAsia="Arial Narrow" w:hAnsiTheme="minorHAnsi" w:cs="Arial Narrow"/>
                      <w:b/>
                      <w:color w:val="FFFFFF"/>
                      <w:spacing w:val="-1"/>
                      <w:w w:val="108"/>
                      <w:position w:val="-1"/>
                      <w:sz w:val="18"/>
                      <w:szCs w:val="18"/>
                      <w:lang w:val="en-GB"/>
                    </w:rPr>
                    <w:t>Required replacmt.</w:t>
                  </w:r>
                </w:p>
              </w:tc>
              <w:tc>
                <w:tcPr>
                  <w:tcW w:w="1276" w:type="dxa"/>
                  <w:tcBorders>
                    <w:top w:val="nil"/>
                    <w:left w:val="single" w:sz="4" w:space="0" w:color="FFFFFF"/>
                    <w:bottom w:val="single" w:sz="4" w:space="0" w:color="FFFFFF"/>
                    <w:right w:val="single" w:sz="4" w:space="0" w:color="FFFFFF"/>
                  </w:tcBorders>
                  <w:shd w:val="clear" w:color="auto" w:fill="A6A6A6" w:themeFill="background1" w:themeFillShade="A6"/>
                  <w:vAlign w:val="center"/>
                  <w:hideMark/>
                </w:tcPr>
                <w:p w14:paraId="278FA800"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sidRPr="0021282C">
                    <w:rPr>
                      <w:rFonts w:asciiTheme="minorHAnsi" w:eastAsia="Arial Narrow" w:hAnsiTheme="minorHAnsi" w:cs="Arial Narrow"/>
                      <w:b/>
                      <w:color w:val="FFFFFF"/>
                      <w:spacing w:val="-1"/>
                      <w:w w:val="108"/>
                      <w:position w:val="-1"/>
                      <w:sz w:val="18"/>
                      <w:szCs w:val="18"/>
                      <w:lang w:val="en-GB"/>
                    </w:rPr>
                    <w:t>Physical life incld. replacmt.</w:t>
                  </w:r>
                </w:p>
              </w:tc>
              <w:tc>
                <w:tcPr>
                  <w:tcW w:w="992" w:type="dxa"/>
                  <w:tcBorders>
                    <w:top w:val="nil"/>
                    <w:left w:val="single" w:sz="4" w:space="0" w:color="FFFFFF"/>
                    <w:bottom w:val="single" w:sz="4" w:space="0" w:color="FFFFFF"/>
                    <w:right w:val="nil"/>
                  </w:tcBorders>
                  <w:shd w:val="clear" w:color="auto" w:fill="A6A6A6" w:themeFill="background1" w:themeFillShade="A6"/>
                  <w:vAlign w:val="center"/>
                  <w:hideMark/>
                </w:tcPr>
                <w:p w14:paraId="4D2CD83F"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sidRPr="0021282C">
                    <w:rPr>
                      <w:rFonts w:asciiTheme="minorHAnsi" w:eastAsia="Arial Narrow" w:hAnsiTheme="minorHAnsi" w:cs="Arial Narrow"/>
                      <w:b/>
                      <w:color w:val="FFFFFF"/>
                      <w:spacing w:val="-1"/>
                      <w:w w:val="108"/>
                      <w:position w:val="-1"/>
                      <w:sz w:val="18"/>
                      <w:szCs w:val="18"/>
                      <w:lang w:val="en-GB"/>
                    </w:rPr>
                    <w:t>% of remaining life</w:t>
                  </w:r>
                </w:p>
              </w:tc>
            </w:tr>
            <w:tr w:rsidR="00921721" w:rsidRPr="007463B9" w14:paraId="376A9EB8" w14:textId="77777777" w:rsidTr="00880D09">
              <w:trPr>
                <w:trHeight w:val="226"/>
              </w:trPr>
              <w:tc>
                <w:tcPr>
                  <w:tcW w:w="1487" w:type="dxa"/>
                  <w:vMerge/>
                  <w:tcBorders>
                    <w:top w:val="nil"/>
                    <w:left w:val="nil"/>
                    <w:bottom w:val="single" w:sz="4" w:space="0" w:color="FFFFFF"/>
                    <w:right w:val="single" w:sz="4" w:space="0" w:color="FFFFFF"/>
                  </w:tcBorders>
                  <w:shd w:val="clear" w:color="auto" w:fill="A6A6A6" w:themeFill="background1" w:themeFillShade="A6"/>
                  <w:vAlign w:val="center"/>
                  <w:hideMark/>
                </w:tcPr>
                <w:p w14:paraId="2001A7AE" w14:textId="77777777" w:rsidR="00921721" w:rsidRPr="00493091" w:rsidRDefault="00921721" w:rsidP="00880D09">
                  <w:pPr>
                    <w:jc w:val="center"/>
                    <w:rPr>
                      <w:rFonts w:asciiTheme="minorHAnsi" w:eastAsia="Arial Narrow" w:hAnsiTheme="minorHAnsi" w:cs="Arial Narrow"/>
                      <w:b/>
                      <w:color w:val="FFFFFF"/>
                      <w:spacing w:val="-1"/>
                      <w:w w:val="108"/>
                      <w:position w:val="-1"/>
                      <w:sz w:val="18"/>
                      <w:szCs w:val="18"/>
                      <w:lang w:val="en-US"/>
                    </w:rPr>
                  </w:pPr>
                </w:p>
              </w:tc>
              <w:tc>
                <w:tcPr>
                  <w:tcW w:w="921"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7A8A82D8"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sidRPr="0021282C">
                    <w:rPr>
                      <w:rFonts w:asciiTheme="minorHAnsi" w:eastAsia="Arial Narrow" w:hAnsiTheme="minorHAnsi" w:cs="Arial Narrow"/>
                      <w:b/>
                      <w:color w:val="FFFFFF"/>
                      <w:spacing w:val="-1"/>
                      <w:w w:val="108"/>
                      <w:position w:val="-1"/>
                      <w:sz w:val="18"/>
                      <w:szCs w:val="18"/>
                      <w:lang w:val="en-GB"/>
                    </w:rPr>
                    <w:t>in mPLN</w:t>
                  </w:r>
                </w:p>
              </w:tc>
              <w:tc>
                <w:tcPr>
                  <w:tcW w:w="1275"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2ECA80FF"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sidRPr="0021282C">
                    <w:rPr>
                      <w:rFonts w:asciiTheme="minorHAnsi" w:eastAsia="Arial Narrow" w:hAnsiTheme="minorHAnsi" w:cs="Arial Narrow"/>
                      <w:b/>
                      <w:color w:val="FFFFFF"/>
                      <w:spacing w:val="-1"/>
                      <w:w w:val="108"/>
                      <w:position w:val="-1"/>
                      <w:sz w:val="18"/>
                      <w:szCs w:val="18"/>
                      <w:lang w:val="en-GB"/>
                    </w:rPr>
                    <w:t>Years</w:t>
                  </w:r>
                </w:p>
              </w:tc>
              <w:tc>
                <w:tcPr>
                  <w:tcW w:w="1276"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tcPr>
                <w:p w14:paraId="29C3791A"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A6A6A6" w:themeFill="background1" w:themeFillShade="A6"/>
                  <w:vAlign w:val="center"/>
                  <w:hideMark/>
                </w:tcPr>
                <w:p w14:paraId="4B099257"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r w:rsidRPr="0021282C">
                    <w:rPr>
                      <w:rFonts w:asciiTheme="minorHAnsi" w:eastAsia="Arial Narrow" w:hAnsiTheme="minorHAnsi" w:cs="Arial Narrow"/>
                      <w:b/>
                      <w:color w:val="FFFFFF"/>
                      <w:spacing w:val="-1"/>
                      <w:w w:val="108"/>
                      <w:position w:val="-1"/>
                      <w:sz w:val="18"/>
                      <w:szCs w:val="18"/>
                      <w:lang w:val="en-GB"/>
                    </w:rPr>
                    <w:t>Years</w:t>
                  </w:r>
                </w:p>
              </w:tc>
              <w:tc>
                <w:tcPr>
                  <w:tcW w:w="992" w:type="dxa"/>
                  <w:tcBorders>
                    <w:top w:val="single" w:sz="4" w:space="0" w:color="FFFFFF"/>
                    <w:left w:val="single" w:sz="4" w:space="0" w:color="FFFFFF"/>
                    <w:bottom w:val="single" w:sz="4" w:space="0" w:color="FFFFFF"/>
                    <w:right w:val="nil"/>
                  </w:tcBorders>
                  <w:shd w:val="clear" w:color="auto" w:fill="A6A6A6" w:themeFill="background1" w:themeFillShade="A6"/>
                  <w:vAlign w:val="center"/>
                </w:tcPr>
                <w:p w14:paraId="494000C7" w14:textId="77777777" w:rsidR="00921721" w:rsidRPr="0021282C" w:rsidRDefault="00921721" w:rsidP="00880D09">
                  <w:pPr>
                    <w:ind w:right="170"/>
                    <w:jc w:val="center"/>
                    <w:rPr>
                      <w:rFonts w:asciiTheme="minorHAnsi" w:eastAsia="Arial Narrow" w:hAnsiTheme="minorHAnsi" w:cs="Arial Narrow"/>
                      <w:b/>
                      <w:color w:val="FFFFFF"/>
                      <w:spacing w:val="-1"/>
                      <w:w w:val="108"/>
                      <w:position w:val="-1"/>
                      <w:sz w:val="18"/>
                      <w:szCs w:val="18"/>
                      <w:lang w:val="en-GB"/>
                    </w:rPr>
                  </w:pPr>
                </w:p>
              </w:tc>
            </w:tr>
            <w:tr w:rsidR="00921721" w:rsidRPr="007463B9" w14:paraId="57DBC0D5" w14:textId="77777777" w:rsidTr="00880D09">
              <w:trPr>
                <w:trHeight w:val="257"/>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1057DD2D"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(A) Earthworks</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5CCC325"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450</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B6713F7"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40</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C75ED67"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0321803B"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40</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37411BFE"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38%</w:t>
                  </w:r>
                </w:p>
              </w:tc>
            </w:tr>
            <w:tr w:rsidR="00921721" w:rsidRPr="007463B9" w14:paraId="5DC75248"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248188E4"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(B) Structures (bridges)</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86D60AE"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300</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722C27C"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75</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4B8BEFA1"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274D27F"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75</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6BC3843"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67%</w:t>
                  </w:r>
                </w:p>
              </w:tc>
            </w:tr>
            <w:tr w:rsidR="00921721" w:rsidRPr="007463B9" w14:paraId="7E36E3B2"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42AC7C3B"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(C) Road works</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E26C8BC"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175</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0EFC450"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20</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94B202E"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021E6CDE"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35</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4432031"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50%</w:t>
                  </w:r>
                </w:p>
              </w:tc>
            </w:tr>
            <w:tr w:rsidR="00921721" w:rsidRPr="007463B9" w14:paraId="77D82572"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1ACA2A17"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(D) Drainage</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8BD62BC"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40</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7481B0D8"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20*</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2E6A338C"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B485D0C"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30</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226715F"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25%</w:t>
                  </w:r>
                </w:p>
              </w:tc>
            </w:tr>
            <w:tr w:rsidR="00921721" w:rsidRPr="007463B9" w14:paraId="3F174973"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3A2181BF"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(E) Retaining structures</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27B55A1"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20</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4090C1C7"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60</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0C66C34B"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D5EB91C"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60</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15F04F1A"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58%</w:t>
                  </w:r>
                </w:p>
              </w:tc>
            </w:tr>
            <w:tr w:rsidR="00921721" w:rsidRPr="007463B9" w14:paraId="28CEC516"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7B6992AC"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(F) Safety equipment</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C2CBEC8"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10</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7B9FC084"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15</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AA97B32"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2E7EEBB"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30</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6BE2CEF"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33%</w:t>
                  </w:r>
                </w:p>
              </w:tc>
            </w:tr>
            <w:tr w:rsidR="00921721" w:rsidRPr="007463B9" w14:paraId="18C72E8A"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1F6BA4ED"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(G) Utilities, diversions</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7FA2D9F5"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100</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25907F3F"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36E5573"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2AD0F425"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D330157"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r>
            <w:tr w:rsidR="00921721" w:rsidRPr="007463B9" w14:paraId="46893423"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2C5125FF"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(H) Environmental protection measures</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402B7483"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50</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E21AD5D"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25</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4D04B894"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4929DFE7"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40</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67F8E76"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60%</w:t>
                  </w:r>
                </w:p>
              </w:tc>
            </w:tr>
            <w:tr w:rsidR="00921721" w:rsidRPr="007463B9" w14:paraId="26ACBD43"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18A1F271"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(I) Tolling system</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7DE96B8"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15</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148D720"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15</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7271CEFF"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31F0DD1"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30</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2961C419"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33%</w:t>
                  </w:r>
                </w:p>
              </w:tc>
            </w:tr>
            <w:tr w:rsidR="00921721" w:rsidRPr="007463B9" w14:paraId="538DA3D6"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4BE5866F"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(J) Auxiliary works</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3F633B06"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20</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5CDC21D4"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040ABB41"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2ABE5C0B"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3DDEB02"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w:t>
                  </w:r>
                </w:p>
              </w:tc>
            </w:tr>
            <w:tr w:rsidR="00921721" w:rsidRPr="007463B9" w14:paraId="60EDEDE1" w14:textId="77777777" w:rsidTr="00880D09">
              <w:trPr>
                <w:trHeight w:val="271"/>
              </w:trPr>
              <w:tc>
                <w:tcPr>
                  <w:tcW w:w="1487" w:type="dxa"/>
                  <w:tcBorders>
                    <w:top w:val="single" w:sz="4" w:space="0" w:color="FFFFFF"/>
                    <w:left w:val="nil"/>
                    <w:bottom w:val="single" w:sz="4" w:space="0" w:color="FFFFFF"/>
                    <w:right w:val="single" w:sz="4" w:space="0" w:color="FFFFFF"/>
                  </w:tcBorders>
                  <w:shd w:val="clear" w:color="auto" w:fill="DBE5F1" w:themeFill="accent1" w:themeFillTint="33"/>
                  <w:vAlign w:val="center"/>
                  <w:hideMark/>
                </w:tcPr>
                <w:p w14:paraId="7BD32919" w14:textId="77777777" w:rsidR="00921721" w:rsidRPr="00821B08" w:rsidRDefault="00921721" w:rsidP="00880D09">
                  <w:pPr>
                    <w:ind w:right="28"/>
                    <w:rPr>
                      <w:rFonts w:asciiTheme="minorHAnsi" w:hAnsiTheme="minorHAnsi"/>
                      <w:color w:val="4F81BD" w:themeColor="accent1"/>
                      <w:sz w:val="18"/>
                      <w:lang w:val="en-GB"/>
                    </w:rPr>
                  </w:pPr>
                  <w:r w:rsidRPr="00821B08">
                    <w:rPr>
                      <w:rFonts w:asciiTheme="minorHAnsi" w:hAnsiTheme="minorHAnsi"/>
                      <w:color w:val="4F81BD" w:themeColor="accent1"/>
                      <w:sz w:val="18"/>
                      <w:lang w:val="en-GB"/>
                    </w:rPr>
                    <w:t>(K) Land acquisition</w:t>
                  </w:r>
                </w:p>
              </w:tc>
              <w:tc>
                <w:tcPr>
                  <w:tcW w:w="921"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EDC948C"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80</w:t>
                  </w:r>
                </w:p>
              </w:tc>
              <w:tc>
                <w:tcPr>
                  <w:tcW w:w="1275"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1F3BB16D"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Indefinite</w:t>
                  </w: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tcPr>
                <w:p w14:paraId="50127219" w14:textId="77777777" w:rsidR="00921721" w:rsidRPr="00821B08" w:rsidRDefault="00921721" w:rsidP="00880D09">
                  <w:pPr>
                    <w:ind w:right="28"/>
                    <w:jc w:val="center"/>
                    <w:rPr>
                      <w:rFonts w:asciiTheme="minorHAnsi" w:hAnsiTheme="minorHAnsi"/>
                      <w:color w:val="4F81BD" w:themeColor="accent1"/>
                      <w:sz w:val="18"/>
                      <w:lang w:val="en-GB"/>
                    </w:rPr>
                  </w:pPr>
                </w:p>
              </w:tc>
              <w:tc>
                <w:tcPr>
                  <w:tcW w:w="1276" w:type="dxa"/>
                  <w:tcBorders>
                    <w:top w:val="single" w:sz="4" w:space="0" w:color="FFFFFF"/>
                    <w:left w:val="single" w:sz="4" w:space="0" w:color="FFFFFF"/>
                    <w:bottom w:val="single" w:sz="4" w:space="0" w:color="FFFFFF"/>
                    <w:right w:val="single" w:sz="4" w:space="0" w:color="FFFFFF"/>
                  </w:tcBorders>
                  <w:shd w:val="clear" w:color="auto" w:fill="DBE5F1" w:themeFill="accent1" w:themeFillTint="33"/>
                  <w:vAlign w:val="center"/>
                  <w:hideMark/>
                </w:tcPr>
                <w:p w14:paraId="6EAFF834"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Indefinite</w:t>
                  </w:r>
                </w:p>
              </w:tc>
              <w:tc>
                <w:tcPr>
                  <w:tcW w:w="992" w:type="dxa"/>
                  <w:tcBorders>
                    <w:top w:val="single" w:sz="4" w:space="0" w:color="FFFFFF"/>
                    <w:left w:val="single" w:sz="4" w:space="0" w:color="FFFFFF"/>
                    <w:bottom w:val="single" w:sz="4" w:space="0" w:color="FFFFFF"/>
                    <w:right w:val="nil"/>
                  </w:tcBorders>
                  <w:shd w:val="clear" w:color="auto" w:fill="DBE5F1" w:themeFill="accent1" w:themeFillTint="33"/>
                  <w:vAlign w:val="center"/>
                  <w:hideMark/>
                </w:tcPr>
                <w:p w14:paraId="6FD1DBE6" w14:textId="77777777" w:rsidR="00921721" w:rsidRPr="00821B08" w:rsidRDefault="00921721" w:rsidP="00880D09">
                  <w:pPr>
                    <w:ind w:right="28"/>
                    <w:jc w:val="center"/>
                    <w:rPr>
                      <w:rFonts w:asciiTheme="minorHAnsi" w:hAnsiTheme="minorHAnsi"/>
                      <w:color w:val="4F81BD" w:themeColor="accent1"/>
                      <w:sz w:val="18"/>
                      <w:lang w:val="en-GB"/>
                    </w:rPr>
                  </w:pPr>
                  <w:r w:rsidRPr="00821B08">
                    <w:rPr>
                      <w:rFonts w:asciiTheme="minorHAnsi" w:hAnsiTheme="minorHAnsi"/>
                      <w:color w:val="4F81BD" w:themeColor="accent1"/>
                      <w:sz w:val="18"/>
                      <w:lang w:val="en-GB"/>
                    </w:rPr>
                    <w:t>100%</w:t>
                  </w:r>
                </w:p>
              </w:tc>
            </w:tr>
            <w:tr w:rsidR="00921721" w:rsidRPr="007463B9" w14:paraId="5C51336B" w14:textId="77777777" w:rsidTr="00880D09">
              <w:trPr>
                <w:trHeight w:val="271"/>
              </w:trPr>
              <w:tc>
                <w:tcPr>
                  <w:tcW w:w="1487" w:type="dxa"/>
                  <w:tcBorders>
                    <w:top w:val="single" w:sz="4" w:space="0" w:color="FFFFFF"/>
                    <w:left w:val="nil"/>
                    <w:bottom w:val="nil"/>
                    <w:right w:val="single" w:sz="4" w:space="0" w:color="FFFFFF"/>
                  </w:tcBorders>
                  <w:shd w:val="clear" w:color="auto" w:fill="DBE5F1" w:themeFill="accent1" w:themeFillTint="33"/>
                  <w:vAlign w:val="center"/>
                  <w:hideMark/>
                </w:tcPr>
                <w:p w14:paraId="22CBBD29" w14:textId="77777777" w:rsidR="00921721" w:rsidRPr="00821B08" w:rsidRDefault="00921721" w:rsidP="00880D09">
                  <w:pPr>
                    <w:ind w:right="28"/>
                    <w:rPr>
                      <w:rFonts w:asciiTheme="minorHAnsi" w:hAnsiTheme="minorHAnsi"/>
                      <w:i/>
                      <w:color w:val="4F81BD" w:themeColor="accent1"/>
                      <w:sz w:val="18"/>
                      <w:lang w:val="en-GB"/>
                    </w:rPr>
                  </w:pPr>
                  <w:r w:rsidRPr="00821B08">
                    <w:rPr>
                      <w:rFonts w:asciiTheme="minorHAnsi" w:hAnsiTheme="minorHAnsi"/>
                      <w:i/>
                      <w:color w:val="4F81BD" w:themeColor="accent1"/>
                      <w:sz w:val="18"/>
                      <w:lang w:val="en-GB"/>
                    </w:rPr>
                    <w:t>Total costs</w:t>
                  </w:r>
                </w:p>
              </w:tc>
              <w:tc>
                <w:tcPr>
                  <w:tcW w:w="921" w:type="dxa"/>
                  <w:tcBorders>
                    <w:top w:val="single" w:sz="4" w:space="0" w:color="FFFFFF"/>
                    <w:left w:val="single" w:sz="4" w:space="0" w:color="FFFFFF"/>
                    <w:bottom w:val="nil"/>
                    <w:right w:val="single" w:sz="4" w:space="0" w:color="FFFFFF"/>
                  </w:tcBorders>
                  <w:shd w:val="clear" w:color="auto" w:fill="DBE5F1" w:themeFill="accent1" w:themeFillTint="33"/>
                  <w:vAlign w:val="center"/>
                  <w:hideMark/>
                </w:tcPr>
                <w:p w14:paraId="7D24A15C" w14:textId="77777777" w:rsidR="00921721" w:rsidRPr="00821B08" w:rsidRDefault="00921721" w:rsidP="00880D09">
                  <w:pPr>
                    <w:ind w:right="28"/>
                    <w:jc w:val="center"/>
                    <w:rPr>
                      <w:rFonts w:asciiTheme="minorHAnsi" w:hAnsiTheme="minorHAnsi"/>
                      <w:i/>
                      <w:color w:val="4F81BD" w:themeColor="accent1"/>
                      <w:sz w:val="18"/>
                      <w:lang w:val="en-GB"/>
                    </w:rPr>
                  </w:pPr>
                  <w:r w:rsidRPr="00821B08">
                    <w:rPr>
                      <w:rFonts w:asciiTheme="minorHAnsi" w:hAnsiTheme="minorHAnsi"/>
                      <w:i/>
                      <w:color w:val="4F81BD" w:themeColor="accent1"/>
                      <w:sz w:val="18"/>
                      <w:lang w:val="en-GB"/>
                    </w:rPr>
                    <w:t>1 260</w:t>
                  </w:r>
                </w:p>
              </w:tc>
              <w:tc>
                <w:tcPr>
                  <w:tcW w:w="1275" w:type="dxa"/>
                  <w:tcBorders>
                    <w:top w:val="single" w:sz="4" w:space="0" w:color="FFFFFF"/>
                    <w:left w:val="single" w:sz="4" w:space="0" w:color="FFFFFF"/>
                    <w:bottom w:val="nil"/>
                    <w:right w:val="single" w:sz="4" w:space="0" w:color="FFFFFF"/>
                  </w:tcBorders>
                  <w:shd w:val="clear" w:color="auto" w:fill="DBE5F1" w:themeFill="accent1" w:themeFillTint="33"/>
                  <w:vAlign w:val="center"/>
                </w:tcPr>
                <w:p w14:paraId="014F53F7" w14:textId="77777777" w:rsidR="00921721" w:rsidRPr="00821B08" w:rsidRDefault="00921721" w:rsidP="00880D09">
                  <w:pPr>
                    <w:ind w:right="28"/>
                    <w:jc w:val="center"/>
                    <w:rPr>
                      <w:rFonts w:asciiTheme="minorHAnsi" w:hAnsiTheme="minorHAnsi"/>
                      <w:color w:val="4F81BD" w:themeColor="accent1"/>
                      <w:sz w:val="18"/>
                      <w:lang w:val="en-GB"/>
                    </w:rPr>
                  </w:pPr>
                </w:p>
              </w:tc>
              <w:tc>
                <w:tcPr>
                  <w:tcW w:w="1276" w:type="dxa"/>
                  <w:tcBorders>
                    <w:top w:val="single" w:sz="4" w:space="0" w:color="FFFFFF"/>
                    <w:left w:val="single" w:sz="4" w:space="0" w:color="FFFFFF"/>
                    <w:bottom w:val="nil"/>
                    <w:right w:val="single" w:sz="4" w:space="0" w:color="FFFFFF"/>
                  </w:tcBorders>
                  <w:shd w:val="clear" w:color="auto" w:fill="DBE5F1" w:themeFill="accent1" w:themeFillTint="33"/>
                  <w:vAlign w:val="center"/>
                </w:tcPr>
                <w:p w14:paraId="5B54E2DA" w14:textId="77777777" w:rsidR="00921721" w:rsidRPr="00821B08" w:rsidRDefault="00921721" w:rsidP="00880D09">
                  <w:pPr>
                    <w:ind w:right="28"/>
                    <w:jc w:val="center"/>
                    <w:rPr>
                      <w:rFonts w:asciiTheme="minorHAnsi" w:hAnsiTheme="minorHAnsi"/>
                      <w:color w:val="4F81BD" w:themeColor="accent1"/>
                      <w:sz w:val="18"/>
                      <w:lang w:val="en-GB"/>
                    </w:rPr>
                  </w:pPr>
                </w:p>
              </w:tc>
              <w:tc>
                <w:tcPr>
                  <w:tcW w:w="1276" w:type="dxa"/>
                  <w:tcBorders>
                    <w:top w:val="single" w:sz="4" w:space="0" w:color="FFFFFF"/>
                    <w:left w:val="single" w:sz="4" w:space="0" w:color="FFFFFF"/>
                    <w:bottom w:val="nil"/>
                    <w:right w:val="single" w:sz="4" w:space="0" w:color="FFFFFF"/>
                  </w:tcBorders>
                  <w:shd w:val="clear" w:color="auto" w:fill="DBE5F1" w:themeFill="accent1" w:themeFillTint="33"/>
                  <w:vAlign w:val="center"/>
                </w:tcPr>
                <w:p w14:paraId="628FA0E8" w14:textId="77777777" w:rsidR="00921721" w:rsidRPr="00821B08" w:rsidRDefault="00921721" w:rsidP="00880D09">
                  <w:pPr>
                    <w:ind w:right="28"/>
                    <w:jc w:val="center"/>
                    <w:rPr>
                      <w:rFonts w:asciiTheme="minorHAnsi" w:hAnsiTheme="minorHAnsi"/>
                      <w:color w:val="4F81BD" w:themeColor="accent1"/>
                      <w:sz w:val="18"/>
                      <w:lang w:val="en-GB"/>
                    </w:rPr>
                  </w:pPr>
                </w:p>
              </w:tc>
              <w:tc>
                <w:tcPr>
                  <w:tcW w:w="992" w:type="dxa"/>
                  <w:tcBorders>
                    <w:top w:val="single" w:sz="4" w:space="0" w:color="FFFFFF"/>
                    <w:left w:val="single" w:sz="4" w:space="0" w:color="FFFFFF"/>
                    <w:bottom w:val="nil"/>
                    <w:right w:val="nil"/>
                  </w:tcBorders>
                  <w:shd w:val="clear" w:color="auto" w:fill="DBE5F1" w:themeFill="accent1" w:themeFillTint="33"/>
                  <w:vAlign w:val="center"/>
                </w:tcPr>
                <w:p w14:paraId="3B1CD62C" w14:textId="77777777" w:rsidR="00921721" w:rsidRPr="00821B08" w:rsidRDefault="00921721" w:rsidP="00880D09">
                  <w:pPr>
                    <w:ind w:right="28"/>
                    <w:jc w:val="center"/>
                    <w:rPr>
                      <w:rFonts w:asciiTheme="minorHAnsi" w:hAnsiTheme="minorHAnsi"/>
                      <w:color w:val="4F81BD" w:themeColor="accent1"/>
                      <w:sz w:val="18"/>
                      <w:lang w:val="en-GB"/>
                    </w:rPr>
                  </w:pPr>
                </w:p>
              </w:tc>
            </w:tr>
          </w:tbl>
          <w:p w14:paraId="322E7D1E" w14:textId="77777777" w:rsidR="00921721" w:rsidRPr="00EB6237" w:rsidRDefault="00921721" w:rsidP="00880D09">
            <w:pPr>
              <w:ind w:right="170"/>
              <w:jc w:val="both"/>
              <w:rPr>
                <w:rFonts w:asciiTheme="minorHAnsi" w:hAnsiTheme="minorHAnsi" w:cs="Arial"/>
                <w:sz w:val="17"/>
                <w:szCs w:val="17"/>
                <w:lang w:val="en-GB"/>
              </w:rPr>
            </w:pPr>
            <w:r w:rsidRPr="00EB6237">
              <w:rPr>
                <w:rFonts w:asciiTheme="minorHAnsi" w:hAnsiTheme="minorHAnsi" w:cs="Arial"/>
                <w:sz w:val="17"/>
                <w:szCs w:val="17"/>
                <w:lang w:val="en-GB"/>
              </w:rPr>
              <w:t xml:space="preserve">* Values </w:t>
            </w:r>
            <w:r>
              <w:rPr>
                <w:rFonts w:asciiTheme="minorHAnsi" w:hAnsiTheme="minorHAnsi" w:cs="Arial"/>
                <w:sz w:val="17"/>
                <w:szCs w:val="17"/>
                <w:lang w:val="en-GB"/>
              </w:rPr>
              <w:t>of a</w:t>
            </w:r>
            <w:r w:rsidRPr="00387FFD">
              <w:rPr>
                <w:rFonts w:asciiTheme="minorHAnsi" w:hAnsiTheme="minorHAnsi" w:cs="Arial"/>
                <w:sz w:val="17"/>
                <w:szCs w:val="17"/>
                <w:lang w:val="en-GB"/>
              </w:rPr>
              <w:t xml:space="preserve">verage physical life of road infrastructure assets </w:t>
            </w:r>
            <w:r w:rsidRPr="00EB6237">
              <w:rPr>
                <w:rFonts w:asciiTheme="minorHAnsi" w:hAnsiTheme="minorHAnsi" w:cs="Arial"/>
                <w:sz w:val="17"/>
                <w:szCs w:val="17"/>
                <w:lang w:val="en-GB"/>
              </w:rPr>
              <w:t>not presented in</w:t>
            </w:r>
            <w:r>
              <w:rPr>
                <w:rFonts w:asciiTheme="minorHAnsi" w:hAnsiTheme="minorHAnsi" w:cs="Arial"/>
                <w:sz w:val="17"/>
                <w:szCs w:val="17"/>
                <w:lang w:val="en-GB"/>
              </w:rPr>
              <w:t xml:space="preserve"> Table 12, section 1.11</w:t>
            </w:r>
            <w:r w:rsidRPr="00EB6237">
              <w:rPr>
                <w:rFonts w:asciiTheme="minorHAnsi" w:hAnsiTheme="minorHAnsi" w:cs="Arial"/>
                <w:sz w:val="17"/>
                <w:szCs w:val="17"/>
                <w:lang w:val="en-GB"/>
              </w:rPr>
              <w:t xml:space="preserve"> of </w:t>
            </w:r>
            <w:r>
              <w:rPr>
                <w:rFonts w:asciiTheme="minorHAnsi" w:hAnsiTheme="minorHAnsi" w:cs="Arial"/>
                <w:sz w:val="17"/>
                <w:szCs w:val="17"/>
                <w:lang w:val="en-GB"/>
              </w:rPr>
              <w:t xml:space="preserve">this Blue Book </w:t>
            </w:r>
            <w:r w:rsidRPr="00EB6237">
              <w:rPr>
                <w:rFonts w:asciiTheme="minorHAnsi" w:hAnsiTheme="minorHAnsi" w:cs="Arial"/>
                <w:sz w:val="17"/>
                <w:szCs w:val="17"/>
                <w:lang w:val="en-GB"/>
              </w:rPr>
              <w:t xml:space="preserve">are assumed based on sectorial knowledge </w:t>
            </w:r>
            <w:r>
              <w:rPr>
                <w:rFonts w:asciiTheme="minorHAnsi" w:hAnsiTheme="minorHAnsi" w:cs="Arial"/>
                <w:sz w:val="17"/>
                <w:szCs w:val="17"/>
                <w:lang w:val="en-GB"/>
              </w:rPr>
              <w:t>regarding</w:t>
            </w:r>
            <w:r w:rsidRPr="00EB6237">
              <w:rPr>
                <w:rFonts w:asciiTheme="minorHAnsi" w:hAnsiTheme="minorHAnsi" w:cs="Arial"/>
                <w:sz w:val="17"/>
                <w:szCs w:val="17"/>
                <w:lang w:val="en-GB"/>
              </w:rPr>
              <w:t xml:space="preserve"> periodic maintenance activities. </w:t>
            </w:r>
          </w:p>
          <w:p w14:paraId="3C82BB4B" w14:textId="77777777" w:rsidR="00921721" w:rsidRPr="00EB6237" w:rsidRDefault="00921721" w:rsidP="00880D09">
            <w:pPr>
              <w:ind w:right="170"/>
              <w:jc w:val="both"/>
              <w:rPr>
                <w:rFonts w:asciiTheme="minorHAnsi" w:hAnsiTheme="minorHAnsi" w:cs="Arial"/>
                <w:sz w:val="17"/>
                <w:szCs w:val="17"/>
                <w:lang w:val="en-GB"/>
              </w:rPr>
            </w:pPr>
            <w:r w:rsidRPr="00EB6237">
              <w:rPr>
                <w:rFonts w:asciiTheme="minorHAnsi" w:hAnsiTheme="minorHAnsi" w:cs="Arial"/>
                <w:sz w:val="17"/>
                <w:szCs w:val="17"/>
                <w:lang w:val="en-GB"/>
              </w:rPr>
              <w:t xml:space="preserve">** </w:t>
            </w:r>
            <w:r>
              <w:rPr>
                <w:rFonts w:asciiTheme="minorHAnsi" w:hAnsiTheme="minorHAnsi" w:cs="Arial"/>
                <w:sz w:val="17"/>
                <w:szCs w:val="17"/>
                <w:lang w:val="en-GB"/>
              </w:rPr>
              <w:t>I</w:t>
            </w:r>
            <w:r w:rsidRPr="00EB6237">
              <w:rPr>
                <w:rFonts w:asciiTheme="minorHAnsi" w:hAnsiTheme="minorHAnsi" w:cs="Arial"/>
                <w:sz w:val="17"/>
                <w:szCs w:val="17"/>
                <w:lang w:val="en-GB"/>
              </w:rPr>
              <w:t xml:space="preserve">t is assumed that the remaining assets value after 25 years will be null. </w:t>
            </w:r>
          </w:p>
          <w:p w14:paraId="7E580C73" w14:textId="77777777" w:rsidR="00921721" w:rsidRDefault="00921721" w:rsidP="00880D09">
            <w:pPr>
              <w:ind w:right="170"/>
              <w:jc w:val="both"/>
              <w:rPr>
                <w:rFonts w:asciiTheme="minorHAnsi" w:hAnsiTheme="minorHAnsi" w:cs="Arial"/>
                <w:sz w:val="18"/>
                <w:szCs w:val="18"/>
                <w:lang w:val="en-GB"/>
              </w:rPr>
            </w:pPr>
          </w:p>
          <w:p w14:paraId="12E2A0AD" w14:textId="77777777" w:rsidR="00921721" w:rsidRDefault="00921721" w:rsidP="00880D09">
            <w:pPr>
              <w:ind w:right="170"/>
              <w:jc w:val="both"/>
              <w:rPr>
                <w:rFonts w:asciiTheme="minorHAnsi" w:hAnsiTheme="minorHAnsi" w:cs="Arial"/>
                <w:sz w:val="18"/>
                <w:szCs w:val="18"/>
                <w:lang w:val="en-GB"/>
              </w:rPr>
            </w:pPr>
          </w:p>
          <w:p w14:paraId="1B3ABAEE" w14:textId="77777777" w:rsidR="00921721" w:rsidRDefault="00921721" w:rsidP="00880D09">
            <w:pPr>
              <w:ind w:right="170"/>
              <w:jc w:val="both"/>
              <w:rPr>
                <w:rFonts w:asciiTheme="minorHAnsi" w:hAnsiTheme="minorHAnsi" w:cs="Arial"/>
                <w:sz w:val="18"/>
                <w:szCs w:val="18"/>
                <w:lang w:val="en-GB"/>
              </w:rPr>
            </w:pPr>
          </w:p>
          <w:p w14:paraId="37220B23" w14:textId="77777777" w:rsidR="00921721" w:rsidRDefault="00921721" w:rsidP="00880D09">
            <w:pPr>
              <w:ind w:right="170"/>
              <w:jc w:val="both"/>
              <w:rPr>
                <w:rFonts w:asciiTheme="minorHAnsi" w:hAnsiTheme="minorHAnsi" w:cs="Arial"/>
                <w:sz w:val="18"/>
                <w:szCs w:val="18"/>
                <w:lang w:val="en-GB"/>
              </w:rPr>
            </w:pPr>
          </w:p>
          <w:p w14:paraId="30120CEA" w14:textId="77777777" w:rsidR="00921721" w:rsidRDefault="00921721" w:rsidP="00880D09">
            <w:pPr>
              <w:ind w:right="170"/>
              <w:jc w:val="both"/>
              <w:rPr>
                <w:rFonts w:asciiTheme="minorHAnsi" w:hAnsiTheme="minorHAnsi" w:cs="Arial"/>
                <w:sz w:val="18"/>
                <w:szCs w:val="18"/>
                <w:lang w:val="en-GB"/>
              </w:rPr>
            </w:pPr>
          </w:p>
          <w:p w14:paraId="3F86469F" w14:textId="77777777" w:rsidR="00921721" w:rsidRDefault="00921721" w:rsidP="00880D09">
            <w:pPr>
              <w:ind w:right="170"/>
              <w:jc w:val="both"/>
              <w:rPr>
                <w:rFonts w:asciiTheme="minorHAnsi" w:hAnsiTheme="minorHAnsi" w:cs="Arial"/>
                <w:sz w:val="18"/>
                <w:szCs w:val="18"/>
                <w:lang w:val="en-GB"/>
              </w:rPr>
            </w:pPr>
          </w:p>
          <w:tbl>
            <w:tblPr>
              <w:tblW w:w="6295" w:type="dxa"/>
              <w:jc w:val="center"/>
              <w:tblLayout w:type="fixed"/>
              <w:tblLook w:val="04A0" w:firstRow="1" w:lastRow="0" w:firstColumn="1" w:lastColumn="0" w:noHBand="0" w:noVBand="1"/>
            </w:tblPr>
            <w:tblGrid>
              <w:gridCol w:w="327"/>
              <w:gridCol w:w="2764"/>
              <w:gridCol w:w="3204"/>
            </w:tblGrid>
            <w:tr w:rsidR="00921721" w:rsidRPr="00731E4E" w14:paraId="0F32EEC1" w14:textId="77777777" w:rsidTr="00880D09">
              <w:trPr>
                <w:trHeight w:hRule="exact" w:val="293"/>
                <w:jc w:val="center"/>
              </w:trPr>
              <w:tc>
                <w:tcPr>
                  <w:tcW w:w="3091" w:type="dxa"/>
                  <w:gridSpan w:val="2"/>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26A42495" w14:textId="77777777" w:rsidR="00921721" w:rsidRPr="00731E4E" w:rsidRDefault="00921721" w:rsidP="00880D09">
                  <w:pPr>
                    <w:jc w:val="center"/>
                    <w:rPr>
                      <w:rFonts w:asciiTheme="minorHAnsi" w:eastAsia="Arial Narrow" w:hAnsiTheme="minorHAnsi" w:cs="Arial Narrow"/>
                      <w:b/>
                      <w:color w:val="FFFFFF"/>
                      <w:spacing w:val="-1"/>
                      <w:w w:val="108"/>
                      <w:position w:val="-1"/>
                      <w:sz w:val="18"/>
                      <w:szCs w:val="18"/>
                    </w:rPr>
                  </w:pPr>
                  <w:r w:rsidRPr="00731E4E">
                    <w:rPr>
                      <w:rFonts w:asciiTheme="minorHAnsi" w:eastAsia="Arial Narrow" w:hAnsiTheme="minorHAnsi" w:cs="Arial Narrow"/>
                      <w:b/>
                      <w:color w:val="FFFFFF"/>
                      <w:spacing w:val="-1"/>
                      <w:w w:val="108"/>
                      <w:position w:val="-1"/>
                      <w:sz w:val="18"/>
                      <w:szCs w:val="18"/>
                    </w:rPr>
                    <w:t>Steps</w:t>
                  </w:r>
                </w:p>
              </w:tc>
              <w:tc>
                <w:tcPr>
                  <w:tcW w:w="3204" w:type="dxa"/>
                  <w:tcBorders>
                    <w:top w:val="single" w:sz="4" w:space="0" w:color="FFFFFF"/>
                    <w:left w:val="single" w:sz="4" w:space="0" w:color="FFFFFF"/>
                    <w:bottom w:val="single" w:sz="4" w:space="0" w:color="FFFFFF"/>
                    <w:right w:val="nil"/>
                  </w:tcBorders>
                  <w:shd w:val="clear" w:color="auto" w:fill="A6A6A6" w:themeFill="background1" w:themeFillShade="A6"/>
                  <w:vAlign w:val="center"/>
                  <w:hideMark/>
                </w:tcPr>
                <w:p w14:paraId="021C353C" w14:textId="77777777" w:rsidR="00921721" w:rsidRPr="00731E4E" w:rsidRDefault="00921721" w:rsidP="00880D09">
                  <w:pPr>
                    <w:jc w:val="center"/>
                    <w:rPr>
                      <w:rFonts w:asciiTheme="minorHAnsi" w:eastAsia="Arial Narrow" w:hAnsiTheme="minorHAnsi" w:cs="Arial Narrow"/>
                      <w:b/>
                      <w:color w:val="FFFFFF"/>
                      <w:spacing w:val="-1"/>
                      <w:w w:val="108"/>
                      <w:position w:val="-1"/>
                      <w:sz w:val="18"/>
                      <w:szCs w:val="18"/>
                    </w:rPr>
                  </w:pPr>
                  <w:r w:rsidRPr="00731E4E">
                    <w:rPr>
                      <w:rFonts w:asciiTheme="minorHAnsi" w:eastAsia="Arial Narrow" w:hAnsiTheme="minorHAnsi" w:cs="Arial Narrow"/>
                      <w:b/>
                      <w:color w:val="FFFFFF"/>
                      <w:spacing w:val="-1"/>
                      <w:w w:val="108"/>
                      <w:position w:val="-1"/>
                      <w:sz w:val="18"/>
                      <w:szCs w:val="18"/>
                    </w:rPr>
                    <w:t>Example</w:t>
                  </w:r>
                </w:p>
              </w:tc>
            </w:tr>
            <w:tr w:rsidR="00921721" w:rsidRPr="00731E4E" w14:paraId="35A3241E" w14:textId="77777777" w:rsidTr="00880D09">
              <w:trPr>
                <w:trHeight w:val="219"/>
                <w:jc w:val="center"/>
              </w:trPr>
              <w:tc>
                <w:tcPr>
                  <w:tcW w:w="3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2FFE1F2F" w14:textId="77777777" w:rsidR="00921721" w:rsidRPr="008526A3" w:rsidRDefault="00921721" w:rsidP="00880D09">
                  <w:pPr>
                    <w:ind w:right="28"/>
                    <w:rPr>
                      <w:rFonts w:asciiTheme="minorHAnsi" w:hAnsiTheme="minorHAnsi"/>
                      <w:color w:val="4F81BD" w:themeColor="accent1"/>
                      <w:sz w:val="18"/>
                    </w:rPr>
                  </w:pPr>
                  <w:r w:rsidRPr="008526A3">
                    <w:rPr>
                      <w:rFonts w:asciiTheme="minorHAnsi" w:hAnsiTheme="minorHAnsi"/>
                      <w:color w:val="4F81BD" w:themeColor="accent1"/>
                      <w:sz w:val="18"/>
                    </w:rPr>
                    <w:t>1</w:t>
                  </w:r>
                </w:p>
              </w:tc>
              <w:tc>
                <w:tcPr>
                  <w:tcW w:w="2764" w:type="dxa"/>
                  <w:tcBorders>
                    <w:top w:val="single" w:sz="4" w:space="0" w:color="FFFFFF"/>
                    <w:left w:val="single" w:sz="4" w:space="0" w:color="FFFFFF"/>
                    <w:bottom w:val="single" w:sz="4" w:space="0" w:color="FFFFFF"/>
                    <w:right w:val="nil"/>
                  </w:tcBorders>
                  <w:shd w:val="clear" w:color="auto" w:fill="DBE5F1" w:themeFill="accent1" w:themeFillTint="33"/>
                </w:tcPr>
                <w:p w14:paraId="42FF19FA" w14:textId="77777777" w:rsidR="00921721" w:rsidRPr="008526A3" w:rsidRDefault="00921721" w:rsidP="00880D09">
                  <w:pPr>
                    <w:ind w:right="28"/>
                    <w:rPr>
                      <w:rFonts w:asciiTheme="minorHAnsi" w:hAnsiTheme="minorHAnsi"/>
                      <w:color w:val="4F81BD" w:themeColor="accent1"/>
                      <w:sz w:val="18"/>
                      <w:lang w:val="en-GB"/>
                    </w:rPr>
                  </w:pPr>
                  <w:r w:rsidRPr="008526A3">
                    <w:rPr>
                      <w:rFonts w:asciiTheme="minorHAnsi" w:hAnsiTheme="minorHAnsi"/>
                      <w:color w:val="4F81BD" w:themeColor="accent1"/>
                      <w:sz w:val="18"/>
                      <w:lang w:val="en-GB"/>
                    </w:rPr>
                    <w:t>Identify project assets</w:t>
                  </w:r>
                  <w:r>
                    <w:rPr>
                      <w:rFonts w:asciiTheme="minorHAnsi" w:hAnsiTheme="minorHAnsi"/>
                      <w:color w:val="4F81BD" w:themeColor="accent1"/>
                      <w:sz w:val="18"/>
                      <w:lang w:val="en-GB"/>
                    </w:rPr>
                    <w:t>’</w:t>
                  </w:r>
                  <w:r w:rsidRPr="008526A3">
                    <w:rPr>
                      <w:rFonts w:asciiTheme="minorHAnsi" w:hAnsiTheme="minorHAnsi"/>
                      <w:color w:val="4F81BD" w:themeColor="accent1"/>
                      <w:sz w:val="18"/>
                      <w:lang w:val="en-GB"/>
                    </w:rPr>
                    <w:t xml:space="preserve"> remaining life value at the end of the analysis period considering replacements and </w:t>
                  </w:r>
                  <w:r>
                    <w:rPr>
                      <w:rFonts w:asciiTheme="minorHAnsi" w:hAnsiTheme="minorHAnsi"/>
                      <w:color w:val="4F81BD" w:themeColor="accent1"/>
                      <w:sz w:val="18"/>
                      <w:lang w:val="en-GB"/>
                    </w:rPr>
                    <w:t>their</w:t>
                  </w:r>
                  <w:r w:rsidRPr="008526A3">
                    <w:rPr>
                      <w:rFonts w:asciiTheme="minorHAnsi" w:hAnsiTheme="minorHAnsi"/>
                      <w:color w:val="4F81BD" w:themeColor="accent1"/>
                      <w:sz w:val="18"/>
                      <w:lang w:val="en-GB"/>
                    </w:rPr>
                    <w:t xml:space="preserve"> physical life based on table 12</w:t>
                  </w:r>
                </w:p>
                <w:p w14:paraId="4F9465BC" w14:textId="77777777" w:rsidR="00921721" w:rsidRPr="008526A3" w:rsidRDefault="00921721" w:rsidP="00880D09">
                  <w:pPr>
                    <w:ind w:right="28"/>
                    <w:rPr>
                      <w:rFonts w:asciiTheme="minorHAnsi" w:hAnsiTheme="minorHAnsi"/>
                      <w:color w:val="4F81BD" w:themeColor="accent1"/>
                      <w:sz w:val="18"/>
                      <w:lang w:val="en-GB"/>
                    </w:rPr>
                  </w:pPr>
                </w:p>
                <w:p w14:paraId="0B0FB5F1" w14:textId="77777777" w:rsidR="00921721" w:rsidRPr="008526A3" w:rsidRDefault="00921721" w:rsidP="00880D09">
                  <w:pPr>
                    <w:ind w:right="28"/>
                    <w:rPr>
                      <w:rFonts w:asciiTheme="minorHAnsi" w:hAnsiTheme="minorHAnsi"/>
                      <w:color w:val="4F81BD" w:themeColor="accent1"/>
                      <w:sz w:val="18"/>
                      <w:lang w:val="en-GB"/>
                    </w:rPr>
                  </w:pPr>
                </w:p>
              </w:tc>
              <w:tc>
                <w:tcPr>
                  <w:tcW w:w="3204" w:type="dxa"/>
                  <w:tcBorders>
                    <w:top w:val="single" w:sz="4" w:space="0" w:color="FFFFFF"/>
                    <w:left w:val="single" w:sz="4" w:space="0" w:color="FFFFFF"/>
                    <w:bottom w:val="single" w:sz="4" w:space="0" w:color="FFFFFF"/>
                    <w:right w:val="nil"/>
                  </w:tcBorders>
                  <w:shd w:val="clear" w:color="auto" w:fill="DBE5F1" w:themeFill="accent1" w:themeFillTint="33"/>
                </w:tcPr>
                <w:p w14:paraId="74C38D74" w14:textId="77777777" w:rsidR="00921721" w:rsidRPr="008526A3" w:rsidRDefault="00921721" w:rsidP="00880D09">
                  <w:pPr>
                    <w:ind w:right="28"/>
                    <w:rPr>
                      <w:rFonts w:asciiTheme="minorHAnsi" w:hAnsiTheme="minorHAnsi"/>
                      <w:color w:val="4F81BD" w:themeColor="accent1"/>
                      <w:sz w:val="18"/>
                      <w:lang w:val="en-GB"/>
                    </w:rPr>
                  </w:pPr>
                  <w:r w:rsidRPr="008526A3">
                    <w:rPr>
                      <w:rFonts w:asciiTheme="minorHAnsi" w:hAnsiTheme="minorHAnsi"/>
                      <w:color w:val="4F81BD" w:themeColor="accent1"/>
                      <w:sz w:val="18"/>
                      <w:lang w:val="en-GB"/>
                    </w:rPr>
                    <w:t>Analysis period = 25 years</w:t>
                  </w:r>
                </w:p>
                <w:p w14:paraId="0D16901B" w14:textId="77777777" w:rsidR="00921721" w:rsidRPr="008526A3" w:rsidRDefault="00921721" w:rsidP="00880D09">
                  <w:pPr>
                    <w:ind w:right="28"/>
                    <w:rPr>
                      <w:rFonts w:asciiTheme="minorHAnsi" w:hAnsiTheme="minorHAnsi"/>
                      <w:color w:val="4F81BD" w:themeColor="accent1"/>
                      <w:sz w:val="18"/>
                      <w:lang w:val="en-GB"/>
                    </w:rPr>
                  </w:pPr>
                </w:p>
              </w:tc>
            </w:tr>
            <w:tr w:rsidR="00921721" w:rsidRPr="007463B9" w14:paraId="00632F7D" w14:textId="77777777" w:rsidTr="00880D09">
              <w:trPr>
                <w:trHeight w:val="219"/>
                <w:jc w:val="center"/>
              </w:trPr>
              <w:tc>
                <w:tcPr>
                  <w:tcW w:w="327" w:type="dxa"/>
                  <w:tcBorders>
                    <w:top w:val="single" w:sz="4" w:space="0" w:color="FFFFFF"/>
                    <w:left w:val="single" w:sz="4" w:space="0" w:color="FFFFFF"/>
                    <w:bottom w:val="single" w:sz="4" w:space="0" w:color="FFFFFF"/>
                    <w:right w:val="nil"/>
                  </w:tcBorders>
                  <w:shd w:val="clear" w:color="auto" w:fill="DBE5F1" w:themeFill="accent1" w:themeFillTint="33"/>
                  <w:hideMark/>
                </w:tcPr>
                <w:p w14:paraId="4EAD513D" w14:textId="77777777" w:rsidR="00921721" w:rsidRPr="008526A3" w:rsidRDefault="00921721" w:rsidP="00880D09">
                  <w:pPr>
                    <w:ind w:right="28"/>
                    <w:rPr>
                      <w:rFonts w:asciiTheme="minorHAnsi" w:hAnsiTheme="minorHAnsi"/>
                      <w:color w:val="4F81BD" w:themeColor="accent1"/>
                      <w:sz w:val="18"/>
                    </w:rPr>
                  </w:pPr>
                  <w:r w:rsidRPr="008526A3">
                    <w:rPr>
                      <w:rFonts w:asciiTheme="minorHAnsi" w:hAnsiTheme="minorHAnsi"/>
                      <w:color w:val="4F81BD" w:themeColor="accent1"/>
                      <w:sz w:val="18"/>
                    </w:rPr>
                    <w:t>2</w:t>
                  </w:r>
                </w:p>
              </w:tc>
              <w:tc>
                <w:tcPr>
                  <w:tcW w:w="2764" w:type="dxa"/>
                  <w:tcBorders>
                    <w:top w:val="single" w:sz="4" w:space="0" w:color="FFFFFF"/>
                    <w:left w:val="single" w:sz="4" w:space="0" w:color="FFFFFF"/>
                    <w:bottom w:val="single" w:sz="4" w:space="0" w:color="FFFFFF"/>
                    <w:right w:val="nil"/>
                  </w:tcBorders>
                  <w:shd w:val="clear" w:color="auto" w:fill="DBE5F1" w:themeFill="accent1" w:themeFillTint="33"/>
                </w:tcPr>
                <w:p w14:paraId="6A126FCB" w14:textId="77777777" w:rsidR="00921721" w:rsidRPr="008526A3" w:rsidRDefault="00921721" w:rsidP="00880D09">
                  <w:pPr>
                    <w:ind w:right="28"/>
                    <w:rPr>
                      <w:rFonts w:asciiTheme="minorHAnsi" w:hAnsiTheme="minorHAnsi"/>
                      <w:color w:val="4F81BD" w:themeColor="accent1"/>
                      <w:sz w:val="18"/>
                      <w:lang w:val="en-GB"/>
                    </w:rPr>
                  </w:pPr>
                  <w:r w:rsidRPr="008526A3">
                    <w:rPr>
                      <w:rFonts w:asciiTheme="minorHAnsi" w:hAnsiTheme="minorHAnsi"/>
                      <w:color w:val="4F81BD" w:themeColor="accent1"/>
                      <w:sz w:val="18"/>
                      <w:lang w:val="en-GB"/>
                    </w:rPr>
                    <w:t xml:space="preserve">Calculate the project residual value </w:t>
                  </w:r>
                  <w:r>
                    <w:rPr>
                      <w:rFonts w:asciiTheme="minorHAnsi" w:hAnsiTheme="minorHAnsi"/>
                      <w:color w:val="4F81BD" w:themeColor="accent1"/>
                      <w:sz w:val="18"/>
                      <w:lang w:val="en-GB"/>
                    </w:rPr>
                    <w:t>for</w:t>
                  </w:r>
                  <w:r w:rsidRPr="008526A3">
                    <w:rPr>
                      <w:rFonts w:asciiTheme="minorHAnsi" w:hAnsiTheme="minorHAnsi"/>
                      <w:color w:val="4F81BD" w:themeColor="accent1"/>
                      <w:sz w:val="18"/>
                      <w:lang w:val="en-GB"/>
                    </w:rPr>
                    <w:t xml:space="preserve"> the above identified project assets:</w:t>
                  </w:r>
                </w:p>
                <w:p w14:paraId="6057A865" w14:textId="77777777" w:rsidR="00921721" w:rsidRPr="008526A3" w:rsidRDefault="00921721" w:rsidP="00880D09">
                  <w:pPr>
                    <w:ind w:right="28"/>
                    <w:rPr>
                      <w:rFonts w:asciiTheme="minorHAnsi" w:hAnsiTheme="minorHAnsi"/>
                      <w:b/>
                      <w:i/>
                      <w:color w:val="4F81BD" w:themeColor="accent1"/>
                      <w:sz w:val="18"/>
                      <w:lang w:val="en-GB"/>
                    </w:rPr>
                  </w:pPr>
                  <w:r w:rsidRPr="008526A3">
                    <w:rPr>
                      <w:rFonts w:asciiTheme="minorHAnsi" w:hAnsiTheme="minorHAnsi"/>
                      <w:b/>
                      <w:i/>
                      <w:color w:val="4F81BD" w:themeColor="accent1"/>
                      <w:sz w:val="18"/>
                      <w:lang w:val="en-GB"/>
                    </w:rPr>
                    <w:t xml:space="preserve"> </w:t>
                  </w:r>
                </w:p>
                <w:p w14:paraId="1DE408E1" w14:textId="77777777" w:rsidR="00921721" w:rsidRPr="008526A3" w:rsidRDefault="00921721" w:rsidP="00880D09">
                  <w:pPr>
                    <w:ind w:right="28"/>
                    <w:rPr>
                      <w:rFonts w:asciiTheme="minorHAnsi" w:hAnsiTheme="minorHAnsi"/>
                      <w:b/>
                      <w:i/>
                      <w:color w:val="4F81BD" w:themeColor="accent1"/>
                      <w:sz w:val="18"/>
                      <w:lang w:val="en-GB"/>
                    </w:rPr>
                  </w:pPr>
                </w:p>
                <w:p w14:paraId="50355F94" w14:textId="77777777" w:rsidR="00921721" w:rsidRPr="008526A3" w:rsidRDefault="00921721" w:rsidP="00880D09">
                  <w:pPr>
                    <w:ind w:right="28"/>
                    <w:rPr>
                      <w:rFonts w:asciiTheme="minorHAnsi" w:hAnsiTheme="minorHAnsi"/>
                      <w:i/>
                      <w:color w:val="4F81BD" w:themeColor="accent1"/>
                      <w:sz w:val="18"/>
                      <w:lang w:val="en-GB"/>
                    </w:rPr>
                  </w:pPr>
                  <w:r w:rsidRPr="008526A3">
                    <w:rPr>
                      <w:rFonts w:asciiTheme="minorHAnsi" w:hAnsiTheme="minorHAnsi"/>
                      <w:b/>
                      <w:i/>
                      <w:color w:val="4F81BD" w:themeColor="accent1"/>
                      <w:sz w:val="18"/>
                      <w:lang w:val="en-GB"/>
                    </w:rPr>
                    <w:t>The above value corresponds to the project financial residual value. In order to obtain the project economic residual value</w:t>
                  </w:r>
                  <w:r>
                    <w:rPr>
                      <w:rFonts w:asciiTheme="minorHAnsi" w:hAnsiTheme="minorHAnsi"/>
                      <w:b/>
                      <w:i/>
                      <w:color w:val="4F81BD" w:themeColor="accent1"/>
                      <w:sz w:val="18"/>
                      <w:lang w:val="en-GB"/>
                    </w:rPr>
                    <w:t>,</w:t>
                  </w:r>
                  <w:r w:rsidRPr="008526A3">
                    <w:rPr>
                      <w:rFonts w:asciiTheme="minorHAnsi" w:hAnsiTheme="minorHAnsi"/>
                      <w:b/>
                      <w:i/>
                      <w:color w:val="4F81BD" w:themeColor="accent1"/>
                      <w:sz w:val="18"/>
                      <w:lang w:val="en-GB"/>
                    </w:rPr>
                    <w:t xml:space="preserve"> the CF for construction costs needs to be applied.</w:t>
                  </w:r>
                </w:p>
              </w:tc>
              <w:tc>
                <w:tcPr>
                  <w:tcW w:w="3204" w:type="dxa"/>
                  <w:tcBorders>
                    <w:top w:val="single" w:sz="4" w:space="0" w:color="FFFFFF"/>
                    <w:left w:val="single" w:sz="4" w:space="0" w:color="FFFFFF"/>
                    <w:bottom w:val="single" w:sz="4" w:space="0" w:color="FFFFFF"/>
                    <w:right w:val="nil"/>
                  </w:tcBorders>
                  <w:shd w:val="clear" w:color="auto" w:fill="DBE5F1" w:themeFill="accent1" w:themeFillTint="33"/>
                </w:tcPr>
                <w:p w14:paraId="2AA08151" w14:textId="77777777" w:rsidR="00921721" w:rsidRPr="008526A3" w:rsidRDefault="00921721" w:rsidP="00880D09">
                  <w:pPr>
                    <w:ind w:right="28"/>
                    <w:rPr>
                      <w:rFonts w:asciiTheme="minorHAnsi" w:hAnsiTheme="minorHAnsi"/>
                      <w:b/>
                      <w:i/>
                      <w:color w:val="4F81BD" w:themeColor="accent1"/>
                      <w:sz w:val="18"/>
                      <w:lang w:val="en-GB"/>
                    </w:rPr>
                  </w:pPr>
                  <w:r w:rsidRPr="008526A3">
                    <w:rPr>
                      <w:rFonts w:asciiTheme="minorHAnsi" w:hAnsiTheme="minorHAnsi"/>
                      <w:i/>
                      <w:color w:val="4F81BD" w:themeColor="accent1"/>
                      <w:sz w:val="18"/>
                      <w:lang w:val="en-GB"/>
                    </w:rPr>
                    <w:t xml:space="preserve">Residual value = 450*38% + 300*67% + 175*50%+40*25%+20*58%+10*33%+50*60%+15*33%+ 80 = </w:t>
                  </w:r>
                  <w:r w:rsidRPr="008526A3">
                    <w:rPr>
                      <w:rFonts w:asciiTheme="minorHAnsi" w:hAnsiTheme="minorHAnsi"/>
                      <w:b/>
                      <w:i/>
                      <w:color w:val="4F81BD" w:themeColor="accent1"/>
                      <w:sz w:val="18"/>
                      <w:lang w:val="en-GB"/>
                    </w:rPr>
                    <w:t>596.25 mPLN</w:t>
                  </w:r>
                </w:p>
                <w:p w14:paraId="6A8DBE04" w14:textId="77777777" w:rsidR="00921721" w:rsidRPr="008526A3" w:rsidRDefault="00921721" w:rsidP="00880D09">
                  <w:pPr>
                    <w:ind w:right="28"/>
                    <w:rPr>
                      <w:rFonts w:asciiTheme="minorHAnsi" w:hAnsiTheme="minorHAnsi"/>
                      <w:b/>
                      <w:i/>
                      <w:color w:val="4F81BD" w:themeColor="accent1"/>
                      <w:sz w:val="18"/>
                      <w:lang w:val="en-GB"/>
                    </w:rPr>
                  </w:pPr>
                </w:p>
                <w:p w14:paraId="5ABF8521" w14:textId="77777777" w:rsidR="00921721" w:rsidRPr="008526A3" w:rsidRDefault="00921721" w:rsidP="00880D09">
                  <w:pPr>
                    <w:ind w:right="28"/>
                    <w:rPr>
                      <w:rFonts w:asciiTheme="minorHAnsi" w:hAnsiTheme="minorHAnsi"/>
                      <w:i/>
                      <w:color w:val="4F81BD" w:themeColor="accent1"/>
                      <w:sz w:val="18"/>
                      <w:lang w:val="en-GB"/>
                    </w:rPr>
                  </w:pPr>
                </w:p>
              </w:tc>
            </w:tr>
          </w:tbl>
          <w:p w14:paraId="5D2F5617" w14:textId="77777777" w:rsidR="00921721" w:rsidRDefault="00921721" w:rsidP="00880D09">
            <w:pPr>
              <w:pStyle w:val="anxnormal"/>
              <w:ind w:left="0"/>
              <w:rPr>
                <w:rFonts w:asciiTheme="minorHAnsi" w:hAnsiTheme="minorHAnsi"/>
                <w:lang w:val="en-GB" w:eastAsia="en-US"/>
              </w:rPr>
            </w:pPr>
          </w:p>
          <w:p w14:paraId="7821827B" w14:textId="207254E3" w:rsidR="00921721" w:rsidRPr="00731E4E"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If the analyst wishes to apply different unit values, he/she should:</w:t>
            </w:r>
          </w:p>
          <w:p w14:paraId="3897B21B" w14:textId="77777777" w:rsidR="00921721" w:rsidRPr="00731E4E" w:rsidRDefault="00921721" w:rsidP="00D5736B">
            <w:pPr>
              <w:pStyle w:val="anxnormal"/>
              <w:numPr>
                <w:ilvl w:val="0"/>
                <w:numId w:val="90"/>
              </w:numPr>
              <w:snapToGrid w:val="0"/>
              <w:ind w:left="707" w:hanging="707"/>
              <w:rPr>
                <w:rFonts w:asciiTheme="minorHAnsi" w:hAnsiTheme="minorHAnsi"/>
                <w:lang w:val="en-GB" w:eastAsia="en-US"/>
              </w:rPr>
            </w:pPr>
            <w:r w:rsidRPr="00731E4E">
              <w:rPr>
                <w:rFonts w:asciiTheme="minorHAnsi" w:hAnsiTheme="minorHAnsi"/>
                <w:lang w:val="en-GB" w:eastAsia="en-US"/>
              </w:rPr>
              <w:t>always attach the justification for the use of alternative values,</w:t>
            </w:r>
          </w:p>
          <w:p w14:paraId="2E987C9E" w14:textId="77777777" w:rsidR="00921721" w:rsidRPr="004462E6" w:rsidRDefault="00921721" w:rsidP="00D5736B">
            <w:pPr>
              <w:pStyle w:val="anxnormal"/>
              <w:numPr>
                <w:ilvl w:val="0"/>
                <w:numId w:val="90"/>
              </w:numPr>
              <w:snapToGrid w:val="0"/>
              <w:ind w:left="707" w:hanging="707"/>
              <w:rPr>
                <w:rFonts w:asciiTheme="minorHAnsi" w:hAnsiTheme="minorHAnsi"/>
                <w:lang w:val="en-GB" w:eastAsia="en-US"/>
              </w:rPr>
            </w:pPr>
            <w:r w:rsidRPr="00731E4E">
              <w:rPr>
                <w:rFonts w:asciiTheme="minorHAnsi" w:hAnsiTheme="minorHAnsi"/>
                <w:lang w:val="en-GB" w:eastAsia="en-US"/>
              </w:rPr>
              <w:t>demonstrate results of implementing the alternative values in the sensitivity analysis.</w:t>
            </w:r>
          </w:p>
          <w:p w14:paraId="2AF185D4" w14:textId="77777777" w:rsidR="00921721" w:rsidRPr="00731E4E" w:rsidRDefault="00921721" w:rsidP="00880D09">
            <w:pPr>
              <w:pStyle w:val="anxnormal"/>
              <w:ind w:left="0"/>
              <w:rPr>
                <w:rFonts w:asciiTheme="minorHAnsi" w:hAnsiTheme="minorHAnsi"/>
                <w:lang w:val="en-GB" w:eastAsia="en-US"/>
              </w:rPr>
            </w:pPr>
            <w:r w:rsidRPr="00731E4E">
              <w:rPr>
                <w:rFonts w:asciiTheme="minorHAnsi" w:hAnsiTheme="minorHAnsi"/>
                <w:lang w:val="en-GB" w:eastAsia="en-US"/>
              </w:rPr>
              <w:t>It is possible to use more detailed infrastructure maintenance, environmental and vehicle operation unit costs with respect to pavement condition according to SOSN</w:t>
            </w:r>
            <w:r w:rsidRPr="00731E4E">
              <w:rPr>
                <w:rStyle w:val="Odwoanieprzypisudolnego"/>
                <w:rFonts w:asciiTheme="minorHAnsi" w:hAnsiTheme="minorHAnsi"/>
                <w:lang w:val="en-GB" w:eastAsia="en-US"/>
              </w:rPr>
              <w:footnoteReference w:id="22"/>
            </w:r>
            <w:r w:rsidRPr="00731E4E">
              <w:rPr>
                <w:rFonts w:asciiTheme="minorHAnsi" w:hAnsiTheme="minorHAnsi"/>
                <w:lang w:val="en-GB" w:eastAsia="en-US"/>
              </w:rPr>
              <w:t xml:space="preserve"> classification (A, B, C, D), as in the GDDKiA </w:t>
            </w:r>
            <w:r>
              <w:rPr>
                <w:rFonts w:asciiTheme="minorHAnsi" w:hAnsiTheme="minorHAnsi"/>
                <w:lang w:val="en-GB" w:eastAsia="en-US"/>
              </w:rPr>
              <w:t xml:space="preserve">internal </w:t>
            </w:r>
            <w:r w:rsidRPr="00731E4E">
              <w:rPr>
                <w:rFonts w:asciiTheme="minorHAnsi" w:hAnsiTheme="minorHAnsi"/>
                <w:lang w:val="en-GB" w:eastAsia="en-US"/>
              </w:rPr>
              <w:t xml:space="preserve">CBA instruction (published </w:t>
            </w:r>
            <w:r>
              <w:rPr>
                <w:rFonts w:asciiTheme="minorHAnsi" w:hAnsiTheme="minorHAnsi"/>
                <w:lang w:val="en-GB" w:eastAsia="en-US"/>
              </w:rPr>
              <w:t>in 2021</w:t>
            </w:r>
            <w:r w:rsidRPr="00731E4E">
              <w:rPr>
                <w:rFonts w:asciiTheme="minorHAnsi" w:hAnsiTheme="minorHAnsi"/>
                <w:lang w:val="en-GB" w:eastAsia="en-US"/>
              </w:rPr>
              <w:t>) substituting IBDiM instruction dated 2008. In such cases, results of analysis using values provided in this Appendix must be presented separately.</w:t>
            </w:r>
          </w:p>
          <w:p w14:paraId="0EA7D3FC" w14:textId="77777777" w:rsidR="00921721" w:rsidRPr="00731E4E" w:rsidRDefault="00921721" w:rsidP="00880D09">
            <w:pPr>
              <w:ind w:right="170"/>
              <w:rPr>
                <w:rFonts w:asciiTheme="minorHAnsi" w:eastAsia="Arial" w:hAnsiTheme="minorHAnsi" w:cs="Arial"/>
                <w:b/>
                <w:bCs/>
                <w:color w:val="323299"/>
                <w:spacing w:val="1"/>
                <w:position w:val="-1"/>
                <w:szCs w:val="20"/>
                <w:lang w:val="en-GB"/>
              </w:rPr>
            </w:pPr>
          </w:p>
        </w:tc>
      </w:tr>
    </w:tbl>
    <w:p w14:paraId="50D7AF7F" w14:textId="77777777" w:rsidR="00921721" w:rsidRPr="00F13EAB" w:rsidRDefault="00921721" w:rsidP="00921721">
      <w:pPr>
        <w:pStyle w:val="anxnormal"/>
        <w:spacing w:after="120"/>
        <w:ind w:left="0"/>
        <w:rPr>
          <w:rFonts w:asciiTheme="minorHAnsi" w:hAnsiTheme="minorHAnsi"/>
          <w:lang w:val="en-US"/>
        </w:rPr>
      </w:pPr>
    </w:p>
    <w:p w14:paraId="384CBD2C" w14:textId="68E6E351" w:rsidR="00600DEE" w:rsidRPr="00343533" w:rsidRDefault="00641FB5" w:rsidP="00921721">
      <w:pPr>
        <w:pStyle w:val="Nagwek1"/>
        <w:rPr>
          <w:rFonts w:ascii="Calibri" w:eastAsia="Calibri" w:hAnsi="Calibri" w:cs="Calibri"/>
          <w:color w:val="0070C0"/>
          <w:lang w:val="pl-PL"/>
        </w:rPr>
      </w:pPr>
      <w:bookmarkStart w:id="128" w:name="_Toc95378017"/>
      <w:r w:rsidRPr="00343533">
        <w:rPr>
          <w:rFonts w:ascii="Calibri" w:eastAsia="Calibri" w:hAnsi="Calibri" w:cs="Calibri"/>
          <w:color w:val="0070C0"/>
          <w:lang w:val="pl-PL"/>
        </w:rPr>
        <w:t>Załącznik B: Prognozy ruchu</w:t>
      </w:r>
      <w:r w:rsidRPr="00343533">
        <w:rPr>
          <w:rFonts w:ascii="Calibri" w:eastAsia="Calibri" w:hAnsi="Calibri" w:cs="Calibri"/>
          <w:color w:val="0070C0"/>
          <w:lang w:val="pl-PL"/>
        </w:rPr>
        <w:tab/>
      </w:r>
      <w:r w:rsidRPr="00343533">
        <w:rPr>
          <w:rFonts w:ascii="Calibri" w:eastAsia="Calibri" w:hAnsi="Calibri" w:cs="Calibri"/>
          <w:color w:val="0070C0"/>
          <w:lang w:val="pl-PL"/>
        </w:rPr>
        <w:tab/>
      </w:r>
      <w:r w:rsidRPr="00343533">
        <w:rPr>
          <w:rFonts w:ascii="Calibri" w:eastAsia="Calibri" w:hAnsi="Calibri" w:cs="Calibri"/>
          <w:color w:val="0070C0"/>
          <w:lang w:val="pl-PL"/>
        </w:rPr>
        <w:tab/>
        <w:t xml:space="preserve">     </w:t>
      </w:r>
      <w:r w:rsidR="002D634C" w:rsidRPr="00343533">
        <w:rPr>
          <w:rFonts w:ascii="Calibri" w:eastAsia="Calibri" w:hAnsi="Calibri" w:cs="Calibri"/>
          <w:color w:val="0070C0"/>
          <w:lang w:val="pl-PL"/>
        </w:rPr>
        <w:t xml:space="preserve">                                       </w:t>
      </w:r>
      <w:r w:rsidRPr="00343533">
        <w:rPr>
          <w:rFonts w:ascii="Calibri" w:eastAsia="Calibri" w:hAnsi="Calibri" w:cs="Calibri"/>
          <w:color w:val="0070C0"/>
          <w:lang w:val="pl-PL"/>
        </w:rPr>
        <w:t>Appendix B: Traffic forecasts</w:t>
      </w:r>
      <w:bookmarkEnd w:id="128"/>
    </w:p>
    <w:tbl>
      <w:tblPr>
        <w:tblStyle w:val="afffffffffffff9"/>
        <w:tblW w:w="14571" w:type="dxa"/>
        <w:tblLayout w:type="fixed"/>
        <w:tblLook w:val="0400" w:firstRow="0" w:lastRow="0" w:firstColumn="0" w:lastColumn="0" w:noHBand="0" w:noVBand="1"/>
      </w:tblPr>
      <w:tblGrid>
        <w:gridCol w:w="7370"/>
        <w:gridCol w:w="7201"/>
      </w:tblGrid>
      <w:tr w:rsidR="00600DEE" w:rsidRPr="007463B9" w14:paraId="02682067" w14:textId="77777777">
        <w:tc>
          <w:tcPr>
            <w:tcW w:w="7370" w:type="dxa"/>
            <w:tcBorders>
              <w:right w:val="single" w:sz="4" w:space="0" w:color="000000"/>
            </w:tcBorders>
            <w:tcMar>
              <w:left w:w="284" w:type="dxa"/>
              <w:right w:w="284" w:type="dxa"/>
            </w:tcMar>
          </w:tcPr>
          <w:p w14:paraId="7302034B"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 xml:space="preserve">Etapy prognozy ruchu – opis i podstawowe założenia oraz rekomendacje </w:t>
            </w:r>
          </w:p>
          <w:p w14:paraId="2F454AEF" w14:textId="77777777" w:rsidR="00600DEE" w:rsidRDefault="00600DEE">
            <w:pPr>
              <w:jc w:val="both"/>
              <w:rPr>
                <w:rFonts w:ascii="Calibri" w:eastAsia="Calibri" w:hAnsi="Calibri" w:cs="Calibri"/>
                <w:b/>
                <w:color w:val="4F81BD"/>
                <w:sz w:val="20"/>
                <w:szCs w:val="20"/>
              </w:rPr>
            </w:pPr>
          </w:p>
          <w:p w14:paraId="105881E0" w14:textId="77777777" w:rsidR="00600DEE" w:rsidRDefault="00600DEE">
            <w:pPr>
              <w:jc w:val="both"/>
              <w:rPr>
                <w:rFonts w:ascii="Calibri" w:eastAsia="Calibri" w:hAnsi="Calibri" w:cs="Calibri"/>
                <w:b/>
                <w:color w:val="4F81BD"/>
                <w:sz w:val="20"/>
                <w:szCs w:val="20"/>
              </w:rPr>
            </w:pPr>
          </w:p>
          <w:p w14:paraId="2E7B3A0E"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I. DEFINIOWANIE MODELU</w:t>
            </w:r>
          </w:p>
          <w:p w14:paraId="486EF018" w14:textId="77777777" w:rsidR="00600DEE" w:rsidRDefault="00600DEE">
            <w:pPr>
              <w:jc w:val="both"/>
              <w:rPr>
                <w:rFonts w:ascii="Calibri" w:eastAsia="Calibri" w:hAnsi="Calibri" w:cs="Calibri"/>
                <w:b/>
                <w:color w:val="4F81BD"/>
                <w:sz w:val="20"/>
                <w:szCs w:val="20"/>
              </w:rPr>
            </w:pPr>
          </w:p>
          <w:p w14:paraId="62FDADB8"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 xml:space="preserve">Zasięg obszarowy </w:t>
            </w:r>
          </w:p>
          <w:p w14:paraId="38FE665A" w14:textId="77777777" w:rsidR="00600DEE" w:rsidRDefault="00600DEE">
            <w:pPr>
              <w:jc w:val="both"/>
              <w:rPr>
                <w:rFonts w:ascii="Calibri" w:eastAsia="Calibri" w:hAnsi="Calibri" w:cs="Calibri"/>
                <w:sz w:val="20"/>
                <w:szCs w:val="20"/>
              </w:rPr>
            </w:pPr>
          </w:p>
          <w:p w14:paraId="12A963DD"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W przypadku większości dużych inwestycji na drogach zamiejskich, model drogowy zazwyczaj obejmuje obszar całego kraju lub regionu/regionów w zależności od specyfiki projektu. W tym celu można wykorzystać krajowy model ruchu, który jest w posiadaniu i udostępniany przez GDDKiA. Model ten odwzorowuje całą siec dróg krajowych i wojewódzkich oraz krajową sieć kolejową i lotniczą.</w:t>
            </w:r>
          </w:p>
          <w:p w14:paraId="0768CE9C"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 xml:space="preserve">Model ruchu znajdujący się obecnie w posiadaniu GDDKiA nie jest modelem nadającym się bezpośrednio do zastosowania. Stanowi model bazowy do wykorzystania tylko pod warunkiem zastosowania specjalistycznego oprogramowania do modelowania ruchu oraz dostosowania jego aktualności i szczegółowości do konkretnego projektu. </w:t>
            </w:r>
          </w:p>
          <w:p w14:paraId="5ACAE86C" w14:textId="77777777" w:rsidR="00600DEE" w:rsidRDefault="00600DEE">
            <w:pPr>
              <w:jc w:val="both"/>
              <w:rPr>
                <w:rFonts w:ascii="Calibri" w:eastAsia="Calibri" w:hAnsi="Calibri" w:cs="Calibri"/>
                <w:sz w:val="20"/>
                <w:szCs w:val="20"/>
              </w:rPr>
            </w:pPr>
          </w:p>
          <w:p w14:paraId="35436874"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W przypadku inwestycji typowo miejskich prognozy ruchu należy opracować na podstawie modelu ruchu, który obejmuje co najmniej obszar w granicach miasta. Dla kluczowych inwestycji komunikacyjnych oraz największych miast (powyżej 300 tys. mieszkańców), model należy rozszerzyć na obszar terenów przylegających do miasta i mających wpływ na poziom natężenia ruchu w mieście.</w:t>
            </w:r>
          </w:p>
          <w:p w14:paraId="760AEF39" w14:textId="77777777" w:rsidR="00600DEE" w:rsidRDefault="00600DEE">
            <w:pPr>
              <w:jc w:val="both"/>
              <w:rPr>
                <w:rFonts w:ascii="Calibri" w:eastAsia="Calibri" w:hAnsi="Calibri" w:cs="Calibri"/>
                <w:sz w:val="20"/>
                <w:szCs w:val="20"/>
              </w:rPr>
            </w:pPr>
          </w:p>
          <w:p w14:paraId="1C8849AE"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Następnie, dla celów analiz ekonomiczno-finansowych, korzystnie jest zidentyfikować obszar oddziaływania projektu, tzw. bufor (zdefiniowany w rozdziale „Definicje i Akronimy”), który będzie podstawą do prognozowania danych wejściowych niezbędnych dla dalszych wyliczeń.</w:t>
            </w:r>
          </w:p>
          <w:p w14:paraId="337F684F" w14:textId="77777777" w:rsidR="00600DEE" w:rsidRDefault="00600DEE">
            <w:pPr>
              <w:jc w:val="both"/>
              <w:rPr>
                <w:rFonts w:ascii="Calibri" w:eastAsia="Calibri" w:hAnsi="Calibri" w:cs="Calibri"/>
                <w:sz w:val="20"/>
                <w:szCs w:val="20"/>
              </w:rPr>
            </w:pPr>
          </w:p>
          <w:p w14:paraId="39D17F35"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Przy inwestycjach obejmujących przebudowę, dla których możliwe jest wykonanie uproszczonej prognozy ruchu metodą wskaźnikową, prognozę taką należy sporządzić jedynie dla odcinka drogi/ulicy, dla którego wykonywana jest analiza.</w:t>
            </w:r>
          </w:p>
          <w:p w14:paraId="3509EC4C" w14:textId="77777777" w:rsidR="00600DEE" w:rsidRDefault="00600DEE">
            <w:pPr>
              <w:jc w:val="both"/>
              <w:rPr>
                <w:rFonts w:ascii="Calibri" w:eastAsia="Calibri" w:hAnsi="Calibri" w:cs="Calibri"/>
                <w:b/>
                <w:sz w:val="20"/>
                <w:szCs w:val="20"/>
              </w:rPr>
            </w:pPr>
          </w:p>
          <w:p w14:paraId="58BAE37E" w14:textId="77777777" w:rsidR="00600DEE" w:rsidRDefault="00600DEE">
            <w:pPr>
              <w:jc w:val="both"/>
              <w:rPr>
                <w:rFonts w:ascii="Calibri" w:eastAsia="Calibri" w:hAnsi="Calibri" w:cs="Calibri"/>
                <w:b/>
                <w:sz w:val="20"/>
                <w:szCs w:val="20"/>
              </w:rPr>
            </w:pPr>
          </w:p>
          <w:p w14:paraId="3F5CA190" w14:textId="77777777" w:rsidR="00C77DFC" w:rsidRDefault="00C77DFC">
            <w:pPr>
              <w:jc w:val="both"/>
              <w:rPr>
                <w:rFonts w:ascii="Calibri" w:eastAsia="Calibri" w:hAnsi="Calibri" w:cs="Calibri"/>
                <w:b/>
                <w:color w:val="4F81BD"/>
                <w:sz w:val="20"/>
                <w:szCs w:val="20"/>
              </w:rPr>
            </w:pPr>
          </w:p>
          <w:p w14:paraId="54B3C683" w14:textId="77777777" w:rsidR="00C77DFC" w:rsidRDefault="00C77DFC">
            <w:pPr>
              <w:jc w:val="both"/>
              <w:rPr>
                <w:rFonts w:ascii="Calibri" w:eastAsia="Calibri" w:hAnsi="Calibri" w:cs="Calibri"/>
                <w:b/>
                <w:color w:val="4F81BD"/>
                <w:sz w:val="20"/>
                <w:szCs w:val="20"/>
              </w:rPr>
            </w:pPr>
          </w:p>
          <w:p w14:paraId="14B64858" w14:textId="5FAEEC80"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Szczegóły sieci. Rejony komunikacyjne</w:t>
            </w:r>
          </w:p>
          <w:p w14:paraId="30021D34" w14:textId="77777777" w:rsidR="00600DEE" w:rsidRDefault="00600DEE">
            <w:pPr>
              <w:jc w:val="both"/>
              <w:rPr>
                <w:rFonts w:ascii="Calibri" w:eastAsia="Calibri" w:hAnsi="Calibri" w:cs="Calibri"/>
                <w:b/>
                <w:sz w:val="20"/>
                <w:szCs w:val="20"/>
              </w:rPr>
            </w:pPr>
          </w:p>
          <w:p w14:paraId="5C27276F" w14:textId="611A12C7" w:rsidR="00600DEE" w:rsidRDefault="00641FB5">
            <w:pPr>
              <w:jc w:val="both"/>
              <w:rPr>
                <w:rFonts w:ascii="Calibri" w:eastAsia="Calibri" w:hAnsi="Calibri" w:cs="Calibri"/>
                <w:sz w:val="20"/>
                <w:szCs w:val="20"/>
              </w:rPr>
            </w:pPr>
            <w:r>
              <w:rPr>
                <w:rFonts w:ascii="Calibri" w:eastAsia="Calibri" w:hAnsi="Calibri" w:cs="Calibri"/>
                <w:sz w:val="20"/>
                <w:szCs w:val="20"/>
              </w:rPr>
              <w:t xml:space="preserve">Dla inwestycji na drogach krajowych i wojewódzkich zaleca się stosowanie modelu sieci </w:t>
            </w:r>
            <w:r w:rsidR="00B95FB9">
              <w:rPr>
                <w:rFonts w:ascii="Calibri" w:eastAsia="Calibri" w:hAnsi="Calibri" w:cs="Calibri"/>
                <w:sz w:val="20"/>
                <w:szCs w:val="20"/>
              </w:rPr>
              <w:t xml:space="preserve">transportowej z Intermodalnego </w:t>
            </w:r>
            <w:r>
              <w:rPr>
                <w:rFonts w:ascii="Calibri" w:eastAsia="Calibri" w:hAnsi="Calibri" w:cs="Calibri"/>
                <w:sz w:val="20"/>
                <w:szCs w:val="20"/>
              </w:rPr>
              <w:t xml:space="preserve">Krajowego Modelu Ruchu (IKMR), który może zostać udostępniony przez GDDKiA. Model ten zawiera informacje o ruchu na sieci dróg krajowych i wojewódzkich w podziale na powiaty (w formie plików tekstowych do wykorzystania przez specjalistyczne oprogramowanie) i może wymagać uszczegółowienia o drogi lokalne w okolicy rozpatrywanego projektu. </w:t>
            </w:r>
          </w:p>
          <w:p w14:paraId="6520BB78" w14:textId="4AAB83B7" w:rsidR="00600DEE" w:rsidRDefault="00600DEE">
            <w:pPr>
              <w:jc w:val="both"/>
              <w:rPr>
                <w:rFonts w:ascii="Calibri" w:eastAsia="Calibri" w:hAnsi="Calibri" w:cs="Calibri"/>
                <w:sz w:val="20"/>
                <w:szCs w:val="20"/>
              </w:rPr>
            </w:pPr>
          </w:p>
          <w:p w14:paraId="30E8EE68" w14:textId="730EC6F9" w:rsidR="00C77DFC" w:rsidRDefault="00C77DFC">
            <w:pPr>
              <w:jc w:val="both"/>
              <w:rPr>
                <w:rFonts w:ascii="Calibri" w:eastAsia="Calibri" w:hAnsi="Calibri" w:cs="Calibri"/>
                <w:sz w:val="20"/>
                <w:szCs w:val="20"/>
              </w:rPr>
            </w:pPr>
          </w:p>
          <w:p w14:paraId="18F42B55" w14:textId="77777777" w:rsidR="00C77DFC" w:rsidRDefault="00C77DFC">
            <w:pPr>
              <w:jc w:val="both"/>
              <w:rPr>
                <w:rFonts w:ascii="Calibri" w:eastAsia="Calibri" w:hAnsi="Calibri" w:cs="Calibri"/>
                <w:sz w:val="20"/>
                <w:szCs w:val="20"/>
              </w:rPr>
            </w:pPr>
          </w:p>
          <w:p w14:paraId="33C4C4E2"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Jeśli w AKK wykorzystano inny niż Krajowy Model Ruchu, to należy podać co najmniej następujące informacje:</w:t>
            </w:r>
          </w:p>
          <w:p w14:paraId="1EC1E739" w14:textId="77777777" w:rsidR="00600DEE" w:rsidRDefault="00641FB5" w:rsidP="00D5736B">
            <w:pPr>
              <w:numPr>
                <w:ilvl w:val="0"/>
                <w:numId w:val="80"/>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przyjęty podział na kategorie odcinków dróg,</w:t>
            </w:r>
          </w:p>
          <w:p w14:paraId="0FD03660" w14:textId="327A67C5" w:rsidR="00600DEE" w:rsidRDefault="00641FB5" w:rsidP="00D5736B">
            <w:pPr>
              <w:numPr>
                <w:ilvl w:val="0"/>
                <w:numId w:val="80"/>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parametry techniczne poszczególnych kategorii odcinków obejmujące m.in. przyjęte funkcje oporu odcinka</w:t>
            </w:r>
            <w:r w:rsidR="00B95FB9">
              <w:rPr>
                <w:rStyle w:val="Odwoanieprzypisudolnego"/>
                <w:rFonts w:ascii="Calibri" w:eastAsia="Calibri" w:hAnsi="Calibri" w:cs="Calibri"/>
                <w:sz w:val="20"/>
                <w:szCs w:val="20"/>
              </w:rPr>
              <w:footnoteReference w:id="23"/>
            </w:r>
            <w:r>
              <w:rPr>
                <w:rFonts w:ascii="Calibri" w:eastAsia="Calibri" w:hAnsi="Calibri" w:cs="Calibri"/>
                <w:sz w:val="20"/>
                <w:szCs w:val="20"/>
              </w:rPr>
              <w:t>,</w:t>
            </w:r>
          </w:p>
          <w:p w14:paraId="41C2AAFC" w14:textId="77777777" w:rsidR="00600DEE" w:rsidRDefault="00641FB5" w:rsidP="00D5736B">
            <w:pPr>
              <w:numPr>
                <w:ilvl w:val="0"/>
                <w:numId w:val="80"/>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 xml:space="preserve">przyjęty podział na rejony komunikacyjne, </w:t>
            </w:r>
          </w:p>
          <w:p w14:paraId="64266288" w14:textId="77777777" w:rsidR="00600DEE" w:rsidRDefault="00641FB5" w:rsidP="00D5736B">
            <w:pPr>
              <w:numPr>
                <w:ilvl w:val="0"/>
                <w:numId w:val="80"/>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opłaty za korzystanie z infrastruktury.</w:t>
            </w:r>
          </w:p>
          <w:p w14:paraId="2F9EE535"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 xml:space="preserve">W przypadku obszarów miejskich zaleca się wykorzystanie istniejących modeli będących w dyspozycji władz lokalnych, o ile takie modele zostały wcześniej opracowane. Model sieci ulicznej musi obejmować, co najmniej wszystkie ulice w granicach miasta do klasy zbiorczej włącznie. W opisie należy przedstawić zakres informacji o modelu sieci, taki jak dla dróg zamiejskich. </w:t>
            </w:r>
          </w:p>
          <w:p w14:paraId="7DCBE802" w14:textId="77777777" w:rsidR="00600DEE" w:rsidRDefault="00600DEE">
            <w:pPr>
              <w:jc w:val="both"/>
              <w:rPr>
                <w:rFonts w:ascii="Calibri" w:eastAsia="Calibri" w:hAnsi="Calibri" w:cs="Calibri"/>
                <w:b/>
                <w:color w:val="323299"/>
                <w:sz w:val="20"/>
                <w:szCs w:val="20"/>
              </w:rPr>
            </w:pPr>
          </w:p>
          <w:p w14:paraId="4774A939" w14:textId="77777777" w:rsidR="00C77DFC" w:rsidRDefault="00C77DFC">
            <w:pPr>
              <w:jc w:val="both"/>
              <w:rPr>
                <w:rFonts w:ascii="Calibri" w:eastAsia="Calibri" w:hAnsi="Calibri" w:cs="Calibri"/>
                <w:b/>
                <w:color w:val="4F81BD"/>
                <w:sz w:val="20"/>
                <w:szCs w:val="20"/>
              </w:rPr>
            </w:pPr>
          </w:p>
          <w:p w14:paraId="6E87AF46" w14:textId="77777777" w:rsidR="00C77DFC" w:rsidRDefault="00C77DFC">
            <w:pPr>
              <w:jc w:val="both"/>
              <w:rPr>
                <w:rFonts w:ascii="Calibri" w:eastAsia="Calibri" w:hAnsi="Calibri" w:cs="Calibri"/>
                <w:b/>
                <w:color w:val="4F81BD"/>
                <w:sz w:val="20"/>
                <w:szCs w:val="20"/>
              </w:rPr>
            </w:pPr>
          </w:p>
          <w:p w14:paraId="73367CC5" w14:textId="77777777" w:rsidR="00C77DFC" w:rsidRDefault="00C77DFC">
            <w:pPr>
              <w:jc w:val="both"/>
              <w:rPr>
                <w:rFonts w:ascii="Calibri" w:eastAsia="Calibri" w:hAnsi="Calibri" w:cs="Calibri"/>
                <w:b/>
                <w:color w:val="4F81BD"/>
                <w:sz w:val="20"/>
                <w:szCs w:val="20"/>
              </w:rPr>
            </w:pPr>
          </w:p>
          <w:p w14:paraId="7C43A92B" w14:textId="77777777" w:rsidR="00C77DFC" w:rsidRDefault="00C77DFC">
            <w:pPr>
              <w:jc w:val="both"/>
              <w:rPr>
                <w:rFonts w:ascii="Calibri" w:eastAsia="Calibri" w:hAnsi="Calibri" w:cs="Calibri"/>
                <w:b/>
                <w:color w:val="4F81BD"/>
                <w:sz w:val="20"/>
                <w:szCs w:val="20"/>
              </w:rPr>
            </w:pPr>
          </w:p>
          <w:p w14:paraId="71C738E0" w14:textId="77777777" w:rsidR="00C77DFC" w:rsidRDefault="00C77DFC">
            <w:pPr>
              <w:jc w:val="both"/>
              <w:rPr>
                <w:rFonts w:ascii="Calibri" w:eastAsia="Calibri" w:hAnsi="Calibri" w:cs="Calibri"/>
                <w:b/>
                <w:color w:val="4F81BD"/>
                <w:sz w:val="20"/>
                <w:szCs w:val="20"/>
              </w:rPr>
            </w:pPr>
          </w:p>
          <w:p w14:paraId="12F56B84" w14:textId="1F0A9C85" w:rsidR="00C77DFC" w:rsidRDefault="00C77DFC">
            <w:pPr>
              <w:jc w:val="both"/>
              <w:rPr>
                <w:rFonts w:ascii="Calibri" w:eastAsia="Calibri" w:hAnsi="Calibri" w:cs="Calibri"/>
                <w:b/>
                <w:color w:val="4F81BD"/>
                <w:sz w:val="20"/>
                <w:szCs w:val="20"/>
              </w:rPr>
            </w:pPr>
          </w:p>
          <w:p w14:paraId="504C592B" w14:textId="71E7D28B" w:rsidR="00600DEE" w:rsidRPr="00C77DFC" w:rsidRDefault="00641FB5" w:rsidP="00C77DFC">
            <w:pPr>
              <w:spacing w:after="120"/>
              <w:jc w:val="both"/>
              <w:rPr>
                <w:rFonts w:ascii="Calibri" w:eastAsia="Calibri" w:hAnsi="Calibri" w:cs="Calibri"/>
                <w:b/>
                <w:color w:val="4F81BD"/>
                <w:sz w:val="20"/>
                <w:szCs w:val="20"/>
              </w:rPr>
            </w:pPr>
            <w:r>
              <w:rPr>
                <w:rFonts w:ascii="Calibri" w:eastAsia="Calibri" w:hAnsi="Calibri" w:cs="Calibri"/>
                <w:b/>
                <w:color w:val="4F81BD"/>
                <w:sz w:val="20"/>
                <w:szCs w:val="20"/>
              </w:rPr>
              <w:t>Kategorie pojazdów. Wielogałęziowość</w:t>
            </w:r>
          </w:p>
          <w:p w14:paraId="1C05B179" w14:textId="66749B1C"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Niezależnie od przyjętej metody prognozowania, wyniki powinny zawierać natężenia ruchu, w ujęciu dobowym (w SDR – poj. rzeczywiste/dobę) lub/ i w ujęciu godzinowym (godziny szczytu)</w:t>
            </w:r>
            <w:r w:rsidR="00B95FB9">
              <w:rPr>
                <w:rFonts w:ascii="Calibri" w:eastAsia="Calibri" w:hAnsi="Calibri" w:cs="Calibri"/>
                <w:sz w:val="20"/>
                <w:szCs w:val="20"/>
              </w:rPr>
              <w:t>.</w:t>
            </w:r>
            <w:r>
              <w:rPr>
                <w:rFonts w:ascii="Calibri" w:eastAsia="Calibri" w:hAnsi="Calibri" w:cs="Calibri"/>
                <w:sz w:val="20"/>
                <w:szCs w:val="20"/>
              </w:rPr>
              <w:t xml:space="preserve"> Typowy podział na kategorie pojazdów może być następujący:</w:t>
            </w:r>
          </w:p>
          <w:p w14:paraId="2176232F"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 xml:space="preserve">SO </w:t>
            </w:r>
            <w:r>
              <w:rPr>
                <w:rFonts w:ascii="Calibri" w:eastAsia="Calibri" w:hAnsi="Calibri" w:cs="Calibri"/>
                <w:sz w:val="20"/>
                <w:szCs w:val="20"/>
              </w:rPr>
              <w:t>– samochody osobowe,</w:t>
            </w:r>
          </w:p>
          <w:p w14:paraId="4C308CB4"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SD</w:t>
            </w:r>
            <w:r>
              <w:rPr>
                <w:rFonts w:ascii="Calibri" w:eastAsia="Calibri" w:hAnsi="Calibri" w:cs="Calibri"/>
                <w:sz w:val="20"/>
                <w:szCs w:val="20"/>
              </w:rPr>
              <w:t xml:space="preserve"> – samochody dostawcze (np. vany),</w:t>
            </w:r>
          </w:p>
          <w:p w14:paraId="7D92ABEE"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 xml:space="preserve">SC </w:t>
            </w:r>
            <w:r>
              <w:rPr>
                <w:rFonts w:ascii="Calibri" w:eastAsia="Calibri" w:hAnsi="Calibri" w:cs="Calibri"/>
                <w:sz w:val="20"/>
                <w:szCs w:val="20"/>
              </w:rPr>
              <w:t>– samochody ciężarowe bez przyczep,</w:t>
            </w:r>
          </w:p>
          <w:p w14:paraId="7EDAC1CB"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SCp</w:t>
            </w:r>
            <w:r>
              <w:rPr>
                <w:rFonts w:ascii="Calibri" w:eastAsia="Calibri" w:hAnsi="Calibri" w:cs="Calibri"/>
                <w:sz w:val="20"/>
                <w:szCs w:val="20"/>
              </w:rPr>
              <w:t xml:space="preserve"> - samochody ciężarowe z przyczepami,</w:t>
            </w:r>
          </w:p>
          <w:p w14:paraId="29497E29"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 xml:space="preserve">A </w:t>
            </w:r>
            <w:r>
              <w:rPr>
                <w:rFonts w:ascii="Calibri" w:eastAsia="Calibri" w:hAnsi="Calibri" w:cs="Calibri"/>
                <w:sz w:val="20"/>
                <w:szCs w:val="20"/>
              </w:rPr>
              <w:t>– autobusy.</w:t>
            </w:r>
          </w:p>
          <w:p w14:paraId="0379B6A7"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Możliwe jest również przyjęcie innej struktury rodzajowej ruchu (np. dopuszcza się połączenie kategorii lekkich samochodów dostawczych z samochodami osobowymi, samochodów ciężarowych z przyczepami i bez przyczep) wraz z odpowiednim wyjaśnieniem. Przykładowo można przyjąć podział na poniższe kategorie pojazdów:</w:t>
            </w:r>
          </w:p>
          <w:p w14:paraId="6F60CA48"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LV</w:t>
            </w:r>
            <w:r>
              <w:rPr>
                <w:rFonts w:ascii="Calibri" w:eastAsia="Calibri" w:hAnsi="Calibri" w:cs="Calibri"/>
                <w:sz w:val="20"/>
                <w:szCs w:val="20"/>
              </w:rPr>
              <w:t xml:space="preserve"> – samochody lekkie, masa całkowita &lt; 3,5 tony,</w:t>
            </w:r>
          </w:p>
          <w:p w14:paraId="6F3D0D09"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HGV</w:t>
            </w:r>
            <w:r>
              <w:rPr>
                <w:rFonts w:ascii="Calibri" w:eastAsia="Calibri" w:hAnsi="Calibri" w:cs="Calibri"/>
                <w:sz w:val="20"/>
                <w:szCs w:val="20"/>
              </w:rPr>
              <w:t xml:space="preserve"> – samochody ciężkie, masa całkowita &gt; 3,5 tony (w tym autobusy).</w:t>
            </w:r>
          </w:p>
          <w:p w14:paraId="2C4A46C2" w14:textId="70F7EA63" w:rsidR="00600DEE" w:rsidRDefault="00641FB5" w:rsidP="00C77DFC">
            <w:pPr>
              <w:spacing w:after="120"/>
              <w:jc w:val="both"/>
              <w:rPr>
                <w:rFonts w:ascii="Calibri" w:eastAsia="Calibri" w:hAnsi="Calibri" w:cs="Calibri"/>
                <w:b/>
                <w:color w:val="323299"/>
                <w:sz w:val="20"/>
                <w:szCs w:val="20"/>
              </w:rPr>
            </w:pPr>
            <w:r>
              <w:rPr>
                <w:rFonts w:ascii="Calibri" w:eastAsia="Calibri" w:hAnsi="Calibri" w:cs="Calibri"/>
                <w:sz w:val="20"/>
                <w:szCs w:val="20"/>
              </w:rPr>
              <w:t>Model ruchu powinien uwzględniać wielogałęziowość (korzystanie z różnych środków transportu) zarówno dla przewozów towarowych, jak i pasażerskich. Zastosowanie takiego podejścia jest zgodne z wymaganiami dla funduszy europejskich 2021-2027 w zakresie promowania transportu zrównoważonego. Należy dodać, że Krajowy Model Ruchu powinien być systematycznie aktualizowany przez właściwe jednostki administracji centralnej.</w:t>
            </w:r>
          </w:p>
          <w:p w14:paraId="06919BAA" w14:textId="15BF8FAF" w:rsidR="00600DEE" w:rsidRPr="00C77DFC" w:rsidRDefault="00641FB5" w:rsidP="00C77DFC">
            <w:pPr>
              <w:spacing w:after="120"/>
              <w:jc w:val="both"/>
              <w:rPr>
                <w:rFonts w:ascii="Calibri" w:eastAsia="Calibri" w:hAnsi="Calibri" w:cs="Calibri"/>
                <w:b/>
                <w:color w:val="4F81BD"/>
                <w:sz w:val="20"/>
                <w:szCs w:val="20"/>
              </w:rPr>
            </w:pPr>
            <w:r>
              <w:rPr>
                <w:rFonts w:ascii="Calibri" w:eastAsia="Calibri" w:hAnsi="Calibri" w:cs="Calibri"/>
                <w:b/>
                <w:color w:val="4F81BD"/>
                <w:sz w:val="20"/>
                <w:szCs w:val="20"/>
              </w:rPr>
              <w:t>Kategorie użytkowników</w:t>
            </w:r>
          </w:p>
          <w:p w14:paraId="1B0D7EDC"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W modelu należy wyróżnić co najmniej 2 kategorie użytkowników: (1) ruch pasażerski: pojazdy osobowe i autobusy; (2) ruch towarowy: pojazdy ciężarowe.</w:t>
            </w:r>
          </w:p>
          <w:p w14:paraId="6FC876F1"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Użytkowników pojazdów osobowych i autobusów, należy podzielić na co najmniej trzy kategorie różnicujące motywacje podróży:</w:t>
            </w:r>
          </w:p>
          <w:p w14:paraId="7887DE27" w14:textId="77777777" w:rsidR="00600DEE" w:rsidRDefault="00641FB5" w:rsidP="00D5736B">
            <w:pPr>
              <w:numPr>
                <w:ilvl w:val="0"/>
                <w:numId w:val="53"/>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podróże służbowe,</w:t>
            </w:r>
          </w:p>
          <w:p w14:paraId="0F627FDF" w14:textId="77777777" w:rsidR="00600DEE" w:rsidRDefault="00641FB5" w:rsidP="00D5736B">
            <w:pPr>
              <w:numPr>
                <w:ilvl w:val="0"/>
                <w:numId w:val="53"/>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codzienne dojazdy do/z pracy (tzw. ruch dojazdowy; dom-praca-dom),</w:t>
            </w:r>
          </w:p>
          <w:p w14:paraId="50D051AC" w14:textId="77777777" w:rsidR="00600DEE" w:rsidRDefault="00641FB5" w:rsidP="00D5736B">
            <w:pPr>
              <w:numPr>
                <w:ilvl w:val="0"/>
                <w:numId w:val="53"/>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inne motywacje.</w:t>
            </w:r>
          </w:p>
          <w:p w14:paraId="62DA0E25" w14:textId="77777777" w:rsidR="00600DEE" w:rsidRDefault="00600DEE">
            <w:pPr>
              <w:jc w:val="both"/>
              <w:rPr>
                <w:rFonts w:ascii="Calibri" w:eastAsia="Calibri" w:hAnsi="Calibri" w:cs="Calibri"/>
                <w:sz w:val="20"/>
                <w:szCs w:val="20"/>
              </w:rPr>
            </w:pPr>
          </w:p>
          <w:p w14:paraId="625D9966"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 xml:space="preserve">Okresy analizy </w:t>
            </w:r>
          </w:p>
          <w:p w14:paraId="3BD2D6D7"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(rok/ doba/ godzina szczytu)</w:t>
            </w:r>
          </w:p>
          <w:p w14:paraId="2288C874" w14:textId="77777777" w:rsidR="00600DEE" w:rsidRDefault="00600DEE">
            <w:pPr>
              <w:jc w:val="both"/>
              <w:rPr>
                <w:rFonts w:ascii="Calibri" w:eastAsia="Calibri" w:hAnsi="Calibri" w:cs="Calibri"/>
                <w:b/>
                <w:sz w:val="20"/>
                <w:szCs w:val="20"/>
              </w:rPr>
            </w:pPr>
          </w:p>
          <w:p w14:paraId="747ED584"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Dla inwestycji zamiejskich prognozy ruchu obliczane są dla średniodobowego ruchu w roku SDR wyliczonego na podstawie danych z Generalnego Pomiaru Ruchu (GPR). Przeliczenie średnich natężeń dobowych na natężenia roczne następuje przez przemnożenie wyników dobowych przez 365.</w:t>
            </w:r>
          </w:p>
          <w:p w14:paraId="40D21ED1"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W przypadku prognoz ruchu dla inwestycji miejskich zazwyczaj konieczne jest przeliczenie korzyści obliczonych w godzinie szczytu na korzyści dobowe i roczne.</w:t>
            </w:r>
          </w:p>
          <w:p w14:paraId="57F50720"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Dopuszczalne jest pominięcie kosztów ruchu w godzinach nocnych, ze względu na fakt, iż przynoszą one znikome oszczędności.</w:t>
            </w:r>
          </w:p>
          <w:p w14:paraId="6E1F303D"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W przypadku braku odpowiednich danych o ruchu godzinowym, możliwe jest przyjęcie wartości uśrednionej zakładającej, że mnożnik przeliczenia godziny szczytu na dobę wynosi 8,2. Jeśli podstawą wyliczenia kosztów ruchu był średni dzień roboczy przy przeliczeniu kosztów na rok przyjąć należy mnożnik w wysokości 300.</w:t>
            </w:r>
          </w:p>
          <w:p w14:paraId="3D8A774A" w14:textId="77777777" w:rsidR="00600DEE" w:rsidRDefault="00600DEE">
            <w:pPr>
              <w:jc w:val="both"/>
              <w:rPr>
                <w:rFonts w:ascii="Calibri" w:eastAsia="Calibri" w:hAnsi="Calibri" w:cs="Calibri"/>
                <w:b/>
                <w:sz w:val="20"/>
                <w:szCs w:val="20"/>
              </w:rPr>
            </w:pPr>
          </w:p>
          <w:p w14:paraId="040F37B7"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Horyzonty prognozy. Rok bazowy</w:t>
            </w:r>
          </w:p>
          <w:p w14:paraId="56D91530" w14:textId="77777777" w:rsidR="00600DEE" w:rsidRDefault="00600DEE">
            <w:pPr>
              <w:jc w:val="both"/>
              <w:rPr>
                <w:rFonts w:ascii="Calibri" w:eastAsia="Calibri" w:hAnsi="Calibri" w:cs="Calibri"/>
                <w:b/>
                <w:sz w:val="20"/>
                <w:szCs w:val="20"/>
              </w:rPr>
            </w:pPr>
          </w:p>
          <w:p w14:paraId="610EA4A2"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Prognoza ruchu powinna obejmować co najmniej okres obliczeniowy analizy AKK, uwzględniający tzw. okres odniesienia, który dla projektów drogowych wynosi 25 lat (wraz z okresem realizacji inwestycji). Należy również przyjąć odpowiednie założenia dla roku bazowego.</w:t>
            </w:r>
          </w:p>
          <w:p w14:paraId="09CEBEA9"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Rokiem bazowym prognozy jest rok wykonania ostatniego GPR (weryfikacja modelu obliczeniowego) i/albo pierwszy rok analizy kosztów i korzyści (patrz rozdział,1.6).</w:t>
            </w:r>
          </w:p>
          <w:p w14:paraId="5B750AC5"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Kolejne horyzonty prognozy na potrzeby AKK dla W0 i Wn należy przyjąć następująco:</w:t>
            </w:r>
          </w:p>
          <w:p w14:paraId="342B1C4E" w14:textId="77777777" w:rsidR="00600DEE" w:rsidRDefault="00641FB5" w:rsidP="00D5736B">
            <w:pPr>
              <w:numPr>
                <w:ilvl w:val="0"/>
                <w:numId w:val="7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pierwszy rok rozpoczęcia realizacji inwestycji (w okresie realizacji prognoza dla wariantu inwestycyjnego i bezinwestycyjnego jest identyczna, chyba że projekt posiada etapowanie funkcjonalne);</w:t>
            </w:r>
          </w:p>
          <w:p w14:paraId="74E9B606" w14:textId="77777777" w:rsidR="00600DEE" w:rsidRDefault="00641FB5" w:rsidP="00D5736B">
            <w:pPr>
              <w:numPr>
                <w:ilvl w:val="0"/>
                <w:numId w:val="7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pierwszy pełny kalendarzowy rok eksploatacji danego projektu (osobno dla W0 i Wn);</w:t>
            </w:r>
          </w:p>
          <w:p w14:paraId="44F8EE47" w14:textId="77777777" w:rsidR="00600DEE" w:rsidRDefault="00641FB5" w:rsidP="00D5736B">
            <w:pPr>
              <w:numPr>
                <w:ilvl w:val="0"/>
                <w:numId w:val="7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kolejne horyzonty to 10. i 20. rok po oddaniu drogi do ruchu;</w:t>
            </w:r>
          </w:p>
          <w:p w14:paraId="1CD9FB6D" w14:textId="77777777" w:rsidR="00600DEE" w:rsidRDefault="00641FB5" w:rsidP="00D5736B">
            <w:pPr>
              <w:numPr>
                <w:ilvl w:val="0"/>
                <w:numId w:val="7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dodatkowe horyzonty prognozy należy wyliczyć, w przypadku, jeśli w okresie eksploatacji projektu, planowane będzie oddanie do ruchu inwestycji, której wpływ będzie istotny dla warunków ruchu na tym projekcie (w takim przypadku zaleca się wyliczenie prognozy zarówno na rok przed ukończeniem inwestycji mającej znaczący wpływ na projekt jak i rok po jej zakończeniu);</w:t>
            </w:r>
          </w:p>
          <w:p w14:paraId="718F5212" w14:textId="77777777" w:rsidR="00600DEE" w:rsidRDefault="00641FB5" w:rsidP="00D5736B">
            <w:pPr>
              <w:numPr>
                <w:ilvl w:val="0"/>
                <w:numId w:val="7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w celu uzyskania prognoz dla ostatniego roku okresu odniesienia oraz innych horyzontów czasowych dopuszcza się interpolację/ekstrapolację powyższych wartości.</w:t>
            </w:r>
          </w:p>
          <w:p w14:paraId="224C75B3" w14:textId="77777777" w:rsidR="00600DEE" w:rsidRDefault="00600DEE">
            <w:pPr>
              <w:jc w:val="both"/>
              <w:rPr>
                <w:rFonts w:ascii="Calibri" w:eastAsia="Calibri" w:hAnsi="Calibri" w:cs="Calibri"/>
                <w:sz w:val="20"/>
                <w:szCs w:val="20"/>
              </w:rPr>
            </w:pPr>
          </w:p>
          <w:p w14:paraId="6A4C22ED"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II. MODEL DLA ROKU BAZOWEGO</w:t>
            </w:r>
          </w:p>
          <w:p w14:paraId="05E4C235" w14:textId="77777777" w:rsidR="00600DEE" w:rsidRDefault="00600DEE">
            <w:pPr>
              <w:jc w:val="both"/>
              <w:rPr>
                <w:rFonts w:ascii="Calibri" w:eastAsia="Calibri" w:hAnsi="Calibri" w:cs="Calibri"/>
                <w:b/>
                <w:color w:val="4F81BD"/>
                <w:sz w:val="20"/>
                <w:szCs w:val="20"/>
              </w:rPr>
            </w:pPr>
          </w:p>
          <w:p w14:paraId="33FB1225"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Przygotowanie danych wejściowych</w:t>
            </w:r>
          </w:p>
          <w:p w14:paraId="41F3D355" w14:textId="77777777" w:rsidR="00600DEE" w:rsidRDefault="00600DEE">
            <w:pPr>
              <w:jc w:val="both"/>
              <w:rPr>
                <w:rFonts w:ascii="Calibri" w:eastAsia="Calibri" w:hAnsi="Calibri" w:cs="Calibri"/>
                <w:sz w:val="20"/>
                <w:szCs w:val="20"/>
              </w:rPr>
            </w:pPr>
          </w:p>
          <w:p w14:paraId="41FF3F11"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Przed przystąpieniem do opracowania prognoz ruchu konieczne jest przeprowadzenie analizy dostępnych danych o ruchu drogowym, obejmujących wyniki:</w:t>
            </w:r>
          </w:p>
          <w:p w14:paraId="78234B2F" w14:textId="77777777" w:rsidR="00600DEE" w:rsidRDefault="00641FB5" w:rsidP="00D5736B">
            <w:pPr>
              <w:numPr>
                <w:ilvl w:val="0"/>
                <w:numId w:val="53"/>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pomiarów ruchu wykonanych wcześniej na analizowanym odcinku lub w jego bezpośrednim sąsiedztwie,</w:t>
            </w:r>
          </w:p>
          <w:p w14:paraId="7D084C5F" w14:textId="77777777" w:rsidR="00600DEE" w:rsidRDefault="00641FB5" w:rsidP="00D5736B">
            <w:pPr>
              <w:numPr>
                <w:ilvl w:val="0"/>
                <w:numId w:val="53"/>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innych analiz, planów i prognoz ruchu, opracowanych w poprzednich  latach, również tych obejmujących szerszy obszar, w którym znajduje się planowana inwestycja (strategiczne opracowania transportowe zawierające prognozy ruchu).</w:t>
            </w:r>
          </w:p>
          <w:p w14:paraId="4266D3EB" w14:textId="33A2886E"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Na podstawie tych analiz należy przedstawić zmiany ruchu n</w:t>
            </w:r>
            <w:r w:rsidR="006C5DD9">
              <w:rPr>
                <w:rFonts w:ascii="Calibri" w:eastAsia="Calibri" w:hAnsi="Calibri" w:cs="Calibri"/>
                <w:sz w:val="20"/>
                <w:szCs w:val="20"/>
              </w:rPr>
              <w:t>a przestrzeni poprzednich lat. W</w:t>
            </w:r>
            <w:r>
              <w:rPr>
                <w:rFonts w:ascii="Calibri" w:eastAsia="Calibri" w:hAnsi="Calibri" w:cs="Calibri"/>
                <w:sz w:val="20"/>
                <w:szCs w:val="20"/>
              </w:rPr>
              <w:t> przypadku dróg krajowych i wojewódzkich należy zestawić wyniki z co najmniej 2 ostatni</w:t>
            </w:r>
            <w:r w:rsidR="006C5DD9">
              <w:rPr>
                <w:rFonts w:ascii="Calibri" w:eastAsia="Calibri" w:hAnsi="Calibri" w:cs="Calibri"/>
                <w:sz w:val="20"/>
                <w:szCs w:val="20"/>
              </w:rPr>
              <w:t>ch Generalnych Pomiarów Ruchu. W</w:t>
            </w:r>
            <w:r>
              <w:rPr>
                <w:rFonts w:ascii="Calibri" w:eastAsia="Calibri" w:hAnsi="Calibri" w:cs="Calibri"/>
                <w:sz w:val="20"/>
                <w:szCs w:val="20"/>
              </w:rPr>
              <w:t> przypadku inwestycji miejskich wskazane byłoby przytoczenie kluczowych wyników Kompleksowych Badań Ruchu (KBR), o ile takie badania zostały wykonane lub innych pomiarów przedstawiających zmiany w ruchu w mieście.</w:t>
            </w:r>
          </w:p>
          <w:p w14:paraId="7DDCBE80"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Przegląd wcześniejszych opracowań z zakresu prognozowania ruchu, jeśli takie były wykonane dla obszaru, w którym znajduje się analizowana inwestycja, ma na celu przedstawienie tła projektu z punktu widzenia ruchu drogowego.</w:t>
            </w:r>
          </w:p>
          <w:p w14:paraId="1885366E"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Podstawą do analiz ruchu są dane z ostatnich GPR na drogach krajowych i wojewódzkich. Jeśli zachodzi taka potrzeba, należy dokonać pomiarów uzupełniających.</w:t>
            </w:r>
          </w:p>
          <w:p w14:paraId="4985CC3D" w14:textId="5BB16231" w:rsidR="00600DEE" w:rsidRDefault="00600DEE">
            <w:pPr>
              <w:jc w:val="both"/>
              <w:rPr>
                <w:rFonts w:ascii="Calibri" w:eastAsia="Calibri" w:hAnsi="Calibri" w:cs="Calibri"/>
                <w:color w:val="4F81BD"/>
                <w:sz w:val="20"/>
                <w:szCs w:val="20"/>
              </w:rPr>
            </w:pPr>
          </w:p>
          <w:p w14:paraId="3F10D8FA" w14:textId="77777777" w:rsidR="00C77DFC" w:rsidRDefault="00C77DFC">
            <w:pPr>
              <w:jc w:val="both"/>
              <w:rPr>
                <w:rFonts w:ascii="Calibri" w:eastAsia="Calibri" w:hAnsi="Calibri" w:cs="Calibri"/>
                <w:color w:val="4F81BD"/>
                <w:sz w:val="20"/>
                <w:szCs w:val="20"/>
              </w:rPr>
            </w:pPr>
          </w:p>
          <w:p w14:paraId="2CF9156E"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Pomiary i badania ruchu</w:t>
            </w:r>
          </w:p>
          <w:p w14:paraId="6AB7EB8F" w14:textId="77777777" w:rsidR="00600DEE" w:rsidRDefault="00600DEE">
            <w:pPr>
              <w:jc w:val="both"/>
              <w:rPr>
                <w:rFonts w:ascii="Calibri" w:eastAsia="Calibri" w:hAnsi="Calibri" w:cs="Calibri"/>
                <w:b/>
                <w:sz w:val="20"/>
                <w:szCs w:val="20"/>
              </w:rPr>
            </w:pPr>
          </w:p>
          <w:p w14:paraId="2CD4BB8B"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Przy wykonywaniu prognoz ruchu należy bazować na wcześniej wykonanych pomiarach ruchu z uwzględnieniem sezonowości zmian (zwłaszcza przy wyliczaniu SDR). Przeprowadzenie uzupełniających pomiarów ruchu jest konieczne w następujących przypadkach:</w:t>
            </w:r>
          </w:p>
          <w:p w14:paraId="782BA13A" w14:textId="77777777" w:rsidR="00600DEE" w:rsidRDefault="00641FB5" w:rsidP="00D5736B">
            <w:pPr>
              <w:numPr>
                <w:ilvl w:val="0"/>
                <w:numId w:val="55"/>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gdy zachodzą zmiany w sieci, które mogły wpłynąć na zmianę potoków ruchu na odcinkach analizowanej inwestycji,</w:t>
            </w:r>
          </w:p>
          <w:p w14:paraId="3CD53731" w14:textId="77777777" w:rsidR="00600DEE" w:rsidRDefault="00641FB5" w:rsidP="00D5736B">
            <w:pPr>
              <w:numPr>
                <w:ilvl w:val="0"/>
                <w:numId w:val="55"/>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inwestycja znajduje się w obszarze o znacznych zmianach społeczno - gospodarczych, które wpływają na natężenie ruchu pojazdów (np.: dynamicznie rozwijające się obszary miejskie, drogi w sąsiedztwie nowych lub przebudowywanych przejść granicznych, obszary turystyczno-rekreacyjne, centra logistyczne, centra handlowe, itp.)</w:t>
            </w:r>
          </w:p>
          <w:p w14:paraId="5AB315DC" w14:textId="4C80B984"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Konieczne jest jednoznaczne stwierdzenie, czy dostępne pomiary ruchu są wystarczające do sporządzenia modelu ruchu dla roku bazowego i p</w:t>
            </w:r>
            <w:r w:rsidR="006C5DD9">
              <w:rPr>
                <w:rFonts w:ascii="Calibri" w:eastAsia="Calibri" w:hAnsi="Calibri" w:cs="Calibri"/>
                <w:sz w:val="20"/>
                <w:szCs w:val="20"/>
              </w:rPr>
              <w:t>rognozy dla danego projektu. W</w:t>
            </w:r>
            <w:r>
              <w:rPr>
                <w:rFonts w:ascii="Calibri" w:eastAsia="Calibri" w:hAnsi="Calibri" w:cs="Calibri"/>
                <w:sz w:val="20"/>
                <w:szCs w:val="20"/>
              </w:rPr>
              <w:t> przypadku braku wystarczających danych, w ramach opracowania należy dokonać pomiarów uzupełniających. Będą to pomiary w terenie na zadanych odcinkach dróg czy skrzyżowaniach zarówno na drogach krajowych jak i samorządowych. Liczba dodatkowych punktów pomiarowych jak również długość pomiaru i harmonogram prac powinien być uzgodniony ze służbami administratora sieci drogowych, a policja odpowiednio powiadomiona.</w:t>
            </w:r>
          </w:p>
          <w:p w14:paraId="235A8891"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Zaleca się, aby dodatkowy pomiar ruchu nie był krótszy niż 24 godziny, w przypadku pomiaru 12-godzinnego musi zawierać godziny szczytowe ruchu drogowego. Nie zaleca się dokonywania pomiarów ruchu w dni robocze sąsiadujące z weekendem (poniedziałek i piątek) i w okresie odbiegającym znacząco od przeciętnych zachowań użytkowników dróg (listopad - marzec, lipiec - sierpień, długi weekend majowy, okres świąt Bożego Narodzenia i Wielkanocy, Wszystkich Świętych, itp.). Uwaga ta nie dotyczy projektów związanych z ruchem rekreacyjnym lub weekendowym.</w:t>
            </w:r>
          </w:p>
          <w:p w14:paraId="6335EEE0" w14:textId="0460CD3C" w:rsidR="00600DEE" w:rsidRDefault="00641FB5">
            <w:pPr>
              <w:jc w:val="both"/>
              <w:rPr>
                <w:rFonts w:ascii="Calibri" w:eastAsia="Calibri" w:hAnsi="Calibri" w:cs="Calibri"/>
                <w:sz w:val="20"/>
                <w:szCs w:val="20"/>
              </w:rPr>
            </w:pPr>
            <w:r>
              <w:rPr>
                <w:rFonts w:ascii="Calibri" w:eastAsia="Calibri" w:hAnsi="Calibri" w:cs="Calibri"/>
                <w:sz w:val="20"/>
                <w:szCs w:val="20"/>
              </w:rPr>
              <w:t>Jeśli w obszarze oddziaływania projektu znajdują się drogi (obiekty) albo, gdy projekt leży w obszarze oddziaływania innej inwestycji drogowej (infrastrukturalnej), gdzie od wszystkich użytkowników (lub wybranych kategorii) pobierane są opłaty za przejazd, wysokość tych opłat i ich możliwe zmiany w czasie również należy uzgodnić z instytucją zamawiającą opracowanie (GDDKiA) i uwzględnić w prognozie.</w:t>
            </w:r>
          </w:p>
          <w:p w14:paraId="10AE252E" w14:textId="03D519E6" w:rsidR="00C77DFC" w:rsidRDefault="00C77DFC">
            <w:pPr>
              <w:jc w:val="both"/>
              <w:rPr>
                <w:rFonts w:ascii="Calibri" w:eastAsia="Calibri" w:hAnsi="Calibri" w:cs="Calibri"/>
                <w:sz w:val="20"/>
                <w:szCs w:val="20"/>
              </w:rPr>
            </w:pPr>
          </w:p>
          <w:p w14:paraId="214F4B46" w14:textId="77777777" w:rsidR="00C77DFC" w:rsidRDefault="00C77DFC">
            <w:pPr>
              <w:jc w:val="both"/>
              <w:rPr>
                <w:rFonts w:ascii="Calibri" w:eastAsia="Calibri" w:hAnsi="Calibri" w:cs="Calibri"/>
                <w:sz w:val="20"/>
                <w:szCs w:val="20"/>
              </w:rPr>
            </w:pPr>
          </w:p>
          <w:p w14:paraId="2719FD2A" w14:textId="77777777" w:rsidR="00600DEE" w:rsidRDefault="00600DEE">
            <w:pPr>
              <w:jc w:val="both"/>
              <w:rPr>
                <w:rFonts w:ascii="Calibri" w:eastAsia="Calibri" w:hAnsi="Calibri" w:cs="Calibri"/>
                <w:b/>
                <w:sz w:val="20"/>
                <w:szCs w:val="20"/>
              </w:rPr>
            </w:pPr>
          </w:p>
          <w:p w14:paraId="2B11FC6A"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Aktualizacja i uszczegółowienie sieci</w:t>
            </w:r>
          </w:p>
          <w:p w14:paraId="6C0D4546" w14:textId="77777777" w:rsidR="00600DEE" w:rsidRDefault="00600DEE">
            <w:pPr>
              <w:jc w:val="both"/>
              <w:rPr>
                <w:rFonts w:ascii="Calibri" w:eastAsia="Calibri" w:hAnsi="Calibri" w:cs="Calibri"/>
                <w:b/>
                <w:sz w:val="20"/>
                <w:szCs w:val="20"/>
              </w:rPr>
            </w:pPr>
          </w:p>
          <w:p w14:paraId="5427754E" w14:textId="0668D31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 xml:space="preserve">W zależności od tego, do jakiej grupy została zakwalifikowana inwestycja (patrz tabela 6 części głównej podręcznika), należy opracować lub uszczegółowić model sieci w obszarze, na jaki przewiduje się, że inwestycja będzie miała wpływ, zgodnie z zapisami w rozdziale 1.8 Prognozy </w:t>
            </w:r>
            <w:r w:rsidR="006C5DD9">
              <w:rPr>
                <w:rFonts w:ascii="Calibri" w:eastAsia="Calibri" w:hAnsi="Calibri" w:cs="Calibri"/>
                <w:sz w:val="20"/>
                <w:szCs w:val="20"/>
              </w:rPr>
              <w:t>ruchu niniejszego podręcznika. W</w:t>
            </w:r>
            <w:r>
              <w:rPr>
                <w:rFonts w:ascii="Calibri" w:eastAsia="Calibri" w:hAnsi="Calibri" w:cs="Calibri"/>
                <w:sz w:val="20"/>
                <w:szCs w:val="20"/>
              </w:rPr>
              <w:t> przypadku stosowania Krajowego Modelu Ruchu, sieć dróg może wymagać uszczegółowienia o drogi lokalne w okolicy rozpatrywanego projektu.</w:t>
            </w:r>
          </w:p>
          <w:p w14:paraId="08CC1A50"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Jeżeli jest adaptowany jakikolwiek istniejący model ruchu, to należy robić to z uwzględnieniem regionalnych uwarunkowań oraz z analizą jego założeń (nie adaptować go automatycznie i bezkrytycznie).</w:t>
            </w:r>
          </w:p>
          <w:p w14:paraId="191A34E6" w14:textId="67F8FE8A" w:rsidR="00600DEE" w:rsidRDefault="00641FB5">
            <w:pPr>
              <w:jc w:val="both"/>
              <w:rPr>
                <w:rFonts w:ascii="Calibri" w:eastAsia="Calibri" w:hAnsi="Calibri" w:cs="Calibri"/>
                <w:sz w:val="20"/>
                <w:szCs w:val="20"/>
              </w:rPr>
            </w:pPr>
            <w:r>
              <w:rPr>
                <w:rFonts w:ascii="Calibri" w:eastAsia="Calibri" w:hAnsi="Calibri" w:cs="Calibri"/>
                <w:sz w:val="20"/>
                <w:szCs w:val="20"/>
              </w:rPr>
              <w:t>Należy zwrócić uwagę, aby model zawierał aktualne założenia dotyczące planowanego rozwoju sieci transportowej, zgodne z aktualnymi dokumentami strategicznymi.</w:t>
            </w:r>
          </w:p>
          <w:p w14:paraId="5649F5AF" w14:textId="77777777" w:rsidR="00A709B0" w:rsidRDefault="00A709B0">
            <w:pPr>
              <w:jc w:val="both"/>
              <w:rPr>
                <w:rFonts w:ascii="Calibri" w:eastAsia="Calibri" w:hAnsi="Calibri" w:cs="Calibri"/>
                <w:sz w:val="20"/>
                <w:szCs w:val="20"/>
              </w:rPr>
            </w:pPr>
          </w:p>
          <w:p w14:paraId="1D6C1A1F"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Uwzględnienie transportu publicznego</w:t>
            </w:r>
          </w:p>
          <w:p w14:paraId="5732E470" w14:textId="77777777" w:rsidR="00600DEE" w:rsidRDefault="00600DEE">
            <w:pPr>
              <w:jc w:val="both"/>
              <w:rPr>
                <w:rFonts w:ascii="Calibri" w:eastAsia="Calibri" w:hAnsi="Calibri" w:cs="Calibri"/>
                <w:b/>
                <w:sz w:val="20"/>
                <w:szCs w:val="20"/>
              </w:rPr>
            </w:pPr>
          </w:p>
          <w:p w14:paraId="567279F9"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W uzasadnionych przypadkach należy przeprowadzić analizę wpływu transportu publicznego na projekt, a następnie odpowiednio uwzględnić go w modelu.</w:t>
            </w:r>
          </w:p>
          <w:p w14:paraId="00BE24C5" w14:textId="77777777" w:rsidR="00600DEE" w:rsidRDefault="00600DEE">
            <w:pPr>
              <w:jc w:val="both"/>
              <w:rPr>
                <w:rFonts w:ascii="Calibri" w:eastAsia="Calibri" w:hAnsi="Calibri" w:cs="Calibri"/>
                <w:b/>
                <w:sz w:val="20"/>
                <w:szCs w:val="20"/>
              </w:rPr>
            </w:pPr>
          </w:p>
          <w:p w14:paraId="19954ED8"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Opracowanie/ uszczegółowienie macierzy podróży dla roku bazowego</w:t>
            </w:r>
          </w:p>
          <w:p w14:paraId="0FFE6D92" w14:textId="77777777" w:rsidR="00600DEE" w:rsidRDefault="00600DEE">
            <w:pPr>
              <w:jc w:val="both"/>
              <w:rPr>
                <w:rFonts w:ascii="Calibri" w:eastAsia="Calibri" w:hAnsi="Calibri" w:cs="Calibri"/>
                <w:b/>
                <w:sz w:val="20"/>
                <w:szCs w:val="20"/>
              </w:rPr>
            </w:pPr>
          </w:p>
          <w:p w14:paraId="2EBE2264"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Prognozowanie ruchu przy użyciu modeli ruchu wymaga wyliczenia macierzy podróży. Macierz podróży (zwana również więźbą ruchu) jest to matematyczny zapis liczby podróży wykonywanych pomiędzy rejonami komunikacyjnymi, na które podzielony jest obszar analizy. Macierze należy opracować w podziale na kategorie użytkowników dróg. Sposób podziału zależy od tego, czy prognoza ruchu jest wykonywana dla inwestycji na drogach zamiejskich czy na sieci ulicznej.</w:t>
            </w:r>
          </w:p>
          <w:p w14:paraId="4F3A15D4"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Macierz roku bazowego należy opracować dla roku wykonywania analizy lub roku, dla którego dostępne są najpełniejsze wyniki pomiarów ruchu (np. KBR).</w:t>
            </w:r>
          </w:p>
          <w:p w14:paraId="026450C1"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W przypadku inwestycji zamiejskich wskazane jest przyjęcie, jako roku bazowego, roku, w którym wykonano ostatni Generalny Pomiar Ruchu (ewentualne aktualizacje ostatniego GPR lub inne krajowe badania zlecone przez GDDKiA). Dla roku bazowego do weryfikacji modelu należy wykorzystać wyniki ostatniego GPR  i/lub wyniki pomiarów ruchu wykonanych dla potrzeb analizy AKK (jeśli takie pomiary przeprowadzono).</w:t>
            </w:r>
          </w:p>
          <w:p w14:paraId="5D7AB91A"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Dla projektów miejskich jako rok bazowy należy przyjąć rok ostatnich Kompleksowych Badań Ruchu (KBR), o ile nie upłynęło więcej niż 5 lat. Jeśli od ostatniego KBR upłynęło więcej niż 5 lat, jako rok bazowy należy przyjąć rok wykonywania analizy.</w:t>
            </w:r>
          </w:p>
          <w:p w14:paraId="481C151B"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Jeśli prognoza dla inwestycji na drogach zamiejskich nie jest wykonywana z wykorzystaniem Krajowego Modelu Ruchu, należy opisać szczegółowo proces tworzenia macierzy i zastosowane modele matematyczne.</w:t>
            </w:r>
          </w:p>
          <w:p w14:paraId="7862848C" w14:textId="0F509E32"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Więźby ruchu dla dróg zamiejskich zazwyczaj opracowuje się w podziale na kategorie pojazdów, zgodnie z podziałem przyjętym w Krajowym Modelu Ruchu</w:t>
            </w:r>
            <w:r w:rsidR="003A38F9">
              <w:rPr>
                <w:rStyle w:val="Odwoanieprzypisudolnego"/>
                <w:rFonts w:ascii="Calibri" w:eastAsia="Calibri" w:hAnsi="Calibri" w:cs="Calibri"/>
                <w:sz w:val="20"/>
                <w:szCs w:val="20"/>
              </w:rPr>
              <w:footnoteReference w:id="24"/>
            </w:r>
            <w:r w:rsidR="003A38F9">
              <w:rPr>
                <w:rFonts w:ascii="Calibri" w:eastAsia="Calibri" w:hAnsi="Calibri" w:cs="Calibri"/>
                <w:sz w:val="20"/>
                <w:szCs w:val="20"/>
              </w:rPr>
              <w:t>:</w:t>
            </w:r>
          </w:p>
          <w:p w14:paraId="7683E398"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SO—</w:t>
            </w:r>
            <w:r>
              <w:rPr>
                <w:rFonts w:ascii="Calibri" w:eastAsia="Calibri" w:hAnsi="Calibri" w:cs="Calibri"/>
                <w:sz w:val="20"/>
                <w:szCs w:val="20"/>
              </w:rPr>
              <w:t>samochody osobowe,</w:t>
            </w:r>
          </w:p>
          <w:p w14:paraId="3CBF3E6C"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SD</w:t>
            </w:r>
            <w:r>
              <w:rPr>
                <w:rFonts w:ascii="Calibri" w:eastAsia="Calibri" w:hAnsi="Calibri" w:cs="Calibri"/>
                <w:sz w:val="20"/>
                <w:szCs w:val="20"/>
              </w:rPr>
              <w:t xml:space="preserve"> </w:t>
            </w:r>
            <w:r>
              <w:rPr>
                <w:rFonts w:ascii="Calibri" w:eastAsia="Calibri" w:hAnsi="Calibri" w:cs="Calibri"/>
                <w:color w:val="333399"/>
              </w:rPr>
              <w:t>–</w:t>
            </w:r>
            <w:r>
              <w:rPr>
                <w:rFonts w:ascii="Calibri" w:eastAsia="Calibri" w:hAnsi="Calibri" w:cs="Calibri"/>
                <w:sz w:val="20"/>
                <w:szCs w:val="20"/>
              </w:rPr>
              <w:t xml:space="preserve"> samochody dostawcze,</w:t>
            </w:r>
          </w:p>
          <w:p w14:paraId="0FCA86FC"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SC—</w:t>
            </w:r>
            <w:r>
              <w:rPr>
                <w:rFonts w:ascii="Calibri" w:eastAsia="Calibri" w:hAnsi="Calibri" w:cs="Calibri"/>
                <w:sz w:val="20"/>
                <w:szCs w:val="20"/>
              </w:rPr>
              <w:t>samochody ciężarowe,</w:t>
            </w:r>
          </w:p>
          <w:p w14:paraId="67A92B8A"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SCp</w:t>
            </w:r>
            <w:r>
              <w:rPr>
                <w:rFonts w:ascii="Calibri" w:eastAsia="Calibri" w:hAnsi="Calibri" w:cs="Calibri"/>
                <w:sz w:val="20"/>
                <w:szCs w:val="20"/>
              </w:rPr>
              <w:t>—samochody ciężarowe z przyczepami.</w:t>
            </w:r>
          </w:p>
          <w:p w14:paraId="5FF83D99"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Dopuszcza się możliwość innego podziału na bazie KMR, np. samochody lekkie i ciężkie:</w:t>
            </w:r>
          </w:p>
          <w:p w14:paraId="51600912"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LV</w:t>
            </w:r>
            <w:r>
              <w:rPr>
                <w:rFonts w:ascii="Calibri" w:eastAsia="Calibri" w:hAnsi="Calibri" w:cs="Calibri"/>
                <w:sz w:val="20"/>
                <w:szCs w:val="20"/>
              </w:rPr>
              <w:t xml:space="preserve"> – samochody lekkie, masa całkowita &lt; 3,5 tony,</w:t>
            </w:r>
          </w:p>
          <w:p w14:paraId="6C48E65B"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HGV</w:t>
            </w:r>
            <w:r>
              <w:rPr>
                <w:rFonts w:ascii="Calibri" w:eastAsia="Calibri" w:hAnsi="Calibri" w:cs="Calibri"/>
                <w:sz w:val="20"/>
                <w:szCs w:val="20"/>
              </w:rPr>
              <w:t xml:space="preserve"> – samochody ciężkie, masa całkowita &gt; 3,5 tony (w tym autobusy).</w:t>
            </w:r>
          </w:p>
          <w:p w14:paraId="43BA23B3"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Dla macierzy pojazdów osobowych wskazane jest dodatkowe wydzielenie motywacji podróży użytkowników, co najmniej w zakresie:</w:t>
            </w:r>
          </w:p>
          <w:p w14:paraId="56F86092"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podróże służbowe,</w:t>
            </w:r>
          </w:p>
          <w:p w14:paraId="119D9304"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podróże związane z dojazdami dom-praca-dom,</w:t>
            </w:r>
          </w:p>
          <w:p w14:paraId="651DA8FD"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podróże we wszystkich innych motywacjach.</w:t>
            </w:r>
          </w:p>
          <w:p w14:paraId="3DE8D604"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Więźby dla dróg zamiejskich należy opracować dla średniorocznego dobowego ruchu (SDR).</w:t>
            </w:r>
          </w:p>
          <w:p w14:paraId="286724B5"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 przypadku inwestycji miejskich, do obliczenia macierzy ruchu zaleca się zastosowanie tradycyjnego, czteroetapowego modelu generacji i rozkładu przestrzennego podróży obejmującego w zakresie tworzenia więźby cztery następujące etapy:</w:t>
            </w:r>
          </w:p>
          <w:p w14:paraId="17F7F1A6"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generacja ruchu,</w:t>
            </w:r>
          </w:p>
          <w:p w14:paraId="1DFE2222"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rozkład przestrzenny ruchu,</w:t>
            </w:r>
          </w:p>
          <w:p w14:paraId="39702800"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 xml:space="preserve">podział zadań przewozowych, </w:t>
            </w:r>
          </w:p>
          <w:p w14:paraId="1EBB63F0"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rozkład ruchu na sieć.</w:t>
            </w:r>
          </w:p>
          <w:p w14:paraId="15F5C329"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Więźby ruchu miejskiego należy opracować w podziale na kategorie użytkowników sieci:</w:t>
            </w:r>
          </w:p>
          <w:p w14:paraId="104CAEA0"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SO</w:t>
            </w:r>
            <w:r>
              <w:rPr>
                <w:rFonts w:ascii="Calibri" w:eastAsia="Calibri" w:hAnsi="Calibri" w:cs="Calibri"/>
                <w:sz w:val="20"/>
                <w:szCs w:val="20"/>
              </w:rPr>
              <w:t>—samochody osobowe,</w:t>
            </w:r>
          </w:p>
          <w:p w14:paraId="68D3E27A"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SD</w:t>
            </w:r>
            <w:r>
              <w:rPr>
                <w:rFonts w:ascii="Calibri" w:eastAsia="Calibri" w:hAnsi="Calibri" w:cs="Calibri"/>
                <w:sz w:val="20"/>
                <w:szCs w:val="20"/>
              </w:rPr>
              <w:t>—samochody dostawcze,</w:t>
            </w:r>
          </w:p>
          <w:p w14:paraId="23A43E8F"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SC</w:t>
            </w:r>
            <w:r>
              <w:rPr>
                <w:rFonts w:ascii="Calibri" w:eastAsia="Calibri" w:hAnsi="Calibri" w:cs="Calibri"/>
                <w:sz w:val="20"/>
                <w:szCs w:val="20"/>
              </w:rPr>
              <w:t>—samochody ciężarowe,</w:t>
            </w:r>
          </w:p>
          <w:p w14:paraId="6F00BE6D"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SCp</w:t>
            </w:r>
            <w:r>
              <w:rPr>
                <w:rFonts w:ascii="Calibri" w:eastAsia="Calibri" w:hAnsi="Calibri" w:cs="Calibri"/>
                <w:sz w:val="20"/>
                <w:szCs w:val="20"/>
              </w:rPr>
              <w:t>—samochody ciężarowe z przyczepami.</w:t>
            </w:r>
          </w:p>
          <w:p w14:paraId="0A964A92"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A</w:t>
            </w:r>
            <w:r>
              <w:rPr>
                <w:rFonts w:ascii="Calibri" w:eastAsia="Calibri" w:hAnsi="Calibri" w:cs="Calibri"/>
                <w:sz w:val="20"/>
                <w:szCs w:val="20"/>
              </w:rPr>
              <w:t>—autobusy.</w:t>
            </w:r>
          </w:p>
          <w:p w14:paraId="42B776F7"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Możliwy jest również inny podział na kategorie użytkowników, na bazie KMR lub KBR np. samochody lekkie i ciężkie:</w:t>
            </w:r>
          </w:p>
          <w:p w14:paraId="135BB6DA"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LV</w:t>
            </w:r>
            <w:r>
              <w:rPr>
                <w:rFonts w:ascii="Calibri" w:eastAsia="Calibri" w:hAnsi="Calibri" w:cs="Calibri"/>
                <w:sz w:val="20"/>
                <w:szCs w:val="20"/>
              </w:rPr>
              <w:t xml:space="preserve"> – samochody lekkie, masa całkowita &lt; 3,5 tony,</w:t>
            </w:r>
          </w:p>
          <w:p w14:paraId="408289DC" w14:textId="77777777" w:rsidR="00600DEE" w:rsidRDefault="00641FB5" w:rsidP="00D5736B">
            <w:pPr>
              <w:numPr>
                <w:ilvl w:val="0"/>
                <w:numId w:val="45"/>
              </w:numPr>
              <w:spacing w:before="120" w:after="120"/>
              <w:ind w:left="851" w:hanging="851"/>
              <w:jc w:val="both"/>
              <w:rPr>
                <w:rFonts w:ascii="Calibri" w:eastAsia="Calibri" w:hAnsi="Calibri" w:cs="Calibri"/>
                <w:sz w:val="20"/>
                <w:szCs w:val="20"/>
              </w:rPr>
            </w:pPr>
            <w:r>
              <w:rPr>
                <w:rFonts w:ascii="Calibri" w:eastAsia="Calibri" w:hAnsi="Calibri" w:cs="Calibri"/>
                <w:b/>
                <w:sz w:val="20"/>
                <w:szCs w:val="20"/>
              </w:rPr>
              <w:t>HGV</w:t>
            </w:r>
            <w:r>
              <w:rPr>
                <w:rFonts w:ascii="Calibri" w:eastAsia="Calibri" w:hAnsi="Calibri" w:cs="Calibri"/>
                <w:sz w:val="20"/>
                <w:szCs w:val="20"/>
              </w:rPr>
              <w:t xml:space="preserve"> – samochody ciężkie, masa całkowita &gt; 3,5 tony (w tym autobusy).</w:t>
            </w:r>
          </w:p>
          <w:p w14:paraId="6AEF8D64"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 xml:space="preserve">Więźby dla użytkowników samochodów osobowych w modelach miejskich powinny zostać opracowane w podziale na motywacje podróży. Wskazane jest opracowanie </w:t>
            </w:r>
            <w:r>
              <w:rPr>
                <w:rFonts w:ascii="Calibri" w:eastAsia="Calibri" w:hAnsi="Calibri" w:cs="Calibri"/>
                <w:sz w:val="20"/>
                <w:szCs w:val="20"/>
              </w:rPr>
              <w:br/>
              <w:t>w tradycyjnym podziale stosowanym w dotychczasowych analizach dla sieci ulicznych, który obejmuje:</w:t>
            </w:r>
          </w:p>
          <w:p w14:paraId="031038AE"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podróże w motywacjach dom-praca-dom (DPD),</w:t>
            </w:r>
          </w:p>
          <w:p w14:paraId="205B2EB9"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podróże w motywacjach dom-nauka-dom (DND),</w:t>
            </w:r>
          </w:p>
          <w:p w14:paraId="651C3BEF"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podróże w motywacjach dom-inne-dom (DID),</w:t>
            </w:r>
          </w:p>
          <w:p w14:paraId="073430AC"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wszystkie inne podróże niezwiązane z domem.</w:t>
            </w:r>
          </w:p>
          <w:p w14:paraId="783BD8B9" w14:textId="1F4C18A5"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 xml:space="preserve">Dla motywacji DND oraz DID można przyjmować stawki jak dla </w:t>
            </w:r>
            <w:r>
              <w:rPr>
                <w:rFonts w:ascii="Calibri" w:eastAsia="Calibri" w:hAnsi="Calibri" w:cs="Calibri"/>
                <w:i/>
                <w:sz w:val="20"/>
                <w:szCs w:val="20"/>
              </w:rPr>
              <w:t>pozostałych</w:t>
            </w:r>
            <w:r>
              <w:rPr>
                <w:rFonts w:ascii="Calibri" w:eastAsia="Calibri" w:hAnsi="Calibri" w:cs="Calibri"/>
                <w:sz w:val="20"/>
                <w:szCs w:val="20"/>
              </w:rPr>
              <w:t xml:space="preserve"> z tabeli Jednostkowe koszty czasu załącznika A</w:t>
            </w:r>
            <w:r w:rsidR="006C5DD9">
              <w:rPr>
                <w:rFonts w:ascii="Calibri" w:eastAsia="Calibri" w:hAnsi="Calibri" w:cs="Calibri"/>
                <w:sz w:val="20"/>
                <w:szCs w:val="20"/>
              </w:rPr>
              <w:t>.</w:t>
            </w:r>
          </w:p>
          <w:p w14:paraId="2AF631C9" w14:textId="1615FA8F"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 xml:space="preserve">W przypadku przyjęcia innego podziału na motywacje w podróżach użytkowników pojazdów osobowych, należy szczegółowo opisać zasady podziału. Należy również przypisać im odpowiednie koszty jednostkowe wraz </w:t>
            </w:r>
            <w:r w:rsidR="006C5DD9">
              <w:rPr>
                <w:rFonts w:ascii="Calibri" w:eastAsia="Calibri" w:hAnsi="Calibri" w:cs="Calibri"/>
                <w:sz w:val="20"/>
                <w:szCs w:val="20"/>
              </w:rPr>
              <w:t xml:space="preserve">z </w:t>
            </w:r>
            <w:r>
              <w:rPr>
                <w:rFonts w:ascii="Calibri" w:eastAsia="Calibri" w:hAnsi="Calibri" w:cs="Calibri"/>
                <w:sz w:val="20"/>
                <w:szCs w:val="20"/>
              </w:rPr>
              <w:t>uzasadnieniem.</w:t>
            </w:r>
          </w:p>
          <w:p w14:paraId="41E0BA2C"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Macierze ruchu dla inwestycji miejskich zawierają:</w:t>
            </w:r>
          </w:p>
          <w:p w14:paraId="6552EEC4"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ruch wewnętrzny (który definiowany jest jako ruch, którego początek i koniec zawiera się w obszarze analizy),</w:t>
            </w:r>
          </w:p>
          <w:p w14:paraId="399ECBAA"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ruch tranzytowy (który definiowany jest jako ruch, którego początek i koniec leży na granicy lub poza obszarem analizy),</w:t>
            </w:r>
          </w:p>
          <w:p w14:paraId="1BF81945" w14:textId="77777777" w:rsidR="00600DEE" w:rsidRDefault="00641FB5" w:rsidP="00D5736B">
            <w:pPr>
              <w:numPr>
                <w:ilvl w:val="0"/>
                <w:numId w:val="77"/>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ruch źródłowo-docelowy (który definiowany jest jako ruch, którego początek  albo koniec zawiera się w obszarze analizy).</w:t>
            </w:r>
          </w:p>
          <w:p w14:paraId="17EE1DBF"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Ze względu na charakter ruchu miejskiego, który cechuje się dużą zmiennością w różnych porach doby, macierze należy opracować w ujęciu godzinowym – co najmniej dla godziny szczytu.</w:t>
            </w:r>
          </w:p>
          <w:p w14:paraId="24F7EC46" w14:textId="77777777" w:rsidR="00600DEE" w:rsidRDefault="00600DEE">
            <w:pPr>
              <w:jc w:val="both"/>
              <w:rPr>
                <w:rFonts w:ascii="Calibri" w:eastAsia="Calibri" w:hAnsi="Calibri" w:cs="Calibri"/>
                <w:sz w:val="20"/>
                <w:szCs w:val="20"/>
              </w:rPr>
            </w:pPr>
          </w:p>
          <w:p w14:paraId="563002A2" w14:textId="77777777" w:rsidR="00600DEE" w:rsidRDefault="00600DEE">
            <w:pPr>
              <w:jc w:val="both"/>
              <w:rPr>
                <w:rFonts w:ascii="Calibri" w:eastAsia="Calibri" w:hAnsi="Calibri" w:cs="Calibri"/>
                <w:sz w:val="20"/>
                <w:szCs w:val="20"/>
              </w:rPr>
            </w:pPr>
          </w:p>
          <w:p w14:paraId="0AE1EC74"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Aktualizacja zmiennych funkcji popytu</w:t>
            </w:r>
          </w:p>
          <w:p w14:paraId="1838CB53" w14:textId="77777777" w:rsidR="00600DEE" w:rsidRDefault="00600DEE">
            <w:pPr>
              <w:jc w:val="both"/>
              <w:rPr>
                <w:rFonts w:ascii="Calibri" w:eastAsia="Calibri" w:hAnsi="Calibri" w:cs="Calibri"/>
                <w:b/>
                <w:sz w:val="20"/>
                <w:szCs w:val="20"/>
              </w:rPr>
            </w:pPr>
          </w:p>
          <w:p w14:paraId="55DCF6EF"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Współczynniki wzrostu ruchu dla lat prognozy należy przyjąć z aktualnej tabeli trendów PKB zamieszczonej na stronie internetowej Generalnej Dyrekcji Dróg Krajowych i Autostrad, z uwzględnieniem tzw. wskaźników elastyczności dla poszczególnych kategorii pojazdów.</w:t>
            </w:r>
          </w:p>
          <w:p w14:paraId="18FA091E" w14:textId="77777777" w:rsidR="00600DEE" w:rsidRDefault="00600DEE">
            <w:pPr>
              <w:jc w:val="both"/>
              <w:rPr>
                <w:rFonts w:ascii="Calibri" w:eastAsia="Calibri" w:hAnsi="Calibri" w:cs="Calibri"/>
                <w:b/>
                <w:sz w:val="20"/>
                <w:szCs w:val="20"/>
              </w:rPr>
            </w:pPr>
          </w:p>
          <w:p w14:paraId="4B3C72A7"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III. KALIBRACJA i WALIDACJA MODELU</w:t>
            </w:r>
          </w:p>
          <w:p w14:paraId="690757B1" w14:textId="77777777" w:rsidR="00600DEE" w:rsidRDefault="00600DEE">
            <w:pPr>
              <w:jc w:val="both"/>
              <w:rPr>
                <w:rFonts w:ascii="Calibri" w:eastAsia="Calibri" w:hAnsi="Calibri" w:cs="Calibri"/>
                <w:sz w:val="20"/>
                <w:szCs w:val="20"/>
              </w:rPr>
            </w:pPr>
          </w:p>
          <w:p w14:paraId="59BC1823"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W celu sprawdzenia poprawności modelu ruchu, należy przeprowadzić jego walidację na podstawie porównania dostępnych danych z pomiarów w roku bazowym z wynikami uzyskanymi z modelu ruchu dla tego roku.</w:t>
            </w:r>
          </w:p>
          <w:p w14:paraId="1FF6D3B4"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Ponadto należy podać metodę, jaką zastosowano przy rozkładzie ruchu na sieć oraz podstawowe parametry rozkładu (wartości czasu, koszty eksploatacji pojazdów, inne składniki funkcji uogólnionego kosztu podróży).</w:t>
            </w:r>
          </w:p>
          <w:p w14:paraId="5B2463D3"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Weryfikację modelu ruchu zaleca się przeprowadzić przez analizę i porównanie co najmniej następujących wielkości:</w:t>
            </w:r>
          </w:p>
          <w:p w14:paraId="1E1681C7" w14:textId="77777777" w:rsidR="00600DEE" w:rsidRDefault="00641FB5" w:rsidP="00D5736B">
            <w:pPr>
              <w:numPr>
                <w:ilvl w:val="0"/>
                <w:numId w:val="65"/>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natężenia ruchu w podziale na podstawowe kategorie pojazdów,</w:t>
            </w:r>
          </w:p>
          <w:p w14:paraId="607D66E3" w14:textId="77777777" w:rsidR="00600DEE" w:rsidRDefault="00641FB5" w:rsidP="00D5736B">
            <w:pPr>
              <w:numPr>
                <w:ilvl w:val="0"/>
                <w:numId w:val="65"/>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średniej prędkości ruchu na odcinkach,</w:t>
            </w:r>
          </w:p>
          <w:p w14:paraId="45E10A20" w14:textId="77777777" w:rsidR="00600DEE" w:rsidRDefault="00641FB5" w:rsidP="00D5736B">
            <w:pPr>
              <w:numPr>
                <w:ilvl w:val="0"/>
                <w:numId w:val="65"/>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rozkładu średnich długości podróży w całej sieci dla poszczególnych kategorii użytkowników,</w:t>
            </w:r>
          </w:p>
          <w:p w14:paraId="654E4A89" w14:textId="77777777" w:rsidR="00600DEE" w:rsidRDefault="00641FB5" w:rsidP="00D5736B">
            <w:pPr>
              <w:numPr>
                <w:ilvl w:val="0"/>
                <w:numId w:val="65"/>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 xml:space="preserve">zgodności rozkładu przestrzennego podróży z badaniami ankietowymi (jeśli zostały przeprowadzone). </w:t>
            </w:r>
          </w:p>
          <w:p w14:paraId="078E4C9B"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Wyniki weryfikacji należy przedstawić w postaci tabelarycznej.</w:t>
            </w:r>
          </w:p>
          <w:p w14:paraId="791D79D2" w14:textId="74AEBFB4"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Wyniki miejskich modeli ruchu należy weryfikować na podstawie dostępnych danych z kompleksowych p</w:t>
            </w:r>
            <w:r w:rsidR="006C5DD9">
              <w:rPr>
                <w:rFonts w:ascii="Calibri" w:eastAsia="Calibri" w:hAnsi="Calibri" w:cs="Calibri"/>
                <w:sz w:val="20"/>
                <w:szCs w:val="20"/>
              </w:rPr>
              <w:t>omiarów ruchu (KPR) w mieście. W</w:t>
            </w:r>
            <w:r>
              <w:rPr>
                <w:rFonts w:ascii="Calibri" w:eastAsia="Calibri" w:hAnsi="Calibri" w:cs="Calibri"/>
                <w:sz w:val="20"/>
                <w:szCs w:val="20"/>
              </w:rPr>
              <w:t> przypadku, gdy kompleksowe badania mają więcej niż 5 lat, weryfikowanie modelu należy wykonać na podstawie wyników pomiarów przeprowadzonych dla analizy AKK.</w:t>
            </w:r>
          </w:p>
          <w:p w14:paraId="7AD7713C"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Zakres zgodności wyników dla poszczególnych wielkości jest zróżnicowany. Należy jednak przyjąć, że model odpowiednio odwzorowuje rzeczywiste warunki ruchu, jeśli rozbieżność wyników pomiarów i modelu na obszarze analizowanej sieci drogowej nie przekracza +/- 15%.</w:t>
            </w:r>
          </w:p>
          <w:p w14:paraId="3620060E" w14:textId="77777777" w:rsidR="00600DEE" w:rsidRDefault="00600DEE">
            <w:pPr>
              <w:spacing w:before="120" w:after="120"/>
              <w:jc w:val="both"/>
              <w:rPr>
                <w:rFonts w:ascii="Calibri" w:eastAsia="Calibri" w:hAnsi="Calibri" w:cs="Calibri"/>
                <w:sz w:val="20"/>
                <w:szCs w:val="20"/>
              </w:rPr>
            </w:pPr>
          </w:p>
          <w:p w14:paraId="05951949" w14:textId="2E73B739" w:rsidR="00600DEE" w:rsidRDefault="00641FB5" w:rsidP="00B070AD">
            <w:pPr>
              <w:jc w:val="both"/>
              <w:rPr>
                <w:rFonts w:ascii="Calibri" w:eastAsia="Calibri" w:hAnsi="Calibri" w:cs="Calibri"/>
                <w:sz w:val="20"/>
                <w:szCs w:val="20"/>
              </w:rPr>
            </w:pPr>
            <w:r>
              <w:rPr>
                <w:rFonts w:ascii="Calibri" w:eastAsia="Calibri" w:hAnsi="Calibri" w:cs="Calibri"/>
                <w:sz w:val="20"/>
                <w:szCs w:val="20"/>
              </w:rPr>
              <w:t>Szczególnie w przypadku modeli miejskich i regionalnych wykonanych dla godzin szczytu w mieście, zaleca się również sprawdzenie poprawności kalibracji modelu poprzez jego walidację przy pomocy wskaźnika GEH (wzór Geoffrey E.Havers, zbliżony do rozkładu chi-kwadrat):</w:t>
            </w:r>
          </w:p>
          <w:p w14:paraId="2848D8F4" w14:textId="77777777" w:rsidR="00B070AD" w:rsidRDefault="00B070AD" w:rsidP="00B070AD">
            <w:pPr>
              <w:jc w:val="both"/>
              <w:rPr>
                <w:rFonts w:ascii="Calibri" w:eastAsia="Calibri" w:hAnsi="Calibri" w:cs="Calibri"/>
                <w:sz w:val="20"/>
                <w:szCs w:val="20"/>
              </w:rPr>
            </w:pPr>
          </w:p>
          <w:p w14:paraId="43F7C2F6" w14:textId="77777777" w:rsidR="00600DEE" w:rsidRDefault="00641FB5" w:rsidP="00B070AD">
            <w:pPr>
              <w:spacing w:after="120"/>
              <w:jc w:val="both"/>
              <w:rPr>
                <w:rFonts w:ascii="Calibri" w:eastAsia="Calibri" w:hAnsi="Calibri" w:cs="Calibri"/>
                <w:sz w:val="20"/>
                <w:szCs w:val="20"/>
              </w:rPr>
            </w:pPr>
            <w:r>
              <w:rPr>
                <w:rFonts w:ascii="Calibri" w:eastAsia="Calibri" w:hAnsi="Calibri" w:cs="Calibri"/>
                <w:sz w:val="20"/>
                <w:szCs w:val="20"/>
              </w:rPr>
              <w:object w:dxaOrig="2633" w:dyaOrig="728" w14:anchorId="29870A50">
                <v:shape id="_x0000_i1041" type="#_x0000_t75" style="width:131.85pt;height:36.45pt" o:ole="" filled="t">
                  <v:fill color2="black"/>
                  <v:imagedata r:id="rId145" o:title=""/>
                </v:shape>
                <o:OLEObject Type="Embed" ProgID="Equation.3" ShapeID="_x0000_i1041" DrawAspect="Content" ObjectID="_1747568788" r:id="rId146"/>
              </w:object>
            </w:r>
          </w:p>
          <w:p w14:paraId="12FF2F1C"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gdzie</w:t>
            </w:r>
          </w:p>
          <w:p w14:paraId="62BF138C"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M – natężenie ruchu na odcinku z modelu (poj/godz)</w:t>
            </w:r>
          </w:p>
          <w:p w14:paraId="575DBB8C"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C – natężenie ruchu na odcinku z pomiaru ruchu (poj/godz)</w:t>
            </w:r>
          </w:p>
          <w:p w14:paraId="41F0D3F5"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 xml:space="preserve">i </w:t>
            </w:r>
            <w:r>
              <w:rPr>
                <w:rFonts w:ascii="Calibri" w:eastAsia="Calibri" w:hAnsi="Calibri" w:cs="Calibri"/>
                <w:color w:val="333399"/>
              </w:rPr>
              <w:t xml:space="preserve">– </w:t>
            </w:r>
            <w:r>
              <w:rPr>
                <w:rFonts w:ascii="Calibri" w:eastAsia="Calibri" w:hAnsi="Calibri" w:cs="Calibri"/>
                <w:sz w:val="20"/>
                <w:szCs w:val="20"/>
              </w:rPr>
              <w:t>odcinek</w:t>
            </w:r>
          </w:p>
          <w:p w14:paraId="4F003FA3"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Wartość wskaźnika należy wyznaczyć oddzielnie dla poszczególnych typów pojazdów przyjętych w modelu.</w:t>
            </w:r>
          </w:p>
          <w:p w14:paraId="57961DB1" w14:textId="6B932BF9"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Ze względu na fakt, że przy wyliczaniu wskaźnika podstawi</w:t>
            </w:r>
            <w:r w:rsidR="003A38F9">
              <w:rPr>
                <w:rFonts w:ascii="Calibri" w:eastAsia="Calibri" w:hAnsi="Calibri" w:cs="Calibri"/>
                <w:sz w:val="20"/>
                <w:szCs w:val="20"/>
              </w:rPr>
              <w:t>amy wartości w jednostkach [poj/godz</w:t>
            </w:r>
            <w:r>
              <w:rPr>
                <w:rFonts w:ascii="Calibri" w:eastAsia="Calibri" w:hAnsi="Calibri" w:cs="Calibri"/>
                <w:sz w:val="20"/>
                <w:szCs w:val="20"/>
              </w:rPr>
              <w:t>] należy wykorzystać dostępne dla danego obszaru dane, ewentualnie SDR dla danego odcinka podzielić przez 12.</w:t>
            </w:r>
          </w:p>
          <w:p w14:paraId="34FDE219"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Należy przyjąć, że wynik walidacji jest pozytywny, jeżeli wartość GEH &lt; 5 dla co najmniej 85% wszystkich analizowanych odcinków.</w:t>
            </w:r>
          </w:p>
          <w:p w14:paraId="0AD7A7E9" w14:textId="064A1FE4"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Polecaną metodą walidacji modelu jest również sprawdzenie skalibrowanych natężeń ruchu w przekrojach ekranowych, dla których wskaźn</w:t>
            </w:r>
            <w:r w:rsidR="006C5DD9">
              <w:rPr>
                <w:rFonts w:ascii="Calibri" w:eastAsia="Calibri" w:hAnsi="Calibri" w:cs="Calibri"/>
                <w:sz w:val="20"/>
                <w:szCs w:val="20"/>
              </w:rPr>
              <w:t>ik GEH powinien być &lt;5% dla 85</w:t>
            </w:r>
            <w:r>
              <w:rPr>
                <w:rFonts w:ascii="Calibri" w:eastAsia="Calibri" w:hAnsi="Calibri" w:cs="Calibri"/>
                <w:sz w:val="20"/>
                <w:szCs w:val="20"/>
              </w:rPr>
              <w:t>% wyników w porównaniu z rezultatami pomiarów.</w:t>
            </w:r>
          </w:p>
          <w:p w14:paraId="0E514C6C" w14:textId="0DB7DAEA" w:rsidR="00600DEE" w:rsidRDefault="00600DEE">
            <w:pPr>
              <w:jc w:val="both"/>
              <w:rPr>
                <w:rFonts w:ascii="Calibri" w:eastAsia="Calibri" w:hAnsi="Calibri" w:cs="Calibri"/>
                <w:sz w:val="20"/>
                <w:szCs w:val="20"/>
              </w:rPr>
            </w:pPr>
          </w:p>
          <w:p w14:paraId="6156076A" w14:textId="77777777" w:rsidR="00B070AD" w:rsidRDefault="00B070AD" w:rsidP="00B070AD">
            <w:pPr>
              <w:spacing w:before="120"/>
              <w:jc w:val="both"/>
              <w:rPr>
                <w:rFonts w:ascii="Calibri" w:eastAsia="Calibri" w:hAnsi="Calibri" w:cs="Calibri"/>
                <w:sz w:val="20"/>
                <w:szCs w:val="20"/>
              </w:rPr>
            </w:pPr>
          </w:p>
          <w:p w14:paraId="5FED763E"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IV. PROGNOZA RUCHU – ZAŁOŻENIA</w:t>
            </w:r>
          </w:p>
          <w:p w14:paraId="33DE0C67" w14:textId="77777777" w:rsidR="00600DEE" w:rsidRDefault="00600DEE">
            <w:pPr>
              <w:jc w:val="both"/>
              <w:rPr>
                <w:rFonts w:ascii="Calibri" w:eastAsia="Calibri" w:hAnsi="Calibri" w:cs="Calibri"/>
                <w:b/>
                <w:sz w:val="20"/>
                <w:szCs w:val="20"/>
              </w:rPr>
            </w:pPr>
          </w:p>
          <w:p w14:paraId="688EAA20" w14:textId="1D674CFD" w:rsidR="00600DEE" w:rsidRDefault="00641FB5">
            <w:pPr>
              <w:spacing w:after="120"/>
              <w:jc w:val="both"/>
              <w:rPr>
                <w:rFonts w:ascii="Calibri" w:eastAsia="Calibri" w:hAnsi="Calibri" w:cs="Calibri"/>
                <w:b/>
                <w:sz w:val="20"/>
                <w:szCs w:val="20"/>
              </w:rPr>
            </w:pPr>
            <w:r>
              <w:rPr>
                <w:rFonts w:ascii="Calibri" w:eastAsia="Calibri" w:hAnsi="Calibri" w:cs="Calibri"/>
                <w:b/>
                <w:sz w:val="20"/>
                <w:szCs w:val="20"/>
              </w:rPr>
              <w:t>Metodę prognozowania należy dostosować do typu analizowanego projektu, zgodnie z tabelą 6, rozdział 1.8.1.</w:t>
            </w:r>
            <w:r w:rsidR="006C5DD9">
              <w:rPr>
                <w:rFonts w:ascii="Calibri" w:eastAsia="Calibri" w:hAnsi="Calibri" w:cs="Calibri"/>
                <w:sz w:val="20"/>
                <w:szCs w:val="20"/>
              </w:rPr>
              <w:t xml:space="preserve"> W</w:t>
            </w:r>
            <w:r>
              <w:rPr>
                <w:rFonts w:ascii="Calibri" w:eastAsia="Calibri" w:hAnsi="Calibri" w:cs="Calibri"/>
                <w:sz w:val="20"/>
                <w:szCs w:val="20"/>
              </w:rPr>
              <w:t> związku z tym poniższe zasady należy stosować odpowiednio do przyjętej metody prognozowania.</w:t>
            </w:r>
          </w:p>
          <w:p w14:paraId="44217E3E" w14:textId="77777777" w:rsidR="00600DEE" w:rsidRDefault="00600DEE">
            <w:pPr>
              <w:jc w:val="both"/>
              <w:rPr>
                <w:rFonts w:ascii="Calibri" w:eastAsia="Calibri" w:hAnsi="Calibri" w:cs="Calibri"/>
                <w:b/>
                <w:sz w:val="20"/>
                <w:szCs w:val="20"/>
              </w:rPr>
            </w:pPr>
          </w:p>
          <w:p w14:paraId="53F4EA96"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Analiza rozwoju sieci</w:t>
            </w:r>
          </w:p>
          <w:p w14:paraId="75D86311" w14:textId="77777777" w:rsidR="00600DEE" w:rsidRDefault="00600DEE">
            <w:pPr>
              <w:jc w:val="both"/>
              <w:rPr>
                <w:rFonts w:ascii="Calibri" w:eastAsia="Calibri" w:hAnsi="Calibri" w:cs="Calibri"/>
                <w:b/>
                <w:sz w:val="20"/>
                <w:szCs w:val="20"/>
              </w:rPr>
            </w:pPr>
          </w:p>
          <w:p w14:paraId="095D7692" w14:textId="1A332A6A"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Zmiany rozwoju sieci dróg pod względem podaży, czyli rozwoju infrastruktury, są bardzo istotne i mają zasadniczy wpływ na końcowe prognozy ruchu bę</w:t>
            </w:r>
            <w:r w:rsidR="006C5DD9">
              <w:rPr>
                <w:rFonts w:ascii="Calibri" w:eastAsia="Calibri" w:hAnsi="Calibri" w:cs="Calibri"/>
                <w:sz w:val="20"/>
                <w:szCs w:val="20"/>
              </w:rPr>
              <w:t>dące podstawą dalszych analiz. W</w:t>
            </w:r>
            <w:r>
              <w:rPr>
                <w:rFonts w:ascii="Calibri" w:eastAsia="Calibri" w:hAnsi="Calibri" w:cs="Calibri"/>
                <w:sz w:val="20"/>
                <w:szCs w:val="20"/>
              </w:rPr>
              <w:t> ramach prognoz ruchu należy przeprowadzić analizę rozwoju sieci uwzględniając zmiany w infrastrukturze transportowej na obszarze objętym prognozami ruchu.</w:t>
            </w:r>
          </w:p>
          <w:p w14:paraId="619A6806"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Przedmiotem analizy powinien być najbardziej prawdopodobny scenariusz rozwoju sieci drogowej w okresie referencyjnym tej analizy, zgodny z aktualnymi dokumentami strategicznymi. Taki scenariusz jest identyczny dla wariantu bezinwestycyjnego (W0) i wariantu inwestycyjnego (Wn).</w:t>
            </w:r>
          </w:p>
          <w:p w14:paraId="7B9595BA" w14:textId="417EFA55"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 wariancie bezinwestycyjnym, jak i inwestycyjnym należy uwzględnić zarówno istniejącą, jak i planowaną sieć drogową. Porównywane warianty różnią się wyłącznie tym, że w wariancie inwestycyjnym uwzględniamy dodatkowo nową inwestycję (projekt).</w:t>
            </w:r>
          </w:p>
          <w:p w14:paraId="2CB8BBDE"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Wskaźniki wzrostu ruchu</w:t>
            </w:r>
          </w:p>
          <w:p w14:paraId="460C00AD" w14:textId="77777777" w:rsidR="00600DEE" w:rsidRDefault="00600DEE">
            <w:pPr>
              <w:jc w:val="both"/>
              <w:rPr>
                <w:rFonts w:ascii="Calibri" w:eastAsia="Calibri" w:hAnsi="Calibri" w:cs="Calibri"/>
                <w:sz w:val="20"/>
                <w:szCs w:val="20"/>
              </w:rPr>
            </w:pPr>
          </w:p>
          <w:p w14:paraId="5582BC32"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Prognozowanie potoków pojazdów na poszczególnych odcinkach sieci może zostać wykonane z wykorzystaniem:</w:t>
            </w:r>
          </w:p>
          <w:p w14:paraId="137AB1B8"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uproszczonej metody prognozowania ruchu – np. metody wskaźnikowej,</w:t>
            </w:r>
          </w:p>
          <w:p w14:paraId="6500945E"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metody modelowania ruchu.</w:t>
            </w:r>
          </w:p>
          <w:p w14:paraId="6248C0A6"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Wybór metody zależy od tego, do jakiej grupy inwestycja została zakwalifikowana (tabela 6, rozdział 1.8. Prognozy ruchu).</w:t>
            </w:r>
          </w:p>
          <w:p w14:paraId="1C138CBA"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 przypadku prognozowania metodą modelowania, współczynniki wzrostu ruchu dla lat prognozy należy przyjąć z aktualnej tabeli trendów PKB zamieszczonej na stronie internetowej Generalnej Dyrekcji Dróg Krajowych i Autostrad, z uwzględnieniem tzw. wskaźników elastyczności dla poszczególnych kategorii pojazdów.</w:t>
            </w:r>
          </w:p>
          <w:p w14:paraId="350A8F0B" w14:textId="77777777" w:rsidR="00600DEE" w:rsidRDefault="00600DEE">
            <w:pPr>
              <w:spacing w:before="120" w:after="120"/>
              <w:jc w:val="both"/>
              <w:rPr>
                <w:rFonts w:ascii="Calibri" w:eastAsia="Calibri" w:hAnsi="Calibri" w:cs="Calibri"/>
                <w:sz w:val="20"/>
                <w:szCs w:val="20"/>
              </w:rPr>
            </w:pPr>
          </w:p>
          <w:p w14:paraId="711E59CE" w14:textId="6D9D73D4" w:rsidR="00600DEE" w:rsidRDefault="00641FB5">
            <w:pP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Tabela 1. Elastyczność wskaźników wzro</w:t>
            </w:r>
            <w:r w:rsidR="003A38F9">
              <w:rPr>
                <w:rFonts w:ascii="Calibri" w:eastAsia="Calibri" w:hAnsi="Calibri" w:cs="Calibri"/>
                <w:b/>
                <w:color w:val="4F81BD"/>
                <w:sz w:val="20"/>
                <w:szCs w:val="20"/>
              </w:rPr>
              <w:t xml:space="preserve">stu ruchu wg metody GDDKiA do </w:t>
            </w:r>
            <w:r>
              <w:rPr>
                <w:rFonts w:ascii="Calibri" w:eastAsia="Calibri" w:hAnsi="Calibri" w:cs="Calibri"/>
                <w:b/>
                <w:color w:val="4F81BD"/>
                <w:sz w:val="20"/>
                <w:szCs w:val="20"/>
              </w:rPr>
              <w:t>prognozowania metodą modelowania</w:t>
            </w:r>
          </w:p>
          <w:tbl>
            <w:tblPr>
              <w:tblStyle w:val="afffffffffffffa"/>
              <w:tblW w:w="6957" w:type="dxa"/>
              <w:tblLayout w:type="fixed"/>
              <w:tblLook w:val="0000" w:firstRow="0" w:lastRow="0" w:firstColumn="0" w:lastColumn="0" w:noHBand="0" w:noVBand="0"/>
            </w:tblPr>
            <w:tblGrid>
              <w:gridCol w:w="453"/>
              <w:gridCol w:w="2217"/>
              <w:gridCol w:w="1831"/>
              <w:gridCol w:w="2456"/>
            </w:tblGrid>
            <w:tr w:rsidR="00600DEE" w14:paraId="6A4B2C29" w14:textId="77777777" w:rsidTr="003A38F9">
              <w:trPr>
                <w:trHeight w:val="246"/>
              </w:trPr>
              <w:tc>
                <w:tcPr>
                  <w:tcW w:w="453" w:type="dxa"/>
                  <w:vMerge w:val="restart"/>
                  <w:tcBorders>
                    <w:top w:val="single" w:sz="4" w:space="0" w:color="FFFFFF"/>
                    <w:left w:val="single" w:sz="4" w:space="0" w:color="FFFFFF"/>
                  </w:tcBorders>
                  <w:shd w:val="clear" w:color="auto" w:fill="A6A6A6"/>
                </w:tcPr>
                <w:p w14:paraId="3468389C" w14:textId="77777777" w:rsidR="00600DEE" w:rsidRDefault="00600DEE">
                  <w:pPr>
                    <w:jc w:val="center"/>
                    <w:rPr>
                      <w:rFonts w:ascii="Calibri" w:eastAsia="Calibri" w:hAnsi="Calibri" w:cs="Calibri"/>
                      <w:b/>
                      <w:color w:val="FFFFFF"/>
                      <w:sz w:val="18"/>
                      <w:szCs w:val="18"/>
                    </w:rPr>
                  </w:pPr>
                </w:p>
              </w:tc>
              <w:tc>
                <w:tcPr>
                  <w:tcW w:w="2217" w:type="dxa"/>
                  <w:vMerge w:val="restart"/>
                  <w:tcBorders>
                    <w:top w:val="single" w:sz="4" w:space="0" w:color="FFFFFF"/>
                    <w:left w:val="single" w:sz="4" w:space="0" w:color="FFFFFF"/>
                  </w:tcBorders>
                  <w:shd w:val="clear" w:color="auto" w:fill="A6A6A6"/>
                  <w:vAlign w:val="center"/>
                </w:tcPr>
                <w:p w14:paraId="1D508D6B"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Kategoria pojazdów</w:t>
                  </w:r>
                </w:p>
              </w:tc>
              <w:tc>
                <w:tcPr>
                  <w:tcW w:w="4287" w:type="dxa"/>
                  <w:gridSpan w:val="2"/>
                  <w:tcBorders>
                    <w:top w:val="single" w:sz="4" w:space="0" w:color="FFFFFF"/>
                    <w:left w:val="single" w:sz="4" w:space="0" w:color="FFFFFF"/>
                    <w:bottom w:val="single" w:sz="4" w:space="0" w:color="FFFFFF"/>
                  </w:tcBorders>
                  <w:shd w:val="clear" w:color="auto" w:fill="A6A6A6"/>
                  <w:vAlign w:val="center"/>
                </w:tcPr>
                <w:p w14:paraId="364E060F"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We (wskaźnik elastyczności w latach)</w:t>
                  </w:r>
                </w:p>
              </w:tc>
            </w:tr>
            <w:tr w:rsidR="00600DEE" w14:paraId="6B18B061" w14:textId="77777777" w:rsidTr="003A38F9">
              <w:trPr>
                <w:trHeight w:val="251"/>
              </w:trPr>
              <w:tc>
                <w:tcPr>
                  <w:tcW w:w="453" w:type="dxa"/>
                  <w:vMerge/>
                  <w:tcBorders>
                    <w:top w:val="single" w:sz="4" w:space="0" w:color="FFFFFF"/>
                    <w:left w:val="single" w:sz="4" w:space="0" w:color="FFFFFF"/>
                  </w:tcBorders>
                  <w:shd w:val="clear" w:color="auto" w:fill="A6A6A6"/>
                </w:tcPr>
                <w:p w14:paraId="60EA225E"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2217" w:type="dxa"/>
                  <w:vMerge/>
                  <w:tcBorders>
                    <w:top w:val="single" w:sz="4" w:space="0" w:color="FFFFFF"/>
                    <w:left w:val="single" w:sz="4" w:space="0" w:color="FFFFFF"/>
                  </w:tcBorders>
                  <w:shd w:val="clear" w:color="auto" w:fill="A6A6A6"/>
                  <w:vAlign w:val="center"/>
                </w:tcPr>
                <w:p w14:paraId="11356B8F"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1831" w:type="dxa"/>
                  <w:tcBorders>
                    <w:top w:val="single" w:sz="4" w:space="0" w:color="FFFFFF"/>
                    <w:left w:val="single" w:sz="4" w:space="0" w:color="FFFFFF"/>
                    <w:bottom w:val="single" w:sz="4" w:space="0" w:color="FFFFFF"/>
                  </w:tcBorders>
                  <w:shd w:val="clear" w:color="auto" w:fill="A6A6A6"/>
                  <w:vAlign w:val="center"/>
                </w:tcPr>
                <w:p w14:paraId="496C06A5"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2008-2015</w:t>
                  </w:r>
                </w:p>
              </w:tc>
              <w:tc>
                <w:tcPr>
                  <w:tcW w:w="2456" w:type="dxa"/>
                  <w:tcBorders>
                    <w:top w:val="single" w:sz="4" w:space="0" w:color="FFFFFF"/>
                    <w:left w:val="single" w:sz="4" w:space="0" w:color="FFFFFF"/>
                    <w:bottom w:val="single" w:sz="4" w:space="0" w:color="FFFFFF"/>
                  </w:tcBorders>
                  <w:shd w:val="clear" w:color="auto" w:fill="A6A6A6"/>
                  <w:vAlign w:val="center"/>
                </w:tcPr>
                <w:p w14:paraId="5047BC89"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2016-2040</w:t>
                  </w:r>
                </w:p>
              </w:tc>
            </w:tr>
            <w:tr w:rsidR="00600DEE" w14:paraId="38CF3A2B" w14:textId="77777777" w:rsidTr="003A38F9">
              <w:trPr>
                <w:trHeight w:hRule="exact" w:val="457"/>
              </w:trPr>
              <w:tc>
                <w:tcPr>
                  <w:tcW w:w="453" w:type="dxa"/>
                  <w:tcBorders>
                    <w:top w:val="single" w:sz="4" w:space="0" w:color="FFFFFF"/>
                    <w:left w:val="single" w:sz="4" w:space="0" w:color="FFFFFF"/>
                    <w:bottom w:val="single" w:sz="4" w:space="0" w:color="FFFFFF"/>
                  </w:tcBorders>
                  <w:shd w:val="clear" w:color="auto" w:fill="DBE5F1"/>
                </w:tcPr>
                <w:p w14:paraId="2D33668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w:t>
                  </w:r>
                </w:p>
              </w:tc>
              <w:tc>
                <w:tcPr>
                  <w:tcW w:w="2217" w:type="dxa"/>
                  <w:tcBorders>
                    <w:top w:val="single" w:sz="4" w:space="0" w:color="FFFFFF"/>
                    <w:left w:val="single" w:sz="4" w:space="0" w:color="FFFFFF"/>
                    <w:bottom w:val="single" w:sz="4" w:space="0" w:color="FFFFFF"/>
                  </w:tcBorders>
                  <w:shd w:val="clear" w:color="auto" w:fill="DBE5F1"/>
                  <w:vAlign w:val="center"/>
                </w:tcPr>
                <w:p w14:paraId="27F25664"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Samochody osobowe</w:t>
                  </w:r>
                </w:p>
              </w:tc>
              <w:tc>
                <w:tcPr>
                  <w:tcW w:w="1831" w:type="dxa"/>
                  <w:tcBorders>
                    <w:top w:val="single" w:sz="4" w:space="0" w:color="FFFFFF"/>
                    <w:left w:val="single" w:sz="4" w:space="0" w:color="FFFFFF"/>
                    <w:bottom w:val="single" w:sz="4" w:space="0" w:color="FFFFFF"/>
                  </w:tcBorders>
                  <w:shd w:val="clear" w:color="auto" w:fill="DBE5F1"/>
                  <w:vAlign w:val="center"/>
                </w:tcPr>
                <w:p w14:paraId="16E8F70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0,90</w:t>
                  </w:r>
                </w:p>
              </w:tc>
              <w:tc>
                <w:tcPr>
                  <w:tcW w:w="2456" w:type="dxa"/>
                  <w:tcBorders>
                    <w:top w:val="single" w:sz="4" w:space="0" w:color="FFFFFF"/>
                    <w:left w:val="single" w:sz="4" w:space="0" w:color="FFFFFF"/>
                    <w:bottom w:val="single" w:sz="4" w:space="0" w:color="FFFFFF"/>
                  </w:tcBorders>
                  <w:shd w:val="clear" w:color="auto" w:fill="DBE5F1"/>
                  <w:vAlign w:val="center"/>
                </w:tcPr>
                <w:p w14:paraId="0259599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0,80</w:t>
                  </w:r>
                </w:p>
              </w:tc>
            </w:tr>
            <w:tr w:rsidR="00600DEE" w14:paraId="0833C149" w14:textId="77777777" w:rsidTr="003A38F9">
              <w:trPr>
                <w:trHeight w:hRule="exact" w:val="457"/>
              </w:trPr>
              <w:tc>
                <w:tcPr>
                  <w:tcW w:w="453" w:type="dxa"/>
                  <w:tcBorders>
                    <w:top w:val="single" w:sz="4" w:space="0" w:color="FFFFFF"/>
                    <w:left w:val="single" w:sz="4" w:space="0" w:color="FFFFFF"/>
                    <w:bottom w:val="single" w:sz="4" w:space="0" w:color="FFFFFF"/>
                  </w:tcBorders>
                  <w:shd w:val="clear" w:color="auto" w:fill="DBE5F1"/>
                </w:tcPr>
                <w:p w14:paraId="00F7599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w:t>
                  </w:r>
                </w:p>
              </w:tc>
              <w:tc>
                <w:tcPr>
                  <w:tcW w:w="2217" w:type="dxa"/>
                  <w:tcBorders>
                    <w:top w:val="single" w:sz="4" w:space="0" w:color="FFFFFF"/>
                    <w:left w:val="single" w:sz="4" w:space="0" w:color="FFFFFF"/>
                    <w:bottom w:val="single" w:sz="4" w:space="0" w:color="FFFFFF"/>
                  </w:tcBorders>
                  <w:shd w:val="clear" w:color="auto" w:fill="DBE5F1"/>
                  <w:vAlign w:val="center"/>
                </w:tcPr>
                <w:p w14:paraId="2C33E745"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Samochody dostawcze</w:t>
                  </w:r>
                </w:p>
              </w:tc>
              <w:tc>
                <w:tcPr>
                  <w:tcW w:w="1831" w:type="dxa"/>
                  <w:tcBorders>
                    <w:top w:val="single" w:sz="4" w:space="0" w:color="FFFFFF"/>
                    <w:left w:val="single" w:sz="4" w:space="0" w:color="FFFFFF"/>
                    <w:bottom w:val="single" w:sz="4" w:space="0" w:color="FFFFFF"/>
                  </w:tcBorders>
                  <w:shd w:val="clear" w:color="auto" w:fill="DBE5F1"/>
                  <w:vAlign w:val="center"/>
                </w:tcPr>
                <w:p w14:paraId="5E3C028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0,33</w:t>
                  </w:r>
                </w:p>
              </w:tc>
              <w:tc>
                <w:tcPr>
                  <w:tcW w:w="2456" w:type="dxa"/>
                  <w:tcBorders>
                    <w:top w:val="single" w:sz="4" w:space="0" w:color="FFFFFF"/>
                    <w:left w:val="single" w:sz="4" w:space="0" w:color="FFFFFF"/>
                    <w:bottom w:val="single" w:sz="4" w:space="0" w:color="FFFFFF"/>
                  </w:tcBorders>
                  <w:shd w:val="clear" w:color="auto" w:fill="DBE5F1"/>
                  <w:vAlign w:val="center"/>
                </w:tcPr>
                <w:p w14:paraId="3F38FC4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0,33</w:t>
                  </w:r>
                </w:p>
              </w:tc>
            </w:tr>
            <w:tr w:rsidR="00600DEE" w14:paraId="48DD6BD1" w14:textId="77777777" w:rsidTr="003A38F9">
              <w:trPr>
                <w:trHeight w:hRule="exact" w:val="457"/>
              </w:trPr>
              <w:tc>
                <w:tcPr>
                  <w:tcW w:w="453" w:type="dxa"/>
                  <w:tcBorders>
                    <w:top w:val="single" w:sz="4" w:space="0" w:color="FFFFFF"/>
                    <w:left w:val="single" w:sz="4" w:space="0" w:color="FFFFFF"/>
                    <w:bottom w:val="single" w:sz="4" w:space="0" w:color="FFFFFF"/>
                  </w:tcBorders>
                  <w:shd w:val="clear" w:color="auto" w:fill="DBE5F1"/>
                </w:tcPr>
                <w:p w14:paraId="448AC08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w:t>
                  </w:r>
                </w:p>
              </w:tc>
              <w:tc>
                <w:tcPr>
                  <w:tcW w:w="2217" w:type="dxa"/>
                  <w:tcBorders>
                    <w:top w:val="single" w:sz="4" w:space="0" w:color="FFFFFF"/>
                    <w:left w:val="single" w:sz="4" w:space="0" w:color="FFFFFF"/>
                    <w:bottom w:val="single" w:sz="4" w:space="0" w:color="FFFFFF"/>
                  </w:tcBorders>
                  <w:shd w:val="clear" w:color="auto" w:fill="DBE5F1"/>
                  <w:vAlign w:val="center"/>
                </w:tcPr>
                <w:p w14:paraId="1A098916"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Samochody ciężarowe bez przyczep </w:t>
                  </w:r>
                </w:p>
              </w:tc>
              <w:tc>
                <w:tcPr>
                  <w:tcW w:w="1831" w:type="dxa"/>
                  <w:tcBorders>
                    <w:top w:val="single" w:sz="4" w:space="0" w:color="FFFFFF"/>
                    <w:left w:val="single" w:sz="4" w:space="0" w:color="FFFFFF"/>
                    <w:bottom w:val="single" w:sz="4" w:space="0" w:color="FFFFFF"/>
                  </w:tcBorders>
                  <w:shd w:val="clear" w:color="auto" w:fill="DBE5F1"/>
                  <w:vAlign w:val="center"/>
                </w:tcPr>
                <w:p w14:paraId="7ADCDCB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0,35</w:t>
                  </w:r>
                </w:p>
              </w:tc>
              <w:tc>
                <w:tcPr>
                  <w:tcW w:w="2456" w:type="dxa"/>
                  <w:tcBorders>
                    <w:top w:val="single" w:sz="4" w:space="0" w:color="FFFFFF"/>
                    <w:left w:val="single" w:sz="4" w:space="0" w:color="FFFFFF"/>
                    <w:bottom w:val="single" w:sz="4" w:space="0" w:color="FFFFFF"/>
                  </w:tcBorders>
                  <w:shd w:val="clear" w:color="auto" w:fill="DBE5F1"/>
                  <w:vAlign w:val="center"/>
                </w:tcPr>
                <w:p w14:paraId="060D575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0,35</w:t>
                  </w:r>
                </w:p>
              </w:tc>
            </w:tr>
            <w:tr w:rsidR="00600DEE" w14:paraId="01971E0B" w14:textId="77777777" w:rsidTr="003A38F9">
              <w:trPr>
                <w:trHeight w:hRule="exact" w:val="457"/>
              </w:trPr>
              <w:tc>
                <w:tcPr>
                  <w:tcW w:w="453" w:type="dxa"/>
                  <w:tcBorders>
                    <w:top w:val="single" w:sz="4" w:space="0" w:color="FFFFFF"/>
                    <w:left w:val="single" w:sz="4" w:space="0" w:color="FFFFFF"/>
                    <w:bottom w:val="single" w:sz="4" w:space="0" w:color="FFFFFF"/>
                  </w:tcBorders>
                  <w:shd w:val="clear" w:color="auto" w:fill="DBE5F1"/>
                </w:tcPr>
                <w:p w14:paraId="717E136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4</w:t>
                  </w:r>
                </w:p>
              </w:tc>
              <w:tc>
                <w:tcPr>
                  <w:tcW w:w="2217" w:type="dxa"/>
                  <w:tcBorders>
                    <w:top w:val="single" w:sz="4" w:space="0" w:color="FFFFFF"/>
                    <w:left w:val="single" w:sz="4" w:space="0" w:color="FFFFFF"/>
                    <w:bottom w:val="single" w:sz="4" w:space="0" w:color="FFFFFF"/>
                  </w:tcBorders>
                  <w:shd w:val="clear" w:color="auto" w:fill="DBE5F1"/>
                  <w:vAlign w:val="center"/>
                </w:tcPr>
                <w:p w14:paraId="0CBA640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Samochody dostawcze z przyczepami i </w:t>
                  </w:r>
                </w:p>
              </w:tc>
              <w:tc>
                <w:tcPr>
                  <w:tcW w:w="1831" w:type="dxa"/>
                  <w:tcBorders>
                    <w:top w:val="single" w:sz="4" w:space="0" w:color="FFFFFF"/>
                    <w:left w:val="single" w:sz="4" w:space="0" w:color="FFFFFF"/>
                    <w:bottom w:val="single" w:sz="4" w:space="0" w:color="FFFFFF"/>
                  </w:tcBorders>
                  <w:shd w:val="clear" w:color="auto" w:fill="DBE5F1"/>
                  <w:vAlign w:val="center"/>
                </w:tcPr>
                <w:p w14:paraId="659B464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1,07</w:t>
                  </w:r>
                </w:p>
              </w:tc>
              <w:tc>
                <w:tcPr>
                  <w:tcW w:w="2456" w:type="dxa"/>
                  <w:tcBorders>
                    <w:top w:val="single" w:sz="4" w:space="0" w:color="FFFFFF"/>
                    <w:left w:val="single" w:sz="4" w:space="0" w:color="FFFFFF"/>
                    <w:bottom w:val="single" w:sz="4" w:space="0" w:color="FFFFFF"/>
                  </w:tcBorders>
                  <w:shd w:val="clear" w:color="auto" w:fill="DBE5F1"/>
                  <w:vAlign w:val="center"/>
                </w:tcPr>
                <w:p w14:paraId="10E3789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w:t>
                  </w:r>
                </w:p>
              </w:tc>
            </w:tr>
          </w:tbl>
          <w:p w14:paraId="1D683AE7"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Dla inwestycji na drogach zamiejskich, dla których dopuszczone jest stosowanie uproszczonej metody prognozowania, obliczenie natężenia ruchu na poszczególnych odcinkach odbywa się przez przemnożenie ruchu w roku bazowym przez wskaźniki wzrostu ruchu dla poszczególnych kategorii pojazdów, oszacowanych z wykorzystaniem wskaźników przeliczeniowych uzyskanych od GDDKiA. Ze względu na zróżnicowaną dynamikę wzrostu ruchu na poszczególnych kategoriach dróg należy zastosować wskaźniki elastyczności dla określonej kategorii pojazdów.</w:t>
            </w:r>
          </w:p>
          <w:p w14:paraId="42A87E85" w14:textId="77777777" w:rsidR="00600DEE" w:rsidRDefault="00641FB5">
            <w:pP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 xml:space="preserve">Tabela 2. Elastyczność wskaźników wzrostu ruchu wg metody GDDKiA do </w:t>
            </w:r>
            <w:r>
              <w:rPr>
                <w:rFonts w:ascii="Calibri" w:eastAsia="Calibri" w:hAnsi="Calibri" w:cs="Calibri"/>
                <w:b/>
                <w:color w:val="4F81BD"/>
                <w:sz w:val="20"/>
                <w:szCs w:val="20"/>
              </w:rPr>
              <w:br/>
              <w:t xml:space="preserve"> prognozowania metodą wskaźnikową</w:t>
            </w:r>
          </w:p>
          <w:tbl>
            <w:tblPr>
              <w:tblStyle w:val="afffffffffffffb"/>
              <w:tblW w:w="6833" w:type="dxa"/>
              <w:tblLayout w:type="fixed"/>
              <w:tblLook w:val="0000" w:firstRow="0" w:lastRow="0" w:firstColumn="0" w:lastColumn="0" w:noHBand="0" w:noVBand="0"/>
            </w:tblPr>
            <w:tblGrid>
              <w:gridCol w:w="1366"/>
              <w:gridCol w:w="1367"/>
              <w:gridCol w:w="1366"/>
              <w:gridCol w:w="1367"/>
              <w:gridCol w:w="1367"/>
            </w:tblGrid>
            <w:tr w:rsidR="00600DEE" w14:paraId="0FD8377B" w14:textId="77777777" w:rsidTr="00073743">
              <w:trPr>
                <w:trHeight w:hRule="exact" w:val="537"/>
              </w:trPr>
              <w:tc>
                <w:tcPr>
                  <w:tcW w:w="1366" w:type="dxa"/>
                  <w:tcBorders>
                    <w:top w:val="single" w:sz="4" w:space="0" w:color="FFFFFF"/>
                    <w:left w:val="single" w:sz="4" w:space="0" w:color="FFFFFF"/>
                    <w:bottom w:val="single" w:sz="4" w:space="0" w:color="FFFFFF"/>
                  </w:tcBorders>
                  <w:shd w:val="clear" w:color="auto" w:fill="A6A6A6"/>
                  <w:vAlign w:val="center"/>
                </w:tcPr>
                <w:p w14:paraId="550A880C"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Kategoria drogi</w:t>
                  </w:r>
                </w:p>
              </w:tc>
              <w:tc>
                <w:tcPr>
                  <w:tcW w:w="1367" w:type="dxa"/>
                  <w:tcBorders>
                    <w:top w:val="single" w:sz="4" w:space="0" w:color="FFFFFF"/>
                    <w:left w:val="single" w:sz="4" w:space="0" w:color="FFFFFF"/>
                    <w:bottom w:val="single" w:sz="4" w:space="0" w:color="FFFFFF"/>
                  </w:tcBorders>
                  <w:shd w:val="clear" w:color="auto" w:fill="A6A6A6"/>
                  <w:vAlign w:val="center"/>
                </w:tcPr>
                <w:p w14:paraId="101220B5"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Sam. osobowe</w:t>
                  </w:r>
                </w:p>
              </w:tc>
              <w:tc>
                <w:tcPr>
                  <w:tcW w:w="1366" w:type="dxa"/>
                  <w:tcBorders>
                    <w:top w:val="single" w:sz="4" w:space="0" w:color="FFFFFF"/>
                    <w:left w:val="single" w:sz="4" w:space="0" w:color="FFFFFF"/>
                    <w:bottom w:val="single" w:sz="4" w:space="0" w:color="FFFFFF"/>
                  </w:tcBorders>
                  <w:shd w:val="clear" w:color="auto" w:fill="A6A6A6"/>
                  <w:vAlign w:val="center"/>
                </w:tcPr>
                <w:p w14:paraId="227D8C42"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Sam. dostawcze</w:t>
                  </w:r>
                </w:p>
              </w:tc>
              <w:tc>
                <w:tcPr>
                  <w:tcW w:w="1367" w:type="dxa"/>
                  <w:tcBorders>
                    <w:top w:val="single" w:sz="4" w:space="0" w:color="FFFFFF"/>
                    <w:left w:val="single" w:sz="4" w:space="0" w:color="FFFFFF"/>
                    <w:bottom w:val="single" w:sz="4" w:space="0" w:color="FFFFFF"/>
                  </w:tcBorders>
                  <w:shd w:val="clear" w:color="auto" w:fill="A6A6A6"/>
                  <w:vAlign w:val="center"/>
                </w:tcPr>
                <w:p w14:paraId="457A84E9"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Sam. ciężarowe</w:t>
                  </w:r>
                </w:p>
              </w:tc>
              <w:tc>
                <w:tcPr>
                  <w:tcW w:w="1367" w:type="dxa"/>
                  <w:tcBorders>
                    <w:top w:val="single" w:sz="4" w:space="0" w:color="FFFFFF"/>
                    <w:left w:val="single" w:sz="4" w:space="0" w:color="FFFFFF"/>
                    <w:bottom w:val="single" w:sz="4" w:space="0" w:color="FFFFFF"/>
                  </w:tcBorders>
                  <w:shd w:val="clear" w:color="auto" w:fill="A6A6A6"/>
                  <w:vAlign w:val="center"/>
                </w:tcPr>
                <w:p w14:paraId="0849BCAF"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Sam. cięż z p/n</w:t>
                  </w:r>
                </w:p>
              </w:tc>
            </w:tr>
            <w:tr w:rsidR="00600DEE" w14:paraId="4D5E2703" w14:textId="77777777" w:rsidTr="00073743">
              <w:trPr>
                <w:trHeight w:hRule="exact" w:val="269"/>
              </w:trPr>
              <w:tc>
                <w:tcPr>
                  <w:tcW w:w="1366" w:type="dxa"/>
                  <w:tcBorders>
                    <w:top w:val="single" w:sz="4" w:space="0" w:color="FFFFFF"/>
                    <w:left w:val="single" w:sz="4" w:space="0" w:color="FFFFFF"/>
                    <w:bottom w:val="single" w:sz="4" w:space="0" w:color="FFFFFF"/>
                  </w:tcBorders>
                  <w:shd w:val="clear" w:color="auto" w:fill="DBE5F1"/>
                  <w:vAlign w:val="center"/>
                </w:tcPr>
                <w:p w14:paraId="74D51C1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Krajowe</w:t>
                  </w:r>
                </w:p>
              </w:tc>
              <w:tc>
                <w:tcPr>
                  <w:tcW w:w="1367" w:type="dxa"/>
                  <w:tcBorders>
                    <w:top w:val="single" w:sz="4" w:space="0" w:color="FFFFFF"/>
                    <w:left w:val="single" w:sz="4" w:space="0" w:color="FFFFFF"/>
                    <w:bottom w:val="single" w:sz="4" w:space="0" w:color="FFFFFF"/>
                  </w:tcBorders>
                  <w:shd w:val="clear" w:color="auto" w:fill="DBE5F1"/>
                  <w:vAlign w:val="center"/>
                </w:tcPr>
                <w:p w14:paraId="2EA4416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w:t>
                  </w:r>
                </w:p>
              </w:tc>
              <w:tc>
                <w:tcPr>
                  <w:tcW w:w="1366" w:type="dxa"/>
                  <w:tcBorders>
                    <w:top w:val="single" w:sz="4" w:space="0" w:color="FFFFFF"/>
                    <w:left w:val="single" w:sz="4" w:space="0" w:color="FFFFFF"/>
                    <w:bottom w:val="single" w:sz="4" w:space="0" w:color="FFFFFF"/>
                  </w:tcBorders>
                  <w:shd w:val="clear" w:color="auto" w:fill="DBE5F1"/>
                  <w:vAlign w:val="center"/>
                </w:tcPr>
                <w:p w14:paraId="6E6CEC9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w:t>
                  </w:r>
                </w:p>
              </w:tc>
              <w:tc>
                <w:tcPr>
                  <w:tcW w:w="1367" w:type="dxa"/>
                  <w:tcBorders>
                    <w:top w:val="single" w:sz="4" w:space="0" w:color="FFFFFF"/>
                    <w:left w:val="single" w:sz="4" w:space="0" w:color="FFFFFF"/>
                    <w:bottom w:val="single" w:sz="4" w:space="0" w:color="FFFFFF"/>
                  </w:tcBorders>
                  <w:shd w:val="clear" w:color="auto" w:fill="DBE5F1"/>
                  <w:vAlign w:val="center"/>
                </w:tcPr>
                <w:p w14:paraId="63BD728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w:t>
                  </w:r>
                </w:p>
              </w:tc>
              <w:tc>
                <w:tcPr>
                  <w:tcW w:w="1367" w:type="dxa"/>
                  <w:tcBorders>
                    <w:top w:val="single" w:sz="4" w:space="0" w:color="FFFFFF"/>
                    <w:left w:val="single" w:sz="4" w:space="0" w:color="FFFFFF"/>
                    <w:bottom w:val="single" w:sz="4" w:space="0" w:color="FFFFFF"/>
                  </w:tcBorders>
                  <w:shd w:val="clear" w:color="auto" w:fill="DBE5F1"/>
                  <w:vAlign w:val="center"/>
                </w:tcPr>
                <w:p w14:paraId="75E0D52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w:t>
                  </w:r>
                </w:p>
              </w:tc>
            </w:tr>
            <w:tr w:rsidR="00600DEE" w14:paraId="10EF727F" w14:textId="77777777" w:rsidTr="00073743">
              <w:trPr>
                <w:trHeight w:hRule="exact" w:val="269"/>
              </w:trPr>
              <w:tc>
                <w:tcPr>
                  <w:tcW w:w="1366" w:type="dxa"/>
                  <w:tcBorders>
                    <w:top w:val="single" w:sz="4" w:space="0" w:color="FFFFFF"/>
                    <w:left w:val="single" w:sz="4" w:space="0" w:color="FFFFFF"/>
                    <w:bottom w:val="single" w:sz="4" w:space="0" w:color="FFFFFF"/>
                  </w:tcBorders>
                  <w:shd w:val="clear" w:color="auto" w:fill="DBE5F1"/>
                  <w:vAlign w:val="center"/>
                </w:tcPr>
                <w:p w14:paraId="300B8305"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Wojewódzkie</w:t>
                  </w:r>
                </w:p>
              </w:tc>
              <w:tc>
                <w:tcPr>
                  <w:tcW w:w="1367" w:type="dxa"/>
                  <w:tcBorders>
                    <w:top w:val="single" w:sz="4" w:space="0" w:color="FFFFFF"/>
                    <w:left w:val="single" w:sz="4" w:space="0" w:color="FFFFFF"/>
                    <w:bottom w:val="single" w:sz="4" w:space="0" w:color="FFFFFF"/>
                  </w:tcBorders>
                  <w:shd w:val="clear" w:color="auto" w:fill="DBE5F1"/>
                  <w:vAlign w:val="center"/>
                </w:tcPr>
                <w:p w14:paraId="44AE23F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0,9</w:t>
                  </w:r>
                </w:p>
              </w:tc>
              <w:tc>
                <w:tcPr>
                  <w:tcW w:w="1366" w:type="dxa"/>
                  <w:tcBorders>
                    <w:top w:val="single" w:sz="4" w:space="0" w:color="FFFFFF"/>
                    <w:left w:val="single" w:sz="4" w:space="0" w:color="FFFFFF"/>
                    <w:bottom w:val="single" w:sz="4" w:space="0" w:color="FFFFFF"/>
                  </w:tcBorders>
                  <w:shd w:val="clear" w:color="auto" w:fill="DBE5F1"/>
                  <w:vAlign w:val="center"/>
                </w:tcPr>
                <w:p w14:paraId="67A7A48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0,9</w:t>
                  </w:r>
                </w:p>
              </w:tc>
              <w:tc>
                <w:tcPr>
                  <w:tcW w:w="1367" w:type="dxa"/>
                  <w:tcBorders>
                    <w:top w:val="single" w:sz="4" w:space="0" w:color="FFFFFF"/>
                    <w:left w:val="single" w:sz="4" w:space="0" w:color="FFFFFF"/>
                    <w:bottom w:val="single" w:sz="4" w:space="0" w:color="FFFFFF"/>
                  </w:tcBorders>
                  <w:shd w:val="clear" w:color="auto" w:fill="DBE5F1"/>
                  <w:vAlign w:val="center"/>
                </w:tcPr>
                <w:p w14:paraId="2560E14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w:t>
                  </w:r>
                </w:p>
              </w:tc>
              <w:tc>
                <w:tcPr>
                  <w:tcW w:w="1367" w:type="dxa"/>
                  <w:tcBorders>
                    <w:top w:val="single" w:sz="4" w:space="0" w:color="FFFFFF"/>
                    <w:left w:val="single" w:sz="4" w:space="0" w:color="FFFFFF"/>
                    <w:bottom w:val="single" w:sz="4" w:space="0" w:color="FFFFFF"/>
                  </w:tcBorders>
                  <w:shd w:val="clear" w:color="auto" w:fill="DBE5F1"/>
                  <w:vAlign w:val="center"/>
                </w:tcPr>
                <w:p w14:paraId="10AE7C9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0,75</w:t>
                  </w:r>
                </w:p>
              </w:tc>
            </w:tr>
            <w:tr w:rsidR="00600DEE" w14:paraId="7B24B571" w14:textId="77777777" w:rsidTr="00073743">
              <w:trPr>
                <w:trHeight w:hRule="exact" w:val="269"/>
              </w:trPr>
              <w:tc>
                <w:tcPr>
                  <w:tcW w:w="1366" w:type="dxa"/>
                  <w:tcBorders>
                    <w:top w:val="single" w:sz="4" w:space="0" w:color="FFFFFF"/>
                    <w:left w:val="single" w:sz="4" w:space="0" w:color="FFFFFF"/>
                    <w:bottom w:val="single" w:sz="4" w:space="0" w:color="FFFFFF"/>
                  </w:tcBorders>
                  <w:shd w:val="clear" w:color="auto" w:fill="DBE5F1"/>
                  <w:vAlign w:val="center"/>
                </w:tcPr>
                <w:p w14:paraId="4D08355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Powiatowe</w:t>
                  </w:r>
                </w:p>
              </w:tc>
              <w:tc>
                <w:tcPr>
                  <w:tcW w:w="1367" w:type="dxa"/>
                  <w:tcBorders>
                    <w:top w:val="single" w:sz="4" w:space="0" w:color="FFFFFF"/>
                    <w:left w:val="single" w:sz="4" w:space="0" w:color="FFFFFF"/>
                    <w:bottom w:val="single" w:sz="4" w:space="0" w:color="FFFFFF"/>
                  </w:tcBorders>
                  <w:shd w:val="clear" w:color="auto" w:fill="DBE5F1"/>
                  <w:vAlign w:val="center"/>
                </w:tcPr>
                <w:p w14:paraId="4EF36E8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w:t>
                  </w:r>
                </w:p>
              </w:tc>
              <w:tc>
                <w:tcPr>
                  <w:tcW w:w="1366" w:type="dxa"/>
                  <w:tcBorders>
                    <w:top w:val="single" w:sz="4" w:space="0" w:color="FFFFFF"/>
                    <w:left w:val="single" w:sz="4" w:space="0" w:color="FFFFFF"/>
                    <w:bottom w:val="single" w:sz="4" w:space="0" w:color="FFFFFF"/>
                  </w:tcBorders>
                  <w:shd w:val="clear" w:color="auto" w:fill="DBE5F1"/>
                  <w:vAlign w:val="center"/>
                </w:tcPr>
                <w:p w14:paraId="6BE4DB2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w:t>
                  </w:r>
                </w:p>
              </w:tc>
              <w:tc>
                <w:tcPr>
                  <w:tcW w:w="1367" w:type="dxa"/>
                  <w:tcBorders>
                    <w:top w:val="single" w:sz="4" w:space="0" w:color="FFFFFF"/>
                    <w:left w:val="single" w:sz="4" w:space="0" w:color="FFFFFF"/>
                    <w:bottom w:val="single" w:sz="4" w:space="0" w:color="FFFFFF"/>
                  </w:tcBorders>
                  <w:shd w:val="clear" w:color="auto" w:fill="DBE5F1"/>
                  <w:vAlign w:val="center"/>
                </w:tcPr>
                <w:p w14:paraId="45B96A3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0,75</w:t>
                  </w:r>
                </w:p>
              </w:tc>
              <w:tc>
                <w:tcPr>
                  <w:tcW w:w="1367" w:type="dxa"/>
                  <w:tcBorders>
                    <w:top w:val="single" w:sz="4" w:space="0" w:color="FFFFFF"/>
                    <w:left w:val="single" w:sz="4" w:space="0" w:color="FFFFFF"/>
                    <w:bottom w:val="single" w:sz="4" w:space="0" w:color="FFFFFF"/>
                  </w:tcBorders>
                  <w:shd w:val="clear" w:color="auto" w:fill="DBE5F1"/>
                  <w:vAlign w:val="center"/>
                </w:tcPr>
                <w:p w14:paraId="752DDA8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w:t>
                  </w:r>
                </w:p>
              </w:tc>
            </w:tr>
            <w:tr w:rsidR="00600DEE" w14:paraId="4A9105B2" w14:textId="77777777" w:rsidTr="00073743">
              <w:trPr>
                <w:trHeight w:hRule="exact" w:val="430"/>
              </w:trPr>
              <w:tc>
                <w:tcPr>
                  <w:tcW w:w="1366" w:type="dxa"/>
                  <w:tcBorders>
                    <w:top w:val="single" w:sz="4" w:space="0" w:color="FFFFFF"/>
                    <w:left w:val="single" w:sz="4" w:space="0" w:color="FFFFFF"/>
                    <w:bottom w:val="single" w:sz="4" w:space="0" w:color="FFFFFF"/>
                  </w:tcBorders>
                  <w:shd w:val="clear" w:color="auto" w:fill="DBE5F1"/>
                  <w:vAlign w:val="center"/>
                </w:tcPr>
                <w:p w14:paraId="4A51B8F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Gminne</w:t>
                  </w:r>
                </w:p>
              </w:tc>
              <w:tc>
                <w:tcPr>
                  <w:tcW w:w="1367" w:type="dxa"/>
                  <w:tcBorders>
                    <w:top w:val="single" w:sz="4" w:space="0" w:color="FFFFFF"/>
                    <w:left w:val="single" w:sz="4" w:space="0" w:color="FFFFFF"/>
                    <w:bottom w:val="single" w:sz="4" w:space="0" w:color="FFFFFF"/>
                  </w:tcBorders>
                  <w:shd w:val="clear" w:color="auto" w:fill="DBE5F1"/>
                  <w:vAlign w:val="center"/>
                </w:tcPr>
                <w:p w14:paraId="3C30F05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0,75</w:t>
                  </w:r>
                </w:p>
              </w:tc>
              <w:tc>
                <w:tcPr>
                  <w:tcW w:w="1366" w:type="dxa"/>
                  <w:tcBorders>
                    <w:top w:val="single" w:sz="4" w:space="0" w:color="FFFFFF"/>
                    <w:left w:val="single" w:sz="4" w:space="0" w:color="FFFFFF"/>
                    <w:bottom w:val="single" w:sz="4" w:space="0" w:color="FFFFFF"/>
                  </w:tcBorders>
                  <w:shd w:val="clear" w:color="auto" w:fill="DBE5F1"/>
                  <w:vAlign w:val="center"/>
                </w:tcPr>
                <w:p w14:paraId="3C81C81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0,75</w:t>
                  </w:r>
                </w:p>
              </w:tc>
              <w:tc>
                <w:tcPr>
                  <w:tcW w:w="1367" w:type="dxa"/>
                  <w:tcBorders>
                    <w:top w:val="single" w:sz="4" w:space="0" w:color="FFFFFF"/>
                    <w:left w:val="single" w:sz="4" w:space="0" w:color="FFFFFF"/>
                    <w:bottom w:val="single" w:sz="4" w:space="0" w:color="FFFFFF"/>
                  </w:tcBorders>
                  <w:shd w:val="clear" w:color="auto" w:fill="DBE5F1"/>
                  <w:vAlign w:val="center"/>
                </w:tcPr>
                <w:p w14:paraId="59E6364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w:t>
                  </w:r>
                </w:p>
              </w:tc>
              <w:tc>
                <w:tcPr>
                  <w:tcW w:w="1367" w:type="dxa"/>
                  <w:tcBorders>
                    <w:top w:val="single" w:sz="4" w:space="0" w:color="FFFFFF"/>
                    <w:left w:val="single" w:sz="4" w:space="0" w:color="FFFFFF"/>
                    <w:bottom w:val="single" w:sz="4" w:space="0" w:color="FFFFFF"/>
                  </w:tcBorders>
                  <w:shd w:val="clear" w:color="auto" w:fill="DBE5F1"/>
                  <w:vAlign w:val="center"/>
                </w:tcPr>
                <w:p w14:paraId="6FBD41C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0,65</w:t>
                  </w:r>
                </w:p>
              </w:tc>
            </w:tr>
          </w:tbl>
          <w:p w14:paraId="3894637E" w14:textId="0A37FB7B" w:rsidR="00600DEE" w:rsidRDefault="003A38F9">
            <w:pPr>
              <w:spacing w:before="120" w:after="120"/>
              <w:jc w:val="both"/>
              <w:rPr>
                <w:rFonts w:ascii="Calibri" w:eastAsia="Calibri" w:hAnsi="Calibri" w:cs="Calibri"/>
                <w:sz w:val="20"/>
                <w:szCs w:val="20"/>
              </w:rPr>
            </w:pPr>
            <w:r>
              <w:rPr>
                <w:rFonts w:ascii="Calibri" w:eastAsia="Calibri" w:hAnsi="Calibri" w:cs="Calibri"/>
                <w:sz w:val="20"/>
                <w:szCs w:val="20"/>
              </w:rPr>
              <w:t xml:space="preserve">Powyższe tabele wskaźników </w:t>
            </w:r>
            <w:r w:rsidR="00641FB5">
              <w:rPr>
                <w:rFonts w:ascii="Calibri" w:eastAsia="Calibri" w:hAnsi="Calibri" w:cs="Calibri"/>
                <w:sz w:val="20"/>
                <w:szCs w:val="20"/>
              </w:rPr>
              <w:t>zostaną zweryfikowane w toku prac nad aktualizacją Krajowego Modelu Ruchu GDDKiA.</w:t>
            </w:r>
          </w:p>
          <w:p w14:paraId="2FB9ACD8"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Należy zaznaczyć, że w dużych miastach natężenia ruchu pozostają w zasadzie niezmienne w czasie, z wyjątkiem sytuacji, gdy w planach zagospodarowania przestrzennego, w sąsiedztwie nowej inwestycji przewidziane są realizacje nowych źródeł/celów podróży np. centrum handlowe lub osiedle mieszkaniowe.</w:t>
            </w:r>
          </w:p>
          <w:p w14:paraId="0128ACAB" w14:textId="77777777" w:rsidR="00600DEE" w:rsidRDefault="00600DEE">
            <w:pPr>
              <w:jc w:val="both"/>
              <w:rPr>
                <w:rFonts w:ascii="Calibri" w:eastAsia="Calibri" w:hAnsi="Calibri" w:cs="Calibri"/>
                <w:color w:val="4F81BD"/>
                <w:sz w:val="20"/>
                <w:szCs w:val="20"/>
              </w:rPr>
            </w:pPr>
          </w:p>
          <w:p w14:paraId="6DCB410D" w14:textId="77777777" w:rsidR="00600DEE" w:rsidRDefault="00600DEE">
            <w:pPr>
              <w:jc w:val="both"/>
              <w:rPr>
                <w:rFonts w:ascii="Calibri" w:eastAsia="Calibri" w:hAnsi="Calibri" w:cs="Calibri"/>
                <w:color w:val="4F81BD"/>
                <w:sz w:val="20"/>
                <w:szCs w:val="20"/>
              </w:rPr>
            </w:pPr>
          </w:p>
          <w:p w14:paraId="298B8FF7" w14:textId="77777777" w:rsidR="00600DEE" w:rsidRDefault="00600DEE">
            <w:pPr>
              <w:jc w:val="both"/>
              <w:rPr>
                <w:rFonts w:ascii="Calibri" w:eastAsia="Calibri" w:hAnsi="Calibri" w:cs="Calibri"/>
                <w:color w:val="4F81BD"/>
                <w:sz w:val="20"/>
                <w:szCs w:val="20"/>
              </w:rPr>
            </w:pPr>
          </w:p>
          <w:p w14:paraId="6A1EB8BD"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V. OSZACOWANIE PROGNOZY RUCHU. RAPORTY WYNIKOWE</w:t>
            </w:r>
          </w:p>
          <w:p w14:paraId="37A22BD6" w14:textId="77777777" w:rsidR="00600DEE" w:rsidRDefault="00600DEE">
            <w:pPr>
              <w:jc w:val="both"/>
              <w:rPr>
                <w:rFonts w:ascii="Calibri" w:eastAsia="Calibri" w:hAnsi="Calibri" w:cs="Calibri"/>
                <w:color w:val="4F81BD"/>
                <w:sz w:val="20"/>
                <w:szCs w:val="20"/>
              </w:rPr>
            </w:pPr>
          </w:p>
          <w:p w14:paraId="63789046"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Oszacowanie prognozowanych potoków ruchu na sieci</w:t>
            </w:r>
          </w:p>
          <w:p w14:paraId="2343BDF9" w14:textId="77777777" w:rsidR="00600DEE" w:rsidRDefault="00600DEE">
            <w:pPr>
              <w:jc w:val="both"/>
              <w:rPr>
                <w:rFonts w:ascii="Calibri" w:eastAsia="Calibri" w:hAnsi="Calibri" w:cs="Calibri"/>
                <w:b/>
                <w:sz w:val="20"/>
                <w:szCs w:val="20"/>
              </w:rPr>
            </w:pPr>
          </w:p>
          <w:p w14:paraId="78DBCC8D"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Przy prognozach wykonywanych metodami wskaźnikowymi zazwyczaj nie dopuszcza się przenoszenia na analizowany odcinek ruchu z innych ulic/dróg oraz nie uwzględnia się tzw. ruchu wzbudzonego. Prognozowane natężenie ruchu należy obliczyć jedynie poprzez przemnożenie ruchu istniejącego w roku bazowym przez wskaźniki wzrostu ruchu dla danego obszaru.</w:t>
            </w:r>
          </w:p>
          <w:p w14:paraId="234327EC"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Wyniki prognoz ruchu należy przedstawić w tabelach, w których zostaną przedstawione natężenia ruchu w podziale na kategorie pojazdów na poszczególnych odcinkach analizowanej inwestycji. Wyniki można ewentualnie także przedstawić w postaci rysunkowej, gdzie zostaną przedstawione potoki pojazdów na poszczególnych odcinkach sieci w korytarzu obejmującym analizowany odcinek.</w:t>
            </w:r>
          </w:p>
          <w:p w14:paraId="625F5562"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Dla inwestycji obejmujących budowę odcinków płatnych dróg rekomenduje się przeprowadzenie analiz dla różnych wariantów stawek opłat za przejazd oraz dla wariantu bez opłat. Stawki opłat należy uzgodnić z zarządcą infrastruktury.</w:t>
            </w:r>
          </w:p>
          <w:p w14:paraId="7E5B89D5" w14:textId="77777777" w:rsidR="00600DEE" w:rsidRDefault="00600DEE">
            <w:pPr>
              <w:jc w:val="both"/>
              <w:rPr>
                <w:rFonts w:ascii="Calibri" w:eastAsia="Calibri" w:hAnsi="Calibri" w:cs="Calibri"/>
                <w:color w:val="4F81BD"/>
                <w:sz w:val="20"/>
                <w:szCs w:val="20"/>
              </w:rPr>
            </w:pPr>
          </w:p>
          <w:p w14:paraId="18C3AC8A"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Raporty wynikowe prognozy ruchu</w:t>
            </w:r>
          </w:p>
          <w:p w14:paraId="25BEDCDC" w14:textId="77777777" w:rsidR="00600DEE" w:rsidRDefault="00600DEE">
            <w:pPr>
              <w:jc w:val="both"/>
              <w:rPr>
                <w:rFonts w:ascii="Calibri" w:eastAsia="Calibri" w:hAnsi="Calibri" w:cs="Calibri"/>
                <w:b/>
                <w:color w:val="4F81BD"/>
                <w:sz w:val="20"/>
                <w:szCs w:val="20"/>
              </w:rPr>
            </w:pPr>
          </w:p>
          <w:p w14:paraId="262BBCA4"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 wynikach prognoz ruchu oprócz natężenia i prędkości należy podać także strukturę ruchu – zgodnie z przyjętym podziałem na odpowiednie kategorie pojazdów.</w:t>
            </w:r>
          </w:p>
          <w:p w14:paraId="76F09573" w14:textId="77777777" w:rsidR="00600DEE" w:rsidRDefault="00641FB5">
            <w:pPr>
              <w:spacing w:before="120" w:after="120"/>
              <w:jc w:val="both"/>
              <w:rPr>
                <w:rFonts w:ascii="Calibri" w:eastAsia="Calibri" w:hAnsi="Calibri" w:cs="Calibri"/>
                <w:b/>
                <w:sz w:val="20"/>
                <w:szCs w:val="20"/>
              </w:rPr>
            </w:pPr>
            <w:r>
              <w:rPr>
                <w:rFonts w:ascii="Calibri" w:eastAsia="Calibri" w:hAnsi="Calibri" w:cs="Calibri"/>
                <w:sz w:val="20"/>
                <w:szCs w:val="20"/>
              </w:rPr>
              <w:t>Jeżeli infrastruktura drogowa jest elementem (częścią) większego projektu transportu publicznego to całość AKK, jak również prognoza ruchu, winna być wykonana zgodnie z podręcznikiem Niebieskiej Księgi dedykowanej projektom transportu publicznego.</w:t>
            </w:r>
          </w:p>
          <w:p w14:paraId="06A24DA0" w14:textId="043F72A1"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Zgodnie z aktualnymi wymaganiami GDDKiA</w:t>
            </w:r>
            <w:r w:rsidR="00A85726">
              <w:rPr>
                <w:rStyle w:val="Odwoanieprzypisudolnego"/>
                <w:rFonts w:ascii="Calibri" w:eastAsia="Calibri" w:hAnsi="Calibri" w:cs="Calibri"/>
                <w:sz w:val="20"/>
                <w:szCs w:val="20"/>
              </w:rPr>
              <w:footnoteReference w:id="25"/>
            </w:r>
            <w:r w:rsidR="00A85726">
              <w:rPr>
                <w:rFonts w:ascii="Calibri" w:eastAsia="Calibri" w:hAnsi="Calibri" w:cs="Calibri"/>
                <w:sz w:val="20"/>
                <w:szCs w:val="20"/>
              </w:rPr>
              <w:t>*</w:t>
            </w:r>
            <w:r>
              <w:rPr>
                <w:rFonts w:ascii="Calibri" w:eastAsia="Calibri" w:hAnsi="Calibri" w:cs="Calibri"/>
                <w:sz w:val="20"/>
                <w:szCs w:val="20"/>
              </w:rPr>
              <w:t>), następujące elementy powinny znajdować się w raportach wynikowych z prognozy ruchu:</w:t>
            </w:r>
          </w:p>
          <w:p w14:paraId="1B889585" w14:textId="77777777" w:rsidR="00600DEE" w:rsidRDefault="00641FB5">
            <w:pPr>
              <w:numPr>
                <w:ilvl w:val="0"/>
                <w:numId w:val="2"/>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Wielkości ruchu drogowego, opis warunków ruchu, punktów krytycznych analizowanego układu, podstawowych konfliktów itp. w istniejącym układzie drogowym – dla roku bazowego</w:t>
            </w:r>
          </w:p>
          <w:p w14:paraId="61DCD11A" w14:textId="77777777" w:rsidR="00600DEE" w:rsidRDefault="00641FB5">
            <w:pPr>
              <w:numPr>
                <w:ilvl w:val="0"/>
                <w:numId w:val="2"/>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 xml:space="preserve">Wyniki kalibracji modelu i weryfikacji z wynikami pomiarów w roku bazowym, zgodnie z wymaganiami dostępnymi na stronie internetowej </w:t>
            </w:r>
            <w:hyperlink r:id="rId147">
              <w:r>
                <w:rPr>
                  <w:rFonts w:ascii="Calibri" w:eastAsia="Calibri" w:hAnsi="Calibri" w:cs="Calibri"/>
                  <w:color w:val="0000FF"/>
                  <w:sz w:val="20"/>
                  <w:szCs w:val="20"/>
                  <w:u w:val="single"/>
                </w:rPr>
                <w:t>www.gddkia.gov.pl</w:t>
              </w:r>
            </w:hyperlink>
            <w:r>
              <w:rPr>
                <w:rFonts w:ascii="Calibri" w:eastAsia="Calibri" w:hAnsi="Calibri" w:cs="Calibri"/>
                <w:sz w:val="20"/>
                <w:szCs w:val="20"/>
              </w:rPr>
              <w:t>, w zakładce analizy i prognozy ruchu</w:t>
            </w:r>
          </w:p>
          <w:p w14:paraId="6F4EBEB7" w14:textId="77777777" w:rsidR="00600DEE" w:rsidRDefault="00641FB5">
            <w:pPr>
              <w:numPr>
                <w:ilvl w:val="0"/>
                <w:numId w:val="2"/>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Prognoza wielkości ruchowych i prognoza warunków ruchu – w istniejącym układzie drogowym (wariant bezinwestycyjny, W0) dla wymaganych horyzontów prognozy</w:t>
            </w:r>
          </w:p>
          <w:p w14:paraId="3AF75E61" w14:textId="77777777" w:rsidR="00600DEE" w:rsidRDefault="00641FB5">
            <w:pPr>
              <w:numPr>
                <w:ilvl w:val="0"/>
                <w:numId w:val="2"/>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Prognoza wielkości ruchowych oraz prognoza warunków ruchu (tj. określenie prognozowanych poziomów swobody ruchu) dla wariantów planowanej inwestycji, dla wymaganych lat prognozy</w:t>
            </w:r>
          </w:p>
          <w:p w14:paraId="3EEC784B" w14:textId="77777777" w:rsidR="00600DEE" w:rsidRDefault="00641FB5">
            <w:pPr>
              <w:numPr>
                <w:ilvl w:val="0"/>
                <w:numId w:val="2"/>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Porównanie rozkładu długości podróży otrzymanego z modelu i obserwowanego</w:t>
            </w:r>
          </w:p>
          <w:p w14:paraId="10CFB2E9" w14:textId="77777777" w:rsidR="00600DEE" w:rsidRDefault="00641FB5">
            <w:pPr>
              <w:numPr>
                <w:ilvl w:val="0"/>
                <w:numId w:val="2"/>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Rodzajowa struktura ruchu</w:t>
            </w:r>
          </w:p>
          <w:p w14:paraId="0B0F4A12" w14:textId="5AC75E35" w:rsidR="00600DEE" w:rsidRDefault="00641FB5">
            <w:pPr>
              <w:numPr>
                <w:ilvl w:val="0"/>
                <w:numId w:val="2"/>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Kierunkowy rozkład ruchu.</w:t>
            </w:r>
          </w:p>
          <w:p w14:paraId="64995B92" w14:textId="0303B6D4"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Zalecane jest również dołączenie innych wyników, dotyczących np. czasu podr</w:t>
            </w:r>
            <w:r w:rsidR="003A38F9">
              <w:rPr>
                <w:rFonts w:ascii="Calibri" w:eastAsia="Calibri" w:hAnsi="Calibri" w:cs="Calibri"/>
                <w:sz w:val="20"/>
                <w:szCs w:val="20"/>
              </w:rPr>
              <w:t>ó</w:t>
            </w:r>
            <w:r>
              <w:rPr>
                <w:rFonts w:ascii="Calibri" w:eastAsia="Calibri" w:hAnsi="Calibri" w:cs="Calibri"/>
                <w:sz w:val="20"/>
                <w:szCs w:val="20"/>
              </w:rPr>
              <w:t xml:space="preserve">ży czy też średniej prędkości na poszczególnych odcinkach sieci. </w:t>
            </w:r>
          </w:p>
          <w:p w14:paraId="6A5AD15E" w14:textId="77777777" w:rsidR="00600DEE" w:rsidRDefault="00600DEE">
            <w:pPr>
              <w:jc w:val="both"/>
              <w:rPr>
                <w:rFonts w:ascii="Calibri" w:eastAsia="Calibri" w:hAnsi="Calibri" w:cs="Calibri"/>
                <w:b/>
                <w:color w:val="4F81BD"/>
                <w:sz w:val="20"/>
                <w:szCs w:val="20"/>
              </w:rPr>
            </w:pPr>
          </w:p>
          <w:p w14:paraId="391F017A"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Analiza wyników</w:t>
            </w:r>
          </w:p>
          <w:p w14:paraId="75888899" w14:textId="77777777" w:rsidR="00600DEE" w:rsidRDefault="00600DEE">
            <w:pPr>
              <w:jc w:val="both"/>
              <w:rPr>
                <w:rFonts w:ascii="Calibri" w:eastAsia="Calibri" w:hAnsi="Calibri" w:cs="Calibri"/>
                <w:b/>
                <w:color w:val="4F81BD"/>
                <w:sz w:val="20"/>
                <w:szCs w:val="20"/>
              </w:rPr>
            </w:pPr>
          </w:p>
          <w:p w14:paraId="11ED4946" w14:textId="77777777" w:rsidR="00600DEE" w:rsidRDefault="00641FB5">
            <w:pPr>
              <w:spacing w:before="120"/>
              <w:jc w:val="both"/>
              <w:rPr>
                <w:rFonts w:ascii="Calibri" w:eastAsia="Calibri" w:hAnsi="Calibri" w:cs="Calibri"/>
                <w:sz w:val="20"/>
                <w:szCs w:val="20"/>
              </w:rPr>
            </w:pPr>
            <w:r>
              <w:rPr>
                <w:rFonts w:ascii="Calibri" w:eastAsia="Calibri" w:hAnsi="Calibri" w:cs="Calibri"/>
                <w:sz w:val="20"/>
                <w:szCs w:val="20"/>
              </w:rPr>
              <w:t>Otrzymane wyniki powinny spełniać nie tylko kryteria weryfikacji i walidacji, ale również niezbędna jest ich zdroworozsądkowa ocena. Na poszczególnych etapach modelowania i prognozowania należy krytycznie podchodzić do otrzymywanych wyników. Zaobserwowanie nietypowych zachowań w modelu może pociągać za sobą konieczność ponownego sprawdzenia oraz wprowadzenia ewentualnych poprawek w macierzach sieci transportowej czy też w metodyce obliczeń.</w:t>
            </w:r>
          </w:p>
          <w:p w14:paraId="5720C74A" w14:textId="77777777" w:rsidR="00600DEE" w:rsidRDefault="00600DEE">
            <w:pPr>
              <w:jc w:val="both"/>
              <w:rPr>
                <w:rFonts w:ascii="Calibri" w:eastAsia="Calibri" w:hAnsi="Calibri" w:cs="Calibri"/>
                <w:color w:val="4F81BD"/>
                <w:sz w:val="20"/>
                <w:szCs w:val="20"/>
              </w:rPr>
            </w:pPr>
          </w:p>
          <w:p w14:paraId="1F8A38F4"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Dane wejściowe do AKK</w:t>
            </w:r>
          </w:p>
          <w:p w14:paraId="14B79EAB" w14:textId="77777777" w:rsidR="00600DEE" w:rsidRDefault="00600DEE">
            <w:pPr>
              <w:jc w:val="both"/>
              <w:rPr>
                <w:rFonts w:ascii="Calibri" w:eastAsia="Calibri" w:hAnsi="Calibri" w:cs="Calibri"/>
                <w:color w:val="4F81BD"/>
                <w:sz w:val="20"/>
                <w:szCs w:val="20"/>
              </w:rPr>
            </w:pPr>
          </w:p>
          <w:p w14:paraId="634EB82C" w14:textId="77777777" w:rsidR="00600DEE" w:rsidRDefault="00641FB5">
            <w:pPr>
              <w:spacing w:before="120" w:after="120"/>
              <w:jc w:val="both"/>
              <w:rPr>
                <w:rFonts w:ascii="Calibri" w:eastAsia="Calibri" w:hAnsi="Calibri" w:cs="Calibri"/>
                <w:b/>
                <w:sz w:val="20"/>
                <w:szCs w:val="20"/>
              </w:rPr>
            </w:pPr>
            <w:r>
              <w:rPr>
                <w:rFonts w:ascii="Calibri" w:eastAsia="Calibri" w:hAnsi="Calibri" w:cs="Calibri"/>
                <w:sz w:val="20"/>
                <w:szCs w:val="20"/>
              </w:rPr>
              <w:t>Powyższe raporty stanowią źródło danych niezbędnych do przeprowadzenia analizy AKK. Minimalne wymogi dotyczące zakresu niezbędnych danych znajdują się w rozdziale 1.8 niniejszego podręcznika.</w:t>
            </w:r>
          </w:p>
          <w:p w14:paraId="5DFC56B6"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Na potrzeby obliczeń AKK danymi wejściowymi są:</w:t>
            </w:r>
          </w:p>
          <w:p w14:paraId="34975F15" w14:textId="77777777" w:rsidR="00600DEE" w:rsidRDefault="00641FB5">
            <w:pPr>
              <w:numPr>
                <w:ilvl w:val="0"/>
                <w:numId w:val="8"/>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dane o natężeniach ruchu (SDR) na odcinkach analizowanej sieci, wyrażone w pojazdach /dobę;</w:t>
            </w:r>
          </w:p>
          <w:p w14:paraId="2E276FBD" w14:textId="77777777" w:rsidR="00600DEE" w:rsidRDefault="00641FB5">
            <w:pPr>
              <w:numPr>
                <w:ilvl w:val="0"/>
                <w:numId w:val="8"/>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 xml:space="preserve">praca przewozowa/dobę; w podziale w zależności od kategorii pojazdów, prędkości i klasy drogi, wyrażona w: </w:t>
            </w:r>
          </w:p>
          <w:p w14:paraId="39F66799" w14:textId="77777777" w:rsidR="00600DEE" w:rsidRDefault="00641FB5">
            <w:pPr>
              <w:numPr>
                <w:ilvl w:val="1"/>
                <w:numId w:val="11"/>
              </w:numPr>
              <w:spacing w:before="120" w:after="120"/>
              <w:ind w:left="851" w:hanging="425"/>
              <w:jc w:val="both"/>
              <w:rPr>
                <w:rFonts w:ascii="Calibri" w:eastAsia="Calibri" w:hAnsi="Calibri" w:cs="Calibri"/>
                <w:sz w:val="20"/>
                <w:szCs w:val="20"/>
              </w:rPr>
            </w:pPr>
            <w:r>
              <w:rPr>
                <w:rFonts w:ascii="Calibri" w:eastAsia="Calibri" w:hAnsi="Calibri" w:cs="Calibri"/>
                <w:sz w:val="20"/>
                <w:szCs w:val="20"/>
              </w:rPr>
              <w:t>pojazdokilometrach (suma iloczynów natężenia ruchu i długości analizowanych odcinków); i </w:t>
            </w:r>
          </w:p>
          <w:p w14:paraId="3CF12C6D" w14:textId="77777777" w:rsidR="00600DEE" w:rsidRDefault="00641FB5">
            <w:pPr>
              <w:numPr>
                <w:ilvl w:val="1"/>
                <w:numId w:val="11"/>
              </w:numPr>
              <w:spacing w:before="120" w:after="120"/>
              <w:ind w:left="851" w:hanging="425"/>
              <w:jc w:val="both"/>
              <w:rPr>
                <w:rFonts w:ascii="Calibri" w:eastAsia="Calibri" w:hAnsi="Calibri" w:cs="Calibri"/>
                <w:sz w:val="20"/>
                <w:szCs w:val="20"/>
              </w:rPr>
            </w:pPr>
            <w:r>
              <w:rPr>
                <w:rFonts w:ascii="Calibri" w:eastAsia="Calibri" w:hAnsi="Calibri" w:cs="Calibri"/>
                <w:sz w:val="20"/>
                <w:szCs w:val="20"/>
              </w:rPr>
              <w:t xml:space="preserve">w pojazdogodzinach (suma iloczynów natężenia ruchu i czasu potrzebnego na pokonanie danego odcinka). </w:t>
            </w:r>
          </w:p>
          <w:p w14:paraId="0B423541" w14:textId="77777777" w:rsidR="00600DEE" w:rsidRDefault="00641FB5">
            <w:pPr>
              <w:spacing w:before="120" w:after="120"/>
              <w:jc w:val="both"/>
              <w:rPr>
                <w:rFonts w:ascii="Calibri" w:eastAsia="Calibri" w:hAnsi="Calibri" w:cs="Calibri"/>
                <w:b/>
                <w:sz w:val="20"/>
                <w:szCs w:val="20"/>
              </w:rPr>
            </w:pPr>
            <w:r>
              <w:rPr>
                <w:rFonts w:ascii="Calibri" w:eastAsia="Calibri" w:hAnsi="Calibri" w:cs="Calibri"/>
                <w:b/>
                <w:sz w:val="20"/>
                <w:szCs w:val="20"/>
              </w:rPr>
              <w:t>Dane te powinny dotyczyć wyłącznie zdefiniowanego obszaru oddziaływania projektu, (np. bufora) dla całego okresu referencyjnego; najlepiej w formie tabelarycznej. Pracę przewozową należy zaprezentować w formie tabelarycznej.</w:t>
            </w:r>
          </w:p>
          <w:p w14:paraId="0601C86C"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Należy pamiętać o zachowaniu zasady tej samej ilości pojazdów (podróży) w buforze zarówno w wariancie W0, jak i Wn.</w:t>
            </w:r>
          </w:p>
          <w:p w14:paraId="0D72877E"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 xml:space="preserve">O ile taki parametr, jak długość odcinka (długości odcinków jednorodnych ruchowo, na sieci dróg) jest prosty do uzyskania, to obliczenie czasu przejazdu wymaga skorzystania z tabel prędkości zawartych w wewnętrznym Przewodniku do AKK (opublikowanym przez GDDKiA w 2021 r.), zastępującym dotychczas stosowaną Instrukcję IBDiM z 2008 r. Dla sieci dróg czynności obliczeniowe wykonuje się przy pomocy specjalistycznego oprogramowania. W tym przypadku ważne jest odpowiednie kodowanie parametrów odcinków w obszarach objętych analizą w celu zróżnicowania pracy przewozowej na drogach różnych klas </w:t>
            </w:r>
          </w:p>
          <w:p w14:paraId="7DC49F59"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Ze względu na wymagania analizy AKK zestawienia pracy przewozowej z modelu powinny być opracowane dla różnych klas prędkości (chyba, że stosuje się metodę uproszczoną modelowania ruchu - wówczas prędkości potoków należy obliczyć na podstawie tabel prędkości z Przewodnika GDDKiA do AKK.</w:t>
            </w:r>
          </w:p>
          <w:p w14:paraId="7B220A78"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Podział na przedziały prędkości należy zróżnicować w zależności od lokalizacji inwestycji. w przypadku dróg zamiejskich należy przyjąć co najmniej następujące przedziały:</w:t>
            </w:r>
          </w:p>
          <w:p w14:paraId="63F8A895" w14:textId="77777777" w:rsidR="00600DEE" w:rsidRDefault="00641FB5" w:rsidP="00D5736B">
            <w:pPr>
              <w:numPr>
                <w:ilvl w:val="0"/>
                <w:numId w:val="84"/>
              </w:numPr>
              <w:spacing w:before="120"/>
              <w:ind w:left="851" w:hanging="851"/>
              <w:jc w:val="both"/>
              <w:rPr>
                <w:rFonts w:ascii="Calibri" w:eastAsia="Calibri" w:hAnsi="Calibri" w:cs="Calibri"/>
                <w:sz w:val="20"/>
                <w:szCs w:val="20"/>
              </w:rPr>
            </w:pPr>
            <w:r>
              <w:rPr>
                <w:rFonts w:ascii="Calibri" w:eastAsia="Calibri" w:hAnsi="Calibri" w:cs="Calibri"/>
                <w:sz w:val="20"/>
                <w:szCs w:val="20"/>
              </w:rPr>
              <w:t>&lt;30 km/h</w:t>
            </w:r>
          </w:p>
          <w:p w14:paraId="55685A3B" w14:textId="77777777" w:rsidR="00600DEE" w:rsidRDefault="00641FB5" w:rsidP="00D5736B">
            <w:pPr>
              <w:numPr>
                <w:ilvl w:val="0"/>
                <w:numId w:val="84"/>
              </w:numPr>
              <w:spacing w:before="120"/>
              <w:ind w:left="851" w:hanging="851"/>
              <w:jc w:val="both"/>
              <w:rPr>
                <w:rFonts w:ascii="Calibri" w:eastAsia="Calibri" w:hAnsi="Calibri" w:cs="Calibri"/>
                <w:sz w:val="20"/>
                <w:szCs w:val="20"/>
              </w:rPr>
            </w:pPr>
            <w:r>
              <w:rPr>
                <w:rFonts w:ascii="Calibri" w:eastAsia="Calibri" w:hAnsi="Calibri" w:cs="Calibri"/>
                <w:sz w:val="20"/>
                <w:szCs w:val="20"/>
              </w:rPr>
              <w:t>30 ÷ 50 km/h</w:t>
            </w:r>
          </w:p>
          <w:p w14:paraId="1F5A7E2D" w14:textId="77777777" w:rsidR="00600DEE" w:rsidRDefault="00641FB5" w:rsidP="00D5736B">
            <w:pPr>
              <w:numPr>
                <w:ilvl w:val="0"/>
                <w:numId w:val="84"/>
              </w:numPr>
              <w:spacing w:before="120"/>
              <w:ind w:left="851" w:hanging="851"/>
              <w:jc w:val="both"/>
              <w:rPr>
                <w:rFonts w:ascii="Calibri" w:eastAsia="Calibri" w:hAnsi="Calibri" w:cs="Calibri"/>
                <w:sz w:val="20"/>
                <w:szCs w:val="20"/>
              </w:rPr>
            </w:pPr>
            <w:r>
              <w:rPr>
                <w:rFonts w:ascii="Calibri" w:eastAsia="Calibri" w:hAnsi="Calibri" w:cs="Calibri"/>
                <w:sz w:val="20"/>
                <w:szCs w:val="20"/>
              </w:rPr>
              <w:t>51 ÷ 70 km/h</w:t>
            </w:r>
          </w:p>
          <w:p w14:paraId="6DA737AC" w14:textId="77777777" w:rsidR="00600DEE" w:rsidRDefault="00641FB5" w:rsidP="00D5736B">
            <w:pPr>
              <w:numPr>
                <w:ilvl w:val="0"/>
                <w:numId w:val="84"/>
              </w:numPr>
              <w:spacing w:before="120"/>
              <w:ind w:left="851" w:hanging="851"/>
              <w:jc w:val="both"/>
              <w:rPr>
                <w:rFonts w:ascii="Calibri" w:eastAsia="Calibri" w:hAnsi="Calibri" w:cs="Calibri"/>
                <w:sz w:val="20"/>
                <w:szCs w:val="20"/>
              </w:rPr>
            </w:pPr>
            <w:r>
              <w:rPr>
                <w:rFonts w:ascii="Calibri" w:eastAsia="Calibri" w:hAnsi="Calibri" w:cs="Calibri"/>
                <w:sz w:val="20"/>
                <w:szCs w:val="20"/>
              </w:rPr>
              <w:t>71 ÷ 90 km/h</w:t>
            </w:r>
          </w:p>
          <w:p w14:paraId="430FAB95" w14:textId="77777777" w:rsidR="00600DEE" w:rsidRDefault="00641FB5" w:rsidP="00D5736B">
            <w:pPr>
              <w:numPr>
                <w:ilvl w:val="0"/>
                <w:numId w:val="84"/>
              </w:numPr>
              <w:spacing w:before="120"/>
              <w:ind w:left="851" w:hanging="851"/>
              <w:jc w:val="both"/>
              <w:rPr>
                <w:rFonts w:ascii="Calibri" w:eastAsia="Calibri" w:hAnsi="Calibri" w:cs="Calibri"/>
                <w:sz w:val="20"/>
                <w:szCs w:val="20"/>
              </w:rPr>
            </w:pPr>
            <w:r>
              <w:rPr>
                <w:rFonts w:ascii="Calibri" w:eastAsia="Calibri" w:hAnsi="Calibri" w:cs="Calibri"/>
                <w:sz w:val="20"/>
                <w:szCs w:val="20"/>
              </w:rPr>
              <w:t>91 ÷ 110  km/h</w:t>
            </w:r>
          </w:p>
          <w:p w14:paraId="4B3654C3" w14:textId="77777777" w:rsidR="00600DEE" w:rsidRDefault="00641FB5" w:rsidP="00D5736B">
            <w:pPr>
              <w:numPr>
                <w:ilvl w:val="0"/>
                <w:numId w:val="84"/>
              </w:numPr>
              <w:spacing w:before="120"/>
              <w:ind w:left="851" w:hanging="851"/>
              <w:jc w:val="both"/>
              <w:rPr>
                <w:rFonts w:ascii="Calibri" w:eastAsia="Calibri" w:hAnsi="Calibri" w:cs="Calibri"/>
                <w:sz w:val="20"/>
                <w:szCs w:val="20"/>
              </w:rPr>
            </w:pPr>
            <w:r>
              <w:rPr>
                <w:rFonts w:ascii="Calibri" w:eastAsia="Calibri" w:hAnsi="Calibri" w:cs="Calibri"/>
                <w:sz w:val="20"/>
                <w:szCs w:val="20"/>
              </w:rPr>
              <w:t>&gt; 110 km/h</w:t>
            </w:r>
          </w:p>
          <w:p w14:paraId="7E5E8A50" w14:textId="77777777" w:rsidR="00600DEE" w:rsidRDefault="00641FB5">
            <w:pPr>
              <w:spacing w:after="120"/>
              <w:jc w:val="both"/>
              <w:rPr>
                <w:rFonts w:ascii="Calibri" w:eastAsia="Calibri" w:hAnsi="Calibri" w:cs="Calibri"/>
                <w:sz w:val="20"/>
                <w:szCs w:val="20"/>
              </w:rPr>
            </w:pPr>
            <w:r>
              <w:rPr>
                <w:rFonts w:ascii="Calibri" w:eastAsia="Calibri" w:hAnsi="Calibri" w:cs="Calibri"/>
                <w:sz w:val="20"/>
                <w:szCs w:val="20"/>
              </w:rPr>
              <w:t>Dla inwestycji zamiejskich należy wydzielić co najmniej następujące kategorie dróg na potrzeby prezentacji wyników analizy ruchu, wyrażonych w pracy przewozowej dla danego obszaru oddziaływania projektu (bufora):</w:t>
            </w:r>
          </w:p>
          <w:p w14:paraId="0BED183A"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Autostrady (A)</w:t>
            </w:r>
          </w:p>
          <w:p w14:paraId="21C7119C" w14:textId="6F34E44E"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Ekspresowe dwujezdniowe (S)</w:t>
            </w:r>
          </w:p>
          <w:p w14:paraId="6CFB4B69" w14:textId="0A1A3761"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Ekspresowe jednojezdniowe (S1</w:t>
            </w:r>
            <w:r w:rsidR="006C5DD9">
              <w:rPr>
                <w:rFonts w:ascii="Calibri" w:eastAsia="Calibri" w:hAnsi="Calibri" w:cs="Calibri"/>
                <w:sz w:val="20"/>
                <w:szCs w:val="20"/>
              </w:rPr>
              <w:t>x2</w:t>
            </w:r>
            <w:r>
              <w:rPr>
                <w:rFonts w:ascii="Calibri" w:eastAsia="Calibri" w:hAnsi="Calibri" w:cs="Calibri"/>
                <w:sz w:val="20"/>
                <w:szCs w:val="20"/>
              </w:rPr>
              <w:t>) w tym z dodatkowym pasem ruchu (S2+1)</w:t>
            </w:r>
          </w:p>
          <w:p w14:paraId="7F88EEC1"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 xml:space="preserve">Pozostałe krajowe i wojewódzkie dwujezdniowe </w:t>
            </w:r>
          </w:p>
          <w:p w14:paraId="433C6CCE"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 xml:space="preserve">Pozostałe krajowe i wojewódzkie jednojezdniowe </w:t>
            </w:r>
          </w:p>
          <w:p w14:paraId="0026FD12"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Odcinki miejskie</w:t>
            </w:r>
          </w:p>
          <w:p w14:paraId="72C75408"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Inne</w:t>
            </w:r>
          </w:p>
          <w:p w14:paraId="63EFB576" w14:textId="647FE4B1"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Przyjęty powyżej podział jest w zasadzie zgodny z głównym podziałem na kategorie odcinków, jaki zost</w:t>
            </w:r>
            <w:r w:rsidR="00A85726">
              <w:rPr>
                <w:rFonts w:ascii="Calibri" w:eastAsia="Calibri" w:hAnsi="Calibri" w:cs="Calibri"/>
                <w:sz w:val="20"/>
                <w:szCs w:val="20"/>
              </w:rPr>
              <w:t xml:space="preserve">ał zastosowany w Intermodalnym </w:t>
            </w:r>
            <w:r>
              <w:rPr>
                <w:rFonts w:ascii="Calibri" w:eastAsia="Calibri" w:hAnsi="Calibri" w:cs="Calibri"/>
                <w:sz w:val="20"/>
                <w:szCs w:val="20"/>
              </w:rPr>
              <w:t xml:space="preserve">Krajowym Modelu Ruchu udostępnianym przez GDDKiA, dodatkowo uwzględniono kategorię S2+1. </w:t>
            </w:r>
          </w:p>
          <w:p w14:paraId="7E115026"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 przypadku inwestycji miejskich należy przyjąć co najmniej następujące przedziały prędkości.</w:t>
            </w:r>
          </w:p>
          <w:p w14:paraId="793CAB4D"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&lt;10 km/h</w:t>
            </w:r>
          </w:p>
          <w:p w14:paraId="27849F96"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10 ÷ 30 km/h</w:t>
            </w:r>
          </w:p>
          <w:p w14:paraId="25EB05A6"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31 ÷ 50 km/h</w:t>
            </w:r>
          </w:p>
          <w:p w14:paraId="44448812"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51 ÷ 60 km/h</w:t>
            </w:r>
          </w:p>
          <w:p w14:paraId="1425016B"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61 ÷ 80 km/h</w:t>
            </w:r>
          </w:p>
          <w:p w14:paraId="6AB42868"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&gt; 80 km/h</w:t>
            </w:r>
          </w:p>
          <w:p w14:paraId="1C7F0303"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Powyższe przedziały prędkości na ulicach miejskich należy przyporządkować co najmniej do następujących kategorii odcinków.</w:t>
            </w:r>
          </w:p>
          <w:p w14:paraId="4FA34CC7"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ulice ekspresowe (S)</w:t>
            </w:r>
          </w:p>
          <w:p w14:paraId="46C53B18"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ulice główne ruchu przyspieszonego (GP)</w:t>
            </w:r>
          </w:p>
          <w:p w14:paraId="1778E887"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ulice główne (G)</w:t>
            </w:r>
          </w:p>
          <w:p w14:paraId="147D5099" w14:textId="77777777" w:rsidR="00600DEE" w:rsidRDefault="00641FB5" w:rsidP="00D5736B">
            <w:pPr>
              <w:numPr>
                <w:ilvl w:val="0"/>
                <w:numId w:val="84"/>
              </w:numPr>
              <w:spacing w:before="120" w:after="120"/>
              <w:ind w:left="851" w:hanging="851"/>
              <w:jc w:val="both"/>
              <w:rPr>
                <w:rFonts w:ascii="Calibri" w:eastAsia="Calibri" w:hAnsi="Calibri" w:cs="Calibri"/>
                <w:sz w:val="20"/>
                <w:szCs w:val="20"/>
              </w:rPr>
            </w:pPr>
            <w:r>
              <w:rPr>
                <w:rFonts w:ascii="Calibri" w:eastAsia="Calibri" w:hAnsi="Calibri" w:cs="Calibri"/>
                <w:sz w:val="20"/>
                <w:szCs w:val="20"/>
              </w:rPr>
              <w:t>ulice zbiorcze (Z)</w:t>
            </w:r>
          </w:p>
          <w:p w14:paraId="2689B0FC"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Ważne jest, aby w kategorii ulic GP uwzględnić również aspekt kolizyjności/ bezkolizyjności danego odcinka z przecinającymi drogami.</w:t>
            </w:r>
          </w:p>
          <w:p w14:paraId="0B577E41" w14:textId="77777777" w:rsidR="00600DEE" w:rsidRDefault="00641FB5">
            <w:pPr>
              <w:tabs>
                <w:tab w:val="left" w:pos="5160"/>
              </w:tabs>
              <w:spacing w:before="120" w:after="120"/>
              <w:ind w:right="170"/>
              <w:rPr>
                <w:rFonts w:ascii="Calibri" w:eastAsia="Calibri" w:hAnsi="Calibri" w:cs="Calibri"/>
                <w:b/>
                <w:color w:val="323299"/>
              </w:rPr>
            </w:pPr>
            <w:r>
              <w:rPr>
                <w:rFonts w:ascii="Calibri" w:eastAsia="Calibri" w:hAnsi="Calibri" w:cs="Calibri"/>
                <w:sz w:val="20"/>
                <w:szCs w:val="20"/>
              </w:rPr>
              <w:t>Obszar analizy obejmujący sieć dróg z obszaru oddziaływania projektu, dla której wyliczono natężenia ruchu oraz prace przewozowe należy przedstawić w formie graficznej i opisowej.</w:t>
            </w:r>
          </w:p>
        </w:tc>
        <w:tc>
          <w:tcPr>
            <w:tcW w:w="7201" w:type="dxa"/>
            <w:tcBorders>
              <w:left w:val="single" w:sz="4" w:space="0" w:color="000000"/>
            </w:tcBorders>
            <w:tcMar>
              <w:left w:w="284" w:type="dxa"/>
              <w:right w:w="284" w:type="dxa"/>
            </w:tcMar>
          </w:tcPr>
          <w:p w14:paraId="36933AC3"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 xml:space="preserve">Stages of traffic forecasting – description, basic assumptions and recommendations </w:t>
            </w:r>
          </w:p>
          <w:p w14:paraId="07BA0D94" w14:textId="77777777" w:rsidR="00600DEE" w:rsidRPr="0045151D" w:rsidRDefault="00600DEE">
            <w:pPr>
              <w:jc w:val="both"/>
              <w:rPr>
                <w:rFonts w:ascii="Calibri" w:eastAsia="Calibri" w:hAnsi="Calibri" w:cs="Calibri"/>
                <w:color w:val="4F81BD"/>
                <w:sz w:val="20"/>
                <w:szCs w:val="20"/>
                <w:lang w:val="en-GB"/>
              </w:rPr>
            </w:pPr>
          </w:p>
          <w:p w14:paraId="07A7A0FD"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I. DEFINING THE SCOPE OF THE MODEL</w:t>
            </w:r>
          </w:p>
          <w:p w14:paraId="44D7C28E" w14:textId="77777777" w:rsidR="00600DEE" w:rsidRPr="0045151D" w:rsidRDefault="00600DEE">
            <w:pPr>
              <w:jc w:val="both"/>
              <w:rPr>
                <w:rFonts w:ascii="Calibri" w:eastAsia="Calibri" w:hAnsi="Calibri" w:cs="Calibri"/>
                <w:color w:val="4F81BD"/>
                <w:sz w:val="20"/>
                <w:szCs w:val="20"/>
                <w:lang w:val="en-GB"/>
              </w:rPr>
            </w:pPr>
          </w:p>
          <w:p w14:paraId="244FA7B7"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Extent of network</w:t>
            </w:r>
          </w:p>
          <w:p w14:paraId="1EE1E110" w14:textId="77777777" w:rsidR="00600DEE" w:rsidRPr="0045151D" w:rsidRDefault="00600DEE">
            <w:pPr>
              <w:jc w:val="both"/>
              <w:rPr>
                <w:rFonts w:ascii="Calibri" w:eastAsia="Calibri" w:hAnsi="Calibri" w:cs="Calibri"/>
                <w:sz w:val="20"/>
                <w:szCs w:val="20"/>
                <w:lang w:val="en-GB"/>
              </w:rPr>
            </w:pPr>
          </w:p>
          <w:p w14:paraId="5A83E486"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For the vast majority of non-urban road projects, the road model usually covers the whole country or region/regions, depending on the project nature. Consequently, the National Traffic Model which is owned and made available by GDDKiA may be used. This model covers the whole network of national and voivodeship roads, domestic rail and airports networks. </w:t>
            </w:r>
          </w:p>
          <w:p w14:paraId="10E2CDFC"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GDDKiA’s current traffic model is not suitable for direct use. It is a base model which may be used together with specialized traffic modelling software, adjusting its validity and detail level to current situation and project characteristics.  </w:t>
            </w:r>
          </w:p>
          <w:p w14:paraId="68050633" w14:textId="77777777" w:rsidR="00600DEE" w:rsidRPr="0045151D" w:rsidRDefault="00600DEE">
            <w:pPr>
              <w:jc w:val="both"/>
              <w:rPr>
                <w:rFonts w:ascii="Calibri" w:eastAsia="Calibri" w:hAnsi="Calibri" w:cs="Calibri"/>
                <w:sz w:val="20"/>
                <w:szCs w:val="20"/>
                <w:lang w:val="en-GB"/>
              </w:rPr>
            </w:pPr>
          </w:p>
          <w:p w14:paraId="23CBC193"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For urban investments, the traffic forecasts should be prepared on the basis of a traffic model which covers, at least, the city borders. For key transport investments and those in major cities (more than 300 000 residents), the model should be expanded to the area adjacent to the city which has an influence on the city traffic volume.</w:t>
            </w:r>
          </w:p>
          <w:p w14:paraId="5ACDDF38" w14:textId="77777777" w:rsidR="00600DEE" w:rsidRPr="0045151D" w:rsidRDefault="00600DEE">
            <w:pPr>
              <w:jc w:val="both"/>
              <w:rPr>
                <w:rFonts w:ascii="Calibri" w:eastAsia="Calibri" w:hAnsi="Calibri" w:cs="Calibri"/>
                <w:sz w:val="20"/>
                <w:szCs w:val="20"/>
                <w:lang w:val="en-GB"/>
              </w:rPr>
            </w:pPr>
          </w:p>
          <w:p w14:paraId="26F957BD"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Then, for the purposes of economic-financial analysis, it is useful to identify the project impact area, also called a buffer (as defined in “Definitions and Acronims” section), which will constitute the basis for required traffic forecast input data.</w:t>
            </w:r>
          </w:p>
          <w:p w14:paraId="46A7B2D2" w14:textId="77777777" w:rsidR="00600DEE" w:rsidRPr="0045151D" w:rsidRDefault="00600DEE">
            <w:pPr>
              <w:jc w:val="both"/>
              <w:rPr>
                <w:rFonts w:ascii="Calibri" w:eastAsia="Calibri" w:hAnsi="Calibri" w:cs="Calibri"/>
                <w:sz w:val="20"/>
                <w:szCs w:val="20"/>
                <w:lang w:val="en-GB"/>
              </w:rPr>
            </w:pPr>
          </w:p>
          <w:p w14:paraId="2A83EEDE"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For road reconstruction projects, for which it is possible to prepare a simplified traffic forecast with the indicator method, the forecast should only cover the section of the road/street being analysed.</w:t>
            </w:r>
          </w:p>
          <w:p w14:paraId="226F868E" w14:textId="77777777" w:rsidR="00600DEE" w:rsidRPr="0045151D" w:rsidRDefault="00600DEE">
            <w:pPr>
              <w:jc w:val="both"/>
              <w:rPr>
                <w:rFonts w:ascii="Calibri" w:eastAsia="Calibri" w:hAnsi="Calibri" w:cs="Calibri"/>
                <w:sz w:val="20"/>
                <w:szCs w:val="20"/>
                <w:lang w:val="en-GB"/>
              </w:rPr>
            </w:pPr>
          </w:p>
          <w:p w14:paraId="2B89A923" w14:textId="77777777" w:rsidR="00600DEE" w:rsidRPr="0045151D" w:rsidRDefault="00600DEE">
            <w:pPr>
              <w:jc w:val="both"/>
              <w:rPr>
                <w:rFonts w:ascii="Calibri" w:eastAsia="Calibri" w:hAnsi="Calibri" w:cs="Calibri"/>
                <w:b/>
                <w:color w:val="323299"/>
                <w:sz w:val="20"/>
                <w:szCs w:val="20"/>
                <w:lang w:val="en-GB"/>
              </w:rPr>
            </w:pPr>
          </w:p>
          <w:p w14:paraId="5B2A7C5B" w14:textId="77777777" w:rsidR="00600DEE" w:rsidRPr="0045151D" w:rsidRDefault="00600DEE">
            <w:pPr>
              <w:jc w:val="both"/>
              <w:rPr>
                <w:rFonts w:ascii="Calibri" w:eastAsia="Calibri" w:hAnsi="Calibri" w:cs="Calibri"/>
                <w:b/>
                <w:color w:val="323299"/>
                <w:sz w:val="20"/>
                <w:szCs w:val="20"/>
                <w:lang w:val="en-GB"/>
              </w:rPr>
            </w:pPr>
          </w:p>
          <w:p w14:paraId="07F18455" w14:textId="77777777" w:rsidR="00600DEE" w:rsidRPr="0045151D" w:rsidRDefault="00600DEE">
            <w:pPr>
              <w:jc w:val="both"/>
              <w:rPr>
                <w:rFonts w:ascii="Calibri" w:eastAsia="Calibri" w:hAnsi="Calibri" w:cs="Calibri"/>
                <w:b/>
                <w:color w:val="323299"/>
                <w:sz w:val="20"/>
                <w:szCs w:val="20"/>
                <w:lang w:val="en-GB"/>
              </w:rPr>
            </w:pPr>
          </w:p>
          <w:p w14:paraId="576E591D" w14:textId="77777777" w:rsidR="00600DEE" w:rsidRPr="0045151D" w:rsidRDefault="00600DEE">
            <w:pPr>
              <w:jc w:val="both"/>
              <w:rPr>
                <w:rFonts w:ascii="Calibri" w:eastAsia="Calibri" w:hAnsi="Calibri" w:cs="Calibri"/>
                <w:b/>
                <w:color w:val="323299"/>
                <w:sz w:val="20"/>
                <w:szCs w:val="20"/>
                <w:lang w:val="en-GB"/>
              </w:rPr>
            </w:pPr>
          </w:p>
          <w:p w14:paraId="3CD0EF03" w14:textId="77777777" w:rsidR="00C77DFC" w:rsidRPr="0045151D" w:rsidRDefault="00C77DFC">
            <w:pPr>
              <w:jc w:val="both"/>
              <w:rPr>
                <w:rFonts w:ascii="Calibri" w:eastAsia="Calibri" w:hAnsi="Calibri" w:cs="Calibri"/>
                <w:b/>
                <w:color w:val="4F81BD"/>
                <w:sz w:val="20"/>
                <w:szCs w:val="20"/>
                <w:lang w:val="en-GB"/>
              </w:rPr>
            </w:pPr>
          </w:p>
          <w:p w14:paraId="39AF006D" w14:textId="77777777" w:rsidR="00C77DFC" w:rsidRPr="0045151D" w:rsidRDefault="00C77DFC">
            <w:pPr>
              <w:jc w:val="both"/>
              <w:rPr>
                <w:rFonts w:ascii="Calibri" w:eastAsia="Calibri" w:hAnsi="Calibri" w:cs="Calibri"/>
                <w:b/>
                <w:color w:val="4F81BD"/>
                <w:sz w:val="20"/>
                <w:szCs w:val="20"/>
                <w:lang w:val="en-GB"/>
              </w:rPr>
            </w:pPr>
          </w:p>
          <w:p w14:paraId="3F5D9C21" w14:textId="366E1F2E"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Network details. Zone system</w:t>
            </w:r>
          </w:p>
          <w:p w14:paraId="053B7BBA" w14:textId="77777777" w:rsidR="00600DEE" w:rsidRPr="0045151D" w:rsidRDefault="00600DEE">
            <w:pPr>
              <w:jc w:val="both"/>
              <w:rPr>
                <w:rFonts w:ascii="Calibri" w:eastAsia="Calibri" w:hAnsi="Calibri" w:cs="Calibri"/>
                <w:sz w:val="20"/>
                <w:szCs w:val="20"/>
                <w:lang w:val="en-GB"/>
              </w:rPr>
            </w:pPr>
          </w:p>
          <w:p w14:paraId="56064AF6"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For national and voivodeship road investments, it is recommended to use the transport  network model included in the Multimodal National Traffic Model available from GDDKiA. The model contains information about traffic on the national and voivodeship road network broken down into powiats [counties]. The information is in the form of text files readable by specialised softwares. The information may have to be updated to include local roads in the vicinity of the analysed project. </w:t>
            </w:r>
          </w:p>
          <w:p w14:paraId="4A76A8A4" w14:textId="6A2F0C81" w:rsidR="00600DEE" w:rsidRPr="0045151D" w:rsidRDefault="00600DEE">
            <w:pPr>
              <w:jc w:val="both"/>
              <w:rPr>
                <w:rFonts w:ascii="Calibri" w:eastAsia="Calibri" w:hAnsi="Calibri" w:cs="Calibri"/>
                <w:sz w:val="20"/>
                <w:szCs w:val="20"/>
                <w:lang w:val="en-GB"/>
              </w:rPr>
            </w:pPr>
          </w:p>
          <w:p w14:paraId="1BC4B8AD" w14:textId="77777777" w:rsidR="00C77DFC" w:rsidRPr="0045151D" w:rsidRDefault="00C77DFC">
            <w:pPr>
              <w:jc w:val="both"/>
              <w:rPr>
                <w:rFonts w:ascii="Calibri" w:eastAsia="Calibri" w:hAnsi="Calibri" w:cs="Calibri"/>
                <w:sz w:val="20"/>
                <w:szCs w:val="20"/>
                <w:lang w:val="en-GB"/>
              </w:rPr>
            </w:pPr>
          </w:p>
          <w:p w14:paraId="45307D49"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The following information should be provided, if a model different than the National Traffic Model is used in the CBA:</w:t>
            </w:r>
          </w:p>
          <w:p w14:paraId="70432DF6" w14:textId="77777777" w:rsidR="00600DEE" w:rsidRPr="0045151D" w:rsidRDefault="00641FB5" w:rsidP="00D5736B">
            <w:pPr>
              <w:numPr>
                <w:ilvl w:val="0"/>
                <w:numId w:val="80"/>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adopted division into road categories,</w:t>
            </w:r>
          </w:p>
          <w:p w14:paraId="5C472B67" w14:textId="7130F98D" w:rsidR="00600DEE" w:rsidRPr="0045151D" w:rsidRDefault="00641FB5" w:rsidP="00D5736B">
            <w:pPr>
              <w:numPr>
                <w:ilvl w:val="0"/>
                <w:numId w:val="80"/>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technical parameters of particular categories of road sections including, among others, the adopted section resistance functions</w:t>
            </w:r>
            <w:r w:rsidR="00B95FB9" w:rsidRPr="00B95FB9">
              <w:rPr>
                <w:rFonts w:ascii="Calibri" w:eastAsia="Calibri" w:hAnsi="Calibri" w:cs="Calibri"/>
                <w:sz w:val="20"/>
                <w:szCs w:val="20"/>
                <w:vertAlign w:val="superscript"/>
                <w:lang w:val="en-GB"/>
              </w:rPr>
              <w:t>23</w:t>
            </w:r>
            <w:r w:rsidRPr="0045151D">
              <w:rPr>
                <w:rFonts w:ascii="Calibri" w:eastAsia="Calibri" w:hAnsi="Calibri" w:cs="Calibri"/>
                <w:sz w:val="20"/>
                <w:szCs w:val="20"/>
                <w:lang w:val="en-GB"/>
              </w:rPr>
              <w:t>,</w:t>
            </w:r>
          </w:p>
          <w:p w14:paraId="31590422" w14:textId="77777777" w:rsidR="00600DEE" w:rsidRDefault="00641FB5" w:rsidP="00D5736B">
            <w:pPr>
              <w:numPr>
                <w:ilvl w:val="0"/>
                <w:numId w:val="80"/>
              </w:numPr>
              <w:spacing w:before="120" w:after="120"/>
              <w:ind w:left="709" w:hanging="709"/>
              <w:jc w:val="both"/>
              <w:rPr>
                <w:rFonts w:ascii="Calibri" w:eastAsia="Calibri" w:hAnsi="Calibri" w:cs="Calibri"/>
                <w:sz w:val="20"/>
                <w:szCs w:val="20"/>
              </w:rPr>
            </w:pPr>
            <w:r>
              <w:rPr>
                <w:rFonts w:ascii="Calibri" w:eastAsia="Calibri" w:hAnsi="Calibri" w:cs="Calibri"/>
                <w:sz w:val="20"/>
                <w:szCs w:val="20"/>
              </w:rPr>
              <w:t>adopted transport zoning system,</w:t>
            </w:r>
          </w:p>
          <w:p w14:paraId="3F004D8A" w14:textId="77777777" w:rsidR="00600DEE" w:rsidRDefault="00641FB5" w:rsidP="00D5736B">
            <w:pPr>
              <w:numPr>
                <w:ilvl w:val="0"/>
                <w:numId w:val="80"/>
              </w:numPr>
              <w:spacing w:before="120" w:after="120"/>
              <w:ind w:left="709" w:hanging="709"/>
              <w:jc w:val="both"/>
              <w:rPr>
                <w:rFonts w:ascii="Calibri" w:eastAsia="Calibri" w:hAnsi="Calibri" w:cs="Calibri"/>
                <w:sz w:val="20"/>
                <w:szCs w:val="20"/>
              </w:rPr>
            </w:pPr>
            <w:r>
              <w:rPr>
                <w:rFonts w:ascii="Calibri" w:eastAsia="Calibri" w:hAnsi="Calibri" w:cs="Calibri"/>
                <w:sz w:val="20"/>
                <w:szCs w:val="20"/>
              </w:rPr>
              <w:t>charges for infrastructure use.</w:t>
            </w:r>
          </w:p>
          <w:p w14:paraId="09AB8206"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In case of urban areas, it is recommended to use existing models from local authorities, if available. The model of the street network must include, at least, all streets within city limits, including local collector roads. The required information about the network model description must be the same as for non-urban roads.</w:t>
            </w:r>
          </w:p>
          <w:p w14:paraId="13A7E052" w14:textId="77777777" w:rsidR="00600DEE" w:rsidRPr="0045151D" w:rsidRDefault="00600DEE">
            <w:pPr>
              <w:jc w:val="both"/>
              <w:rPr>
                <w:rFonts w:ascii="Calibri" w:eastAsia="Calibri" w:hAnsi="Calibri" w:cs="Calibri"/>
                <w:b/>
                <w:color w:val="323299"/>
                <w:sz w:val="20"/>
                <w:szCs w:val="20"/>
                <w:lang w:val="en-GB"/>
              </w:rPr>
            </w:pPr>
          </w:p>
          <w:p w14:paraId="2A556FD9" w14:textId="77777777" w:rsidR="00600DEE" w:rsidRPr="0045151D" w:rsidRDefault="00600DEE">
            <w:pPr>
              <w:jc w:val="both"/>
              <w:rPr>
                <w:rFonts w:ascii="Calibri" w:eastAsia="Calibri" w:hAnsi="Calibri" w:cs="Calibri"/>
                <w:b/>
                <w:color w:val="4F81BD"/>
                <w:sz w:val="20"/>
                <w:szCs w:val="20"/>
                <w:lang w:val="en-GB"/>
              </w:rPr>
            </w:pPr>
          </w:p>
          <w:p w14:paraId="33CD093E" w14:textId="77777777" w:rsidR="00C77DFC" w:rsidRPr="0045151D" w:rsidRDefault="00C77DFC">
            <w:pPr>
              <w:jc w:val="both"/>
              <w:rPr>
                <w:rFonts w:ascii="Calibri" w:eastAsia="Calibri" w:hAnsi="Calibri" w:cs="Calibri"/>
                <w:b/>
                <w:color w:val="4F81BD"/>
                <w:sz w:val="20"/>
                <w:szCs w:val="20"/>
                <w:lang w:val="en-GB"/>
              </w:rPr>
            </w:pPr>
          </w:p>
          <w:p w14:paraId="7E63E35A" w14:textId="77777777" w:rsidR="00C77DFC" w:rsidRPr="0045151D" w:rsidRDefault="00C77DFC">
            <w:pPr>
              <w:jc w:val="both"/>
              <w:rPr>
                <w:rFonts w:ascii="Calibri" w:eastAsia="Calibri" w:hAnsi="Calibri" w:cs="Calibri"/>
                <w:b/>
                <w:color w:val="4F81BD"/>
                <w:sz w:val="20"/>
                <w:szCs w:val="20"/>
                <w:lang w:val="en-GB"/>
              </w:rPr>
            </w:pPr>
          </w:p>
          <w:p w14:paraId="36D6775C" w14:textId="77777777" w:rsidR="00C77DFC" w:rsidRPr="0045151D" w:rsidRDefault="00C77DFC">
            <w:pPr>
              <w:jc w:val="both"/>
              <w:rPr>
                <w:rFonts w:ascii="Calibri" w:eastAsia="Calibri" w:hAnsi="Calibri" w:cs="Calibri"/>
                <w:b/>
                <w:color w:val="4F81BD"/>
                <w:sz w:val="20"/>
                <w:szCs w:val="20"/>
                <w:lang w:val="en-GB"/>
              </w:rPr>
            </w:pPr>
          </w:p>
          <w:p w14:paraId="12F87BC0" w14:textId="77777777" w:rsidR="00C77DFC" w:rsidRPr="0045151D" w:rsidRDefault="00C77DFC">
            <w:pPr>
              <w:jc w:val="both"/>
              <w:rPr>
                <w:rFonts w:ascii="Calibri" w:eastAsia="Calibri" w:hAnsi="Calibri" w:cs="Calibri"/>
                <w:b/>
                <w:color w:val="4F81BD"/>
                <w:sz w:val="20"/>
                <w:szCs w:val="20"/>
                <w:lang w:val="en-GB"/>
              </w:rPr>
            </w:pPr>
          </w:p>
          <w:p w14:paraId="401D928F" w14:textId="77777777" w:rsidR="00C77DFC" w:rsidRPr="0045151D" w:rsidRDefault="00C77DFC">
            <w:pPr>
              <w:jc w:val="both"/>
              <w:rPr>
                <w:rFonts w:ascii="Calibri" w:eastAsia="Calibri" w:hAnsi="Calibri" w:cs="Calibri"/>
                <w:b/>
                <w:color w:val="4F81BD"/>
                <w:sz w:val="20"/>
                <w:szCs w:val="20"/>
                <w:lang w:val="en-GB"/>
              </w:rPr>
            </w:pPr>
          </w:p>
          <w:p w14:paraId="5ACC215A" w14:textId="77777777" w:rsidR="00C77DFC" w:rsidRPr="0045151D" w:rsidRDefault="00C77DFC">
            <w:pPr>
              <w:jc w:val="both"/>
              <w:rPr>
                <w:rFonts w:ascii="Calibri" w:eastAsia="Calibri" w:hAnsi="Calibri" w:cs="Calibri"/>
                <w:b/>
                <w:color w:val="4F81BD"/>
                <w:sz w:val="20"/>
                <w:szCs w:val="20"/>
                <w:lang w:val="en-GB"/>
              </w:rPr>
            </w:pPr>
          </w:p>
          <w:p w14:paraId="56A89026" w14:textId="658524FE" w:rsidR="00600DEE" w:rsidRPr="0045151D" w:rsidRDefault="00641FB5" w:rsidP="00C77DFC">
            <w:pPr>
              <w:spacing w:after="120"/>
              <w:jc w:val="both"/>
              <w:rPr>
                <w:rFonts w:ascii="Calibri" w:eastAsia="Calibri" w:hAnsi="Calibri" w:cs="Calibri"/>
                <w:sz w:val="20"/>
                <w:szCs w:val="20"/>
                <w:lang w:val="en-GB"/>
              </w:rPr>
            </w:pPr>
            <w:r w:rsidRPr="0045151D">
              <w:rPr>
                <w:rFonts w:ascii="Calibri" w:eastAsia="Calibri" w:hAnsi="Calibri" w:cs="Calibri"/>
                <w:b/>
                <w:color w:val="4F81BD"/>
                <w:sz w:val="20"/>
                <w:szCs w:val="20"/>
                <w:lang w:val="en-GB"/>
              </w:rPr>
              <w:t>Categories of vehicles. Multi-modality</w:t>
            </w:r>
          </w:p>
          <w:p w14:paraId="1BAEE038" w14:textId="77777777" w:rsidR="00600DEE" w:rsidRDefault="00641FB5">
            <w:pPr>
              <w:spacing w:after="120"/>
              <w:jc w:val="both"/>
              <w:rPr>
                <w:rFonts w:ascii="Calibri" w:eastAsia="Calibri" w:hAnsi="Calibri" w:cs="Calibri"/>
                <w:sz w:val="20"/>
                <w:szCs w:val="20"/>
              </w:rPr>
            </w:pPr>
            <w:r w:rsidRPr="0045151D">
              <w:rPr>
                <w:rFonts w:ascii="Calibri" w:eastAsia="Calibri" w:hAnsi="Calibri" w:cs="Calibri"/>
                <w:sz w:val="20"/>
                <w:szCs w:val="20"/>
                <w:lang w:val="en-GB"/>
              </w:rPr>
              <w:t xml:space="preserve">Regardless of the method of forecasting, the results should present the daily volume of traffic (in AADT – Average Annual Daily Traffic) or/and hourly (peak hours) volumes. </w:t>
            </w:r>
            <w:r>
              <w:rPr>
                <w:rFonts w:ascii="Calibri" w:eastAsia="Calibri" w:hAnsi="Calibri" w:cs="Calibri"/>
                <w:sz w:val="20"/>
                <w:szCs w:val="20"/>
              </w:rPr>
              <w:t xml:space="preserve">Typical vehicle classification may be as follows: </w:t>
            </w:r>
          </w:p>
          <w:p w14:paraId="1EDC72BA" w14:textId="77777777" w:rsidR="00600DEE" w:rsidRDefault="00641FB5" w:rsidP="00D5736B">
            <w:pPr>
              <w:numPr>
                <w:ilvl w:val="0"/>
                <w:numId w:val="18"/>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SO</w:t>
            </w:r>
            <w:r>
              <w:rPr>
                <w:rFonts w:ascii="Calibri" w:eastAsia="Calibri" w:hAnsi="Calibri" w:cs="Calibri"/>
                <w:sz w:val="20"/>
                <w:szCs w:val="20"/>
              </w:rPr>
              <w:t xml:space="preserve"> - passenger cars, </w:t>
            </w:r>
          </w:p>
          <w:p w14:paraId="0A2A0DC2" w14:textId="77777777" w:rsidR="00600DEE" w:rsidRPr="005B413F" w:rsidRDefault="00641FB5" w:rsidP="00D5736B">
            <w:pPr>
              <w:numPr>
                <w:ilvl w:val="0"/>
                <w:numId w:val="18"/>
              </w:numPr>
              <w:spacing w:before="120" w:after="120"/>
              <w:ind w:left="707" w:hanging="707"/>
              <w:jc w:val="both"/>
              <w:rPr>
                <w:rFonts w:ascii="Calibri" w:eastAsia="Calibri" w:hAnsi="Calibri" w:cs="Calibri"/>
                <w:sz w:val="20"/>
                <w:szCs w:val="20"/>
                <w:lang w:val="fr-BE"/>
              </w:rPr>
            </w:pPr>
            <w:r w:rsidRPr="005B413F">
              <w:rPr>
                <w:rFonts w:ascii="Calibri" w:eastAsia="Calibri" w:hAnsi="Calibri" w:cs="Calibri"/>
                <w:b/>
                <w:sz w:val="20"/>
                <w:szCs w:val="20"/>
                <w:lang w:val="fr-BE"/>
              </w:rPr>
              <w:t xml:space="preserve">SD - </w:t>
            </w:r>
            <w:r w:rsidRPr="005B413F">
              <w:rPr>
                <w:rFonts w:ascii="Calibri" w:eastAsia="Calibri" w:hAnsi="Calibri" w:cs="Calibri"/>
                <w:sz w:val="20"/>
                <w:szCs w:val="20"/>
                <w:lang w:val="fr-BE"/>
              </w:rPr>
              <w:t xml:space="preserve">commercial vehicles (e.g. vans), </w:t>
            </w:r>
          </w:p>
          <w:p w14:paraId="0A5E8A32" w14:textId="77777777" w:rsidR="00600DEE" w:rsidRDefault="00641FB5" w:rsidP="00D5736B">
            <w:pPr>
              <w:numPr>
                <w:ilvl w:val="0"/>
                <w:numId w:val="18"/>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 xml:space="preserve">SC - </w:t>
            </w:r>
            <w:r>
              <w:rPr>
                <w:rFonts w:ascii="Calibri" w:eastAsia="Calibri" w:hAnsi="Calibri" w:cs="Calibri"/>
                <w:sz w:val="20"/>
                <w:szCs w:val="20"/>
              </w:rPr>
              <w:t>trucks without trailers,</w:t>
            </w:r>
          </w:p>
          <w:p w14:paraId="67E854E9" w14:textId="77777777" w:rsidR="00600DEE" w:rsidRDefault="00641FB5" w:rsidP="00D5736B">
            <w:pPr>
              <w:numPr>
                <w:ilvl w:val="0"/>
                <w:numId w:val="18"/>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 xml:space="preserve">SCp - </w:t>
            </w:r>
            <w:r>
              <w:rPr>
                <w:rFonts w:ascii="Calibri" w:eastAsia="Calibri" w:hAnsi="Calibri" w:cs="Calibri"/>
                <w:sz w:val="20"/>
                <w:szCs w:val="20"/>
              </w:rPr>
              <w:t xml:space="preserve">trucks with trailers, </w:t>
            </w:r>
          </w:p>
          <w:p w14:paraId="570E6A0D" w14:textId="77777777" w:rsidR="00600DEE" w:rsidRDefault="00641FB5" w:rsidP="00D5736B">
            <w:pPr>
              <w:numPr>
                <w:ilvl w:val="0"/>
                <w:numId w:val="18"/>
              </w:numPr>
              <w:spacing w:before="120" w:after="120"/>
              <w:ind w:left="709" w:hanging="709"/>
              <w:jc w:val="both"/>
              <w:rPr>
                <w:rFonts w:ascii="Calibri" w:eastAsia="Calibri" w:hAnsi="Calibri" w:cs="Calibri"/>
                <w:sz w:val="20"/>
                <w:szCs w:val="20"/>
              </w:rPr>
            </w:pPr>
            <w:r>
              <w:rPr>
                <w:rFonts w:ascii="Calibri" w:eastAsia="Calibri" w:hAnsi="Calibri" w:cs="Calibri"/>
                <w:b/>
                <w:sz w:val="20"/>
                <w:szCs w:val="20"/>
              </w:rPr>
              <w:t xml:space="preserve">A - </w:t>
            </w:r>
            <w:r>
              <w:rPr>
                <w:rFonts w:ascii="Calibri" w:eastAsia="Calibri" w:hAnsi="Calibri" w:cs="Calibri"/>
                <w:sz w:val="20"/>
                <w:szCs w:val="20"/>
              </w:rPr>
              <w:t>buses.</w:t>
            </w:r>
          </w:p>
          <w:p w14:paraId="5F0754C7" w14:textId="77777777" w:rsidR="00600DEE" w:rsidRDefault="00641FB5">
            <w:pPr>
              <w:spacing w:after="120"/>
              <w:jc w:val="both"/>
              <w:rPr>
                <w:rFonts w:ascii="Calibri" w:eastAsia="Calibri" w:hAnsi="Calibri" w:cs="Calibri"/>
                <w:sz w:val="20"/>
                <w:szCs w:val="20"/>
              </w:rPr>
            </w:pPr>
            <w:r w:rsidRPr="0045151D">
              <w:rPr>
                <w:rFonts w:ascii="Calibri" w:eastAsia="Calibri" w:hAnsi="Calibri" w:cs="Calibri"/>
                <w:sz w:val="20"/>
                <w:szCs w:val="20"/>
                <w:lang w:val="en-GB"/>
              </w:rPr>
              <w:t xml:space="preserve">It is also possible to adopt a different vehicle categorisation for the model (e.g. light commercial vehicles and passenger cars, or trucks with and without trailers may be combined) with a suitable explanation. </w:t>
            </w:r>
            <w:r>
              <w:rPr>
                <w:rFonts w:ascii="Calibri" w:eastAsia="Calibri" w:hAnsi="Calibri" w:cs="Calibri"/>
                <w:sz w:val="20"/>
                <w:szCs w:val="20"/>
              </w:rPr>
              <w:t>A possible alternative vehicles categories division is as follows:</w:t>
            </w:r>
          </w:p>
          <w:p w14:paraId="374C5140" w14:textId="77777777" w:rsidR="00600DEE" w:rsidRPr="0045151D" w:rsidRDefault="00641FB5" w:rsidP="00D5736B">
            <w:pPr>
              <w:numPr>
                <w:ilvl w:val="0"/>
                <w:numId w:val="45"/>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b/>
                <w:sz w:val="20"/>
                <w:szCs w:val="20"/>
                <w:lang w:val="en-GB"/>
              </w:rPr>
              <w:t>LV</w:t>
            </w:r>
            <w:r w:rsidRPr="0045151D">
              <w:rPr>
                <w:rFonts w:ascii="Calibri" w:eastAsia="Calibri" w:hAnsi="Calibri" w:cs="Calibri"/>
                <w:sz w:val="20"/>
                <w:szCs w:val="20"/>
                <w:lang w:val="en-GB"/>
              </w:rPr>
              <w:t xml:space="preserve"> – light vehicles, gross weight &lt; 3,5 tons,</w:t>
            </w:r>
          </w:p>
          <w:p w14:paraId="05D5E0DE" w14:textId="77777777" w:rsidR="00600DEE" w:rsidRPr="0045151D" w:rsidRDefault="00641FB5" w:rsidP="00D5736B">
            <w:pPr>
              <w:numPr>
                <w:ilvl w:val="0"/>
                <w:numId w:val="45"/>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b/>
                <w:sz w:val="20"/>
                <w:szCs w:val="20"/>
                <w:lang w:val="en-GB"/>
              </w:rPr>
              <w:t>HGV</w:t>
            </w:r>
            <w:r w:rsidRPr="0045151D">
              <w:rPr>
                <w:rFonts w:ascii="Calibri" w:eastAsia="Calibri" w:hAnsi="Calibri" w:cs="Calibri"/>
                <w:sz w:val="20"/>
                <w:szCs w:val="20"/>
                <w:lang w:val="en-GB"/>
              </w:rPr>
              <w:t xml:space="preserve"> – heavy goods vehicles, gross weight &gt; 3,5 tons (incl. buses).</w:t>
            </w:r>
          </w:p>
          <w:p w14:paraId="7920453D"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The traffic model should also take into account other transport modes (use of various means of transport) both for freight and passenger transport. Such approach is in accordance with the requirements for EU funds 2021-2027 to promote sustainable transport. It should be added that the National Traffic Model should be systematically updated by the central administration.</w:t>
            </w:r>
          </w:p>
          <w:p w14:paraId="05E011CF" w14:textId="77777777" w:rsidR="00C77DFC" w:rsidRPr="0045151D" w:rsidRDefault="00C77DFC">
            <w:pPr>
              <w:jc w:val="both"/>
              <w:rPr>
                <w:rFonts w:ascii="Calibri" w:eastAsia="Calibri" w:hAnsi="Calibri" w:cs="Calibri"/>
                <w:b/>
                <w:color w:val="4F81BD"/>
                <w:sz w:val="20"/>
                <w:szCs w:val="20"/>
                <w:lang w:val="en-GB"/>
              </w:rPr>
            </w:pPr>
          </w:p>
          <w:p w14:paraId="5BEEC0DE" w14:textId="28711857" w:rsidR="00600DEE" w:rsidRPr="0045151D" w:rsidRDefault="00641FB5" w:rsidP="00C77DFC">
            <w:pPr>
              <w:spacing w:before="240" w:after="24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Categories of users</w:t>
            </w:r>
          </w:p>
          <w:p w14:paraId="750A2B2F" w14:textId="3FE8FFE9"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The model should distinguish, at least, two categories of users: (1) passenger traffic: passenger vehicles and buses; (2) freight traffic: all trucks. Users of cars and buses should be divided into, at least, three categories based on different travel motivations:</w:t>
            </w:r>
          </w:p>
          <w:p w14:paraId="22279539" w14:textId="77777777" w:rsidR="00600DEE" w:rsidRDefault="00641FB5" w:rsidP="00D5736B">
            <w:pPr>
              <w:numPr>
                <w:ilvl w:val="0"/>
                <w:numId w:val="53"/>
              </w:numPr>
              <w:spacing w:before="120" w:after="120"/>
              <w:ind w:left="709" w:hanging="709"/>
              <w:jc w:val="both"/>
              <w:rPr>
                <w:rFonts w:ascii="Calibri" w:eastAsia="Calibri" w:hAnsi="Calibri" w:cs="Calibri"/>
                <w:sz w:val="20"/>
                <w:szCs w:val="20"/>
              </w:rPr>
            </w:pPr>
            <w:r>
              <w:rPr>
                <w:rFonts w:ascii="Calibri" w:eastAsia="Calibri" w:hAnsi="Calibri" w:cs="Calibri"/>
                <w:sz w:val="20"/>
                <w:szCs w:val="20"/>
              </w:rPr>
              <w:t>business trips,</w:t>
            </w:r>
          </w:p>
          <w:p w14:paraId="63947BF4" w14:textId="77777777" w:rsidR="00600DEE" w:rsidRPr="0045151D" w:rsidRDefault="00641FB5" w:rsidP="00D5736B">
            <w:pPr>
              <w:numPr>
                <w:ilvl w:val="0"/>
                <w:numId w:val="53"/>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daily home-work-home trips (i.e. commuting),</w:t>
            </w:r>
          </w:p>
          <w:p w14:paraId="52642E16" w14:textId="77777777" w:rsidR="00600DEE" w:rsidRDefault="00641FB5" w:rsidP="00D5736B">
            <w:pPr>
              <w:numPr>
                <w:ilvl w:val="0"/>
                <w:numId w:val="53"/>
              </w:numPr>
              <w:spacing w:before="120" w:after="120"/>
              <w:ind w:left="709" w:hanging="709"/>
              <w:jc w:val="both"/>
              <w:rPr>
                <w:rFonts w:ascii="Calibri" w:eastAsia="Calibri" w:hAnsi="Calibri" w:cs="Calibri"/>
                <w:sz w:val="20"/>
                <w:szCs w:val="20"/>
              </w:rPr>
            </w:pPr>
            <w:r>
              <w:rPr>
                <w:rFonts w:ascii="Calibri" w:eastAsia="Calibri" w:hAnsi="Calibri" w:cs="Calibri"/>
                <w:sz w:val="20"/>
                <w:szCs w:val="20"/>
              </w:rPr>
              <w:t>other motivations.</w:t>
            </w:r>
          </w:p>
          <w:p w14:paraId="6848D1CA" w14:textId="77777777" w:rsidR="00600DEE" w:rsidRDefault="00600DEE">
            <w:pPr>
              <w:jc w:val="both"/>
              <w:rPr>
                <w:rFonts w:ascii="Calibri" w:eastAsia="Calibri" w:hAnsi="Calibri" w:cs="Calibri"/>
                <w:sz w:val="20"/>
                <w:szCs w:val="20"/>
              </w:rPr>
            </w:pPr>
          </w:p>
          <w:p w14:paraId="4CA51D61"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 xml:space="preserve">Analysis periods </w:t>
            </w:r>
          </w:p>
          <w:p w14:paraId="7564FAC3" w14:textId="77777777" w:rsidR="00600DEE" w:rsidRDefault="00641FB5">
            <w:pPr>
              <w:jc w:val="both"/>
              <w:rPr>
                <w:rFonts w:ascii="Calibri" w:eastAsia="Calibri" w:hAnsi="Calibri" w:cs="Calibri"/>
                <w:b/>
                <w:color w:val="4F81BD"/>
                <w:sz w:val="20"/>
                <w:szCs w:val="20"/>
              </w:rPr>
            </w:pPr>
            <w:r>
              <w:rPr>
                <w:rFonts w:ascii="Calibri" w:eastAsia="Calibri" w:hAnsi="Calibri" w:cs="Calibri"/>
                <w:b/>
                <w:color w:val="4F81BD"/>
                <w:sz w:val="20"/>
                <w:szCs w:val="20"/>
              </w:rPr>
              <w:t>(year/day/peak hour)</w:t>
            </w:r>
          </w:p>
          <w:p w14:paraId="3DF4F397" w14:textId="77777777" w:rsidR="00600DEE" w:rsidRDefault="00600DEE">
            <w:pPr>
              <w:jc w:val="both"/>
              <w:rPr>
                <w:rFonts w:ascii="Calibri" w:eastAsia="Calibri" w:hAnsi="Calibri" w:cs="Calibri"/>
                <w:b/>
                <w:sz w:val="20"/>
                <w:szCs w:val="20"/>
              </w:rPr>
            </w:pPr>
          </w:p>
          <w:p w14:paraId="7931BF4B"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In case of investments on non-urban roads, traffic forecasts are expressed in terms of AADT calculated on the basis of General Traffic Survey (GPR) results. The conversion of daily traffic into average yearly traffic is to be made by multiplying the daily results by 365.</w:t>
            </w:r>
          </w:p>
          <w:p w14:paraId="04849F7A" w14:textId="77777777" w:rsidR="00600DEE" w:rsidRPr="0045151D" w:rsidRDefault="00600DEE">
            <w:pPr>
              <w:jc w:val="both"/>
              <w:rPr>
                <w:rFonts w:ascii="Calibri" w:eastAsia="Calibri" w:hAnsi="Calibri" w:cs="Calibri"/>
                <w:sz w:val="20"/>
                <w:szCs w:val="20"/>
                <w:lang w:val="en-GB"/>
              </w:rPr>
            </w:pPr>
          </w:p>
          <w:p w14:paraId="6EE6CF47"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In case of traffic forecasts for urban investments, it is usually necessary to convert the benefits calculated for a peak hour into daily and annual benefits. </w:t>
            </w:r>
          </w:p>
          <w:p w14:paraId="27AACD55"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It is possible to disregard traffic costs at night as they generate marginal savings. </w:t>
            </w:r>
          </w:p>
          <w:p w14:paraId="5E93F724"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In the case of lack of data on hourly distribution factors, it is recommended to take the averaged value that assumes the multiplier of peak hour to twenty-four hours to be 8.2. If an average working day was used as the basis for calculation of annual traffic costs, then a multiplier of 300 should be used.</w:t>
            </w:r>
          </w:p>
          <w:p w14:paraId="6D7D01EF" w14:textId="77777777" w:rsidR="00600DEE" w:rsidRPr="0045151D" w:rsidRDefault="00600DEE">
            <w:pPr>
              <w:jc w:val="both"/>
              <w:rPr>
                <w:rFonts w:ascii="Calibri" w:eastAsia="Calibri" w:hAnsi="Calibri" w:cs="Calibri"/>
                <w:b/>
                <w:sz w:val="20"/>
                <w:szCs w:val="20"/>
                <w:lang w:val="en-GB"/>
              </w:rPr>
            </w:pPr>
          </w:p>
          <w:p w14:paraId="6FC01034"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Modelled years. Base year</w:t>
            </w:r>
          </w:p>
          <w:p w14:paraId="363A87C3" w14:textId="77777777" w:rsidR="00600DEE" w:rsidRPr="0045151D" w:rsidRDefault="00600DEE">
            <w:pPr>
              <w:jc w:val="both"/>
              <w:rPr>
                <w:rFonts w:ascii="Calibri" w:eastAsia="Calibri" w:hAnsi="Calibri" w:cs="Calibri"/>
                <w:sz w:val="20"/>
                <w:szCs w:val="20"/>
                <w:lang w:val="en-GB"/>
              </w:rPr>
            </w:pPr>
          </w:p>
          <w:p w14:paraId="7E771AD4" w14:textId="6BF55335"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forecast should be developed for, at least, the CBA reference period which for road projects i</w:t>
            </w:r>
            <w:r w:rsidR="00B95FB9">
              <w:rPr>
                <w:rFonts w:ascii="Calibri" w:eastAsia="Calibri" w:hAnsi="Calibri" w:cs="Calibri"/>
                <w:sz w:val="20"/>
                <w:szCs w:val="20"/>
                <w:lang w:val="en-GB"/>
              </w:rPr>
              <w:t>s 25</w:t>
            </w:r>
            <w:r w:rsidRPr="0045151D">
              <w:rPr>
                <w:rFonts w:ascii="Calibri" w:eastAsia="Calibri" w:hAnsi="Calibri" w:cs="Calibri"/>
                <w:sz w:val="20"/>
                <w:szCs w:val="20"/>
                <w:lang w:val="en-GB"/>
              </w:rPr>
              <w:t xml:space="preserve"> years (including the construction period). The relevant assumptions for the base year should also be made. </w:t>
            </w:r>
          </w:p>
          <w:p w14:paraId="3A4D32CC"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base year of the traffic forecast is the year in which the last GPR was conducted (to verify the calculation model) and/or the first year of the CBA period (see chapter 1.6).</w:t>
            </w:r>
          </w:p>
          <w:p w14:paraId="3EA298A5"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Other time horizons in the forecast for W0 and Wn to be presented for CBA purposes:</w:t>
            </w:r>
          </w:p>
          <w:p w14:paraId="7EC6D84A" w14:textId="77777777" w:rsidR="00600DEE" w:rsidRPr="0045151D" w:rsidRDefault="00641FB5" w:rsidP="00D5736B">
            <w:pPr>
              <w:numPr>
                <w:ilvl w:val="0"/>
                <w:numId w:val="7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the first year of project implementation (the forecast for investment and non-investment option is identical in the implementation period, unless functional staging is used);</w:t>
            </w:r>
          </w:p>
          <w:p w14:paraId="2D6493BB" w14:textId="77777777" w:rsidR="00600DEE" w:rsidRPr="0045151D" w:rsidRDefault="00641FB5" w:rsidP="00D5736B">
            <w:pPr>
              <w:numPr>
                <w:ilvl w:val="0"/>
                <w:numId w:val="7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the first full calendar year of operation of the project (for W0 and Wn separately);</w:t>
            </w:r>
          </w:p>
          <w:p w14:paraId="068448B9" w14:textId="77777777" w:rsidR="00600DEE" w:rsidRPr="0045151D" w:rsidRDefault="00641FB5" w:rsidP="00D5736B">
            <w:pPr>
              <w:numPr>
                <w:ilvl w:val="0"/>
                <w:numId w:val="7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further horizons are the 10</w:t>
            </w:r>
            <w:r w:rsidRPr="0045151D">
              <w:rPr>
                <w:rFonts w:ascii="Calibri" w:eastAsia="Calibri" w:hAnsi="Calibri" w:cs="Calibri"/>
                <w:sz w:val="20"/>
                <w:szCs w:val="20"/>
                <w:vertAlign w:val="superscript"/>
                <w:lang w:val="en-GB"/>
              </w:rPr>
              <w:t>th</w:t>
            </w:r>
            <w:r w:rsidRPr="0045151D">
              <w:rPr>
                <w:rFonts w:ascii="Calibri" w:eastAsia="Calibri" w:hAnsi="Calibri" w:cs="Calibri"/>
                <w:sz w:val="20"/>
                <w:szCs w:val="20"/>
                <w:lang w:val="en-GB"/>
              </w:rPr>
              <w:t xml:space="preserve"> and 20</w:t>
            </w:r>
            <w:r w:rsidRPr="0045151D">
              <w:rPr>
                <w:rFonts w:ascii="Calibri" w:eastAsia="Calibri" w:hAnsi="Calibri" w:cs="Calibri"/>
                <w:sz w:val="20"/>
                <w:szCs w:val="20"/>
                <w:vertAlign w:val="superscript"/>
                <w:lang w:val="en-GB"/>
              </w:rPr>
              <w:t>th</w:t>
            </w:r>
            <w:r w:rsidRPr="0045151D">
              <w:rPr>
                <w:rFonts w:ascii="Calibri" w:eastAsia="Calibri" w:hAnsi="Calibri" w:cs="Calibri"/>
                <w:sz w:val="20"/>
                <w:szCs w:val="20"/>
                <w:lang w:val="en-GB"/>
              </w:rPr>
              <w:t xml:space="preserve"> years of project operation;</w:t>
            </w:r>
          </w:p>
          <w:p w14:paraId="1BE6A83E" w14:textId="0DE415E3" w:rsidR="00600DEE" w:rsidRPr="0045151D" w:rsidRDefault="00641FB5" w:rsidP="00D5736B">
            <w:pPr>
              <w:numPr>
                <w:ilvl w:val="0"/>
                <w:numId w:val="7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calculations should be made for additional horizon(s) if another investment with significant impact on the project traffic flows is </w:t>
            </w:r>
            <w:r w:rsidR="006C5DD9">
              <w:rPr>
                <w:rFonts w:ascii="Calibri" w:eastAsia="Calibri" w:hAnsi="Calibri" w:cs="Calibri"/>
                <w:sz w:val="20"/>
                <w:szCs w:val="20"/>
                <w:lang w:val="en-GB"/>
              </w:rPr>
              <w:t xml:space="preserve">planned to </w:t>
            </w:r>
            <w:r w:rsidRPr="0045151D">
              <w:rPr>
                <w:rFonts w:ascii="Calibri" w:eastAsia="Calibri" w:hAnsi="Calibri" w:cs="Calibri"/>
                <w:sz w:val="20"/>
                <w:szCs w:val="20"/>
                <w:lang w:val="en-GB"/>
              </w:rPr>
              <w:t>be completed during the project operation (it is recommended to calculate the projections for both one year before and one year after that influencing investment’s completion),;</w:t>
            </w:r>
          </w:p>
          <w:p w14:paraId="7AD10D7D" w14:textId="77777777" w:rsidR="00600DEE" w:rsidRPr="0045151D" w:rsidRDefault="00641FB5" w:rsidP="00D5736B">
            <w:pPr>
              <w:numPr>
                <w:ilvl w:val="0"/>
                <w:numId w:val="7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in order to obtain traffic forecasts for the last year of the reference period and other horizons, interpolation/extrapolation of the above values may be used.</w:t>
            </w:r>
          </w:p>
          <w:p w14:paraId="069C6806" w14:textId="77777777" w:rsidR="00C77DFC" w:rsidRPr="0045151D" w:rsidRDefault="00C77DFC">
            <w:pPr>
              <w:jc w:val="both"/>
              <w:rPr>
                <w:rFonts w:ascii="Calibri" w:eastAsia="Calibri" w:hAnsi="Calibri" w:cs="Calibri"/>
                <w:b/>
                <w:color w:val="4F81BD"/>
                <w:sz w:val="20"/>
                <w:szCs w:val="20"/>
                <w:lang w:val="en-GB"/>
              </w:rPr>
            </w:pPr>
          </w:p>
          <w:p w14:paraId="34FDA03B" w14:textId="77777777" w:rsidR="00C77DFC" w:rsidRPr="0045151D" w:rsidRDefault="00C77DFC">
            <w:pPr>
              <w:jc w:val="both"/>
              <w:rPr>
                <w:rFonts w:ascii="Calibri" w:eastAsia="Calibri" w:hAnsi="Calibri" w:cs="Calibri"/>
                <w:b/>
                <w:color w:val="4F81BD"/>
                <w:sz w:val="20"/>
                <w:szCs w:val="20"/>
                <w:lang w:val="en-GB"/>
              </w:rPr>
            </w:pPr>
          </w:p>
          <w:p w14:paraId="40FF72BD" w14:textId="394F5F09"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II. THE MODEL FOR THE BASE YEAR</w:t>
            </w:r>
          </w:p>
          <w:p w14:paraId="22E1A018" w14:textId="77777777" w:rsidR="00600DEE" w:rsidRPr="0045151D" w:rsidRDefault="00600DEE">
            <w:pPr>
              <w:jc w:val="both"/>
              <w:rPr>
                <w:rFonts w:ascii="Calibri" w:eastAsia="Calibri" w:hAnsi="Calibri" w:cs="Calibri"/>
                <w:b/>
                <w:color w:val="4F81BD"/>
                <w:sz w:val="20"/>
                <w:szCs w:val="20"/>
                <w:lang w:val="en-GB"/>
              </w:rPr>
            </w:pPr>
          </w:p>
          <w:p w14:paraId="44C76D9E"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Input data preparation</w:t>
            </w:r>
          </w:p>
          <w:p w14:paraId="31C52961" w14:textId="77777777" w:rsidR="00600DEE" w:rsidRPr="0045151D" w:rsidRDefault="00600DEE">
            <w:pPr>
              <w:jc w:val="both"/>
              <w:rPr>
                <w:rFonts w:ascii="Calibri" w:eastAsia="Calibri" w:hAnsi="Calibri" w:cs="Calibri"/>
                <w:b/>
                <w:sz w:val="20"/>
                <w:szCs w:val="20"/>
                <w:lang w:val="en-GB"/>
              </w:rPr>
            </w:pPr>
          </w:p>
          <w:p w14:paraId="73D1460D"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Before preparation of traffic forecast, it is necessary to analyse the available road traffic inputs such as:</w:t>
            </w:r>
          </w:p>
          <w:p w14:paraId="3E795C6E" w14:textId="77777777" w:rsidR="00600DEE" w:rsidRPr="0045151D" w:rsidRDefault="00641FB5" w:rsidP="00D5736B">
            <w:pPr>
              <w:numPr>
                <w:ilvl w:val="0"/>
                <w:numId w:val="53"/>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previous traffic measurements on the analysed section or in its direct vicinity,</w:t>
            </w:r>
          </w:p>
          <w:p w14:paraId="50DBBD9A" w14:textId="77777777" w:rsidR="00600DEE" w:rsidRPr="0045151D" w:rsidRDefault="00641FB5" w:rsidP="00D5736B">
            <w:pPr>
              <w:numPr>
                <w:ilvl w:val="0"/>
                <w:numId w:val="53"/>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other analyses, plans and traffic forecasts developed in previous years, also studies that cover a wider area around the planned investment (strategic transport documents including traffic forecasts).</w:t>
            </w:r>
          </w:p>
          <w:p w14:paraId="1905AE64"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On the basis of these analyses, traffic changes during the previous years should be presented. In the case of national and voivodeship roads, results of the General Traffic Survey from at least the last two GPRs should be used. In case of urban investments, it is advisable to provide key results of the Comprehensive Traffic Surveys (KBR, </w:t>
            </w:r>
            <w:r w:rsidRPr="0045151D">
              <w:rPr>
                <w:rFonts w:ascii="Calibri" w:eastAsia="Calibri" w:hAnsi="Calibri" w:cs="Calibri"/>
                <w:i/>
                <w:sz w:val="20"/>
                <w:szCs w:val="20"/>
                <w:lang w:val="en-GB"/>
              </w:rPr>
              <w:t>Kompleksowych Badań Ruchu</w:t>
            </w:r>
            <w:r w:rsidRPr="0045151D">
              <w:rPr>
                <w:rFonts w:ascii="Calibri" w:eastAsia="Calibri" w:hAnsi="Calibri" w:cs="Calibri"/>
                <w:sz w:val="20"/>
                <w:szCs w:val="20"/>
                <w:lang w:val="en-GB"/>
              </w:rPr>
              <w:t>), if available, or other measurements that present the evolution of traffic in the urban area.</w:t>
            </w:r>
          </w:p>
          <w:p w14:paraId="09FFE5F5"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A review of previous traffic forecasting studies, if available for the project area, aims at the presentation of the project background from the traffic perspective. </w:t>
            </w:r>
          </w:p>
          <w:p w14:paraId="3925A140" w14:textId="77777777" w:rsidR="00600DEE" w:rsidRPr="0045151D" w:rsidRDefault="00641FB5">
            <w:pPr>
              <w:jc w:val="both"/>
              <w:rPr>
                <w:rFonts w:ascii="Calibri" w:eastAsia="Calibri" w:hAnsi="Calibri" w:cs="Calibri"/>
                <w:b/>
                <w:sz w:val="20"/>
                <w:szCs w:val="20"/>
                <w:lang w:val="en-GB"/>
              </w:rPr>
            </w:pPr>
            <w:r w:rsidRPr="0045151D">
              <w:rPr>
                <w:rFonts w:ascii="Calibri" w:eastAsia="Calibri" w:hAnsi="Calibri" w:cs="Calibri"/>
                <w:sz w:val="20"/>
                <w:szCs w:val="20"/>
                <w:lang w:val="en-GB"/>
              </w:rPr>
              <w:t>The traffic data basis for the analysis are the last GPR results, for national and voivodeship roads. If necessary, additional measurements must be carried out.</w:t>
            </w:r>
          </w:p>
          <w:p w14:paraId="73A7E565" w14:textId="77777777" w:rsidR="00600DEE" w:rsidRPr="0045151D" w:rsidRDefault="00600DEE">
            <w:pPr>
              <w:jc w:val="both"/>
              <w:rPr>
                <w:rFonts w:ascii="Calibri" w:eastAsia="Calibri" w:hAnsi="Calibri" w:cs="Calibri"/>
                <w:sz w:val="20"/>
                <w:szCs w:val="20"/>
                <w:lang w:val="en-GB"/>
              </w:rPr>
            </w:pPr>
          </w:p>
          <w:p w14:paraId="630E6CC8" w14:textId="77777777" w:rsidR="00C77DFC" w:rsidRPr="0045151D" w:rsidRDefault="00C77DFC">
            <w:pPr>
              <w:jc w:val="both"/>
              <w:rPr>
                <w:rFonts w:ascii="Calibri" w:eastAsia="Calibri" w:hAnsi="Calibri" w:cs="Calibri"/>
                <w:b/>
                <w:color w:val="4F81BD"/>
                <w:sz w:val="20"/>
                <w:szCs w:val="20"/>
                <w:lang w:val="en-GB"/>
              </w:rPr>
            </w:pPr>
          </w:p>
          <w:p w14:paraId="59C5A346" w14:textId="77777777" w:rsidR="00C77DFC" w:rsidRPr="0045151D" w:rsidRDefault="00C77DFC">
            <w:pPr>
              <w:jc w:val="both"/>
              <w:rPr>
                <w:rFonts w:ascii="Calibri" w:eastAsia="Calibri" w:hAnsi="Calibri" w:cs="Calibri"/>
                <w:b/>
                <w:color w:val="4F81BD"/>
                <w:sz w:val="20"/>
                <w:szCs w:val="20"/>
                <w:lang w:val="en-GB"/>
              </w:rPr>
            </w:pPr>
          </w:p>
          <w:p w14:paraId="6D86AD26" w14:textId="77777777" w:rsidR="00C77DFC" w:rsidRPr="0045151D" w:rsidRDefault="00C77DFC">
            <w:pPr>
              <w:jc w:val="both"/>
              <w:rPr>
                <w:rFonts w:ascii="Calibri" w:eastAsia="Calibri" w:hAnsi="Calibri" w:cs="Calibri"/>
                <w:b/>
                <w:color w:val="4F81BD"/>
                <w:sz w:val="20"/>
                <w:szCs w:val="20"/>
                <w:lang w:val="en-GB"/>
              </w:rPr>
            </w:pPr>
          </w:p>
          <w:p w14:paraId="3328869A" w14:textId="77777777" w:rsidR="00C77DFC" w:rsidRPr="0045151D" w:rsidRDefault="00C77DFC">
            <w:pPr>
              <w:jc w:val="both"/>
              <w:rPr>
                <w:rFonts w:ascii="Calibri" w:eastAsia="Calibri" w:hAnsi="Calibri" w:cs="Calibri"/>
                <w:b/>
                <w:color w:val="4F81BD"/>
                <w:sz w:val="20"/>
                <w:szCs w:val="20"/>
                <w:lang w:val="en-GB"/>
              </w:rPr>
            </w:pPr>
          </w:p>
          <w:p w14:paraId="584B4C0D" w14:textId="77777777" w:rsidR="00C77DFC" w:rsidRPr="0045151D" w:rsidRDefault="00C77DFC">
            <w:pPr>
              <w:jc w:val="both"/>
              <w:rPr>
                <w:rFonts w:ascii="Calibri" w:eastAsia="Calibri" w:hAnsi="Calibri" w:cs="Calibri"/>
                <w:b/>
                <w:color w:val="4F81BD"/>
                <w:sz w:val="20"/>
                <w:szCs w:val="20"/>
                <w:lang w:val="en-GB"/>
              </w:rPr>
            </w:pPr>
          </w:p>
          <w:p w14:paraId="0B184908" w14:textId="34C08216"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Traffic countings and surveys</w:t>
            </w:r>
          </w:p>
          <w:p w14:paraId="3DB67CC4" w14:textId="77777777" w:rsidR="00600DEE" w:rsidRPr="0045151D" w:rsidRDefault="00600DEE">
            <w:pPr>
              <w:jc w:val="both"/>
              <w:rPr>
                <w:rFonts w:ascii="Calibri" w:eastAsia="Calibri" w:hAnsi="Calibri" w:cs="Calibri"/>
                <w:sz w:val="20"/>
                <w:szCs w:val="20"/>
                <w:lang w:val="en-GB"/>
              </w:rPr>
            </w:pPr>
          </w:p>
          <w:p w14:paraId="1CDD4246" w14:textId="77777777" w:rsidR="00600DEE" w:rsidRDefault="00641FB5">
            <w:pPr>
              <w:jc w:val="both"/>
              <w:rPr>
                <w:rFonts w:ascii="Calibri" w:eastAsia="Calibri" w:hAnsi="Calibri" w:cs="Calibri"/>
                <w:sz w:val="20"/>
                <w:szCs w:val="20"/>
              </w:rPr>
            </w:pPr>
            <w:r w:rsidRPr="0045151D">
              <w:rPr>
                <w:rFonts w:ascii="Calibri" w:eastAsia="Calibri" w:hAnsi="Calibri" w:cs="Calibri"/>
                <w:sz w:val="20"/>
                <w:szCs w:val="20"/>
                <w:lang w:val="en-GB"/>
              </w:rPr>
              <w:t xml:space="preserve">Traffic forecasts should be based on earlier traffic surveys taking into account seasonal changes (in particular, when calculating AADT). </w:t>
            </w:r>
            <w:r>
              <w:rPr>
                <w:rFonts w:ascii="Calibri" w:eastAsia="Calibri" w:hAnsi="Calibri" w:cs="Calibri"/>
                <w:sz w:val="20"/>
                <w:szCs w:val="20"/>
              </w:rPr>
              <w:t>Complementary traffic measurements are required in the following cases:</w:t>
            </w:r>
          </w:p>
          <w:p w14:paraId="6F442D73" w14:textId="77777777" w:rsidR="00600DEE" w:rsidRPr="0045151D" w:rsidRDefault="00641FB5" w:rsidP="00D5736B">
            <w:pPr>
              <w:numPr>
                <w:ilvl w:val="0"/>
                <w:numId w:val="57"/>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change/s in the network that could influence the traffic flows on the analysed investment sections,</w:t>
            </w:r>
          </w:p>
          <w:p w14:paraId="2590938F" w14:textId="77777777" w:rsidR="00600DEE" w:rsidRPr="0045151D" w:rsidRDefault="00641FB5" w:rsidP="00D5736B">
            <w:pPr>
              <w:numPr>
                <w:ilvl w:val="0"/>
                <w:numId w:val="57"/>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the investment is located in an area of significant socio-economic changes that influence vehicle traffic volume (e.g. dynamically developing urban areas, roads near new or reconstructed border crossings, tourism and recreational areas, logistic centres, commercial zones, etc.).</w:t>
            </w:r>
          </w:p>
          <w:p w14:paraId="36799550" w14:textId="77777777" w:rsidR="00600DEE" w:rsidRPr="0045151D" w:rsidRDefault="00600DEE">
            <w:pPr>
              <w:jc w:val="both"/>
              <w:rPr>
                <w:rFonts w:ascii="Calibri" w:eastAsia="Calibri" w:hAnsi="Calibri" w:cs="Calibri"/>
                <w:sz w:val="20"/>
                <w:szCs w:val="20"/>
                <w:lang w:val="en-GB"/>
              </w:rPr>
            </w:pPr>
          </w:p>
          <w:p w14:paraId="7161F906"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It is necessary to clearly state whether available traffic measurements are sufficient to produce the required project base year model and traffic forecasts. In the absence of sufficient data, additional measurements need to be carried out as part of the analysis. The surveys will be carried out on selected roads and intersections on both national and regional roads as relevant for the project. The number of additional measurement points as well as measuring duration and schedule need to be agreed with the services of road network administrator and the police notified appropriately.</w:t>
            </w:r>
          </w:p>
          <w:p w14:paraId="569B48A6" w14:textId="6E341A4C"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Additional traffic measurements should not last less than 24 hours, in </w:t>
            </w:r>
            <w:r w:rsidR="003A38F9">
              <w:rPr>
                <w:rFonts w:ascii="Calibri" w:eastAsia="Calibri" w:hAnsi="Calibri" w:cs="Calibri"/>
                <w:sz w:val="20"/>
                <w:szCs w:val="20"/>
                <w:lang w:val="en-GB"/>
              </w:rPr>
              <w:t>case of 12 hours measurement it</w:t>
            </w:r>
            <w:r w:rsidRPr="0045151D">
              <w:rPr>
                <w:rFonts w:ascii="Calibri" w:eastAsia="Calibri" w:hAnsi="Calibri" w:cs="Calibri"/>
                <w:sz w:val="20"/>
                <w:szCs w:val="20"/>
                <w:lang w:val="en-GB"/>
              </w:rPr>
              <w:t xml:space="preserve"> should include peak hour traffic. It is not recommended to conduct traffic measurements on weekdays adjacent to the weekend (Monday and Friday) and during periods deviating significantly from the average behaviour of road users (November - March, July - August, long May holiday weekend, the period of Christm</w:t>
            </w:r>
            <w:r w:rsidR="003A38F9">
              <w:rPr>
                <w:rFonts w:ascii="Calibri" w:eastAsia="Calibri" w:hAnsi="Calibri" w:cs="Calibri"/>
                <w:sz w:val="20"/>
                <w:szCs w:val="20"/>
                <w:lang w:val="en-GB"/>
              </w:rPr>
              <w:t>as and Easter, All Saints, etc.</w:t>
            </w:r>
            <w:r w:rsidRPr="0045151D">
              <w:rPr>
                <w:rFonts w:ascii="Calibri" w:eastAsia="Calibri" w:hAnsi="Calibri" w:cs="Calibri"/>
                <w:sz w:val="20"/>
                <w:szCs w:val="20"/>
                <w:lang w:val="en-GB"/>
              </w:rPr>
              <w:t>). Note: this does not apply to projects involving recreational and weekend traffic.</w:t>
            </w:r>
          </w:p>
          <w:p w14:paraId="1E3EF0AF" w14:textId="24D51BB8"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If the project impact area includes or is impacted by road/s (and/or structure/s) or if the project is located within the impact area of another (infrastructural) road investment project where tolls are collected (from all users, or from certain user categories), the amount of these charges and their possible changes during the reference period should also be consulted with the contracting authority (GDDKiA) and included in the forecast.</w:t>
            </w:r>
          </w:p>
          <w:p w14:paraId="0A8DC6C2" w14:textId="77777777" w:rsidR="00C77DFC" w:rsidRPr="0045151D" w:rsidRDefault="00C77DFC">
            <w:pPr>
              <w:jc w:val="both"/>
              <w:rPr>
                <w:rFonts w:ascii="Calibri" w:eastAsia="Calibri" w:hAnsi="Calibri" w:cs="Calibri"/>
                <w:sz w:val="20"/>
                <w:szCs w:val="20"/>
                <w:lang w:val="en-GB"/>
              </w:rPr>
            </w:pPr>
          </w:p>
          <w:p w14:paraId="6FA41E05" w14:textId="77777777" w:rsidR="00600DEE" w:rsidRPr="0045151D" w:rsidRDefault="00600DEE">
            <w:pPr>
              <w:jc w:val="both"/>
              <w:rPr>
                <w:rFonts w:ascii="Calibri" w:eastAsia="Calibri" w:hAnsi="Calibri" w:cs="Calibri"/>
                <w:sz w:val="20"/>
                <w:szCs w:val="20"/>
                <w:lang w:val="en-GB"/>
              </w:rPr>
            </w:pPr>
          </w:p>
          <w:p w14:paraId="0620ABB8" w14:textId="77777777" w:rsidR="00600DEE" w:rsidRPr="0045151D" w:rsidRDefault="00600DEE">
            <w:pPr>
              <w:jc w:val="both"/>
              <w:rPr>
                <w:rFonts w:ascii="Calibri" w:eastAsia="Calibri" w:hAnsi="Calibri" w:cs="Calibri"/>
                <w:sz w:val="20"/>
                <w:szCs w:val="20"/>
                <w:lang w:val="en-GB"/>
              </w:rPr>
            </w:pPr>
          </w:p>
          <w:p w14:paraId="2E6855BC"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Network update and detail</w:t>
            </w:r>
          </w:p>
          <w:p w14:paraId="73ADE75C" w14:textId="77777777" w:rsidR="00600DEE" w:rsidRPr="0045151D" w:rsidRDefault="00600DEE">
            <w:pPr>
              <w:jc w:val="both"/>
              <w:rPr>
                <w:rFonts w:ascii="Calibri" w:eastAsia="Calibri" w:hAnsi="Calibri" w:cs="Calibri"/>
                <w:b/>
                <w:sz w:val="20"/>
                <w:szCs w:val="20"/>
                <w:lang w:val="en-GB"/>
              </w:rPr>
            </w:pPr>
          </w:p>
          <w:p w14:paraId="71919AFF"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Depending on the group to which the investment has been assigned (table 6 of the main text), one should develop or elaborate a detailed network model for the expected impact area of the investment, as described in the traffic forecasts chapter No. 1.8 of the present Manual. In case of National Traffic Model, the national roads network may have to be complemented to include local roads in the vicinity of the analysed project.</w:t>
            </w:r>
          </w:p>
          <w:p w14:paraId="79F41C19"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If an available traffic model is being adapted, regional conditions must be taken into account and an analysis of assumptions must be made. The model cannot be adapted automatically without examination.</w:t>
            </w:r>
          </w:p>
          <w:p w14:paraId="24E6E7D7" w14:textId="6E631695"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It is important to ensure that the model includes current assumptions regarding the road network development and they are compliant with current strategic documents.</w:t>
            </w:r>
          </w:p>
          <w:p w14:paraId="6A66546D" w14:textId="77777777" w:rsidR="00A709B0" w:rsidRPr="0045151D" w:rsidRDefault="00A709B0">
            <w:pPr>
              <w:jc w:val="both"/>
              <w:rPr>
                <w:rFonts w:ascii="Calibri" w:eastAsia="Calibri" w:hAnsi="Calibri" w:cs="Calibri"/>
                <w:b/>
                <w:sz w:val="20"/>
                <w:szCs w:val="20"/>
                <w:lang w:val="en-GB"/>
              </w:rPr>
            </w:pPr>
          </w:p>
          <w:p w14:paraId="4958E737"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Public transport consideration</w:t>
            </w:r>
          </w:p>
          <w:p w14:paraId="72AB0716" w14:textId="77777777" w:rsidR="00600DEE" w:rsidRPr="0045151D" w:rsidRDefault="00600DEE">
            <w:pPr>
              <w:jc w:val="both"/>
              <w:rPr>
                <w:rFonts w:ascii="Calibri" w:eastAsia="Calibri" w:hAnsi="Calibri" w:cs="Calibri"/>
                <w:b/>
                <w:sz w:val="20"/>
                <w:szCs w:val="20"/>
                <w:lang w:val="en-GB"/>
              </w:rPr>
            </w:pPr>
          </w:p>
          <w:p w14:paraId="263BDC97"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If applicable, the public transport component impact on the project should be analyzed and then appropriately taken into account in the model.</w:t>
            </w:r>
          </w:p>
          <w:p w14:paraId="618A6199" w14:textId="77777777" w:rsidR="00600DEE" w:rsidRPr="0045151D" w:rsidRDefault="00600DEE">
            <w:pPr>
              <w:jc w:val="both"/>
              <w:rPr>
                <w:rFonts w:ascii="Calibri" w:eastAsia="Calibri" w:hAnsi="Calibri" w:cs="Calibri"/>
                <w:sz w:val="20"/>
                <w:szCs w:val="20"/>
                <w:lang w:val="en-GB"/>
              </w:rPr>
            </w:pPr>
          </w:p>
          <w:p w14:paraId="14CF1522"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Development/ elaboration of trip matrices for the base year</w:t>
            </w:r>
          </w:p>
          <w:p w14:paraId="676A7811" w14:textId="77777777" w:rsidR="00600DEE" w:rsidRPr="0045151D" w:rsidRDefault="00600DEE">
            <w:pPr>
              <w:jc w:val="both"/>
              <w:rPr>
                <w:rFonts w:ascii="Calibri" w:eastAsia="Calibri" w:hAnsi="Calibri" w:cs="Calibri"/>
                <w:sz w:val="20"/>
                <w:szCs w:val="20"/>
                <w:lang w:val="en-GB"/>
              </w:rPr>
            </w:pPr>
          </w:p>
          <w:p w14:paraId="7A8CFF49"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Traffic forecasting using models requires calculating a trip matrix. The matrix (so-called traffic travel distribution) is the mathematical representation of the number of trips between various regions of origin and destination within the analysed area. Traffic matrices should be developed according to user categories. The way in which the categories are defined depends on whether the traffic forecast is prepared for non-urban or for urban roads.</w:t>
            </w:r>
          </w:p>
          <w:p w14:paraId="0E2A8EEE"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base year matrix should be developed for the year when the analysis is performed or when complete results of traffic measurements are available (e.g. KBR).</w:t>
            </w:r>
          </w:p>
          <w:p w14:paraId="11B9FA3C"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In case of non-urban investments, it is recommended to assume the base year to be the year when the last General Traffic Survey (GPR) was performed (alternatively, future updates of GPR or other national studies ordered by GDDKiA). For the purpose of model verification for the base year, the last GPR results should be used, and/or the results of traffic measurement prepared for CBA purposes (if such measurements were carried out).</w:t>
            </w:r>
          </w:p>
          <w:p w14:paraId="26C184FF"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For urban projects, the base year should be the year of the last Comprehensive Traffic Survey (KBR), provided it was carried out not more than 5 years earlier. If the period from last Comprehensive Traffic Survey is longer than 5 years, the base year shall be the year in which the analysis is being performed.</w:t>
            </w:r>
          </w:p>
          <w:p w14:paraId="69180320"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If the National Traffic Model is not used for a non-urban road investment forecasting, the development of the trip matrices and the mathematical models used should be described in detail.</w:t>
            </w:r>
          </w:p>
          <w:p w14:paraId="593CD052" w14:textId="7F2EF77D"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travel distribution for non-urban roads should be developed using the following vehicle categories taken from the National Traffic Model</w:t>
            </w:r>
            <w:r w:rsidR="003A38F9">
              <w:rPr>
                <w:rFonts w:ascii="Calibri" w:eastAsia="Calibri" w:hAnsi="Calibri" w:cs="Calibri"/>
                <w:sz w:val="20"/>
                <w:szCs w:val="20"/>
                <w:vertAlign w:val="superscript"/>
                <w:lang w:val="en-GB"/>
              </w:rPr>
              <w:t>24</w:t>
            </w:r>
            <w:r w:rsidRPr="0045151D">
              <w:rPr>
                <w:rFonts w:ascii="Calibri" w:eastAsia="Calibri" w:hAnsi="Calibri" w:cs="Calibri"/>
                <w:sz w:val="20"/>
                <w:szCs w:val="20"/>
                <w:lang w:val="en-GB"/>
              </w:rPr>
              <w:t>:</w:t>
            </w:r>
          </w:p>
          <w:p w14:paraId="0D10B0A2"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SO</w:t>
            </w:r>
            <w:r>
              <w:rPr>
                <w:rFonts w:ascii="Calibri" w:eastAsia="Calibri" w:hAnsi="Calibri" w:cs="Calibri"/>
                <w:sz w:val="20"/>
                <w:szCs w:val="20"/>
              </w:rPr>
              <w:t>—passenger cars,</w:t>
            </w:r>
          </w:p>
          <w:p w14:paraId="5454FE55"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SD—</w:t>
            </w:r>
            <w:r>
              <w:rPr>
                <w:rFonts w:ascii="Calibri" w:eastAsia="Calibri" w:hAnsi="Calibri" w:cs="Calibri"/>
                <w:sz w:val="20"/>
                <w:szCs w:val="20"/>
              </w:rPr>
              <w:t>commercial vehicles,</w:t>
            </w:r>
          </w:p>
          <w:p w14:paraId="5BADE7A8"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SC—</w:t>
            </w:r>
            <w:r>
              <w:rPr>
                <w:rFonts w:ascii="Calibri" w:eastAsia="Calibri" w:hAnsi="Calibri" w:cs="Calibri"/>
                <w:sz w:val="20"/>
                <w:szCs w:val="20"/>
              </w:rPr>
              <w:t>trucks,</w:t>
            </w:r>
          </w:p>
          <w:p w14:paraId="399CFDA2"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SCp</w:t>
            </w:r>
            <w:r>
              <w:rPr>
                <w:rFonts w:ascii="Calibri" w:eastAsia="Calibri" w:hAnsi="Calibri" w:cs="Calibri"/>
                <w:sz w:val="20"/>
                <w:szCs w:val="20"/>
              </w:rPr>
              <w:t>—trucks with trailers.</w:t>
            </w:r>
          </w:p>
          <w:p w14:paraId="56BB1561"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following vehicle categories division is also acceptable based on the results of the  National Traffic Model:</w:t>
            </w:r>
          </w:p>
          <w:p w14:paraId="623008CC" w14:textId="77777777" w:rsidR="00600DEE" w:rsidRPr="0045151D" w:rsidRDefault="00641FB5" w:rsidP="00D5736B">
            <w:pPr>
              <w:numPr>
                <w:ilvl w:val="0"/>
                <w:numId w:val="4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b/>
                <w:sz w:val="20"/>
                <w:szCs w:val="20"/>
                <w:lang w:val="en-GB"/>
              </w:rPr>
              <w:t>LV</w:t>
            </w:r>
            <w:r w:rsidRPr="0045151D">
              <w:rPr>
                <w:rFonts w:ascii="Calibri" w:eastAsia="Calibri" w:hAnsi="Calibri" w:cs="Calibri"/>
                <w:sz w:val="20"/>
                <w:szCs w:val="20"/>
                <w:lang w:val="en-GB"/>
              </w:rPr>
              <w:t xml:space="preserve"> – light vehicles, gross weight &lt; 3,5 tons,</w:t>
            </w:r>
          </w:p>
          <w:p w14:paraId="67CE5CCA" w14:textId="77777777" w:rsidR="00600DEE" w:rsidRPr="0045151D" w:rsidRDefault="00641FB5" w:rsidP="00D5736B">
            <w:pPr>
              <w:numPr>
                <w:ilvl w:val="0"/>
                <w:numId w:val="4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b/>
                <w:sz w:val="20"/>
                <w:szCs w:val="20"/>
                <w:lang w:val="en-GB"/>
              </w:rPr>
              <w:t>HGV</w:t>
            </w:r>
            <w:r w:rsidRPr="0045151D">
              <w:rPr>
                <w:rFonts w:ascii="Calibri" w:eastAsia="Calibri" w:hAnsi="Calibri" w:cs="Calibri"/>
                <w:sz w:val="20"/>
                <w:szCs w:val="20"/>
                <w:lang w:val="en-GB"/>
              </w:rPr>
              <w:t xml:space="preserve"> – heavy goods vehicles, gross weight &gt; 3,5 tons (incl. buses).</w:t>
            </w:r>
          </w:p>
          <w:p w14:paraId="72CA93B0"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For the passenger car matrix, it is advisable to perform a further breakdown based on user motivation including, at least:</w:t>
            </w:r>
          </w:p>
          <w:p w14:paraId="6090ACC3"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business trips,</w:t>
            </w:r>
          </w:p>
          <w:p w14:paraId="2940AF59" w14:textId="77777777" w:rsidR="00600DEE" w:rsidRPr="0045151D" w:rsidRDefault="00641FB5" w:rsidP="00D5736B">
            <w:pPr>
              <w:numPr>
                <w:ilvl w:val="0"/>
                <w:numId w:val="77"/>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commuting trips (home-work-home),</w:t>
            </w:r>
          </w:p>
          <w:p w14:paraId="3193C27F"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other trips.</w:t>
            </w:r>
          </w:p>
          <w:p w14:paraId="0C9961D3"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travel distributions for non-urban roads should be developed in annual average daily traffic (AADT).</w:t>
            </w:r>
          </w:p>
          <w:p w14:paraId="734A8D67"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In case of urban investments, it is recommended to calculate the traffic matrix using the traditional 4-stage model of traffic generation and trip assignment, covering the following four stages in the development of the matrix:</w:t>
            </w:r>
          </w:p>
          <w:p w14:paraId="0E1F99A3"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traffic generation,</w:t>
            </w:r>
          </w:p>
          <w:p w14:paraId="6D55C75F"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spatial traffic distribution,</w:t>
            </w:r>
          </w:p>
          <w:p w14:paraId="0ECE7A74"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modal split,</w:t>
            </w:r>
          </w:p>
          <w:p w14:paraId="223C8032"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traffic assignment.</w:t>
            </w:r>
          </w:p>
          <w:p w14:paraId="060EBFA8"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urban traffic distributions should be developed broken down into the following vehicle categories:</w:t>
            </w:r>
          </w:p>
          <w:p w14:paraId="7EDB3A10"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SO</w:t>
            </w:r>
            <w:r>
              <w:rPr>
                <w:rFonts w:ascii="Calibri" w:eastAsia="Calibri" w:hAnsi="Calibri" w:cs="Calibri"/>
                <w:sz w:val="20"/>
                <w:szCs w:val="20"/>
              </w:rPr>
              <w:t>—passenger cars,</w:t>
            </w:r>
          </w:p>
          <w:p w14:paraId="3B4F7432"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SD</w:t>
            </w:r>
            <w:r>
              <w:rPr>
                <w:rFonts w:ascii="Calibri" w:eastAsia="Calibri" w:hAnsi="Calibri" w:cs="Calibri"/>
                <w:sz w:val="20"/>
                <w:szCs w:val="20"/>
              </w:rPr>
              <w:t>—commercial vehicles,</w:t>
            </w:r>
          </w:p>
          <w:p w14:paraId="722969B8"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SC</w:t>
            </w:r>
            <w:r>
              <w:rPr>
                <w:rFonts w:ascii="Calibri" w:eastAsia="Calibri" w:hAnsi="Calibri" w:cs="Calibri"/>
                <w:sz w:val="20"/>
                <w:szCs w:val="20"/>
              </w:rPr>
              <w:t>—trucks</w:t>
            </w:r>
          </w:p>
          <w:p w14:paraId="39C9A397"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SCp</w:t>
            </w:r>
            <w:r>
              <w:rPr>
                <w:rFonts w:ascii="Calibri" w:eastAsia="Calibri" w:hAnsi="Calibri" w:cs="Calibri"/>
                <w:sz w:val="20"/>
                <w:szCs w:val="20"/>
              </w:rPr>
              <w:t>—trucks with trailers/semitrailers</w:t>
            </w:r>
          </w:p>
          <w:p w14:paraId="0795B97E" w14:textId="77777777" w:rsidR="00600DEE" w:rsidRDefault="00641FB5" w:rsidP="00D5736B">
            <w:pPr>
              <w:numPr>
                <w:ilvl w:val="0"/>
                <w:numId w:val="77"/>
              </w:numPr>
              <w:spacing w:before="120" w:after="120"/>
              <w:ind w:left="707" w:hanging="707"/>
              <w:jc w:val="both"/>
              <w:rPr>
                <w:rFonts w:ascii="Calibri" w:eastAsia="Calibri" w:hAnsi="Calibri" w:cs="Calibri"/>
                <w:sz w:val="20"/>
                <w:szCs w:val="20"/>
              </w:rPr>
            </w:pPr>
            <w:r>
              <w:rPr>
                <w:rFonts w:ascii="Calibri" w:eastAsia="Calibri" w:hAnsi="Calibri" w:cs="Calibri"/>
                <w:b/>
                <w:sz w:val="20"/>
                <w:szCs w:val="20"/>
              </w:rPr>
              <w:t>A</w:t>
            </w:r>
            <w:r>
              <w:rPr>
                <w:rFonts w:ascii="Calibri" w:eastAsia="Calibri" w:hAnsi="Calibri" w:cs="Calibri"/>
                <w:sz w:val="20"/>
                <w:szCs w:val="20"/>
              </w:rPr>
              <w:t>—buses.</w:t>
            </w:r>
          </w:p>
          <w:p w14:paraId="15F9BDE4"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following vehicle categories division is also acceptable based on the results of the  KMR or KBR :</w:t>
            </w:r>
          </w:p>
          <w:p w14:paraId="28F68043" w14:textId="77777777" w:rsidR="00600DEE" w:rsidRPr="0045151D" w:rsidRDefault="00641FB5" w:rsidP="00D5736B">
            <w:pPr>
              <w:numPr>
                <w:ilvl w:val="0"/>
                <w:numId w:val="4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b/>
                <w:sz w:val="20"/>
                <w:szCs w:val="20"/>
                <w:lang w:val="en-GB"/>
              </w:rPr>
              <w:t>LV</w:t>
            </w:r>
            <w:r w:rsidRPr="0045151D">
              <w:rPr>
                <w:rFonts w:ascii="Calibri" w:eastAsia="Calibri" w:hAnsi="Calibri" w:cs="Calibri"/>
                <w:sz w:val="20"/>
                <w:szCs w:val="20"/>
                <w:lang w:val="en-GB"/>
              </w:rPr>
              <w:t xml:space="preserve"> – light vehicles, gross weight &lt; 3,5 tons,</w:t>
            </w:r>
          </w:p>
          <w:p w14:paraId="13A3592B" w14:textId="77777777" w:rsidR="00600DEE" w:rsidRPr="0045151D" w:rsidRDefault="00641FB5" w:rsidP="00D5736B">
            <w:pPr>
              <w:numPr>
                <w:ilvl w:val="0"/>
                <w:numId w:val="4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b/>
                <w:sz w:val="20"/>
                <w:szCs w:val="20"/>
                <w:lang w:val="en-GB"/>
              </w:rPr>
              <w:t>HGV</w:t>
            </w:r>
            <w:r w:rsidRPr="0045151D">
              <w:rPr>
                <w:rFonts w:ascii="Calibri" w:eastAsia="Calibri" w:hAnsi="Calibri" w:cs="Calibri"/>
                <w:sz w:val="20"/>
                <w:szCs w:val="20"/>
                <w:lang w:val="en-GB"/>
              </w:rPr>
              <w:t xml:space="preserve"> – heavy goods vehicles, gross weight &gt; 3,5 tons (incl. buses).</w:t>
            </w:r>
          </w:p>
          <w:p w14:paraId="7CA07D64"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Passenger car urban distributions should be broken down into travel motivations. It is advisable to adopt the traditional breakdown used in previous street network analyses, including:</w:t>
            </w:r>
          </w:p>
          <w:p w14:paraId="33F75D11" w14:textId="77777777" w:rsidR="00600DEE" w:rsidRPr="0045151D" w:rsidRDefault="00641FB5" w:rsidP="00D5736B">
            <w:pPr>
              <w:numPr>
                <w:ilvl w:val="0"/>
                <w:numId w:val="78"/>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home-work-home trips (DPD),</w:t>
            </w:r>
          </w:p>
          <w:p w14:paraId="33BA12D8" w14:textId="77777777" w:rsidR="00600DEE" w:rsidRPr="0045151D" w:rsidRDefault="00641FB5" w:rsidP="00D5736B">
            <w:pPr>
              <w:numPr>
                <w:ilvl w:val="0"/>
                <w:numId w:val="78"/>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home-school-home trips (DND),</w:t>
            </w:r>
          </w:p>
          <w:p w14:paraId="0471AEC1" w14:textId="77777777" w:rsidR="00600DEE" w:rsidRPr="0045151D" w:rsidRDefault="00641FB5" w:rsidP="00D5736B">
            <w:pPr>
              <w:numPr>
                <w:ilvl w:val="0"/>
                <w:numId w:val="78"/>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home-other-home trips (DID),</w:t>
            </w:r>
          </w:p>
          <w:p w14:paraId="1849E421" w14:textId="77777777" w:rsidR="00600DEE" w:rsidRPr="0045151D" w:rsidRDefault="00641FB5" w:rsidP="00D5736B">
            <w:pPr>
              <w:numPr>
                <w:ilvl w:val="0"/>
                <w:numId w:val="78"/>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other trips not connected with home.</w:t>
            </w:r>
          </w:p>
          <w:p w14:paraId="65C17A70"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For the home-school-home and home-other-home trip motivations, the unit cost used for calculations may be assumed at the level of </w:t>
            </w:r>
            <w:r w:rsidRPr="0045151D">
              <w:rPr>
                <w:rFonts w:ascii="Calibri" w:eastAsia="Calibri" w:hAnsi="Calibri" w:cs="Calibri"/>
                <w:i/>
                <w:sz w:val="20"/>
                <w:szCs w:val="20"/>
                <w:lang w:val="en-GB"/>
              </w:rPr>
              <w:t>Others</w:t>
            </w:r>
            <w:r w:rsidRPr="0045151D">
              <w:rPr>
                <w:rFonts w:ascii="Calibri" w:eastAsia="Calibri" w:hAnsi="Calibri" w:cs="Calibri"/>
                <w:sz w:val="20"/>
                <w:szCs w:val="20"/>
                <w:lang w:val="en-GB"/>
              </w:rPr>
              <w:t xml:space="preserve"> category from the table Unit costs of time in</w:t>
            </w:r>
            <w:r w:rsidRPr="0045151D">
              <w:rPr>
                <w:rFonts w:ascii="Calibri" w:eastAsia="Calibri" w:hAnsi="Calibri" w:cs="Calibri"/>
                <w:lang w:val="en-GB"/>
              </w:rPr>
              <w:t xml:space="preserve"> </w:t>
            </w:r>
            <w:r w:rsidRPr="0045151D">
              <w:rPr>
                <w:rFonts w:ascii="Calibri" w:eastAsia="Calibri" w:hAnsi="Calibri" w:cs="Calibri"/>
                <w:sz w:val="20"/>
                <w:szCs w:val="20"/>
                <w:lang w:val="en-GB"/>
              </w:rPr>
              <w:t>Appendix A.</w:t>
            </w:r>
          </w:p>
          <w:p w14:paraId="4A82FA39" w14:textId="24AFC101"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If another division of passenger car motivations is assumed, it has to be described in detail. It is also required to assign relevant unit costs to the categories</w:t>
            </w:r>
            <w:r w:rsidR="006C5DD9">
              <w:rPr>
                <w:rFonts w:ascii="Calibri" w:eastAsia="Calibri" w:hAnsi="Calibri" w:cs="Calibri"/>
                <w:sz w:val="20"/>
                <w:szCs w:val="20"/>
                <w:lang w:val="en-GB"/>
              </w:rPr>
              <w:t xml:space="preserve"> and provide substantation</w:t>
            </w:r>
            <w:r w:rsidRPr="0045151D">
              <w:rPr>
                <w:rFonts w:ascii="Calibri" w:eastAsia="Calibri" w:hAnsi="Calibri" w:cs="Calibri"/>
                <w:sz w:val="20"/>
                <w:szCs w:val="20"/>
                <w:lang w:val="en-GB"/>
              </w:rPr>
              <w:t xml:space="preserve">. </w:t>
            </w:r>
          </w:p>
          <w:p w14:paraId="1DC626E3"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Traffic matrices for urban investments should consider the following:</w:t>
            </w:r>
          </w:p>
          <w:p w14:paraId="55CEA58F" w14:textId="77777777" w:rsidR="00600DEE" w:rsidRPr="0045151D" w:rsidRDefault="00641FB5">
            <w:pPr>
              <w:numPr>
                <w:ilvl w:val="0"/>
                <w:numId w:val="4"/>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internal traffic (defined as traffic whose beginning and end is located inside the analysed area),</w:t>
            </w:r>
          </w:p>
          <w:p w14:paraId="73B249A5" w14:textId="77777777" w:rsidR="00600DEE" w:rsidRPr="0045151D" w:rsidRDefault="00641FB5">
            <w:pPr>
              <w:numPr>
                <w:ilvl w:val="0"/>
                <w:numId w:val="4"/>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transit traffic (defined as traffic whose beginning and end is located  outside of the analysed area),</w:t>
            </w:r>
          </w:p>
          <w:p w14:paraId="19C031F6" w14:textId="77777777" w:rsidR="00600DEE" w:rsidRPr="0045151D" w:rsidRDefault="00641FB5">
            <w:pPr>
              <w:numPr>
                <w:ilvl w:val="0"/>
                <w:numId w:val="4"/>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origin-destination traffic (defined as traffic whose beginning or end is located inside the analysed area).</w:t>
            </w:r>
          </w:p>
          <w:p w14:paraId="7D4956F2"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Taking into consideration the nature of urban traffic which is characterised by high variability throughout the day, matrices should be developed hourly – at least for the peak hours.</w:t>
            </w:r>
          </w:p>
          <w:p w14:paraId="0199850B" w14:textId="77777777" w:rsidR="00600DEE" w:rsidRPr="0045151D" w:rsidRDefault="00600DEE">
            <w:pPr>
              <w:jc w:val="both"/>
              <w:rPr>
                <w:rFonts w:ascii="Calibri" w:eastAsia="Calibri" w:hAnsi="Calibri" w:cs="Calibri"/>
                <w:b/>
                <w:sz w:val="20"/>
                <w:szCs w:val="20"/>
                <w:lang w:val="en-GB"/>
              </w:rPr>
            </w:pPr>
          </w:p>
          <w:p w14:paraId="4FBB4D6A"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 xml:space="preserve">Update of demand function variables </w:t>
            </w:r>
          </w:p>
          <w:p w14:paraId="5F95B712" w14:textId="77777777" w:rsidR="00600DEE" w:rsidRPr="0045151D" w:rsidRDefault="00600DEE">
            <w:pPr>
              <w:jc w:val="both"/>
              <w:rPr>
                <w:rFonts w:ascii="Calibri" w:eastAsia="Calibri" w:hAnsi="Calibri" w:cs="Calibri"/>
                <w:sz w:val="20"/>
                <w:szCs w:val="20"/>
                <w:lang w:val="en-GB"/>
              </w:rPr>
            </w:pPr>
          </w:p>
          <w:p w14:paraId="0D9D0608"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Traffic growth rates for the forecasted period should be based on the current GDP growth table published on GDDKiA website, applying the so-called elasticity indicators for different vehicle categories.</w:t>
            </w:r>
          </w:p>
          <w:p w14:paraId="5BFD283D" w14:textId="77777777" w:rsidR="00600DEE" w:rsidRPr="0045151D" w:rsidRDefault="00600DEE">
            <w:pPr>
              <w:jc w:val="both"/>
              <w:rPr>
                <w:rFonts w:ascii="Calibri" w:eastAsia="Calibri" w:hAnsi="Calibri" w:cs="Calibri"/>
                <w:sz w:val="20"/>
                <w:szCs w:val="20"/>
                <w:lang w:val="en-GB"/>
              </w:rPr>
            </w:pPr>
          </w:p>
          <w:p w14:paraId="19FD8301" w14:textId="77777777" w:rsidR="00600DEE" w:rsidRPr="0045151D" w:rsidRDefault="00600DEE">
            <w:pPr>
              <w:jc w:val="both"/>
              <w:rPr>
                <w:rFonts w:ascii="Calibri" w:eastAsia="Calibri" w:hAnsi="Calibri" w:cs="Calibri"/>
                <w:b/>
                <w:sz w:val="20"/>
                <w:szCs w:val="20"/>
                <w:lang w:val="en-GB"/>
              </w:rPr>
            </w:pPr>
          </w:p>
          <w:p w14:paraId="2D9784D9" w14:textId="77777777" w:rsidR="00600DEE" w:rsidRPr="0045151D" w:rsidRDefault="00641FB5" w:rsidP="00A709B0">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III. CALIBRATION AND VALIDATION OF THE MODEL</w:t>
            </w:r>
          </w:p>
          <w:p w14:paraId="28D03740" w14:textId="77777777" w:rsidR="00600DEE" w:rsidRPr="0045151D" w:rsidRDefault="00600DEE">
            <w:pPr>
              <w:jc w:val="both"/>
              <w:rPr>
                <w:rFonts w:ascii="Calibri" w:eastAsia="Calibri" w:hAnsi="Calibri" w:cs="Calibri"/>
                <w:sz w:val="20"/>
                <w:szCs w:val="20"/>
                <w:lang w:val="en-GB"/>
              </w:rPr>
            </w:pPr>
          </w:p>
          <w:p w14:paraId="56E4517D"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In order to validate the correctness of the traffic model, a comparison should be made between data from measurements in the base year and the results obtained from the traffic model for that year.</w:t>
            </w:r>
          </w:p>
          <w:p w14:paraId="10170DF1"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method used to establish the network traffic distribution and the respective basic distribution parameters need to be presented (i.e. value of time, vehicle operating costs and other applicable components of the generalized travel cost function).</w:t>
            </w:r>
          </w:p>
          <w:p w14:paraId="5F7E8EBF"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sz w:val="20"/>
                <w:szCs w:val="20"/>
                <w:lang w:val="en-GB"/>
              </w:rPr>
              <w:t>At least, the following values are recommended to be compared and analysed for the verification of the traffic model:</w:t>
            </w:r>
          </w:p>
          <w:p w14:paraId="15371812" w14:textId="77777777" w:rsidR="00600DEE" w:rsidRPr="0045151D" w:rsidRDefault="00641FB5" w:rsidP="00D5736B">
            <w:pPr>
              <w:numPr>
                <w:ilvl w:val="0"/>
                <w:numId w:val="65"/>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traffic volume divided into basic vehicle categories,</w:t>
            </w:r>
          </w:p>
          <w:p w14:paraId="7DA3267A" w14:textId="77777777" w:rsidR="00600DEE" w:rsidRPr="0045151D" w:rsidRDefault="00641FB5" w:rsidP="00D5736B">
            <w:pPr>
              <w:numPr>
                <w:ilvl w:val="0"/>
                <w:numId w:val="65"/>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average travel speed on sections,</w:t>
            </w:r>
          </w:p>
          <w:p w14:paraId="77082282" w14:textId="77777777" w:rsidR="00600DEE" w:rsidRPr="0045151D" w:rsidRDefault="00641FB5" w:rsidP="00D5736B">
            <w:pPr>
              <w:numPr>
                <w:ilvl w:val="0"/>
                <w:numId w:val="65"/>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distribution of average length of travel in the whole network for individual user categories,</w:t>
            </w:r>
          </w:p>
          <w:p w14:paraId="0E20CFBD" w14:textId="77777777" w:rsidR="00600DEE" w:rsidRPr="0045151D" w:rsidRDefault="00641FB5" w:rsidP="00D5736B">
            <w:pPr>
              <w:numPr>
                <w:ilvl w:val="0"/>
                <w:numId w:val="65"/>
              </w:numPr>
              <w:spacing w:before="120" w:after="120"/>
              <w:ind w:left="709" w:hanging="709"/>
              <w:jc w:val="both"/>
              <w:rPr>
                <w:rFonts w:ascii="Calibri" w:eastAsia="Calibri" w:hAnsi="Calibri" w:cs="Calibri"/>
                <w:sz w:val="20"/>
                <w:szCs w:val="20"/>
                <w:lang w:val="en-GB"/>
              </w:rPr>
            </w:pPr>
            <w:r w:rsidRPr="0045151D">
              <w:rPr>
                <w:rFonts w:ascii="Calibri" w:eastAsia="Calibri" w:hAnsi="Calibri" w:cs="Calibri"/>
                <w:sz w:val="20"/>
                <w:szCs w:val="20"/>
                <w:lang w:val="en-GB"/>
              </w:rPr>
              <w:t>compliance of journey spatial distribution with survey results (if carried out).</w:t>
            </w:r>
          </w:p>
          <w:p w14:paraId="1BCE388A"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Results of the verification should be presented in a table format.</w:t>
            </w:r>
          </w:p>
          <w:p w14:paraId="515BC66C"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Results of urban traffic models should be verified on the basis of available data from the Comprehensive Traffic Surveys (KPR). If the comprehensive studies are more than 5 years old, the verification of the model should be based on results of measurements made for the CBA.</w:t>
            </w:r>
          </w:p>
          <w:p w14:paraId="15874E53" w14:textId="618C71E0"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Tolerances for particular values are diverse. It is assumed that a model provides a correct representation of the real traffic conditions if the discrepancy between measurements and the model results within the analyzed road network does not exceed +/-15%.</w:t>
            </w:r>
          </w:p>
          <w:p w14:paraId="02D47729" w14:textId="77777777" w:rsidR="00600DEE" w:rsidRPr="0045151D" w:rsidRDefault="00600DEE">
            <w:pPr>
              <w:jc w:val="both"/>
              <w:rPr>
                <w:rFonts w:ascii="Calibri" w:eastAsia="Calibri" w:hAnsi="Calibri" w:cs="Calibri"/>
                <w:sz w:val="20"/>
                <w:szCs w:val="20"/>
                <w:lang w:val="en-GB"/>
              </w:rPr>
            </w:pPr>
          </w:p>
          <w:p w14:paraId="2BEC0B6E" w14:textId="63F9888C"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Specifically for urban and regional models (based on city peak hours traffic), it is recommend to check the model calibration by calculating the GEH statistic index (Geoffrey E.Havers formula, similar to the chi-squared test) :</w:t>
            </w:r>
          </w:p>
          <w:p w14:paraId="76F84B75" w14:textId="77777777" w:rsidR="00B070AD" w:rsidRPr="0045151D" w:rsidRDefault="00B070AD">
            <w:pPr>
              <w:jc w:val="both"/>
              <w:rPr>
                <w:rFonts w:ascii="Calibri" w:eastAsia="Calibri" w:hAnsi="Calibri" w:cs="Calibri"/>
                <w:sz w:val="20"/>
                <w:szCs w:val="20"/>
                <w:lang w:val="en-GB"/>
              </w:rPr>
            </w:pPr>
          </w:p>
          <w:p w14:paraId="197F42E6"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object w:dxaOrig="2633" w:dyaOrig="728" w14:anchorId="3CA36426">
                <v:shape id="_x0000_i1042" type="#_x0000_t75" style="width:131.85pt;height:36.45pt" o:ole="" filled="t">
                  <v:fill color2="black"/>
                  <v:imagedata r:id="rId145" o:title=""/>
                </v:shape>
                <o:OLEObject Type="Embed" ProgID="Equation.3" ShapeID="_x0000_i1042" DrawAspect="Content" ObjectID="_1747568789" r:id="rId148"/>
              </w:object>
            </w:r>
          </w:p>
          <w:p w14:paraId="4236240E"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where:</w:t>
            </w:r>
          </w:p>
          <w:p w14:paraId="32121743"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M – traffic on the section from the model (vehicles/hour)</w:t>
            </w:r>
          </w:p>
          <w:p w14:paraId="7B132793"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C – traffic on the section from measurements (vehicles/hour)</w:t>
            </w:r>
          </w:p>
          <w:p w14:paraId="28E2221F"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 –road section</w:t>
            </w:r>
          </w:p>
          <w:p w14:paraId="0643D283"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value of the index should be determined separately for each type of vehicles included in the model.</w:t>
            </w:r>
          </w:p>
          <w:p w14:paraId="72EF977F"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When calculating the index, traffic should be in vehicles/hour when data is available for the area concerned, or alternatively AADT for the section divided by 12 should be used.</w:t>
            </w:r>
          </w:p>
          <w:p w14:paraId="6C93CDE8"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Validation should be considered positive when the value of GEH statistic &lt;5 for at least 85% of all analysed sections.</w:t>
            </w:r>
          </w:p>
          <w:p w14:paraId="7D4F3756"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It is also recommended to validate the calibrated traffic volumes by comparison of groups of links as screenlines with traffic counts; the GEH statistic &lt; 5% for more than 85% cases is acceptable. </w:t>
            </w:r>
          </w:p>
          <w:p w14:paraId="630ADA66" w14:textId="77777777" w:rsidR="00600DEE" w:rsidRPr="0045151D" w:rsidRDefault="00600DEE">
            <w:pPr>
              <w:jc w:val="both"/>
              <w:rPr>
                <w:rFonts w:ascii="Calibri" w:eastAsia="Calibri" w:hAnsi="Calibri" w:cs="Calibri"/>
                <w:sz w:val="20"/>
                <w:szCs w:val="20"/>
                <w:lang w:val="en-GB"/>
              </w:rPr>
            </w:pPr>
          </w:p>
          <w:p w14:paraId="32695425" w14:textId="77777777" w:rsidR="00600DEE" w:rsidRPr="0045151D" w:rsidRDefault="00600DEE">
            <w:pPr>
              <w:jc w:val="both"/>
              <w:rPr>
                <w:rFonts w:ascii="Calibri" w:eastAsia="Calibri" w:hAnsi="Calibri" w:cs="Calibri"/>
                <w:sz w:val="20"/>
                <w:szCs w:val="20"/>
                <w:lang w:val="en-GB"/>
              </w:rPr>
            </w:pPr>
          </w:p>
          <w:p w14:paraId="0DCDE829"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IV. TRAFFIC FORECAST – ASSUMPTIONS</w:t>
            </w:r>
          </w:p>
          <w:p w14:paraId="2F5022C5" w14:textId="77777777" w:rsidR="00600DEE" w:rsidRPr="0045151D" w:rsidRDefault="00600DEE">
            <w:pPr>
              <w:jc w:val="both"/>
              <w:rPr>
                <w:rFonts w:ascii="Calibri" w:eastAsia="Calibri" w:hAnsi="Calibri" w:cs="Calibri"/>
                <w:sz w:val="20"/>
                <w:szCs w:val="20"/>
                <w:lang w:val="en-GB"/>
              </w:rPr>
            </w:pPr>
          </w:p>
          <w:p w14:paraId="3052AA0C" w14:textId="77777777" w:rsidR="00600DEE" w:rsidRPr="0045151D" w:rsidRDefault="00641FB5">
            <w:pPr>
              <w:spacing w:after="120"/>
              <w:jc w:val="both"/>
              <w:rPr>
                <w:rFonts w:ascii="Calibri" w:eastAsia="Calibri" w:hAnsi="Calibri" w:cs="Calibri"/>
                <w:sz w:val="20"/>
                <w:szCs w:val="20"/>
                <w:lang w:val="en-GB"/>
              </w:rPr>
            </w:pPr>
            <w:r w:rsidRPr="0045151D">
              <w:rPr>
                <w:rFonts w:ascii="Calibri" w:eastAsia="Calibri" w:hAnsi="Calibri" w:cs="Calibri"/>
                <w:b/>
                <w:sz w:val="20"/>
                <w:szCs w:val="20"/>
                <w:lang w:val="en-GB"/>
              </w:rPr>
              <w:t xml:space="preserve">The forecasting method and its required output results should be adapted to the project type, in compliance with table 6 in chapter 1.8.1. </w:t>
            </w:r>
            <w:r w:rsidRPr="0045151D">
              <w:rPr>
                <w:rFonts w:ascii="Calibri" w:eastAsia="Calibri" w:hAnsi="Calibri" w:cs="Calibri"/>
                <w:sz w:val="20"/>
                <w:szCs w:val="20"/>
                <w:lang w:val="en-GB"/>
              </w:rPr>
              <w:t>Therefore, the following rules shall apply respectively to the adopted forecasting method.</w:t>
            </w:r>
          </w:p>
          <w:p w14:paraId="6E5256F6" w14:textId="77777777" w:rsidR="00600DEE" w:rsidRPr="0045151D" w:rsidRDefault="00600DEE">
            <w:pPr>
              <w:jc w:val="both"/>
              <w:rPr>
                <w:rFonts w:ascii="Calibri" w:eastAsia="Calibri" w:hAnsi="Calibri" w:cs="Calibri"/>
                <w:sz w:val="20"/>
                <w:szCs w:val="20"/>
                <w:lang w:val="en-GB"/>
              </w:rPr>
            </w:pPr>
          </w:p>
          <w:p w14:paraId="67DF1BF1"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Network development analysis</w:t>
            </w:r>
          </w:p>
          <w:p w14:paraId="753FE110" w14:textId="77777777" w:rsidR="00600DEE" w:rsidRPr="0045151D" w:rsidRDefault="00600DEE">
            <w:pPr>
              <w:jc w:val="both"/>
              <w:rPr>
                <w:rFonts w:ascii="Calibri" w:eastAsia="Calibri" w:hAnsi="Calibri" w:cs="Calibri"/>
                <w:sz w:val="20"/>
                <w:szCs w:val="20"/>
                <w:lang w:val="en-GB"/>
              </w:rPr>
            </w:pPr>
          </w:p>
          <w:p w14:paraId="2EAA0DF6"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Changes in the development of the road network in terms of supply, i.e. the development of infrastructure, are very important and have a great impact on the final traffic forecasts that are used as the basis for further analyses. Forecasts should consider future road network development including any changes in the transport infrastructure within the analysed area. </w:t>
            </w:r>
          </w:p>
          <w:p w14:paraId="4CE6669D"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most likely scenario for the development of the road network in the reference period should be subject of the analysis, consistent with current strategic documents. The scenario should be the same for the without-the-project option (W0) and the investment option (Wn).</w:t>
            </w:r>
          </w:p>
          <w:p w14:paraId="3DFB837B"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Without-the-project option and investment option must consider both existing and planned road network. Compared options differ only in the fact that the investment scenario takes into account the planned investment (project).</w:t>
            </w:r>
          </w:p>
          <w:p w14:paraId="74EFD57B" w14:textId="736350D6" w:rsidR="00600DEE" w:rsidRPr="0045151D" w:rsidRDefault="00600DEE">
            <w:pPr>
              <w:jc w:val="both"/>
              <w:rPr>
                <w:rFonts w:ascii="Calibri" w:eastAsia="Calibri" w:hAnsi="Calibri" w:cs="Calibri"/>
                <w:sz w:val="20"/>
                <w:szCs w:val="20"/>
                <w:lang w:val="en-GB"/>
              </w:rPr>
            </w:pPr>
          </w:p>
          <w:p w14:paraId="442121F2" w14:textId="462012A9" w:rsidR="007274C4" w:rsidRPr="0045151D" w:rsidRDefault="007274C4">
            <w:pPr>
              <w:jc w:val="both"/>
              <w:rPr>
                <w:rFonts w:ascii="Calibri" w:eastAsia="Calibri" w:hAnsi="Calibri" w:cs="Calibri"/>
                <w:sz w:val="20"/>
                <w:szCs w:val="20"/>
                <w:lang w:val="en-GB"/>
              </w:rPr>
            </w:pPr>
          </w:p>
          <w:p w14:paraId="5778BDC0" w14:textId="77777777" w:rsidR="007274C4" w:rsidRPr="0045151D" w:rsidRDefault="007274C4">
            <w:pPr>
              <w:jc w:val="both"/>
              <w:rPr>
                <w:rFonts w:ascii="Calibri" w:eastAsia="Calibri" w:hAnsi="Calibri" w:cs="Calibri"/>
                <w:sz w:val="20"/>
                <w:szCs w:val="20"/>
                <w:lang w:val="en-GB"/>
              </w:rPr>
            </w:pPr>
          </w:p>
          <w:p w14:paraId="2FDDBAAF" w14:textId="77777777" w:rsidR="00600DEE" w:rsidRPr="0045151D" w:rsidRDefault="00600DEE">
            <w:pPr>
              <w:jc w:val="both"/>
              <w:rPr>
                <w:rFonts w:ascii="Calibri" w:eastAsia="Calibri" w:hAnsi="Calibri" w:cs="Calibri"/>
                <w:sz w:val="20"/>
                <w:szCs w:val="20"/>
                <w:lang w:val="en-GB"/>
              </w:rPr>
            </w:pPr>
          </w:p>
          <w:p w14:paraId="684F8DBC"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Traffic growth indicators</w:t>
            </w:r>
          </w:p>
          <w:p w14:paraId="4EFD4E0C" w14:textId="77777777" w:rsidR="00600DEE" w:rsidRPr="0045151D" w:rsidRDefault="00600DEE">
            <w:pPr>
              <w:jc w:val="both"/>
              <w:rPr>
                <w:rFonts w:ascii="Calibri" w:eastAsia="Calibri" w:hAnsi="Calibri" w:cs="Calibri"/>
                <w:sz w:val="20"/>
                <w:szCs w:val="20"/>
                <w:lang w:val="en-GB"/>
              </w:rPr>
            </w:pPr>
          </w:p>
          <w:p w14:paraId="66A7F9A6"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Forecasted vehicle flows on specified road network sections may be estimated by means of:</w:t>
            </w:r>
          </w:p>
          <w:p w14:paraId="55214698" w14:textId="77777777" w:rsidR="00600DEE" w:rsidRPr="0045151D" w:rsidRDefault="00641FB5" w:rsidP="00D5736B">
            <w:pPr>
              <w:numPr>
                <w:ilvl w:val="0"/>
                <w:numId w:val="66"/>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simplified traffic forecasting method – e.g. indicator method,</w:t>
            </w:r>
          </w:p>
          <w:p w14:paraId="789E27A2" w14:textId="77777777" w:rsidR="00600DEE" w:rsidRDefault="00641FB5" w:rsidP="00D5736B">
            <w:pPr>
              <w:numPr>
                <w:ilvl w:val="0"/>
                <w:numId w:val="66"/>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traffic modelling method.</w:t>
            </w:r>
          </w:p>
          <w:p w14:paraId="666359B3"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choice of the method depends on the classification of the investment (as presented in table 6 in chapter 1.8 Traffic Forecasts).</w:t>
            </w:r>
          </w:p>
          <w:p w14:paraId="0C751EF1"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When using the modelling method, traffic growth rates for the forecasted period should be taken from the current GDP growth table published on GDDKiA website, and including the so-called elasticity indicators for different vehicle categories.</w:t>
            </w:r>
          </w:p>
          <w:p w14:paraId="0430C125" w14:textId="77777777" w:rsidR="00600DEE" w:rsidRPr="0045151D" w:rsidRDefault="00600DEE">
            <w:pPr>
              <w:spacing w:before="120" w:after="120"/>
              <w:jc w:val="both"/>
              <w:rPr>
                <w:rFonts w:ascii="Calibri" w:eastAsia="Calibri" w:hAnsi="Calibri" w:cs="Calibri"/>
                <w:b/>
                <w:sz w:val="20"/>
                <w:szCs w:val="20"/>
                <w:lang w:val="en-GB"/>
              </w:rPr>
            </w:pPr>
          </w:p>
          <w:p w14:paraId="5D6E67C1" w14:textId="77777777" w:rsidR="00600DEE" w:rsidRPr="0045151D" w:rsidRDefault="00600DEE">
            <w:pPr>
              <w:spacing w:before="120" w:after="120"/>
              <w:jc w:val="both"/>
              <w:rPr>
                <w:rFonts w:ascii="Calibri" w:eastAsia="Calibri" w:hAnsi="Calibri" w:cs="Calibri"/>
                <w:b/>
                <w:sz w:val="20"/>
                <w:szCs w:val="20"/>
                <w:lang w:val="en-GB"/>
              </w:rPr>
            </w:pPr>
          </w:p>
          <w:p w14:paraId="757ADACD" w14:textId="59172165" w:rsidR="00600DEE" w:rsidRPr="0045151D" w:rsidRDefault="00641FB5" w:rsidP="005C4AAD">
            <w:pPr>
              <w:spacing w:before="240" w:after="120"/>
              <w:ind w:left="707" w:hanging="707"/>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 Elasticity of traffic growth indicators a</w:t>
            </w:r>
            <w:r w:rsidR="003A38F9">
              <w:rPr>
                <w:rFonts w:ascii="Calibri" w:eastAsia="Calibri" w:hAnsi="Calibri" w:cs="Calibri"/>
                <w:b/>
                <w:color w:val="4F81BD"/>
                <w:sz w:val="20"/>
                <w:szCs w:val="20"/>
                <w:lang w:val="en-GB"/>
              </w:rPr>
              <w:t xml:space="preserve">ccording to GDDKiA modelling </w:t>
            </w:r>
            <w:r w:rsidR="003A38F9">
              <w:rPr>
                <w:rFonts w:ascii="Calibri" w:eastAsia="Calibri" w:hAnsi="Calibri" w:cs="Calibri"/>
                <w:b/>
                <w:color w:val="4F81BD"/>
                <w:sz w:val="20"/>
                <w:szCs w:val="20"/>
                <w:lang w:val="en-GB"/>
              </w:rPr>
              <w:br/>
              <w:t xml:space="preserve"> </w:t>
            </w:r>
            <w:r w:rsidRPr="0045151D">
              <w:rPr>
                <w:rFonts w:ascii="Calibri" w:eastAsia="Calibri" w:hAnsi="Calibri" w:cs="Calibri"/>
                <w:b/>
                <w:color w:val="4F81BD"/>
                <w:sz w:val="20"/>
                <w:szCs w:val="20"/>
                <w:lang w:val="en-GB"/>
              </w:rPr>
              <w:t>method</w:t>
            </w:r>
          </w:p>
          <w:tbl>
            <w:tblPr>
              <w:tblStyle w:val="afffffffffffffc"/>
              <w:tblW w:w="6939" w:type="dxa"/>
              <w:tblLayout w:type="fixed"/>
              <w:tblLook w:val="0000" w:firstRow="0" w:lastRow="0" w:firstColumn="0" w:lastColumn="0" w:noHBand="0" w:noVBand="0"/>
            </w:tblPr>
            <w:tblGrid>
              <w:gridCol w:w="462"/>
              <w:gridCol w:w="2255"/>
              <w:gridCol w:w="1865"/>
              <w:gridCol w:w="2357"/>
            </w:tblGrid>
            <w:tr w:rsidR="00600DEE" w:rsidRPr="007463B9" w14:paraId="6BB61501" w14:textId="77777777">
              <w:trPr>
                <w:trHeight w:val="245"/>
              </w:trPr>
              <w:tc>
                <w:tcPr>
                  <w:tcW w:w="462" w:type="dxa"/>
                  <w:vMerge w:val="restart"/>
                  <w:tcBorders>
                    <w:top w:val="single" w:sz="4" w:space="0" w:color="FFFFFF"/>
                    <w:left w:val="single" w:sz="4" w:space="0" w:color="FFFFFF"/>
                  </w:tcBorders>
                  <w:shd w:val="clear" w:color="auto" w:fill="A6A6A6"/>
                </w:tcPr>
                <w:p w14:paraId="0528CDE8" w14:textId="77777777" w:rsidR="00600DEE" w:rsidRPr="0045151D" w:rsidRDefault="00600DEE">
                  <w:pPr>
                    <w:jc w:val="center"/>
                    <w:rPr>
                      <w:rFonts w:ascii="Calibri" w:eastAsia="Calibri" w:hAnsi="Calibri" w:cs="Calibri"/>
                      <w:b/>
                      <w:color w:val="FFFFFF"/>
                      <w:sz w:val="18"/>
                      <w:szCs w:val="18"/>
                      <w:lang w:val="en-GB"/>
                    </w:rPr>
                  </w:pPr>
                </w:p>
              </w:tc>
              <w:tc>
                <w:tcPr>
                  <w:tcW w:w="2255" w:type="dxa"/>
                  <w:vMerge w:val="restart"/>
                  <w:tcBorders>
                    <w:top w:val="single" w:sz="4" w:space="0" w:color="FFFFFF"/>
                    <w:left w:val="single" w:sz="4" w:space="0" w:color="FFFFFF"/>
                  </w:tcBorders>
                  <w:shd w:val="clear" w:color="auto" w:fill="A6A6A6"/>
                  <w:vAlign w:val="center"/>
                </w:tcPr>
                <w:p w14:paraId="096FF242"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Vehicle category</w:t>
                  </w:r>
                </w:p>
              </w:tc>
              <w:tc>
                <w:tcPr>
                  <w:tcW w:w="4222" w:type="dxa"/>
                  <w:gridSpan w:val="2"/>
                  <w:tcBorders>
                    <w:top w:val="single" w:sz="4" w:space="0" w:color="FFFFFF"/>
                    <w:left w:val="single" w:sz="4" w:space="0" w:color="FFFFFF"/>
                    <w:bottom w:val="single" w:sz="4" w:space="0" w:color="FFFFFF"/>
                  </w:tcBorders>
                  <w:shd w:val="clear" w:color="auto" w:fill="A6A6A6"/>
                  <w:vAlign w:val="center"/>
                </w:tcPr>
                <w:p w14:paraId="26AD9190"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We (elasticity indicator/years)</w:t>
                  </w:r>
                </w:p>
              </w:tc>
            </w:tr>
            <w:tr w:rsidR="00600DEE" w:rsidRPr="007463B9" w14:paraId="7BA44DC7" w14:textId="77777777">
              <w:trPr>
                <w:trHeight w:val="250"/>
              </w:trPr>
              <w:tc>
                <w:tcPr>
                  <w:tcW w:w="462" w:type="dxa"/>
                  <w:vMerge/>
                  <w:tcBorders>
                    <w:top w:val="single" w:sz="4" w:space="0" w:color="FFFFFF"/>
                    <w:left w:val="single" w:sz="4" w:space="0" w:color="FFFFFF"/>
                  </w:tcBorders>
                  <w:shd w:val="clear" w:color="auto" w:fill="A6A6A6"/>
                </w:tcPr>
                <w:p w14:paraId="4350C372"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lang w:val="en-GB"/>
                    </w:rPr>
                  </w:pPr>
                </w:p>
              </w:tc>
              <w:tc>
                <w:tcPr>
                  <w:tcW w:w="2255" w:type="dxa"/>
                  <w:vMerge/>
                  <w:tcBorders>
                    <w:top w:val="single" w:sz="4" w:space="0" w:color="FFFFFF"/>
                    <w:left w:val="single" w:sz="4" w:space="0" w:color="FFFFFF"/>
                  </w:tcBorders>
                  <w:shd w:val="clear" w:color="auto" w:fill="A6A6A6"/>
                  <w:vAlign w:val="center"/>
                </w:tcPr>
                <w:p w14:paraId="0C66BE77"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lang w:val="en-GB"/>
                    </w:rPr>
                  </w:pPr>
                </w:p>
              </w:tc>
              <w:tc>
                <w:tcPr>
                  <w:tcW w:w="1865" w:type="dxa"/>
                  <w:tcBorders>
                    <w:top w:val="single" w:sz="4" w:space="0" w:color="FFFFFF"/>
                    <w:left w:val="single" w:sz="4" w:space="0" w:color="FFFFFF"/>
                    <w:bottom w:val="single" w:sz="4" w:space="0" w:color="FFFFFF"/>
                  </w:tcBorders>
                  <w:shd w:val="clear" w:color="auto" w:fill="A6A6A6"/>
                  <w:vAlign w:val="center"/>
                </w:tcPr>
                <w:p w14:paraId="5CA58ABC"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2008-2015</w:t>
                  </w:r>
                </w:p>
              </w:tc>
              <w:tc>
                <w:tcPr>
                  <w:tcW w:w="2357" w:type="dxa"/>
                  <w:tcBorders>
                    <w:top w:val="single" w:sz="4" w:space="0" w:color="FFFFFF"/>
                    <w:left w:val="single" w:sz="4" w:space="0" w:color="FFFFFF"/>
                    <w:bottom w:val="single" w:sz="4" w:space="0" w:color="FFFFFF"/>
                  </w:tcBorders>
                  <w:shd w:val="clear" w:color="auto" w:fill="A6A6A6"/>
                  <w:vAlign w:val="center"/>
                </w:tcPr>
                <w:p w14:paraId="55C82E47"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2016-2040</w:t>
                  </w:r>
                </w:p>
              </w:tc>
            </w:tr>
            <w:tr w:rsidR="00600DEE" w:rsidRPr="007463B9" w14:paraId="5B1C4088" w14:textId="77777777" w:rsidTr="005C4AAD">
              <w:trPr>
                <w:trHeight w:hRule="exact" w:val="454"/>
              </w:trPr>
              <w:tc>
                <w:tcPr>
                  <w:tcW w:w="462" w:type="dxa"/>
                  <w:tcBorders>
                    <w:top w:val="single" w:sz="4" w:space="0" w:color="FFFFFF"/>
                    <w:left w:val="single" w:sz="4" w:space="0" w:color="FFFFFF"/>
                    <w:bottom w:val="single" w:sz="4" w:space="0" w:color="FFFFFF"/>
                  </w:tcBorders>
                  <w:shd w:val="clear" w:color="auto" w:fill="DBE5F1"/>
                </w:tcPr>
                <w:p w14:paraId="6948D26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w:t>
                  </w:r>
                </w:p>
              </w:tc>
              <w:tc>
                <w:tcPr>
                  <w:tcW w:w="2255" w:type="dxa"/>
                  <w:tcBorders>
                    <w:top w:val="single" w:sz="4" w:space="0" w:color="FFFFFF"/>
                    <w:left w:val="single" w:sz="4" w:space="0" w:color="FFFFFF"/>
                    <w:bottom w:val="single" w:sz="4" w:space="0" w:color="FFFFFF"/>
                  </w:tcBorders>
                  <w:shd w:val="clear" w:color="auto" w:fill="DBE5F1"/>
                  <w:vAlign w:val="center"/>
                </w:tcPr>
                <w:p w14:paraId="29BC0CFD"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Passenger cars</w:t>
                  </w:r>
                </w:p>
              </w:tc>
              <w:tc>
                <w:tcPr>
                  <w:tcW w:w="1865" w:type="dxa"/>
                  <w:tcBorders>
                    <w:top w:val="single" w:sz="4" w:space="0" w:color="FFFFFF"/>
                    <w:left w:val="single" w:sz="4" w:space="0" w:color="FFFFFF"/>
                    <w:bottom w:val="single" w:sz="4" w:space="0" w:color="FFFFFF"/>
                  </w:tcBorders>
                  <w:shd w:val="clear" w:color="auto" w:fill="DBE5F1"/>
                  <w:vAlign w:val="center"/>
                </w:tcPr>
                <w:p w14:paraId="2E4B046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0.90</w:t>
                  </w:r>
                </w:p>
              </w:tc>
              <w:tc>
                <w:tcPr>
                  <w:tcW w:w="2357" w:type="dxa"/>
                  <w:tcBorders>
                    <w:top w:val="single" w:sz="4" w:space="0" w:color="FFFFFF"/>
                    <w:left w:val="single" w:sz="4" w:space="0" w:color="FFFFFF"/>
                    <w:bottom w:val="single" w:sz="4" w:space="0" w:color="FFFFFF"/>
                  </w:tcBorders>
                  <w:shd w:val="clear" w:color="auto" w:fill="DBE5F1"/>
                  <w:vAlign w:val="center"/>
                </w:tcPr>
                <w:p w14:paraId="0EF4A9A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0.80</w:t>
                  </w:r>
                </w:p>
              </w:tc>
            </w:tr>
            <w:tr w:rsidR="00600DEE" w:rsidRPr="007463B9" w14:paraId="6F8C7B38" w14:textId="77777777" w:rsidTr="005C4AAD">
              <w:trPr>
                <w:trHeight w:hRule="exact" w:val="454"/>
              </w:trPr>
              <w:tc>
                <w:tcPr>
                  <w:tcW w:w="462" w:type="dxa"/>
                  <w:tcBorders>
                    <w:top w:val="single" w:sz="4" w:space="0" w:color="FFFFFF"/>
                    <w:left w:val="single" w:sz="4" w:space="0" w:color="FFFFFF"/>
                    <w:bottom w:val="single" w:sz="4" w:space="0" w:color="FFFFFF"/>
                  </w:tcBorders>
                  <w:shd w:val="clear" w:color="auto" w:fill="DBE5F1"/>
                </w:tcPr>
                <w:p w14:paraId="65E4805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w:t>
                  </w:r>
                </w:p>
              </w:tc>
              <w:tc>
                <w:tcPr>
                  <w:tcW w:w="2255" w:type="dxa"/>
                  <w:tcBorders>
                    <w:top w:val="single" w:sz="4" w:space="0" w:color="FFFFFF"/>
                    <w:left w:val="single" w:sz="4" w:space="0" w:color="FFFFFF"/>
                    <w:bottom w:val="single" w:sz="4" w:space="0" w:color="FFFFFF"/>
                  </w:tcBorders>
                  <w:shd w:val="clear" w:color="auto" w:fill="DBE5F1"/>
                  <w:vAlign w:val="center"/>
                </w:tcPr>
                <w:p w14:paraId="0A1C68C5"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Commercial cars</w:t>
                  </w:r>
                </w:p>
              </w:tc>
              <w:tc>
                <w:tcPr>
                  <w:tcW w:w="1865" w:type="dxa"/>
                  <w:tcBorders>
                    <w:top w:val="single" w:sz="4" w:space="0" w:color="FFFFFF"/>
                    <w:left w:val="single" w:sz="4" w:space="0" w:color="FFFFFF"/>
                    <w:bottom w:val="single" w:sz="4" w:space="0" w:color="FFFFFF"/>
                  </w:tcBorders>
                  <w:shd w:val="clear" w:color="auto" w:fill="DBE5F1"/>
                  <w:vAlign w:val="center"/>
                </w:tcPr>
                <w:p w14:paraId="7EEBF4E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0.33</w:t>
                  </w:r>
                </w:p>
              </w:tc>
              <w:tc>
                <w:tcPr>
                  <w:tcW w:w="2357" w:type="dxa"/>
                  <w:tcBorders>
                    <w:top w:val="single" w:sz="4" w:space="0" w:color="FFFFFF"/>
                    <w:left w:val="single" w:sz="4" w:space="0" w:color="FFFFFF"/>
                    <w:bottom w:val="single" w:sz="4" w:space="0" w:color="FFFFFF"/>
                  </w:tcBorders>
                  <w:shd w:val="clear" w:color="auto" w:fill="DBE5F1"/>
                  <w:vAlign w:val="center"/>
                </w:tcPr>
                <w:p w14:paraId="3D1F299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0.33</w:t>
                  </w:r>
                </w:p>
              </w:tc>
            </w:tr>
            <w:tr w:rsidR="00600DEE" w:rsidRPr="007463B9" w14:paraId="55124510" w14:textId="77777777" w:rsidTr="005C4AAD">
              <w:trPr>
                <w:trHeight w:hRule="exact" w:val="454"/>
              </w:trPr>
              <w:tc>
                <w:tcPr>
                  <w:tcW w:w="462" w:type="dxa"/>
                  <w:tcBorders>
                    <w:top w:val="single" w:sz="4" w:space="0" w:color="FFFFFF"/>
                    <w:left w:val="single" w:sz="4" w:space="0" w:color="FFFFFF"/>
                    <w:bottom w:val="single" w:sz="4" w:space="0" w:color="FFFFFF"/>
                  </w:tcBorders>
                  <w:shd w:val="clear" w:color="auto" w:fill="DBE5F1"/>
                </w:tcPr>
                <w:p w14:paraId="7B6017F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w:t>
                  </w:r>
                </w:p>
              </w:tc>
              <w:tc>
                <w:tcPr>
                  <w:tcW w:w="2255" w:type="dxa"/>
                  <w:tcBorders>
                    <w:top w:val="single" w:sz="4" w:space="0" w:color="FFFFFF"/>
                    <w:left w:val="single" w:sz="4" w:space="0" w:color="FFFFFF"/>
                    <w:bottom w:val="single" w:sz="4" w:space="0" w:color="FFFFFF"/>
                  </w:tcBorders>
                  <w:shd w:val="clear" w:color="auto" w:fill="DBE5F1"/>
                  <w:vAlign w:val="center"/>
                </w:tcPr>
                <w:p w14:paraId="30844C0D"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Trucks without trailers</w:t>
                  </w:r>
                </w:p>
              </w:tc>
              <w:tc>
                <w:tcPr>
                  <w:tcW w:w="1865" w:type="dxa"/>
                  <w:tcBorders>
                    <w:top w:val="single" w:sz="4" w:space="0" w:color="FFFFFF"/>
                    <w:left w:val="single" w:sz="4" w:space="0" w:color="FFFFFF"/>
                    <w:bottom w:val="single" w:sz="4" w:space="0" w:color="FFFFFF"/>
                  </w:tcBorders>
                  <w:shd w:val="clear" w:color="auto" w:fill="DBE5F1"/>
                  <w:vAlign w:val="center"/>
                </w:tcPr>
                <w:p w14:paraId="5E66692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0.35</w:t>
                  </w:r>
                </w:p>
              </w:tc>
              <w:tc>
                <w:tcPr>
                  <w:tcW w:w="2357" w:type="dxa"/>
                  <w:tcBorders>
                    <w:top w:val="single" w:sz="4" w:space="0" w:color="FFFFFF"/>
                    <w:left w:val="single" w:sz="4" w:space="0" w:color="FFFFFF"/>
                    <w:bottom w:val="single" w:sz="4" w:space="0" w:color="FFFFFF"/>
                  </w:tcBorders>
                  <w:shd w:val="clear" w:color="auto" w:fill="DBE5F1"/>
                  <w:vAlign w:val="center"/>
                </w:tcPr>
                <w:p w14:paraId="19DD2CF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0.35</w:t>
                  </w:r>
                </w:p>
              </w:tc>
            </w:tr>
            <w:tr w:rsidR="00600DEE" w:rsidRPr="007463B9" w14:paraId="631E5858" w14:textId="77777777" w:rsidTr="005C4AAD">
              <w:trPr>
                <w:trHeight w:hRule="exact" w:val="454"/>
              </w:trPr>
              <w:tc>
                <w:tcPr>
                  <w:tcW w:w="462" w:type="dxa"/>
                  <w:tcBorders>
                    <w:top w:val="single" w:sz="4" w:space="0" w:color="FFFFFF"/>
                    <w:left w:val="single" w:sz="4" w:space="0" w:color="FFFFFF"/>
                    <w:bottom w:val="single" w:sz="4" w:space="0" w:color="FFFFFF"/>
                  </w:tcBorders>
                  <w:shd w:val="clear" w:color="auto" w:fill="DBE5F1"/>
                </w:tcPr>
                <w:p w14:paraId="38F0480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4</w:t>
                  </w:r>
                </w:p>
              </w:tc>
              <w:tc>
                <w:tcPr>
                  <w:tcW w:w="2255" w:type="dxa"/>
                  <w:tcBorders>
                    <w:top w:val="single" w:sz="4" w:space="0" w:color="FFFFFF"/>
                    <w:left w:val="single" w:sz="4" w:space="0" w:color="FFFFFF"/>
                    <w:bottom w:val="single" w:sz="4" w:space="0" w:color="FFFFFF"/>
                  </w:tcBorders>
                  <w:shd w:val="clear" w:color="auto" w:fill="DBE5F1"/>
                  <w:vAlign w:val="center"/>
                </w:tcPr>
                <w:p w14:paraId="75085736"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Commercial cars with trailers </w:t>
                  </w:r>
                </w:p>
              </w:tc>
              <w:tc>
                <w:tcPr>
                  <w:tcW w:w="1865" w:type="dxa"/>
                  <w:tcBorders>
                    <w:top w:val="single" w:sz="4" w:space="0" w:color="FFFFFF"/>
                    <w:left w:val="single" w:sz="4" w:space="0" w:color="FFFFFF"/>
                    <w:bottom w:val="single" w:sz="4" w:space="0" w:color="FFFFFF"/>
                  </w:tcBorders>
                  <w:shd w:val="clear" w:color="auto" w:fill="DBE5F1"/>
                  <w:vAlign w:val="center"/>
                </w:tcPr>
                <w:p w14:paraId="5C06999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1.07</w:t>
                  </w:r>
                </w:p>
              </w:tc>
              <w:tc>
                <w:tcPr>
                  <w:tcW w:w="2357" w:type="dxa"/>
                  <w:tcBorders>
                    <w:top w:val="single" w:sz="4" w:space="0" w:color="FFFFFF"/>
                    <w:left w:val="single" w:sz="4" w:space="0" w:color="FFFFFF"/>
                    <w:bottom w:val="single" w:sz="4" w:space="0" w:color="FFFFFF"/>
                  </w:tcBorders>
                  <w:shd w:val="clear" w:color="auto" w:fill="DBE5F1"/>
                  <w:vAlign w:val="center"/>
                </w:tcPr>
                <w:p w14:paraId="043E3FB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1.00</w:t>
                  </w:r>
                </w:p>
              </w:tc>
            </w:tr>
          </w:tbl>
          <w:p w14:paraId="1E300927"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For non-urban investments where it is allowed to use the simplified method, traffic volume on specified sections is calculated by multiplying the base year traffic by each vehicle category traffic growth indicator (estimated using factors obtained from GDDKiA). As traffic growth dynamics varies depending on the road categories, growth indicators should be adjusted using different elasticity indicators by vehicle category.</w:t>
            </w:r>
          </w:p>
          <w:p w14:paraId="33DBE733" w14:textId="77777777" w:rsidR="00600DEE" w:rsidRPr="0045151D" w:rsidRDefault="00600DEE">
            <w:pPr>
              <w:jc w:val="both"/>
              <w:rPr>
                <w:rFonts w:ascii="Calibri" w:eastAsia="Calibri" w:hAnsi="Calibri" w:cs="Calibri"/>
                <w:sz w:val="20"/>
                <w:szCs w:val="20"/>
                <w:lang w:val="en-GB"/>
              </w:rPr>
            </w:pPr>
          </w:p>
          <w:p w14:paraId="164154B0" w14:textId="77777777" w:rsidR="00600DEE" w:rsidRPr="0045151D" w:rsidRDefault="00600DEE">
            <w:pPr>
              <w:jc w:val="both"/>
              <w:rPr>
                <w:rFonts w:ascii="Calibri" w:eastAsia="Calibri" w:hAnsi="Calibri" w:cs="Calibri"/>
                <w:sz w:val="20"/>
                <w:szCs w:val="20"/>
                <w:lang w:val="en-GB"/>
              </w:rPr>
            </w:pPr>
          </w:p>
          <w:p w14:paraId="635AB083" w14:textId="77777777" w:rsidR="00600DEE" w:rsidRPr="0045151D" w:rsidRDefault="00600DEE">
            <w:pPr>
              <w:jc w:val="both"/>
              <w:rPr>
                <w:rFonts w:ascii="Calibri" w:eastAsia="Calibri" w:hAnsi="Calibri" w:cs="Calibri"/>
                <w:sz w:val="20"/>
                <w:szCs w:val="20"/>
                <w:lang w:val="en-GB"/>
              </w:rPr>
            </w:pPr>
          </w:p>
          <w:p w14:paraId="293283DB" w14:textId="77777777" w:rsidR="00600DEE" w:rsidRPr="0045151D" w:rsidRDefault="00641FB5" w:rsidP="005C4AAD">
            <w:pPr>
              <w:spacing w:after="120"/>
              <w:ind w:left="848" w:hanging="848"/>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 xml:space="preserve">Table 2. Elasticity indicators according to the GDDKiA forecasting growth </w:t>
            </w:r>
            <w:r w:rsidRPr="0045151D">
              <w:rPr>
                <w:rFonts w:ascii="Calibri" w:eastAsia="Calibri" w:hAnsi="Calibri" w:cs="Calibri"/>
                <w:b/>
                <w:color w:val="4F81BD"/>
                <w:sz w:val="20"/>
                <w:szCs w:val="20"/>
                <w:lang w:val="en-GB"/>
              </w:rPr>
              <w:br/>
              <w:t xml:space="preserve"> indicator method</w:t>
            </w:r>
          </w:p>
          <w:tbl>
            <w:tblPr>
              <w:tblStyle w:val="afffffffffffffd"/>
              <w:tblW w:w="6939" w:type="dxa"/>
              <w:tblLayout w:type="fixed"/>
              <w:tblLook w:val="0000" w:firstRow="0" w:lastRow="0" w:firstColumn="0" w:lastColumn="0" w:noHBand="0" w:noVBand="0"/>
            </w:tblPr>
            <w:tblGrid>
              <w:gridCol w:w="1410"/>
              <w:gridCol w:w="1365"/>
              <w:gridCol w:w="1388"/>
              <w:gridCol w:w="1388"/>
              <w:gridCol w:w="1388"/>
            </w:tblGrid>
            <w:tr w:rsidR="00600DEE" w:rsidRPr="007463B9" w14:paraId="5D9E7849" w14:textId="77777777" w:rsidTr="005C4AAD">
              <w:trPr>
                <w:trHeight w:hRule="exact" w:val="567"/>
              </w:trPr>
              <w:tc>
                <w:tcPr>
                  <w:tcW w:w="1410" w:type="dxa"/>
                  <w:tcBorders>
                    <w:top w:val="single" w:sz="4" w:space="0" w:color="FFFFFF"/>
                    <w:left w:val="single" w:sz="4" w:space="0" w:color="FFFFFF"/>
                    <w:bottom w:val="single" w:sz="4" w:space="0" w:color="FFFFFF"/>
                  </w:tcBorders>
                  <w:shd w:val="clear" w:color="auto" w:fill="A6A6A6"/>
                  <w:vAlign w:val="center"/>
                </w:tcPr>
                <w:p w14:paraId="11F9427A"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Road category</w:t>
                  </w:r>
                </w:p>
              </w:tc>
              <w:tc>
                <w:tcPr>
                  <w:tcW w:w="1365" w:type="dxa"/>
                  <w:tcBorders>
                    <w:top w:val="single" w:sz="4" w:space="0" w:color="FFFFFF"/>
                    <w:left w:val="single" w:sz="4" w:space="0" w:color="FFFFFF"/>
                    <w:bottom w:val="single" w:sz="4" w:space="0" w:color="FFFFFF"/>
                  </w:tcBorders>
                  <w:shd w:val="clear" w:color="auto" w:fill="A6A6A6"/>
                  <w:vAlign w:val="center"/>
                </w:tcPr>
                <w:p w14:paraId="2277F499"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Passenger cars</w:t>
                  </w:r>
                </w:p>
              </w:tc>
              <w:tc>
                <w:tcPr>
                  <w:tcW w:w="1388" w:type="dxa"/>
                  <w:tcBorders>
                    <w:top w:val="single" w:sz="4" w:space="0" w:color="FFFFFF"/>
                    <w:left w:val="single" w:sz="4" w:space="0" w:color="FFFFFF"/>
                    <w:bottom w:val="single" w:sz="4" w:space="0" w:color="FFFFFF"/>
                  </w:tcBorders>
                  <w:shd w:val="clear" w:color="auto" w:fill="A6A6A6"/>
                  <w:vAlign w:val="center"/>
                </w:tcPr>
                <w:p w14:paraId="6EEF66D9"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Commercial vehicles</w:t>
                  </w:r>
                </w:p>
              </w:tc>
              <w:tc>
                <w:tcPr>
                  <w:tcW w:w="1388" w:type="dxa"/>
                  <w:tcBorders>
                    <w:top w:val="single" w:sz="4" w:space="0" w:color="FFFFFF"/>
                    <w:left w:val="single" w:sz="4" w:space="0" w:color="FFFFFF"/>
                    <w:bottom w:val="single" w:sz="4" w:space="0" w:color="FFFFFF"/>
                  </w:tcBorders>
                  <w:shd w:val="clear" w:color="auto" w:fill="A6A6A6"/>
                  <w:vAlign w:val="center"/>
                </w:tcPr>
                <w:p w14:paraId="714987CB"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Trucks</w:t>
                  </w:r>
                </w:p>
              </w:tc>
              <w:tc>
                <w:tcPr>
                  <w:tcW w:w="1388" w:type="dxa"/>
                  <w:tcBorders>
                    <w:top w:val="single" w:sz="4" w:space="0" w:color="FFFFFF"/>
                    <w:left w:val="single" w:sz="4" w:space="0" w:color="FFFFFF"/>
                    <w:bottom w:val="single" w:sz="4" w:space="0" w:color="FFFFFF"/>
                  </w:tcBorders>
                  <w:shd w:val="clear" w:color="auto" w:fill="A6A6A6"/>
                  <w:vAlign w:val="center"/>
                </w:tcPr>
                <w:p w14:paraId="2CEB656B"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Trucks with (semi)trailers</w:t>
                  </w:r>
                </w:p>
              </w:tc>
            </w:tr>
            <w:tr w:rsidR="00600DEE" w:rsidRPr="007463B9" w14:paraId="76369C7C" w14:textId="77777777" w:rsidTr="005C4AAD">
              <w:trPr>
                <w:trHeight w:hRule="exact" w:val="284"/>
              </w:trPr>
              <w:tc>
                <w:tcPr>
                  <w:tcW w:w="1410" w:type="dxa"/>
                  <w:tcBorders>
                    <w:top w:val="single" w:sz="4" w:space="0" w:color="FFFFFF"/>
                    <w:left w:val="single" w:sz="4" w:space="0" w:color="FFFFFF"/>
                    <w:bottom w:val="single" w:sz="4" w:space="0" w:color="FFFFFF"/>
                  </w:tcBorders>
                  <w:shd w:val="clear" w:color="auto" w:fill="DBE5F1"/>
                  <w:vAlign w:val="center"/>
                </w:tcPr>
                <w:p w14:paraId="23796E20"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National</w:t>
                  </w:r>
                </w:p>
              </w:tc>
              <w:tc>
                <w:tcPr>
                  <w:tcW w:w="1365" w:type="dxa"/>
                  <w:tcBorders>
                    <w:top w:val="single" w:sz="4" w:space="0" w:color="FFFFFF"/>
                    <w:left w:val="single" w:sz="4" w:space="0" w:color="FFFFFF"/>
                    <w:bottom w:val="single" w:sz="4" w:space="0" w:color="FFFFFF"/>
                  </w:tcBorders>
                  <w:shd w:val="clear" w:color="auto" w:fill="DBE5F1"/>
                  <w:vAlign w:val="center"/>
                </w:tcPr>
                <w:p w14:paraId="048280C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w:t>
                  </w:r>
                </w:p>
              </w:tc>
              <w:tc>
                <w:tcPr>
                  <w:tcW w:w="1388" w:type="dxa"/>
                  <w:tcBorders>
                    <w:top w:val="single" w:sz="4" w:space="0" w:color="FFFFFF"/>
                    <w:left w:val="single" w:sz="4" w:space="0" w:color="FFFFFF"/>
                    <w:bottom w:val="single" w:sz="4" w:space="0" w:color="FFFFFF"/>
                  </w:tcBorders>
                  <w:shd w:val="clear" w:color="auto" w:fill="DBE5F1"/>
                  <w:vAlign w:val="center"/>
                </w:tcPr>
                <w:p w14:paraId="1D93A3F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w:t>
                  </w:r>
                </w:p>
              </w:tc>
              <w:tc>
                <w:tcPr>
                  <w:tcW w:w="1388" w:type="dxa"/>
                  <w:tcBorders>
                    <w:top w:val="single" w:sz="4" w:space="0" w:color="FFFFFF"/>
                    <w:left w:val="single" w:sz="4" w:space="0" w:color="FFFFFF"/>
                    <w:bottom w:val="single" w:sz="4" w:space="0" w:color="FFFFFF"/>
                  </w:tcBorders>
                  <w:shd w:val="clear" w:color="auto" w:fill="DBE5F1"/>
                  <w:vAlign w:val="center"/>
                </w:tcPr>
                <w:p w14:paraId="4405373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w:t>
                  </w:r>
                </w:p>
              </w:tc>
              <w:tc>
                <w:tcPr>
                  <w:tcW w:w="1388" w:type="dxa"/>
                  <w:tcBorders>
                    <w:top w:val="single" w:sz="4" w:space="0" w:color="FFFFFF"/>
                    <w:left w:val="single" w:sz="4" w:space="0" w:color="FFFFFF"/>
                    <w:bottom w:val="single" w:sz="4" w:space="0" w:color="FFFFFF"/>
                  </w:tcBorders>
                  <w:shd w:val="clear" w:color="auto" w:fill="DBE5F1"/>
                  <w:vAlign w:val="center"/>
                </w:tcPr>
                <w:p w14:paraId="1724B4B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w:t>
                  </w:r>
                </w:p>
              </w:tc>
            </w:tr>
            <w:tr w:rsidR="00600DEE" w:rsidRPr="007463B9" w14:paraId="194BCC12" w14:textId="77777777" w:rsidTr="005C4AAD">
              <w:trPr>
                <w:trHeight w:hRule="exact" w:val="284"/>
              </w:trPr>
              <w:tc>
                <w:tcPr>
                  <w:tcW w:w="1410" w:type="dxa"/>
                  <w:tcBorders>
                    <w:top w:val="single" w:sz="4" w:space="0" w:color="FFFFFF"/>
                    <w:left w:val="single" w:sz="4" w:space="0" w:color="FFFFFF"/>
                    <w:bottom w:val="single" w:sz="4" w:space="0" w:color="FFFFFF"/>
                  </w:tcBorders>
                  <w:shd w:val="clear" w:color="auto" w:fill="DBE5F1"/>
                  <w:vAlign w:val="center"/>
                </w:tcPr>
                <w:p w14:paraId="281E3B7B"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Voivoideship</w:t>
                  </w:r>
                </w:p>
              </w:tc>
              <w:tc>
                <w:tcPr>
                  <w:tcW w:w="1365" w:type="dxa"/>
                  <w:tcBorders>
                    <w:top w:val="single" w:sz="4" w:space="0" w:color="FFFFFF"/>
                    <w:left w:val="single" w:sz="4" w:space="0" w:color="FFFFFF"/>
                    <w:bottom w:val="single" w:sz="4" w:space="0" w:color="FFFFFF"/>
                  </w:tcBorders>
                  <w:shd w:val="clear" w:color="auto" w:fill="DBE5F1"/>
                  <w:vAlign w:val="center"/>
                </w:tcPr>
                <w:p w14:paraId="2ADCB00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0.9</w:t>
                  </w:r>
                </w:p>
              </w:tc>
              <w:tc>
                <w:tcPr>
                  <w:tcW w:w="1388" w:type="dxa"/>
                  <w:tcBorders>
                    <w:top w:val="single" w:sz="4" w:space="0" w:color="FFFFFF"/>
                    <w:left w:val="single" w:sz="4" w:space="0" w:color="FFFFFF"/>
                    <w:bottom w:val="single" w:sz="4" w:space="0" w:color="FFFFFF"/>
                  </w:tcBorders>
                  <w:shd w:val="clear" w:color="auto" w:fill="DBE5F1"/>
                  <w:vAlign w:val="center"/>
                </w:tcPr>
                <w:p w14:paraId="6F59EE4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0.9</w:t>
                  </w:r>
                </w:p>
              </w:tc>
              <w:tc>
                <w:tcPr>
                  <w:tcW w:w="1388" w:type="dxa"/>
                  <w:tcBorders>
                    <w:top w:val="single" w:sz="4" w:space="0" w:color="FFFFFF"/>
                    <w:left w:val="single" w:sz="4" w:space="0" w:color="FFFFFF"/>
                    <w:bottom w:val="single" w:sz="4" w:space="0" w:color="FFFFFF"/>
                  </w:tcBorders>
                  <w:shd w:val="clear" w:color="auto" w:fill="DBE5F1"/>
                  <w:vAlign w:val="center"/>
                </w:tcPr>
                <w:p w14:paraId="6817360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w:t>
                  </w:r>
                </w:p>
              </w:tc>
              <w:tc>
                <w:tcPr>
                  <w:tcW w:w="1388" w:type="dxa"/>
                  <w:tcBorders>
                    <w:top w:val="single" w:sz="4" w:space="0" w:color="FFFFFF"/>
                    <w:left w:val="single" w:sz="4" w:space="0" w:color="FFFFFF"/>
                    <w:bottom w:val="single" w:sz="4" w:space="0" w:color="FFFFFF"/>
                  </w:tcBorders>
                  <w:shd w:val="clear" w:color="auto" w:fill="DBE5F1"/>
                  <w:vAlign w:val="center"/>
                </w:tcPr>
                <w:p w14:paraId="5D802D0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0.75</w:t>
                  </w:r>
                </w:p>
              </w:tc>
            </w:tr>
            <w:tr w:rsidR="00600DEE" w:rsidRPr="007463B9" w14:paraId="2FEFAB1C" w14:textId="77777777" w:rsidTr="005C4AAD">
              <w:trPr>
                <w:trHeight w:hRule="exact" w:val="284"/>
              </w:trPr>
              <w:tc>
                <w:tcPr>
                  <w:tcW w:w="1410" w:type="dxa"/>
                  <w:tcBorders>
                    <w:top w:val="single" w:sz="4" w:space="0" w:color="FFFFFF"/>
                    <w:left w:val="single" w:sz="4" w:space="0" w:color="FFFFFF"/>
                    <w:bottom w:val="single" w:sz="4" w:space="0" w:color="FFFFFF"/>
                  </w:tcBorders>
                  <w:shd w:val="clear" w:color="auto" w:fill="DBE5F1"/>
                  <w:vAlign w:val="center"/>
                </w:tcPr>
                <w:p w14:paraId="0BE08B4F"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County </w:t>
                  </w:r>
                </w:p>
              </w:tc>
              <w:tc>
                <w:tcPr>
                  <w:tcW w:w="1365" w:type="dxa"/>
                  <w:tcBorders>
                    <w:top w:val="single" w:sz="4" w:space="0" w:color="FFFFFF"/>
                    <w:left w:val="single" w:sz="4" w:space="0" w:color="FFFFFF"/>
                    <w:bottom w:val="single" w:sz="4" w:space="0" w:color="FFFFFF"/>
                  </w:tcBorders>
                  <w:shd w:val="clear" w:color="auto" w:fill="DBE5F1"/>
                  <w:vAlign w:val="center"/>
                </w:tcPr>
                <w:p w14:paraId="404D151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w:t>
                  </w:r>
                </w:p>
              </w:tc>
              <w:tc>
                <w:tcPr>
                  <w:tcW w:w="1388" w:type="dxa"/>
                  <w:tcBorders>
                    <w:top w:val="single" w:sz="4" w:space="0" w:color="FFFFFF"/>
                    <w:left w:val="single" w:sz="4" w:space="0" w:color="FFFFFF"/>
                    <w:bottom w:val="single" w:sz="4" w:space="0" w:color="FFFFFF"/>
                  </w:tcBorders>
                  <w:shd w:val="clear" w:color="auto" w:fill="DBE5F1"/>
                  <w:vAlign w:val="center"/>
                </w:tcPr>
                <w:p w14:paraId="682EE07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w:t>
                  </w:r>
                </w:p>
              </w:tc>
              <w:tc>
                <w:tcPr>
                  <w:tcW w:w="1388" w:type="dxa"/>
                  <w:tcBorders>
                    <w:top w:val="single" w:sz="4" w:space="0" w:color="FFFFFF"/>
                    <w:left w:val="single" w:sz="4" w:space="0" w:color="FFFFFF"/>
                    <w:bottom w:val="single" w:sz="4" w:space="0" w:color="FFFFFF"/>
                  </w:tcBorders>
                  <w:shd w:val="clear" w:color="auto" w:fill="DBE5F1"/>
                  <w:vAlign w:val="center"/>
                </w:tcPr>
                <w:p w14:paraId="6965BED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0.75</w:t>
                  </w:r>
                </w:p>
              </w:tc>
              <w:tc>
                <w:tcPr>
                  <w:tcW w:w="1388" w:type="dxa"/>
                  <w:tcBorders>
                    <w:top w:val="single" w:sz="4" w:space="0" w:color="FFFFFF"/>
                    <w:left w:val="single" w:sz="4" w:space="0" w:color="FFFFFF"/>
                    <w:bottom w:val="single" w:sz="4" w:space="0" w:color="FFFFFF"/>
                  </w:tcBorders>
                  <w:shd w:val="clear" w:color="auto" w:fill="DBE5F1"/>
                  <w:vAlign w:val="center"/>
                </w:tcPr>
                <w:p w14:paraId="7F5661B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w:t>
                  </w:r>
                </w:p>
              </w:tc>
            </w:tr>
            <w:tr w:rsidR="00600DEE" w:rsidRPr="007463B9" w14:paraId="635A9315" w14:textId="77777777" w:rsidTr="005C4AAD">
              <w:trPr>
                <w:trHeight w:hRule="exact" w:val="454"/>
              </w:trPr>
              <w:tc>
                <w:tcPr>
                  <w:tcW w:w="1410" w:type="dxa"/>
                  <w:tcBorders>
                    <w:top w:val="single" w:sz="4" w:space="0" w:color="FFFFFF"/>
                    <w:left w:val="single" w:sz="4" w:space="0" w:color="FFFFFF"/>
                    <w:bottom w:val="single" w:sz="4" w:space="0" w:color="FFFFFF"/>
                  </w:tcBorders>
                  <w:shd w:val="clear" w:color="auto" w:fill="DBE5F1"/>
                  <w:vAlign w:val="center"/>
                </w:tcPr>
                <w:p w14:paraId="18840DF1"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Community/Municipality</w:t>
                  </w:r>
                </w:p>
              </w:tc>
              <w:tc>
                <w:tcPr>
                  <w:tcW w:w="1365" w:type="dxa"/>
                  <w:tcBorders>
                    <w:top w:val="single" w:sz="4" w:space="0" w:color="FFFFFF"/>
                    <w:left w:val="single" w:sz="4" w:space="0" w:color="FFFFFF"/>
                    <w:bottom w:val="single" w:sz="4" w:space="0" w:color="FFFFFF"/>
                  </w:tcBorders>
                  <w:shd w:val="clear" w:color="auto" w:fill="DBE5F1"/>
                  <w:vAlign w:val="center"/>
                </w:tcPr>
                <w:p w14:paraId="1D1795F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0.75</w:t>
                  </w:r>
                </w:p>
              </w:tc>
              <w:tc>
                <w:tcPr>
                  <w:tcW w:w="1388" w:type="dxa"/>
                  <w:tcBorders>
                    <w:top w:val="single" w:sz="4" w:space="0" w:color="FFFFFF"/>
                    <w:left w:val="single" w:sz="4" w:space="0" w:color="FFFFFF"/>
                    <w:bottom w:val="single" w:sz="4" w:space="0" w:color="FFFFFF"/>
                  </w:tcBorders>
                  <w:shd w:val="clear" w:color="auto" w:fill="DBE5F1"/>
                  <w:vAlign w:val="center"/>
                </w:tcPr>
                <w:p w14:paraId="2CE00BA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0.75</w:t>
                  </w:r>
                </w:p>
              </w:tc>
              <w:tc>
                <w:tcPr>
                  <w:tcW w:w="1388" w:type="dxa"/>
                  <w:tcBorders>
                    <w:top w:val="single" w:sz="4" w:space="0" w:color="FFFFFF"/>
                    <w:left w:val="single" w:sz="4" w:space="0" w:color="FFFFFF"/>
                    <w:bottom w:val="single" w:sz="4" w:space="0" w:color="FFFFFF"/>
                  </w:tcBorders>
                  <w:shd w:val="clear" w:color="auto" w:fill="DBE5F1"/>
                  <w:vAlign w:val="center"/>
                </w:tcPr>
                <w:p w14:paraId="2A2BDBF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w:t>
                  </w:r>
                </w:p>
              </w:tc>
              <w:tc>
                <w:tcPr>
                  <w:tcW w:w="1388" w:type="dxa"/>
                  <w:tcBorders>
                    <w:top w:val="single" w:sz="4" w:space="0" w:color="FFFFFF"/>
                    <w:left w:val="single" w:sz="4" w:space="0" w:color="FFFFFF"/>
                    <w:bottom w:val="single" w:sz="4" w:space="0" w:color="FFFFFF"/>
                  </w:tcBorders>
                  <w:shd w:val="clear" w:color="auto" w:fill="DBE5F1"/>
                  <w:vAlign w:val="center"/>
                </w:tcPr>
                <w:p w14:paraId="6FA335F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0.65</w:t>
                  </w:r>
                </w:p>
              </w:tc>
            </w:tr>
          </w:tbl>
          <w:p w14:paraId="24C96FC3"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above indicators will be updated under the current GDDKiA work aiming at updating the National Transport Model.</w:t>
            </w:r>
          </w:p>
          <w:p w14:paraId="5ED14B3A"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It should be noted that in case of big cities, in principle, the traffic would remain unchanged over time, unless new sources/destinations (eg. shopping center or residential area) are foreseen within spatial development plans in the vicinity of the new project.</w:t>
            </w:r>
          </w:p>
          <w:p w14:paraId="1E3FE38A" w14:textId="77777777" w:rsidR="00600DEE" w:rsidRPr="0045151D" w:rsidRDefault="00600DEE">
            <w:pPr>
              <w:jc w:val="both"/>
              <w:rPr>
                <w:rFonts w:ascii="Calibri" w:eastAsia="Calibri" w:hAnsi="Calibri" w:cs="Calibri"/>
                <w:color w:val="4F81BD"/>
                <w:sz w:val="20"/>
                <w:szCs w:val="20"/>
                <w:lang w:val="en-GB"/>
              </w:rPr>
            </w:pPr>
          </w:p>
          <w:p w14:paraId="1408D517" w14:textId="77777777" w:rsidR="00600DEE" w:rsidRPr="0045151D" w:rsidRDefault="00600DEE">
            <w:pPr>
              <w:jc w:val="both"/>
              <w:rPr>
                <w:rFonts w:ascii="Calibri" w:eastAsia="Calibri" w:hAnsi="Calibri" w:cs="Calibri"/>
                <w:color w:val="4F81BD"/>
                <w:sz w:val="20"/>
                <w:szCs w:val="20"/>
                <w:lang w:val="en-GB"/>
              </w:rPr>
            </w:pPr>
          </w:p>
          <w:p w14:paraId="31E3906C" w14:textId="77777777" w:rsidR="00600DEE" w:rsidRPr="0045151D" w:rsidRDefault="00600DEE">
            <w:pPr>
              <w:jc w:val="both"/>
              <w:rPr>
                <w:rFonts w:ascii="Calibri" w:eastAsia="Calibri" w:hAnsi="Calibri" w:cs="Calibri"/>
                <w:color w:val="4F81BD"/>
                <w:sz w:val="20"/>
                <w:szCs w:val="20"/>
                <w:lang w:val="en-GB"/>
              </w:rPr>
            </w:pPr>
          </w:p>
          <w:p w14:paraId="02285A80"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V. TRAFFIC FORECASTING ESTIMATION. OUTPUT REPORTS</w:t>
            </w:r>
          </w:p>
          <w:p w14:paraId="61249D1E" w14:textId="77777777" w:rsidR="00600DEE" w:rsidRPr="0045151D" w:rsidRDefault="00600DEE">
            <w:pPr>
              <w:jc w:val="both"/>
              <w:rPr>
                <w:rFonts w:ascii="Calibri" w:eastAsia="Calibri" w:hAnsi="Calibri" w:cs="Calibri"/>
                <w:b/>
                <w:color w:val="4F81BD"/>
                <w:sz w:val="20"/>
                <w:szCs w:val="20"/>
                <w:lang w:val="en-GB"/>
              </w:rPr>
            </w:pPr>
          </w:p>
          <w:p w14:paraId="54AC5FB7"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Estimation of the forecasted traffic flow on the road network</w:t>
            </w:r>
          </w:p>
          <w:p w14:paraId="73E0DBD3" w14:textId="77777777" w:rsidR="00600DEE" w:rsidRPr="0045151D" w:rsidRDefault="00600DEE">
            <w:pPr>
              <w:jc w:val="both"/>
              <w:rPr>
                <w:rFonts w:ascii="Calibri" w:eastAsia="Calibri" w:hAnsi="Calibri" w:cs="Calibri"/>
                <w:color w:val="4F81BD"/>
                <w:sz w:val="20"/>
                <w:szCs w:val="20"/>
                <w:lang w:val="en-GB"/>
              </w:rPr>
            </w:pPr>
          </w:p>
          <w:p w14:paraId="145E2085"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When using forecasting indicator methods, usually it is not allowed to consider diverted traffic from other streets/roads or induced traffic on the analysed section. Forecasted traffic volumes should be calculated only by multiplying the existing base year traffic volume by the traffic growth indicators for the relevant area.</w:t>
            </w:r>
          </w:p>
          <w:p w14:paraId="7A125352"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forecasted traffic results should be presented in table form illustrating traffic volumes per vehicle category on specified sections of the analysed investment. The results may also be presented as cartograms of traffic flows on individual network sections within the corridor including the analysed section.</w:t>
            </w:r>
          </w:p>
          <w:p w14:paraId="2C137C28"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analysis for investments including toll road sections is recommended to be carried out considering different toll rate options and the option without toll. The toll rates should be agreed with the infrastructure manager.</w:t>
            </w:r>
          </w:p>
          <w:p w14:paraId="028EDEAE" w14:textId="77777777" w:rsidR="00600DEE" w:rsidRPr="0045151D" w:rsidRDefault="00600DEE">
            <w:pPr>
              <w:jc w:val="both"/>
              <w:rPr>
                <w:rFonts w:ascii="Calibri" w:eastAsia="Calibri" w:hAnsi="Calibri" w:cs="Calibri"/>
                <w:color w:val="4F81BD"/>
                <w:sz w:val="20"/>
                <w:szCs w:val="20"/>
                <w:lang w:val="en-GB"/>
              </w:rPr>
            </w:pPr>
          </w:p>
          <w:p w14:paraId="3E016C03" w14:textId="77777777" w:rsidR="00600DEE" w:rsidRPr="0045151D" w:rsidRDefault="00600DEE">
            <w:pPr>
              <w:jc w:val="both"/>
              <w:rPr>
                <w:rFonts w:ascii="Calibri" w:eastAsia="Calibri" w:hAnsi="Calibri" w:cs="Calibri"/>
                <w:color w:val="4F81BD"/>
                <w:sz w:val="20"/>
                <w:szCs w:val="20"/>
                <w:lang w:val="en-GB"/>
              </w:rPr>
            </w:pPr>
          </w:p>
          <w:p w14:paraId="108D1A94" w14:textId="77777777" w:rsidR="005C4AAD" w:rsidRPr="0045151D" w:rsidRDefault="005C4AAD">
            <w:pPr>
              <w:jc w:val="both"/>
              <w:rPr>
                <w:rFonts w:ascii="Calibri" w:eastAsia="Calibri" w:hAnsi="Calibri" w:cs="Calibri"/>
                <w:b/>
                <w:color w:val="4F81BD"/>
                <w:sz w:val="20"/>
                <w:szCs w:val="20"/>
                <w:lang w:val="en-GB"/>
              </w:rPr>
            </w:pPr>
          </w:p>
          <w:p w14:paraId="3603791C" w14:textId="77777777" w:rsidR="005C4AAD" w:rsidRPr="0045151D" w:rsidRDefault="005C4AAD">
            <w:pPr>
              <w:jc w:val="both"/>
              <w:rPr>
                <w:rFonts w:ascii="Calibri" w:eastAsia="Calibri" w:hAnsi="Calibri" w:cs="Calibri"/>
                <w:b/>
                <w:color w:val="4F81BD"/>
                <w:sz w:val="20"/>
                <w:szCs w:val="20"/>
                <w:lang w:val="en-GB"/>
              </w:rPr>
            </w:pPr>
          </w:p>
          <w:p w14:paraId="35D6BBA1" w14:textId="77777777" w:rsidR="005C4AAD" w:rsidRPr="0045151D" w:rsidRDefault="005C4AAD" w:rsidP="0090055C">
            <w:pPr>
              <w:spacing w:after="120"/>
              <w:jc w:val="both"/>
              <w:rPr>
                <w:rFonts w:ascii="Calibri" w:eastAsia="Calibri" w:hAnsi="Calibri" w:cs="Calibri"/>
                <w:b/>
                <w:color w:val="4F81BD"/>
                <w:sz w:val="20"/>
                <w:szCs w:val="20"/>
                <w:lang w:val="en-GB"/>
              </w:rPr>
            </w:pPr>
          </w:p>
          <w:p w14:paraId="57998EC6" w14:textId="3E49F20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Traffic forecast output reports</w:t>
            </w:r>
          </w:p>
          <w:p w14:paraId="3907310D" w14:textId="77777777" w:rsidR="00600DEE" w:rsidRPr="0045151D" w:rsidRDefault="00600DEE">
            <w:pPr>
              <w:jc w:val="both"/>
              <w:rPr>
                <w:rFonts w:ascii="Calibri" w:eastAsia="Calibri" w:hAnsi="Calibri" w:cs="Calibri"/>
                <w:color w:val="4F81BD"/>
                <w:sz w:val="20"/>
                <w:szCs w:val="20"/>
                <w:lang w:val="en-GB"/>
              </w:rPr>
            </w:pPr>
          </w:p>
          <w:p w14:paraId="63F18182"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The traffic forecast results should be presented including the traffic structure, apart from volume and speed data – in accordance with the agreed categories of vehicles. </w:t>
            </w:r>
          </w:p>
          <w:p w14:paraId="43024480"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If the road infrastructure is an element (part) of a bigger public transport project, the whole CBA as well as the traffic forecast should be performed according to the Blue Book dedicated to Public Transport projects.</w:t>
            </w:r>
          </w:p>
          <w:p w14:paraId="490AA809" w14:textId="672B4801"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In accordance with current GDDKiA requirements</w:t>
            </w:r>
            <w:r w:rsidR="00A85726">
              <w:rPr>
                <w:rFonts w:ascii="Calibri" w:eastAsia="Calibri" w:hAnsi="Calibri" w:cs="Calibri"/>
                <w:sz w:val="20"/>
                <w:szCs w:val="20"/>
                <w:vertAlign w:val="superscript"/>
                <w:lang w:val="en-GB"/>
              </w:rPr>
              <w:t>25</w:t>
            </w:r>
            <w:r w:rsidR="00A85726">
              <w:rPr>
                <w:rFonts w:ascii="Calibri" w:eastAsia="Calibri" w:hAnsi="Calibri" w:cs="Calibri"/>
                <w:sz w:val="20"/>
                <w:szCs w:val="20"/>
                <w:lang w:val="en-GB"/>
              </w:rPr>
              <w:t>*)</w:t>
            </w:r>
            <w:r w:rsidRPr="0045151D">
              <w:rPr>
                <w:rFonts w:ascii="Calibri" w:eastAsia="Calibri" w:hAnsi="Calibri" w:cs="Calibri"/>
                <w:sz w:val="20"/>
                <w:szCs w:val="20"/>
                <w:lang w:val="en-GB"/>
              </w:rPr>
              <w:t xml:space="preserve"> the following items should be included in the output reports of the traffic forecast:</w:t>
            </w:r>
          </w:p>
          <w:p w14:paraId="38DD2A53" w14:textId="77777777" w:rsidR="00600DEE" w:rsidRPr="0045151D" w:rsidRDefault="00641FB5">
            <w:pPr>
              <w:numPr>
                <w:ilvl w:val="0"/>
                <w:numId w:val="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Information on traffic volumes, description of traffic conditions, critical points, main conflicts etc. in the existing road network - for the base year</w:t>
            </w:r>
          </w:p>
          <w:p w14:paraId="17AD8FD1" w14:textId="77777777" w:rsidR="00600DEE" w:rsidRPr="0045151D" w:rsidRDefault="00641FB5">
            <w:pPr>
              <w:numPr>
                <w:ilvl w:val="0"/>
                <w:numId w:val="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Results of model calibration and verification of measurements against the base year in accordance with requirements available at </w:t>
            </w:r>
            <w:hyperlink r:id="rId149">
              <w:r w:rsidRPr="0045151D">
                <w:rPr>
                  <w:rFonts w:ascii="Calibri" w:eastAsia="Calibri" w:hAnsi="Calibri" w:cs="Calibri"/>
                  <w:color w:val="0000FF"/>
                  <w:sz w:val="20"/>
                  <w:szCs w:val="20"/>
                  <w:u w:val="single"/>
                  <w:lang w:val="en-GB"/>
                </w:rPr>
                <w:t>www.gddkia.gov.pl</w:t>
              </w:r>
            </w:hyperlink>
            <w:r w:rsidRPr="0045151D">
              <w:rPr>
                <w:rFonts w:ascii="Calibri" w:eastAsia="Calibri" w:hAnsi="Calibri" w:cs="Calibri"/>
                <w:sz w:val="20"/>
                <w:szCs w:val="20"/>
                <w:lang w:val="en-GB"/>
              </w:rPr>
              <w:t xml:space="preserve"> in the “Analyses and Traffic Forecasts” section</w:t>
            </w:r>
          </w:p>
          <w:p w14:paraId="7872FA59" w14:textId="77777777" w:rsidR="00600DEE" w:rsidRPr="0045151D" w:rsidRDefault="00641FB5">
            <w:pPr>
              <w:numPr>
                <w:ilvl w:val="0"/>
                <w:numId w:val="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Forecasts of traffic volumes and traffic conditions for the existing road network (non-investment option – W0), for the required forecast horizons</w:t>
            </w:r>
          </w:p>
          <w:p w14:paraId="6DFB15BA" w14:textId="77777777" w:rsidR="00600DEE" w:rsidRPr="0045151D" w:rsidRDefault="00641FB5">
            <w:pPr>
              <w:numPr>
                <w:ilvl w:val="0"/>
                <w:numId w:val="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Forecasts of traffic volumes and traffic conditions (i.e. determination of forecasted traffic degrees of freedom) for the proposed investment options, for the required forecast horizons</w:t>
            </w:r>
          </w:p>
          <w:p w14:paraId="547D61E7" w14:textId="77777777" w:rsidR="00600DEE" w:rsidRPr="0045151D" w:rsidRDefault="00641FB5">
            <w:pPr>
              <w:numPr>
                <w:ilvl w:val="0"/>
                <w:numId w:val="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Comparison of travel distances obtained from the model and observed in reality</w:t>
            </w:r>
          </w:p>
          <w:p w14:paraId="6921B2F5" w14:textId="77777777" w:rsidR="00600DEE" w:rsidRPr="0045151D" w:rsidRDefault="00641FB5">
            <w:pPr>
              <w:numPr>
                <w:ilvl w:val="0"/>
                <w:numId w:val="5"/>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Traffic structure according to vehicle categories</w:t>
            </w:r>
          </w:p>
          <w:p w14:paraId="4CDB4B40" w14:textId="77777777" w:rsidR="00600DEE" w:rsidRDefault="00641FB5">
            <w:pPr>
              <w:numPr>
                <w:ilvl w:val="0"/>
                <w:numId w:val="5"/>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Traffic distribution by directions.</w:t>
            </w:r>
          </w:p>
          <w:p w14:paraId="13E2C5D2"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It is also recommended to include travel times and other network performance indicators (e.g. average speeds on given sections, etc.).</w:t>
            </w:r>
          </w:p>
          <w:p w14:paraId="7DCBCE85" w14:textId="77777777" w:rsidR="00600DEE" w:rsidRPr="0045151D" w:rsidRDefault="00600DEE">
            <w:pPr>
              <w:jc w:val="both"/>
              <w:rPr>
                <w:rFonts w:ascii="Calibri" w:eastAsia="Calibri" w:hAnsi="Calibri" w:cs="Calibri"/>
                <w:b/>
                <w:color w:val="4F81BD"/>
                <w:sz w:val="20"/>
                <w:szCs w:val="20"/>
                <w:lang w:val="en-GB"/>
              </w:rPr>
            </w:pPr>
          </w:p>
          <w:p w14:paraId="22857822" w14:textId="77777777" w:rsidR="00F15189" w:rsidRPr="0045151D" w:rsidRDefault="00F15189">
            <w:pPr>
              <w:jc w:val="both"/>
              <w:rPr>
                <w:rFonts w:ascii="Calibri" w:eastAsia="Calibri" w:hAnsi="Calibri" w:cs="Calibri"/>
                <w:b/>
                <w:color w:val="4F81BD"/>
                <w:sz w:val="20"/>
                <w:szCs w:val="20"/>
                <w:lang w:val="en-GB"/>
              </w:rPr>
            </w:pPr>
          </w:p>
          <w:p w14:paraId="41312D4D" w14:textId="77777777" w:rsidR="00F15189" w:rsidRPr="0045151D" w:rsidRDefault="00F15189">
            <w:pPr>
              <w:jc w:val="both"/>
              <w:rPr>
                <w:rFonts w:ascii="Calibri" w:eastAsia="Calibri" w:hAnsi="Calibri" w:cs="Calibri"/>
                <w:b/>
                <w:color w:val="4F81BD"/>
                <w:sz w:val="20"/>
                <w:szCs w:val="20"/>
                <w:lang w:val="en-GB"/>
              </w:rPr>
            </w:pPr>
          </w:p>
          <w:p w14:paraId="61A52931" w14:textId="77777777" w:rsidR="00F15189" w:rsidRPr="0045151D" w:rsidRDefault="00F15189">
            <w:pPr>
              <w:jc w:val="both"/>
              <w:rPr>
                <w:rFonts w:ascii="Calibri" w:eastAsia="Calibri" w:hAnsi="Calibri" w:cs="Calibri"/>
                <w:b/>
                <w:color w:val="4F81BD"/>
                <w:sz w:val="20"/>
                <w:szCs w:val="20"/>
                <w:lang w:val="en-GB"/>
              </w:rPr>
            </w:pPr>
          </w:p>
          <w:p w14:paraId="0EBEBE3A" w14:textId="33370AC6"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Analysis of outputs</w:t>
            </w:r>
          </w:p>
          <w:p w14:paraId="46947EED" w14:textId="77777777" w:rsidR="00600DEE" w:rsidRPr="0045151D" w:rsidRDefault="00600DEE">
            <w:pPr>
              <w:spacing w:line="360" w:lineRule="auto"/>
              <w:jc w:val="both"/>
              <w:rPr>
                <w:rFonts w:ascii="Calibri" w:eastAsia="Calibri" w:hAnsi="Calibri" w:cs="Calibri"/>
                <w:color w:val="4F81BD"/>
                <w:sz w:val="20"/>
                <w:szCs w:val="20"/>
                <w:lang w:val="en-GB"/>
              </w:rPr>
            </w:pPr>
          </w:p>
          <w:p w14:paraId="49D62B5B" w14:textId="77777777" w:rsidR="00600DEE" w:rsidRPr="0045151D" w:rsidRDefault="00641FB5">
            <w:pPr>
              <w:jc w:val="both"/>
              <w:rPr>
                <w:rFonts w:ascii="Calibri" w:eastAsia="Calibri" w:hAnsi="Calibri" w:cs="Calibri"/>
                <w:sz w:val="20"/>
                <w:szCs w:val="20"/>
                <w:lang w:val="en-GB"/>
              </w:rPr>
            </w:pPr>
            <w:r w:rsidRPr="0045151D">
              <w:rPr>
                <w:rFonts w:ascii="Calibri" w:eastAsia="Calibri" w:hAnsi="Calibri" w:cs="Calibri"/>
                <w:sz w:val="20"/>
                <w:szCs w:val="20"/>
                <w:lang w:val="en-GB"/>
              </w:rPr>
              <w:t>The outputs should not only meet the criteria of verification and validation but also of the common sense. After each modelling and forecasting stage, a critical approach to the outputs should be applied. If unusual behaviour in the model is noticed, transport network matrixes or calculation methodology may need to be re-examined and corrected.</w:t>
            </w:r>
          </w:p>
          <w:p w14:paraId="384A130F" w14:textId="77777777" w:rsidR="00600DEE" w:rsidRPr="0045151D" w:rsidRDefault="00600DEE">
            <w:pPr>
              <w:jc w:val="both"/>
              <w:rPr>
                <w:rFonts w:ascii="Calibri" w:eastAsia="Calibri" w:hAnsi="Calibri" w:cs="Calibri"/>
                <w:sz w:val="20"/>
                <w:szCs w:val="20"/>
                <w:lang w:val="en-GB"/>
              </w:rPr>
            </w:pPr>
          </w:p>
          <w:p w14:paraId="0CC9E77E" w14:textId="77777777" w:rsidR="00600DEE" w:rsidRPr="0045151D" w:rsidRDefault="00600DEE">
            <w:pPr>
              <w:jc w:val="both"/>
              <w:rPr>
                <w:rFonts w:ascii="Calibri" w:eastAsia="Calibri" w:hAnsi="Calibri" w:cs="Calibri"/>
                <w:b/>
                <w:color w:val="4F81BD"/>
                <w:sz w:val="20"/>
                <w:szCs w:val="20"/>
                <w:lang w:val="en-GB"/>
              </w:rPr>
            </w:pPr>
          </w:p>
          <w:p w14:paraId="38C2735D" w14:textId="77777777" w:rsidR="00600DEE" w:rsidRPr="0045151D" w:rsidRDefault="00641FB5">
            <w:pPr>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CBA input data</w:t>
            </w:r>
          </w:p>
          <w:p w14:paraId="16D07F2B" w14:textId="77777777" w:rsidR="00600DEE" w:rsidRPr="0045151D" w:rsidRDefault="00600DEE">
            <w:pPr>
              <w:jc w:val="both"/>
              <w:rPr>
                <w:rFonts w:ascii="Calibri" w:eastAsia="Calibri" w:hAnsi="Calibri" w:cs="Calibri"/>
                <w:b/>
                <w:color w:val="4F81BD"/>
                <w:sz w:val="20"/>
                <w:szCs w:val="20"/>
                <w:lang w:val="en-GB"/>
              </w:rPr>
            </w:pPr>
          </w:p>
          <w:p w14:paraId="57AB59EE"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above reports are the necessary data source for the CBA. Minimum requirements for the scope of these data are described in chapter 1.8 of this manual.</w:t>
            </w:r>
          </w:p>
          <w:p w14:paraId="63A5D9F9"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basic input data required for CBA calculations  are:</w:t>
            </w:r>
          </w:p>
          <w:p w14:paraId="6CA80F7A" w14:textId="77777777" w:rsidR="00600DEE" w:rsidRPr="0045151D" w:rsidRDefault="00641FB5">
            <w:pPr>
              <w:numPr>
                <w:ilvl w:val="0"/>
                <w:numId w:val="11"/>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traffic volumes (AADT) in veh/day on the analysed road network; </w:t>
            </w:r>
          </w:p>
          <w:p w14:paraId="0666BC5A" w14:textId="77777777" w:rsidR="00600DEE" w:rsidRPr="0045151D" w:rsidRDefault="00641FB5">
            <w:pPr>
              <w:numPr>
                <w:ilvl w:val="0"/>
                <w:numId w:val="11"/>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transport work/day,</w:t>
            </w:r>
            <w:r w:rsidRPr="0045151D">
              <w:rPr>
                <w:rFonts w:ascii="Calibri" w:eastAsia="Calibri" w:hAnsi="Calibri" w:cs="Calibri"/>
                <w:b/>
                <w:sz w:val="20"/>
                <w:szCs w:val="20"/>
                <w:lang w:val="en-GB"/>
              </w:rPr>
              <w:t xml:space="preserve"> </w:t>
            </w:r>
            <w:r w:rsidRPr="0045151D">
              <w:rPr>
                <w:rFonts w:ascii="Calibri" w:eastAsia="Calibri" w:hAnsi="Calibri" w:cs="Calibri"/>
                <w:sz w:val="20"/>
                <w:szCs w:val="20"/>
                <w:lang w:val="en-GB"/>
              </w:rPr>
              <w:t>broken down by categories of vehicles, speed ranges and road category, expressed in:</w:t>
            </w:r>
          </w:p>
          <w:p w14:paraId="2E547415" w14:textId="77777777" w:rsidR="00600DEE" w:rsidRPr="0045151D" w:rsidRDefault="00641FB5">
            <w:pPr>
              <w:numPr>
                <w:ilvl w:val="1"/>
                <w:numId w:val="11"/>
              </w:numPr>
              <w:spacing w:before="120" w:after="120"/>
              <w:ind w:left="707" w:hanging="426"/>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vehicle-kilometres (sum of the products of the volume of traffic in ADDT and the length of the analysed sections); and </w:t>
            </w:r>
          </w:p>
          <w:p w14:paraId="78F6039F" w14:textId="77777777" w:rsidR="00600DEE" w:rsidRPr="0045151D" w:rsidRDefault="00641FB5">
            <w:pPr>
              <w:numPr>
                <w:ilvl w:val="1"/>
                <w:numId w:val="11"/>
              </w:numPr>
              <w:spacing w:before="120" w:after="120"/>
              <w:ind w:left="707" w:hanging="426"/>
              <w:jc w:val="both"/>
              <w:rPr>
                <w:rFonts w:ascii="Calibri" w:eastAsia="Calibri" w:hAnsi="Calibri" w:cs="Calibri"/>
                <w:sz w:val="20"/>
                <w:szCs w:val="20"/>
                <w:lang w:val="en-GB"/>
              </w:rPr>
            </w:pPr>
            <w:r w:rsidRPr="0045151D">
              <w:rPr>
                <w:rFonts w:ascii="Calibri" w:eastAsia="Calibri" w:hAnsi="Calibri" w:cs="Calibri"/>
                <w:sz w:val="20"/>
                <w:szCs w:val="20"/>
                <w:lang w:val="en-GB"/>
              </w:rPr>
              <w:t>in vehicle-hours (sum of the products of the volume of traffic in AADT and the time required to cover those sections).</w:t>
            </w:r>
          </w:p>
          <w:p w14:paraId="23121379" w14:textId="77777777" w:rsidR="00F15189" w:rsidRPr="0045151D" w:rsidRDefault="00F15189">
            <w:pPr>
              <w:spacing w:before="120" w:after="120"/>
              <w:jc w:val="both"/>
              <w:rPr>
                <w:rFonts w:ascii="Calibri" w:eastAsia="Calibri" w:hAnsi="Calibri" w:cs="Calibri"/>
                <w:b/>
                <w:sz w:val="20"/>
                <w:szCs w:val="20"/>
                <w:lang w:val="en-GB"/>
              </w:rPr>
            </w:pPr>
          </w:p>
          <w:p w14:paraId="10F5DB3B" w14:textId="182A1FC9" w:rsidR="00600DEE" w:rsidRPr="0045151D" w:rsidRDefault="00641FB5">
            <w:pPr>
              <w:spacing w:before="120" w:after="120"/>
              <w:jc w:val="both"/>
              <w:rPr>
                <w:rFonts w:ascii="Calibri" w:eastAsia="Calibri" w:hAnsi="Calibri" w:cs="Calibri"/>
                <w:b/>
                <w:sz w:val="20"/>
                <w:szCs w:val="20"/>
                <w:lang w:val="en-GB"/>
              </w:rPr>
            </w:pPr>
            <w:r w:rsidRPr="0045151D">
              <w:rPr>
                <w:rFonts w:ascii="Calibri" w:eastAsia="Calibri" w:hAnsi="Calibri" w:cs="Calibri"/>
                <w:b/>
                <w:sz w:val="20"/>
                <w:szCs w:val="20"/>
                <w:lang w:val="en-GB"/>
              </w:rPr>
              <w:t>The above data should be provided for all sections of the respective project impact area, (i.e. buffer) and for the whole reference period; table form presentation is recommended.</w:t>
            </w:r>
          </w:p>
          <w:p w14:paraId="42E832A3"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It should be verified that the same number of vehicles (trips) in the buffer is considered for W0 and Wn.</w:t>
            </w:r>
          </w:p>
          <w:p w14:paraId="60EB66A3"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In order to estimate transport work in veh-h, it is necessary to estimate the respective travel time considering the length of the sections with  homogeneous traffic of the analysed network and the speed tables from </w:t>
            </w:r>
            <w:r w:rsidRPr="0045151D">
              <w:rPr>
                <w:rFonts w:ascii="Calibri" w:eastAsia="Calibri" w:hAnsi="Calibri" w:cs="Calibri"/>
                <w:i/>
                <w:sz w:val="20"/>
                <w:szCs w:val="20"/>
                <w:lang w:val="en-GB"/>
              </w:rPr>
              <w:t>GDDKiA internal CBA instruction (published in 2021) substituting IBDiM instruction dated 2008</w:t>
            </w:r>
            <w:r w:rsidRPr="0045151D">
              <w:rPr>
                <w:rFonts w:ascii="Calibri" w:eastAsia="Calibri" w:hAnsi="Calibri" w:cs="Calibri"/>
                <w:sz w:val="20"/>
                <w:szCs w:val="20"/>
                <w:lang w:val="en-GB"/>
              </w:rPr>
              <w:t>. In order to perform these calculations at the network level, specialized modelling software is used. In this case, it is important to use encoding parameters for road sections in analysed areas to provide transport work results by different road classes.</w:t>
            </w:r>
          </w:p>
          <w:p w14:paraId="41CD69BC"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For the sake of the CBA calculations, transport work results from the model should be broken down into various speed ranges (unless a simplified method is used, the traffic flow speeds should be calculated on the basis of speed tables from the GDDKiA internal </w:t>
            </w:r>
            <w:r w:rsidRPr="0045151D">
              <w:rPr>
                <w:rFonts w:ascii="Calibri" w:eastAsia="Calibri" w:hAnsi="Calibri" w:cs="Calibri"/>
                <w:i/>
                <w:sz w:val="20"/>
                <w:szCs w:val="20"/>
                <w:lang w:val="en-GB"/>
              </w:rPr>
              <w:t>CBA instruction</w:t>
            </w:r>
            <w:r w:rsidRPr="0045151D">
              <w:rPr>
                <w:rFonts w:ascii="Calibri" w:eastAsia="Calibri" w:hAnsi="Calibri" w:cs="Calibri"/>
                <w:sz w:val="20"/>
                <w:szCs w:val="20"/>
                <w:lang w:val="en-GB"/>
              </w:rPr>
              <w:t>.</w:t>
            </w:r>
          </w:p>
          <w:p w14:paraId="005E2811"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Division into speed ranges should be differentiated depending on the location of the investment. In case of non-urban investments at least the following speed ranges should be considered:</w:t>
            </w:r>
          </w:p>
          <w:p w14:paraId="3733D4B1" w14:textId="77777777" w:rsidR="00600DEE" w:rsidRDefault="00641FB5" w:rsidP="00D5736B">
            <w:pPr>
              <w:numPr>
                <w:ilvl w:val="0"/>
                <w:numId w:val="69"/>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&lt;30 km/h</w:t>
            </w:r>
          </w:p>
          <w:p w14:paraId="5A734CD6" w14:textId="77777777" w:rsidR="00600DEE" w:rsidRDefault="00641FB5" w:rsidP="00D5736B">
            <w:pPr>
              <w:numPr>
                <w:ilvl w:val="0"/>
                <w:numId w:val="69"/>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30 ÷ 50 km/h</w:t>
            </w:r>
          </w:p>
          <w:p w14:paraId="1457A15C" w14:textId="77777777" w:rsidR="00600DEE" w:rsidRDefault="00641FB5" w:rsidP="00D5736B">
            <w:pPr>
              <w:numPr>
                <w:ilvl w:val="0"/>
                <w:numId w:val="69"/>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51 ÷ 70 km/h</w:t>
            </w:r>
          </w:p>
          <w:p w14:paraId="00D60451" w14:textId="77777777" w:rsidR="00600DEE" w:rsidRDefault="00641FB5" w:rsidP="00D5736B">
            <w:pPr>
              <w:numPr>
                <w:ilvl w:val="0"/>
                <w:numId w:val="69"/>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71 ÷ 90 km/h</w:t>
            </w:r>
          </w:p>
          <w:p w14:paraId="2D704C40" w14:textId="77777777" w:rsidR="00600DEE" w:rsidRDefault="00641FB5" w:rsidP="00D5736B">
            <w:pPr>
              <w:numPr>
                <w:ilvl w:val="0"/>
                <w:numId w:val="69"/>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91 ÷ 110 km/h</w:t>
            </w:r>
          </w:p>
          <w:p w14:paraId="482A0F43" w14:textId="77777777" w:rsidR="00600DEE" w:rsidRDefault="00641FB5" w:rsidP="00D5736B">
            <w:pPr>
              <w:numPr>
                <w:ilvl w:val="0"/>
                <w:numId w:val="69"/>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&gt; 110 km/h</w:t>
            </w:r>
          </w:p>
          <w:p w14:paraId="109864C8"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In case of non-urban investments at least the following road categories should be used for the purpose of presentation of traffic analysis results expressed in transport work for a project impact area (buffer):</w:t>
            </w:r>
          </w:p>
          <w:p w14:paraId="415F09F3" w14:textId="77777777" w:rsidR="00600DEE" w:rsidRDefault="00641FB5" w:rsidP="00D5736B">
            <w:pPr>
              <w:numPr>
                <w:ilvl w:val="0"/>
                <w:numId w:val="5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Motorways (A)</w:t>
            </w:r>
          </w:p>
          <w:p w14:paraId="760D7914" w14:textId="51674C17" w:rsidR="00600DEE" w:rsidRDefault="00641FB5" w:rsidP="00D5736B">
            <w:pPr>
              <w:numPr>
                <w:ilvl w:val="0"/>
                <w:numId w:val="5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Expressways, dual carriageway (S)</w:t>
            </w:r>
          </w:p>
          <w:p w14:paraId="7DEAF13E" w14:textId="6F47A899" w:rsidR="00600DEE" w:rsidRPr="0045151D" w:rsidRDefault="00641FB5" w:rsidP="00D5736B">
            <w:pPr>
              <w:numPr>
                <w:ilvl w:val="0"/>
                <w:numId w:val="54"/>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Expressways, single carriageway (S1</w:t>
            </w:r>
            <w:r w:rsidR="006C5DD9">
              <w:rPr>
                <w:rFonts w:ascii="Calibri" w:eastAsia="Calibri" w:hAnsi="Calibri" w:cs="Calibri"/>
                <w:sz w:val="20"/>
                <w:szCs w:val="20"/>
                <w:lang w:val="en-GB"/>
              </w:rPr>
              <w:t>x2</w:t>
            </w:r>
            <w:r w:rsidRPr="0045151D">
              <w:rPr>
                <w:rFonts w:ascii="Calibri" w:eastAsia="Calibri" w:hAnsi="Calibri" w:cs="Calibri"/>
                <w:sz w:val="20"/>
                <w:szCs w:val="20"/>
                <w:lang w:val="en-GB"/>
              </w:rPr>
              <w:t>)</w:t>
            </w:r>
            <w:r w:rsidR="006C5DD9">
              <w:rPr>
                <w:rFonts w:ascii="Calibri" w:eastAsia="Calibri" w:hAnsi="Calibri" w:cs="Calibri"/>
                <w:sz w:val="20"/>
                <w:szCs w:val="20"/>
                <w:lang w:val="en-GB"/>
              </w:rPr>
              <w:t xml:space="preserve"> </w:t>
            </w:r>
            <w:r w:rsidRPr="0045151D">
              <w:rPr>
                <w:rFonts w:ascii="Calibri" w:eastAsia="Calibri" w:hAnsi="Calibri" w:cs="Calibri"/>
                <w:sz w:val="20"/>
                <w:szCs w:val="20"/>
                <w:lang w:val="en-GB"/>
              </w:rPr>
              <w:t>including with one additional lane (S2+1)</w:t>
            </w:r>
          </w:p>
          <w:p w14:paraId="3935D6D4" w14:textId="77777777" w:rsidR="00600DEE" w:rsidRPr="0045151D" w:rsidRDefault="00641FB5" w:rsidP="00D5736B">
            <w:pPr>
              <w:numPr>
                <w:ilvl w:val="0"/>
                <w:numId w:val="54"/>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Other national and voivodeship roads, dual carriageway</w:t>
            </w:r>
          </w:p>
          <w:p w14:paraId="617F4DDE" w14:textId="77777777" w:rsidR="00600DEE" w:rsidRPr="0045151D" w:rsidRDefault="00641FB5" w:rsidP="00D5736B">
            <w:pPr>
              <w:numPr>
                <w:ilvl w:val="0"/>
                <w:numId w:val="54"/>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Other national and voivodeship roads, single carriageway</w:t>
            </w:r>
          </w:p>
          <w:p w14:paraId="6BDB2918" w14:textId="77777777" w:rsidR="00600DEE" w:rsidRDefault="00641FB5" w:rsidP="00D5736B">
            <w:pPr>
              <w:numPr>
                <w:ilvl w:val="0"/>
                <w:numId w:val="5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Urban sections</w:t>
            </w:r>
          </w:p>
          <w:p w14:paraId="51C469B1" w14:textId="77777777" w:rsidR="00600DEE" w:rsidRDefault="00641FB5" w:rsidP="00D5736B">
            <w:pPr>
              <w:numPr>
                <w:ilvl w:val="0"/>
                <w:numId w:val="5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All other roads</w:t>
            </w:r>
          </w:p>
          <w:p w14:paraId="77177B65"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above mentioned division is in line with the main division of road section categories that is used in the Multimodal National Traffic Model provided by GDDKiA, additionally S2+1 cattegory is considered.</w:t>
            </w:r>
          </w:p>
          <w:p w14:paraId="5AE5D890"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In case of urban investments at least the following speed ranges should be considered:</w:t>
            </w:r>
          </w:p>
          <w:p w14:paraId="3EB1E45B" w14:textId="77777777" w:rsidR="00600DEE" w:rsidRDefault="00641FB5" w:rsidP="00D5736B">
            <w:pPr>
              <w:numPr>
                <w:ilvl w:val="0"/>
                <w:numId w:val="8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&lt;10 km/h</w:t>
            </w:r>
          </w:p>
          <w:p w14:paraId="49923AF2" w14:textId="77777777" w:rsidR="00600DEE" w:rsidRDefault="00641FB5" w:rsidP="00D5736B">
            <w:pPr>
              <w:numPr>
                <w:ilvl w:val="0"/>
                <w:numId w:val="8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10 ÷ 30 km/h</w:t>
            </w:r>
          </w:p>
          <w:p w14:paraId="09EC1F1F" w14:textId="77777777" w:rsidR="00600DEE" w:rsidRDefault="00641FB5" w:rsidP="00D5736B">
            <w:pPr>
              <w:numPr>
                <w:ilvl w:val="0"/>
                <w:numId w:val="8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31 ÷ 50 km/h</w:t>
            </w:r>
          </w:p>
          <w:p w14:paraId="4272AD7F" w14:textId="77777777" w:rsidR="00600DEE" w:rsidRDefault="00641FB5" w:rsidP="00D5736B">
            <w:pPr>
              <w:numPr>
                <w:ilvl w:val="0"/>
                <w:numId w:val="8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51 ÷ 60 km/h</w:t>
            </w:r>
          </w:p>
          <w:p w14:paraId="4476B4AF" w14:textId="77777777" w:rsidR="00600DEE" w:rsidRDefault="00641FB5" w:rsidP="00D5736B">
            <w:pPr>
              <w:numPr>
                <w:ilvl w:val="0"/>
                <w:numId w:val="8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61 ÷ 80 km/h</w:t>
            </w:r>
          </w:p>
          <w:p w14:paraId="18FE655C" w14:textId="77777777" w:rsidR="00600DEE" w:rsidRDefault="00641FB5" w:rsidP="00D5736B">
            <w:pPr>
              <w:numPr>
                <w:ilvl w:val="0"/>
                <w:numId w:val="84"/>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&gt; 80 km/h</w:t>
            </w:r>
          </w:p>
          <w:p w14:paraId="72832E58"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speed ranges on urban roads should be assigned at least to the following road section categories:</w:t>
            </w:r>
          </w:p>
          <w:p w14:paraId="2D95E174" w14:textId="77777777" w:rsidR="00600DEE" w:rsidRDefault="00641FB5" w:rsidP="00D5736B">
            <w:pPr>
              <w:numPr>
                <w:ilvl w:val="0"/>
                <w:numId w:val="71"/>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Expressways (S)</w:t>
            </w:r>
          </w:p>
          <w:p w14:paraId="69F6DFCD" w14:textId="77777777" w:rsidR="00600DEE" w:rsidRPr="0045151D" w:rsidRDefault="00641FB5" w:rsidP="00D5736B">
            <w:pPr>
              <w:numPr>
                <w:ilvl w:val="0"/>
                <w:numId w:val="71"/>
              </w:numPr>
              <w:spacing w:before="120" w:after="120"/>
              <w:ind w:left="707" w:hanging="707"/>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trunk roads, accelerated traffic (GP) </w:t>
            </w:r>
          </w:p>
          <w:p w14:paraId="3EF4B24F" w14:textId="77777777" w:rsidR="00600DEE" w:rsidRDefault="00641FB5" w:rsidP="00D5736B">
            <w:pPr>
              <w:numPr>
                <w:ilvl w:val="0"/>
                <w:numId w:val="71"/>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main roads (G)</w:t>
            </w:r>
          </w:p>
          <w:p w14:paraId="4C695DAF" w14:textId="77777777" w:rsidR="00600DEE" w:rsidRDefault="00641FB5" w:rsidP="00D5736B">
            <w:pPr>
              <w:numPr>
                <w:ilvl w:val="0"/>
                <w:numId w:val="71"/>
              </w:numPr>
              <w:spacing w:before="120" w:after="120"/>
              <w:ind w:left="707" w:hanging="707"/>
              <w:jc w:val="both"/>
              <w:rPr>
                <w:rFonts w:ascii="Calibri" w:eastAsia="Calibri" w:hAnsi="Calibri" w:cs="Calibri"/>
                <w:sz w:val="20"/>
                <w:szCs w:val="20"/>
              </w:rPr>
            </w:pPr>
            <w:r>
              <w:rPr>
                <w:rFonts w:ascii="Calibri" w:eastAsia="Calibri" w:hAnsi="Calibri" w:cs="Calibri"/>
                <w:sz w:val="20"/>
                <w:szCs w:val="20"/>
              </w:rPr>
              <w:t>collector roads (Z).</w:t>
            </w:r>
          </w:p>
          <w:p w14:paraId="013BEC61"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 xml:space="preserve">It is important to take into account the aspect of section collision/ non-collision with crossing roads in case of GP street category. </w:t>
            </w:r>
          </w:p>
          <w:p w14:paraId="72E7E4A1"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project impact area for which the AADT and transport work are calculated should be presented in graphical and descriptive forms.</w:t>
            </w:r>
          </w:p>
          <w:p w14:paraId="453AF8D0" w14:textId="77777777" w:rsidR="00600DEE" w:rsidRPr="0045151D" w:rsidRDefault="00600DEE">
            <w:pPr>
              <w:spacing w:before="120" w:after="120"/>
              <w:jc w:val="both"/>
              <w:rPr>
                <w:rFonts w:ascii="Calibri" w:eastAsia="Calibri" w:hAnsi="Calibri" w:cs="Calibri"/>
                <w:sz w:val="20"/>
                <w:szCs w:val="20"/>
                <w:lang w:val="en-GB"/>
              </w:rPr>
            </w:pPr>
          </w:p>
        </w:tc>
      </w:tr>
    </w:tbl>
    <w:p w14:paraId="6FAFC4EA" w14:textId="2291ECBB" w:rsidR="00600DEE" w:rsidRPr="0045151D" w:rsidRDefault="00641FB5">
      <w:pPr>
        <w:pStyle w:val="Nagwek1"/>
        <w:rPr>
          <w:rFonts w:ascii="Calibri" w:eastAsia="Calibri" w:hAnsi="Calibri" w:cs="Calibri"/>
          <w:color w:val="0070C0"/>
          <w:lang w:val="pl-PL"/>
        </w:rPr>
      </w:pPr>
      <w:bookmarkStart w:id="129" w:name="_Toc95378018"/>
      <w:r w:rsidRPr="0045151D">
        <w:rPr>
          <w:rFonts w:ascii="Calibri" w:eastAsia="Calibri" w:hAnsi="Calibri" w:cs="Calibri"/>
          <w:color w:val="0070C0"/>
          <w:lang w:val="pl-PL"/>
        </w:rPr>
        <w:t>Załącznik C: Podstawy metodologiczne obliczania współczynników</w:t>
      </w:r>
      <w:r w:rsidRPr="0045151D">
        <w:rPr>
          <w:rFonts w:ascii="Calibri" w:eastAsia="Calibri" w:hAnsi="Calibri" w:cs="Calibri"/>
          <w:color w:val="0070C0"/>
          <w:lang w:val="pl-PL"/>
        </w:rPr>
        <w:br/>
        <w:t xml:space="preserve">                     </w:t>
      </w:r>
      <w:r w:rsidRPr="0045151D">
        <w:rPr>
          <w:rFonts w:ascii="Calibri" w:eastAsia="Calibri" w:hAnsi="Calibri" w:cs="Calibri"/>
          <w:color w:val="0070C0"/>
          <w:vertAlign w:val="superscript"/>
          <w:lang w:val="pl-PL"/>
        </w:rPr>
        <w:t xml:space="preserve">  </w:t>
      </w:r>
      <w:r w:rsidRPr="0045151D">
        <w:rPr>
          <w:rFonts w:ascii="Calibri" w:eastAsia="Calibri" w:hAnsi="Calibri" w:cs="Calibri"/>
          <w:color w:val="0070C0"/>
          <w:lang w:val="pl-PL"/>
        </w:rPr>
        <w:t>przeliczeniowych (konwersji)</w:t>
      </w:r>
      <w:r w:rsidRPr="0045151D">
        <w:rPr>
          <w:rFonts w:ascii="Calibri" w:eastAsia="Calibri" w:hAnsi="Calibri" w:cs="Calibri"/>
          <w:color w:val="0070C0"/>
          <w:lang w:val="pl-PL"/>
        </w:rPr>
        <w:br/>
      </w:r>
      <w:r w:rsidRPr="0045151D">
        <w:rPr>
          <w:rFonts w:ascii="Calibri" w:eastAsia="Calibri" w:hAnsi="Calibri" w:cs="Calibri"/>
          <w:i/>
          <w:color w:val="0070C0"/>
          <w:lang w:val="pl-PL"/>
        </w:rPr>
        <w:t>Appendix C: Methodological background to calculate Conversion Factors</w:t>
      </w:r>
      <w:bookmarkEnd w:id="129"/>
    </w:p>
    <w:tbl>
      <w:tblPr>
        <w:tblStyle w:val="afffffffffffffe"/>
        <w:tblW w:w="14571" w:type="dxa"/>
        <w:tblLayout w:type="fixed"/>
        <w:tblLook w:val="0400" w:firstRow="0" w:lastRow="0" w:firstColumn="0" w:lastColumn="0" w:noHBand="0" w:noVBand="1"/>
      </w:tblPr>
      <w:tblGrid>
        <w:gridCol w:w="7370"/>
        <w:gridCol w:w="7201"/>
      </w:tblGrid>
      <w:tr w:rsidR="00600DEE" w14:paraId="65885AFE" w14:textId="77777777">
        <w:tc>
          <w:tcPr>
            <w:tcW w:w="7370" w:type="dxa"/>
            <w:tcBorders>
              <w:right w:val="single" w:sz="4" w:space="0" w:color="000000"/>
            </w:tcBorders>
            <w:tcMar>
              <w:left w:w="284" w:type="dxa"/>
              <w:right w:w="284" w:type="dxa"/>
            </w:tcMar>
          </w:tcPr>
          <w:p w14:paraId="45223960" w14:textId="4420F2A9"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Dla celów analizy finansowej, ceny rynkowe stanowią odpowiednie odniesienie przy ocenie wyników finansowych projektu zarówno dla inwestora prywatnego jak i publicznego. Jednak nie są odpowiednie, gdy celem jest ocena wkładu projektu do korzyści społecznych. </w:t>
            </w:r>
            <w:r w:rsidR="00880D09">
              <w:rPr>
                <w:rFonts w:ascii="Calibri" w:eastAsia="Calibri" w:hAnsi="Calibri" w:cs="Calibri"/>
                <w:color w:val="000000"/>
                <w:sz w:val="20"/>
                <w:szCs w:val="20"/>
              </w:rPr>
              <w:t>W</w:t>
            </w:r>
            <w:r>
              <w:rPr>
                <w:rFonts w:ascii="Calibri" w:eastAsia="Calibri" w:hAnsi="Calibri" w:cs="Calibri"/>
                <w:color w:val="000000"/>
                <w:sz w:val="20"/>
                <w:szCs w:val="20"/>
              </w:rPr>
              <w:t> tym celu, wszystkie ceny rynkowe należy przekształcić na ceny ukryte (z ang. ‘’shadow prices’’), które lepiej odwzorowują korzyści społeczne.</w:t>
            </w:r>
          </w:p>
          <w:p w14:paraId="4CFFE5BA"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 xml:space="preserve">Przekształcanie cen rynkowych na ceny ukryte odbywa się poprzez zastosowanie współczynników przeliczeniowych (CF). </w:t>
            </w:r>
          </w:p>
          <w:p w14:paraId="101CDFD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CF zastosowanie do projektów inwestycyjnych w zakresie infrastruktury drogowej w Polsce, zostały obliczone metodą średniej ważonej:</w:t>
            </w:r>
          </w:p>
          <w:p w14:paraId="3EC4420D" w14:textId="77777777" w:rsidR="00600DEE" w:rsidRDefault="00641FB5" w:rsidP="00D5736B">
            <w:pPr>
              <w:numPr>
                <w:ilvl w:val="0"/>
                <w:numId w:val="22"/>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Określenie pierwotnych współczynników przeliczeniowych:</w:t>
            </w:r>
          </w:p>
          <w:p w14:paraId="0A26CBBC" w14:textId="39D00F65" w:rsidR="00600DEE" w:rsidRDefault="00641FB5" w:rsidP="00D5736B">
            <w:pPr>
              <w:numPr>
                <w:ilvl w:val="1"/>
                <w:numId w:val="22"/>
              </w:numPr>
              <w:pBdr>
                <w:top w:val="nil"/>
                <w:left w:val="nil"/>
                <w:bottom w:val="nil"/>
                <w:right w:val="nil"/>
                <w:between w:val="nil"/>
              </w:pBdr>
              <w:spacing w:before="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Koszty pracy: na podstawie załącznika IV wytycznych AKK KE szacuje się, że średnia</w:t>
            </w:r>
            <w:r w:rsidR="00880D09">
              <w:rPr>
                <w:rFonts w:ascii="Calibri" w:eastAsia="Calibri" w:hAnsi="Calibri" w:cs="Calibri"/>
                <w:color w:val="000000"/>
                <w:sz w:val="20"/>
                <w:szCs w:val="20"/>
              </w:rPr>
              <w:t xml:space="preserve"> wartość dla Polski odpowiada 0,</w:t>
            </w:r>
            <w:r>
              <w:rPr>
                <w:rFonts w:ascii="Calibri" w:eastAsia="Calibri" w:hAnsi="Calibri" w:cs="Calibri"/>
                <w:color w:val="000000"/>
                <w:sz w:val="20"/>
                <w:szCs w:val="20"/>
              </w:rPr>
              <w:t>5</w:t>
            </w:r>
            <w:r w:rsidR="00DD0E5A">
              <w:rPr>
                <w:rFonts w:ascii="Calibri" w:eastAsia="Calibri" w:hAnsi="Calibri" w:cs="Calibri"/>
                <w:color w:val="000000"/>
                <w:sz w:val="20"/>
                <w:szCs w:val="20"/>
              </w:rPr>
              <w:t>8</w:t>
            </w:r>
            <w:r w:rsidR="00DD0E5A" w:rsidRPr="00DD0E5A">
              <w:rPr>
                <w:rFonts w:ascii="Calibri" w:eastAsia="Calibri" w:hAnsi="Calibri" w:cs="Calibri"/>
                <w:color w:val="000000"/>
                <w:sz w:val="20"/>
                <w:szCs w:val="20"/>
                <w:vertAlign w:val="superscript"/>
              </w:rPr>
              <w:t>26</w:t>
            </w:r>
            <w:r w:rsidR="00DD0E5A">
              <w:rPr>
                <w:rFonts w:ascii="Calibri" w:eastAsia="Calibri" w:hAnsi="Calibri" w:cs="Calibri"/>
                <w:color w:val="000000"/>
                <w:sz w:val="20"/>
                <w:szCs w:val="20"/>
              </w:rPr>
              <w:t>.</w:t>
            </w:r>
            <w:r w:rsidR="00173EC8">
              <w:rPr>
                <w:rFonts w:ascii="Calibri" w:eastAsia="Calibri" w:hAnsi="Calibri" w:cs="Calibri"/>
                <w:color w:val="000000"/>
                <w:sz w:val="20"/>
                <w:szCs w:val="20"/>
                <w:vertAlign w:val="superscript"/>
              </w:rPr>
              <w:fldChar w:fldCharType="begin"/>
            </w:r>
            <w:r w:rsidR="00173EC8">
              <w:rPr>
                <w:rFonts w:ascii="Calibri" w:eastAsia="Calibri" w:hAnsi="Calibri" w:cs="Calibri"/>
                <w:color w:val="000000"/>
                <w:sz w:val="20"/>
                <w:szCs w:val="20"/>
              </w:rPr>
              <w:instrText xml:space="preserve"> NOTEREF _Ref91588878 \f </w:instrText>
            </w:r>
            <w:r w:rsidR="00173EC8">
              <w:rPr>
                <w:rFonts w:ascii="Calibri" w:eastAsia="Calibri" w:hAnsi="Calibri" w:cs="Calibri"/>
                <w:color w:val="000000"/>
                <w:sz w:val="20"/>
                <w:szCs w:val="20"/>
                <w:vertAlign w:val="superscript"/>
              </w:rPr>
              <w:fldChar w:fldCharType="separate"/>
            </w:r>
            <w:r w:rsidR="00173EC8" w:rsidRPr="00DD0E5A">
              <w:rPr>
                <w:rStyle w:val="Odwoanieprzypisudolnego"/>
                <w:rFonts w:eastAsia="Calibri"/>
                <w:color w:val="FFFFFF" w:themeColor="background1"/>
              </w:rPr>
              <w:t>25</w:t>
            </w:r>
            <w:r w:rsidR="00173EC8">
              <w:rPr>
                <w:rFonts w:ascii="Calibri" w:eastAsia="Calibri" w:hAnsi="Calibri" w:cs="Calibri"/>
                <w:color w:val="000000"/>
                <w:sz w:val="20"/>
                <w:szCs w:val="20"/>
                <w:vertAlign w:val="superscript"/>
              </w:rPr>
              <w:fldChar w:fldCharType="end"/>
            </w:r>
            <w:r w:rsidRPr="00DD0E5A">
              <w:rPr>
                <w:rFonts w:ascii="Calibri" w:eastAsia="Calibri" w:hAnsi="Calibri" w:cs="Calibri"/>
                <w:color w:val="FFFFFF" w:themeColor="background1"/>
                <w:sz w:val="20"/>
                <w:szCs w:val="20"/>
              </w:rPr>
              <w:t>.</w:t>
            </w:r>
          </w:p>
          <w:p w14:paraId="0D62AB10" w14:textId="77777777" w:rsidR="00600DEE" w:rsidRDefault="00641FB5" w:rsidP="00D5736B">
            <w:pPr>
              <w:numPr>
                <w:ilvl w:val="1"/>
                <w:numId w:val="22"/>
              </w:numPr>
              <w:pBdr>
                <w:top w:val="nil"/>
                <w:left w:val="nil"/>
                <w:bottom w:val="nil"/>
                <w:right w:val="nil"/>
                <w:between w:val="nil"/>
              </w:pBdr>
              <w:spacing w:before="120"/>
              <w:ind w:left="851" w:hanging="425"/>
              <w:jc w:val="both"/>
              <w:rPr>
                <w:rFonts w:ascii="Calibri" w:eastAsia="Calibri" w:hAnsi="Calibri" w:cs="Calibri"/>
                <w:color w:val="000000"/>
                <w:sz w:val="20"/>
                <w:szCs w:val="20"/>
              </w:rPr>
            </w:pPr>
            <w:r>
              <w:rPr>
                <w:rFonts w:ascii="Calibri" w:eastAsia="Calibri" w:hAnsi="Calibri" w:cs="Calibri"/>
                <w:color w:val="000000"/>
                <w:sz w:val="20"/>
                <w:szCs w:val="20"/>
              </w:rPr>
              <w:t>Paliwo: na podstawie danych Komisji Europejskiej Tygodniowy biuletyn produktów naftowych, rok 2019), CF dotyczące polskich cen paliwa bez podatków i opłat (z wyłączeniem podatku VAT, ponieważ został on już uwzględniony w pierwszym kroku) oraz ceny na stacjach paliw oszacowano na 0,65 dla transportowych projektów.</w:t>
            </w:r>
          </w:p>
          <w:p w14:paraId="1D494E65" w14:textId="77777777" w:rsidR="00600DEE" w:rsidRDefault="00641FB5" w:rsidP="00D5736B">
            <w:pPr>
              <w:numPr>
                <w:ilvl w:val="0"/>
                <w:numId w:val="22"/>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Określenie wag dla pierwotnych współczynników w pozycjach pochodnych: dokonano tego na podstawie średniej struktury kosztów polskich firm budowlanych, produkcyjnych i transportowych (dane z „GUS: Koszty w podmiotach gospodarczych według rodzaju, 2019”</w:t>
            </w:r>
            <w:r>
              <w:rPr>
                <w:rFonts w:ascii="Calibri" w:eastAsia="Calibri" w:hAnsi="Calibri" w:cs="Calibri"/>
                <w:b/>
                <w:color w:val="000000"/>
                <w:sz w:val="20"/>
                <w:szCs w:val="20"/>
              </w:rPr>
              <w:t xml:space="preserve"> </w:t>
            </w:r>
            <w:r>
              <w:rPr>
                <w:rFonts w:ascii="Calibri" w:eastAsia="Calibri" w:hAnsi="Calibri" w:cs="Calibri"/>
                <w:color w:val="000000"/>
                <w:sz w:val="20"/>
                <w:szCs w:val="20"/>
              </w:rPr>
              <w:t xml:space="preserve">sektory Budownictwo, Produkcja i Transport, w wynikach finansowych podmiotów gospodarczych w I-IV 2019 r., GUS, Warszawa 2020). </w:t>
            </w:r>
          </w:p>
          <w:p w14:paraId="20513A68" w14:textId="77777777" w:rsidR="00600DEE" w:rsidRDefault="00641FB5" w:rsidP="00D5736B">
            <w:pPr>
              <w:numPr>
                <w:ilvl w:val="0"/>
                <w:numId w:val="22"/>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Obliczanie CF: średnia ważona z pierwotnych współczynników przeliczeniowych, jak w tabelach poniżej:</w:t>
            </w:r>
          </w:p>
          <w:p w14:paraId="673A66B8"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468390DD"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Obliczanie CF dla kosztów inwestycyjnych (CAPEX)</w:t>
            </w:r>
          </w:p>
          <w:tbl>
            <w:tblPr>
              <w:tblStyle w:val="affffffffffffff"/>
              <w:tblW w:w="4531" w:type="dxa"/>
              <w:tblLayout w:type="fixed"/>
              <w:tblLook w:val="0000" w:firstRow="0" w:lastRow="0" w:firstColumn="0" w:lastColumn="0" w:noHBand="0" w:noVBand="0"/>
            </w:tblPr>
            <w:tblGrid>
              <w:gridCol w:w="1440"/>
              <w:gridCol w:w="1600"/>
              <w:gridCol w:w="1491"/>
            </w:tblGrid>
            <w:tr w:rsidR="00600DEE" w14:paraId="5760E5CA" w14:textId="77777777" w:rsidTr="00173EC8">
              <w:trPr>
                <w:trHeight w:hRule="exact" w:val="567"/>
              </w:trPr>
              <w:tc>
                <w:tcPr>
                  <w:tcW w:w="1440" w:type="dxa"/>
                  <w:tcBorders>
                    <w:top w:val="single" w:sz="4" w:space="0" w:color="FFFFFF"/>
                    <w:left w:val="single" w:sz="4" w:space="0" w:color="FFFFFF"/>
                    <w:bottom w:val="single" w:sz="4" w:space="0" w:color="FFFFFF"/>
                  </w:tcBorders>
                  <w:shd w:val="clear" w:color="auto" w:fill="A6A6A6"/>
                  <w:vAlign w:val="center"/>
                </w:tcPr>
                <w:p w14:paraId="405936F7"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Elementy </w:t>
                  </w:r>
                </w:p>
              </w:tc>
              <w:tc>
                <w:tcPr>
                  <w:tcW w:w="1600" w:type="dxa"/>
                  <w:tcBorders>
                    <w:top w:val="single" w:sz="4" w:space="0" w:color="FFFFFF"/>
                    <w:left w:val="single" w:sz="4" w:space="0" w:color="FFFFFF"/>
                    <w:bottom w:val="single" w:sz="4" w:space="0" w:color="FFFFFF"/>
                  </w:tcBorders>
                  <w:shd w:val="clear" w:color="auto" w:fill="A6A6A6"/>
                  <w:vAlign w:val="center"/>
                </w:tcPr>
                <w:p w14:paraId="399E82EA"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Waga (*)</w:t>
                  </w:r>
                </w:p>
              </w:tc>
              <w:tc>
                <w:tcPr>
                  <w:tcW w:w="1491" w:type="dxa"/>
                  <w:tcBorders>
                    <w:top w:val="single" w:sz="4" w:space="0" w:color="FFFFFF"/>
                    <w:left w:val="single" w:sz="4" w:space="0" w:color="FFFFFF"/>
                    <w:bottom w:val="single" w:sz="4" w:space="0" w:color="FFFFFF"/>
                  </w:tcBorders>
                  <w:shd w:val="clear" w:color="auto" w:fill="A6A6A6"/>
                  <w:vAlign w:val="center"/>
                </w:tcPr>
                <w:p w14:paraId="1111150A"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Współczynnik konwersji </w:t>
                  </w:r>
                </w:p>
              </w:tc>
            </w:tr>
            <w:tr w:rsidR="00600DEE" w14:paraId="397F48A4"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3B5C6953"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Materiały</w:t>
                  </w:r>
                </w:p>
              </w:tc>
              <w:tc>
                <w:tcPr>
                  <w:tcW w:w="1600" w:type="dxa"/>
                  <w:tcBorders>
                    <w:top w:val="single" w:sz="4" w:space="0" w:color="FFFFFF"/>
                    <w:left w:val="single" w:sz="4" w:space="0" w:color="FFFFFF"/>
                    <w:bottom w:val="single" w:sz="4" w:space="0" w:color="FFFFFF"/>
                  </w:tcBorders>
                  <w:shd w:val="clear" w:color="auto" w:fill="DBE5F1"/>
                  <w:vAlign w:val="center"/>
                </w:tcPr>
                <w:p w14:paraId="6341610E"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39%</w:t>
                  </w:r>
                </w:p>
              </w:tc>
              <w:tc>
                <w:tcPr>
                  <w:tcW w:w="1491" w:type="dxa"/>
                  <w:tcBorders>
                    <w:top w:val="single" w:sz="4" w:space="0" w:color="FFFFFF"/>
                    <w:left w:val="single" w:sz="4" w:space="0" w:color="FFFFFF"/>
                    <w:bottom w:val="single" w:sz="4" w:space="0" w:color="FFFFFF"/>
                  </w:tcBorders>
                  <w:shd w:val="clear" w:color="auto" w:fill="DBE5F1"/>
                  <w:vAlign w:val="center"/>
                </w:tcPr>
                <w:p w14:paraId="5E353000"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1</w:t>
                  </w:r>
                </w:p>
              </w:tc>
            </w:tr>
            <w:tr w:rsidR="00600DEE" w14:paraId="2C47A253"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631290D8"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Robocizna </w:t>
                  </w:r>
                </w:p>
              </w:tc>
              <w:tc>
                <w:tcPr>
                  <w:tcW w:w="1600" w:type="dxa"/>
                  <w:tcBorders>
                    <w:top w:val="single" w:sz="4" w:space="0" w:color="FFFFFF"/>
                    <w:left w:val="single" w:sz="4" w:space="0" w:color="FFFFFF"/>
                    <w:bottom w:val="single" w:sz="4" w:space="0" w:color="FFFFFF"/>
                  </w:tcBorders>
                  <w:shd w:val="clear" w:color="auto" w:fill="DBE5F1"/>
                  <w:vAlign w:val="center"/>
                </w:tcPr>
                <w:p w14:paraId="5A4BA36E"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25%</w:t>
                  </w:r>
                </w:p>
              </w:tc>
              <w:tc>
                <w:tcPr>
                  <w:tcW w:w="1491" w:type="dxa"/>
                  <w:tcBorders>
                    <w:top w:val="single" w:sz="4" w:space="0" w:color="FFFFFF"/>
                    <w:left w:val="single" w:sz="4" w:space="0" w:color="FFFFFF"/>
                    <w:bottom w:val="single" w:sz="4" w:space="0" w:color="FFFFFF"/>
                  </w:tcBorders>
                  <w:shd w:val="clear" w:color="auto" w:fill="DBE5F1"/>
                  <w:vAlign w:val="center"/>
                </w:tcPr>
                <w:p w14:paraId="22C9A18F"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0,58</w:t>
                  </w:r>
                </w:p>
              </w:tc>
            </w:tr>
            <w:tr w:rsidR="00600DEE" w14:paraId="2C563FE0"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532B068B"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Energia</w:t>
                  </w:r>
                </w:p>
              </w:tc>
              <w:tc>
                <w:tcPr>
                  <w:tcW w:w="1600" w:type="dxa"/>
                  <w:tcBorders>
                    <w:top w:val="single" w:sz="4" w:space="0" w:color="FFFFFF"/>
                    <w:left w:val="single" w:sz="4" w:space="0" w:color="FFFFFF"/>
                    <w:bottom w:val="single" w:sz="4" w:space="0" w:color="FFFFFF"/>
                  </w:tcBorders>
                  <w:shd w:val="clear" w:color="auto" w:fill="DBE5F1"/>
                  <w:vAlign w:val="center"/>
                </w:tcPr>
                <w:p w14:paraId="34A6EBC5"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20%</w:t>
                  </w:r>
                </w:p>
              </w:tc>
              <w:tc>
                <w:tcPr>
                  <w:tcW w:w="1491" w:type="dxa"/>
                  <w:tcBorders>
                    <w:top w:val="single" w:sz="4" w:space="0" w:color="FFFFFF"/>
                    <w:left w:val="single" w:sz="4" w:space="0" w:color="FFFFFF"/>
                    <w:bottom w:val="single" w:sz="4" w:space="0" w:color="FFFFFF"/>
                  </w:tcBorders>
                  <w:shd w:val="clear" w:color="auto" w:fill="DBE5F1"/>
                  <w:vAlign w:val="center"/>
                </w:tcPr>
                <w:p w14:paraId="02AFC647"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0,65</w:t>
                  </w:r>
                </w:p>
              </w:tc>
            </w:tr>
            <w:tr w:rsidR="00600DEE" w14:paraId="2CF608E6"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03DD430E"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Inne</w:t>
                  </w:r>
                </w:p>
              </w:tc>
              <w:tc>
                <w:tcPr>
                  <w:tcW w:w="1600" w:type="dxa"/>
                  <w:tcBorders>
                    <w:top w:val="single" w:sz="4" w:space="0" w:color="FFFFFF"/>
                    <w:left w:val="single" w:sz="4" w:space="0" w:color="FFFFFF"/>
                    <w:bottom w:val="single" w:sz="4" w:space="0" w:color="FFFFFF"/>
                  </w:tcBorders>
                  <w:shd w:val="clear" w:color="auto" w:fill="DBE5F1"/>
                  <w:vAlign w:val="center"/>
                </w:tcPr>
                <w:p w14:paraId="5A622FEC"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16%</w:t>
                  </w:r>
                </w:p>
              </w:tc>
              <w:tc>
                <w:tcPr>
                  <w:tcW w:w="1491" w:type="dxa"/>
                  <w:tcBorders>
                    <w:top w:val="single" w:sz="4" w:space="0" w:color="FFFFFF"/>
                    <w:left w:val="single" w:sz="4" w:space="0" w:color="FFFFFF"/>
                    <w:bottom w:val="single" w:sz="4" w:space="0" w:color="FFFFFF"/>
                  </w:tcBorders>
                  <w:shd w:val="clear" w:color="auto" w:fill="DBE5F1"/>
                  <w:vAlign w:val="center"/>
                </w:tcPr>
                <w:p w14:paraId="03D567A6"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1</w:t>
                  </w:r>
                </w:p>
              </w:tc>
            </w:tr>
            <w:tr w:rsidR="00600DEE" w14:paraId="4A7D5ACB"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75C01EDE"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Ostateczny</w:t>
                  </w:r>
                </w:p>
              </w:tc>
              <w:tc>
                <w:tcPr>
                  <w:tcW w:w="1600" w:type="dxa"/>
                  <w:tcBorders>
                    <w:top w:val="single" w:sz="4" w:space="0" w:color="FFFFFF"/>
                    <w:left w:val="single" w:sz="4" w:space="0" w:color="FFFFFF"/>
                    <w:bottom w:val="single" w:sz="4" w:space="0" w:color="FFFFFF"/>
                  </w:tcBorders>
                  <w:shd w:val="clear" w:color="auto" w:fill="DBE5F1"/>
                  <w:vAlign w:val="center"/>
                </w:tcPr>
                <w:p w14:paraId="666D1725"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 </w:t>
                  </w:r>
                </w:p>
              </w:tc>
              <w:tc>
                <w:tcPr>
                  <w:tcW w:w="1491" w:type="dxa"/>
                  <w:tcBorders>
                    <w:top w:val="single" w:sz="4" w:space="0" w:color="FFFFFF"/>
                    <w:left w:val="single" w:sz="4" w:space="0" w:color="FFFFFF"/>
                    <w:bottom w:val="single" w:sz="4" w:space="0" w:color="FFFFFF"/>
                  </w:tcBorders>
                  <w:shd w:val="clear" w:color="auto" w:fill="DBE5F1"/>
                  <w:vAlign w:val="center"/>
                </w:tcPr>
                <w:p w14:paraId="021DC0E2"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0,83</w:t>
                  </w:r>
                </w:p>
              </w:tc>
            </w:tr>
          </w:tbl>
          <w:p w14:paraId="4610FC88" w14:textId="77777777" w:rsidR="00600DEE" w:rsidRDefault="00641FB5">
            <w:pPr>
              <w:spacing w:before="120"/>
              <w:ind w:right="170"/>
              <w:rPr>
                <w:rFonts w:ascii="Calibri" w:eastAsia="Calibri" w:hAnsi="Calibri" w:cs="Calibri"/>
                <w:sz w:val="16"/>
                <w:szCs w:val="16"/>
              </w:rPr>
            </w:pPr>
            <w:r>
              <w:rPr>
                <w:rFonts w:ascii="Calibri" w:eastAsia="Calibri" w:hAnsi="Calibri" w:cs="Calibri"/>
                <w:color w:val="222222"/>
                <w:sz w:val="16"/>
                <w:szCs w:val="16"/>
              </w:rPr>
              <w:t xml:space="preserve">( * ) </w:t>
            </w:r>
            <w:r>
              <w:rPr>
                <w:rFonts w:ascii="Calibri" w:eastAsia="Calibri" w:hAnsi="Calibri" w:cs="Calibri"/>
                <w:color w:val="000000"/>
                <w:sz w:val="16"/>
                <w:szCs w:val="16"/>
              </w:rPr>
              <w:t>Wyniki finansowe podmiotów gospodarczych w I-IV 2019 r. (Produkcja i Transport), GUS, Warszawa 2020</w:t>
            </w:r>
            <w:r>
              <w:rPr>
                <w:rFonts w:ascii="Calibri" w:eastAsia="Calibri" w:hAnsi="Calibri" w:cs="Calibri"/>
                <w:color w:val="222222"/>
                <w:sz w:val="16"/>
                <w:szCs w:val="16"/>
              </w:rPr>
              <w:br/>
              <w:t>( ** ) wytyczne AKK, KE, załącznik IV.</w:t>
            </w:r>
            <w:r>
              <w:rPr>
                <w:rFonts w:ascii="Calibri" w:eastAsia="Calibri" w:hAnsi="Calibri" w:cs="Calibri"/>
                <w:color w:val="222222"/>
                <w:sz w:val="16"/>
                <w:szCs w:val="16"/>
              </w:rPr>
              <w:br/>
              <w:t xml:space="preserve">( *** ) </w:t>
            </w:r>
            <w:r>
              <w:rPr>
                <w:rFonts w:ascii="Calibri" w:eastAsia="Calibri" w:hAnsi="Calibri" w:cs="Calibri"/>
                <w:sz w:val="16"/>
                <w:szCs w:val="16"/>
              </w:rPr>
              <w:t>Tygodniowy biuletyn produktów naftowych, rok 2019, KE</w:t>
            </w:r>
            <w:r>
              <w:rPr>
                <w:rFonts w:ascii="Calibri" w:eastAsia="Calibri" w:hAnsi="Calibri" w:cs="Calibri"/>
                <w:color w:val="222222"/>
                <w:sz w:val="16"/>
                <w:szCs w:val="16"/>
              </w:rPr>
              <w:t>.</w:t>
            </w:r>
            <w:r>
              <w:rPr>
                <w:rFonts w:ascii="Calibri" w:eastAsia="Calibri" w:hAnsi="Calibri" w:cs="Calibri"/>
                <w:color w:val="000000"/>
                <w:sz w:val="16"/>
                <w:szCs w:val="16"/>
              </w:rPr>
              <w:t xml:space="preserve"> </w:t>
            </w:r>
          </w:p>
          <w:p w14:paraId="14B4D5A2"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323299"/>
                <w:sz w:val="20"/>
                <w:szCs w:val="20"/>
              </w:rPr>
              <w:t xml:space="preserve"> </w:t>
            </w:r>
            <w:r>
              <w:rPr>
                <w:rFonts w:ascii="Calibri" w:eastAsia="Calibri" w:hAnsi="Calibri" w:cs="Calibri"/>
                <w:b/>
                <w:color w:val="4F81BD"/>
                <w:sz w:val="20"/>
                <w:szCs w:val="20"/>
              </w:rPr>
              <w:t>Obliczanie CF dla kosztów operacyjnych (OPEX)</w:t>
            </w:r>
          </w:p>
          <w:p w14:paraId="787474BA"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18"/>
                <w:szCs w:val="18"/>
              </w:rPr>
            </w:pPr>
            <w:r>
              <w:rPr>
                <w:rFonts w:ascii="Calibri" w:eastAsia="Calibri" w:hAnsi="Calibri" w:cs="Calibri"/>
                <w:color w:val="000000"/>
                <w:sz w:val="18"/>
                <w:szCs w:val="18"/>
              </w:rPr>
              <w:t>(Wartości z poprzedniej edycji Niebieskiej Księgi 2015 są uważane za obowiązujące)</w:t>
            </w:r>
          </w:p>
          <w:tbl>
            <w:tblPr>
              <w:tblStyle w:val="affffffffffffff0"/>
              <w:tblW w:w="4582" w:type="dxa"/>
              <w:tblLayout w:type="fixed"/>
              <w:tblLook w:val="0000" w:firstRow="0" w:lastRow="0" w:firstColumn="0" w:lastColumn="0" w:noHBand="0" w:noVBand="0"/>
            </w:tblPr>
            <w:tblGrid>
              <w:gridCol w:w="1440"/>
              <w:gridCol w:w="1600"/>
              <w:gridCol w:w="1542"/>
            </w:tblGrid>
            <w:tr w:rsidR="00600DEE" w14:paraId="71D54641" w14:textId="77777777">
              <w:trPr>
                <w:trHeight w:val="574"/>
              </w:trPr>
              <w:tc>
                <w:tcPr>
                  <w:tcW w:w="1440" w:type="dxa"/>
                  <w:tcBorders>
                    <w:top w:val="single" w:sz="4" w:space="0" w:color="FFFFFF"/>
                    <w:left w:val="single" w:sz="4" w:space="0" w:color="FFFFFF"/>
                    <w:bottom w:val="single" w:sz="4" w:space="0" w:color="FFFFFF"/>
                  </w:tcBorders>
                  <w:shd w:val="clear" w:color="auto" w:fill="A6A6A6"/>
                  <w:vAlign w:val="center"/>
                </w:tcPr>
                <w:p w14:paraId="26AEEB59"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Elementy </w:t>
                  </w:r>
                </w:p>
              </w:tc>
              <w:tc>
                <w:tcPr>
                  <w:tcW w:w="1600" w:type="dxa"/>
                  <w:tcBorders>
                    <w:top w:val="single" w:sz="4" w:space="0" w:color="FFFFFF"/>
                    <w:left w:val="single" w:sz="4" w:space="0" w:color="FFFFFF"/>
                    <w:bottom w:val="single" w:sz="4" w:space="0" w:color="FFFFFF"/>
                  </w:tcBorders>
                  <w:shd w:val="clear" w:color="auto" w:fill="A6A6A6"/>
                  <w:vAlign w:val="center"/>
                </w:tcPr>
                <w:p w14:paraId="1F877ED7"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Waga (*)</w:t>
                  </w:r>
                </w:p>
              </w:tc>
              <w:tc>
                <w:tcPr>
                  <w:tcW w:w="1542" w:type="dxa"/>
                  <w:tcBorders>
                    <w:top w:val="single" w:sz="4" w:space="0" w:color="FFFFFF"/>
                    <w:left w:val="single" w:sz="4" w:space="0" w:color="FFFFFF"/>
                    <w:bottom w:val="single" w:sz="4" w:space="0" w:color="FFFFFF"/>
                  </w:tcBorders>
                  <w:shd w:val="clear" w:color="auto" w:fill="A6A6A6"/>
                  <w:vAlign w:val="center"/>
                </w:tcPr>
                <w:p w14:paraId="2C19B8DA"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Współczynnik konwersji </w:t>
                  </w:r>
                </w:p>
              </w:tc>
            </w:tr>
            <w:tr w:rsidR="00600DEE" w14:paraId="6320F5A6"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1DF51B42"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Materiały</w:t>
                  </w:r>
                </w:p>
              </w:tc>
              <w:tc>
                <w:tcPr>
                  <w:tcW w:w="1600" w:type="dxa"/>
                  <w:tcBorders>
                    <w:top w:val="single" w:sz="4" w:space="0" w:color="FFFFFF"/>
                    <w:left w:val="single" w:sz="4" w:space="0" w:color="FFFFFF"/>
                    <w:bottom w:val="single" w:sz="4" w:space="0" w:color="FFFFFF"/>
                  </w:tcBorders>
                  <w:shd w:val="clear" w:color="auto" w:fill="DBE5F1"/>
                  <w:vAlign w:val="center"/>
                </w:tcPr>
                <w:p w14:paraId="5F237F54"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31%</w:t>
                  </w:r>
                </w:p>
              </w:tc>
              <w:tc>
                <w:tcPr>
                  <w:tcW w:w="1542" w:type="dxa"/>
                  <w:tcBorders>
                    <w:top w:val="single" w:sz="4" w:space="0" w:color="FFFFFF"/>
                    <w:left w:val="single" w:sz="4" w:space="0" w:color="FFFFFF"/>
                    <w:bottom w:val="single" w:sz="4" w:space="0" w:color="FFFFFF"/>
                  </w:tcBorders>
                  <w:shd w:val="clear" w:color="auto" w:fill="DBE5F1"/>
                  <w:vAlign w:val="center"/>
                </w:tcPr>
                <w:p w14:paraId="6FD896E0"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1</w:t>
                  </w:r>
                </w:p>
              </w:tc>
            </w:tr>
            <w:tr w:rsidR="00600DEE" w14:paraId="05FFE40E"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027CDF43"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Robocizna </w:t>
                  </w:r>
                </w:p>
              </w:tc>
              <w:tc>
                <w:tcPr>
                  <w:tcW w:w="1600" w:type="dxa"/>
                  <w:tcBorders>
                    <w:top w:val="single" w:sz="4" w:space="0" w:color="FFFFFF"/>
                    <w:left w:val="single" w:sz="4" w:space="0" w:color="FFFFFF"/>
                    <w:bottom w:val="single" w:sz="4" w:space="0" w:color="FFFFFF"/>
                  </w:tcBorders>
                  <w:shd w:val="clear" w:color="auto" w:fill="DBE5F1"/>
                  <w:vAlign w:val="center"/>
                </w:tcPr>
                <w:p w14:paraId="0B8DCDC8"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35%</w:t>
                  </w:r>
                </w:p>
              </w:tc>
              <w:tc>
                <w:tcPr>
                  <w:tcW w:w="1542" w:type="dxa"/>
                  <w:tcBorders>
                    <w:top w:val="single" w:sz="4" w:space="0" w:color="FFFFFF"/>
                    <w:left w:val="single" w:sz="4" w:space="0" w:color="FFFFFF"/>
                    <w:bottom w:val="single" w:sz="4" w:space="0" w:color="FFFFFF"/>
                  </w:tcBorders>
                  <w:shd w:val="clear" w:color="auto" w:fill="DBE5F1"/>
                  <w:vAlign w:val="center"/>
                </w:tcPr>
                <w:p w14:paraId="5A1C2D3A"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0,58</w:t>
                  </w:r>
                </w:p>
              </w:tc>
            </w:tr>
            <w:tr w:rsidR="00600DEE" w14:paraId="7FC114A8"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44DC970C"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Energia</w:t>
                  </w:r>
                </w:p>
              </w:tc>
              <w:tc>
                <w:tcPr>
                  <w:tcW w:w="1600" w:type="dxa"/>
                  <w:tcBorders>
                    <w:top w:val="single" w:sz="4" w:space="0" w:color="FFFFFF"/>
                    <w:left w:val="single" w:sz="4" w:space="0" w:color="FFFFFF"/>
                    <w:bottom w:val="single" w:sz="4" w:space="0" w:color="FFFFFF"/>
                  </w:tcBorders>
                  <w:shd w:val="clear" w:color="auto" w:fill="DBE5F1"/>
                  <w:vAlign w:val="center"/>
                </w:tcPr>
                <w:p w14:paraId="5D9B7668"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20%</w:t>
                  </w:r>
                </w:p>
              </w:tc>
              <w:tc>
                <w:tcPr>
                  <w:tcW w:w="1542" w:type="dxa"/>
                  <w:tcBorders>
                    <w:top w:val="single" w:sz="4" w:space="0" w:color="FFFFFF"/>
                    <w:left w:val="single" w:sz="4" w:space="0" w:color="FFFFFF"/>
                    <w:bottom w:val="single" w:sz="4" w:space="0" w:color="FFFFFF"/>
                  </w:tcBorders>
                  <w:shd w:val="clear" w:color="auto" w:fill="DBE5F1"/>
                  <w:vAlign w:val="center"/>
                </w:tcPr>
                <w:p w14:paraId="301A65D3"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0,66</w:t>
                  </w:r>
                </w:p>
              </w:tc>
            </w:tr>
            <w:tr w:rsidR="00600DEE" w14:paraId="30CEFFFC"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2D427C66"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Inne</w:t>
                  </w:r>
                </w:p>
              </w:tc>
              <w:tc>
                <w:tcPr>
                  <w:tcW w:w="1600" w:type="dxa"/>
                  <w:tcBorders>
                    <w:top w:val="single" w:sz="4" w:space="0" w:color="FFFFFF"/>
                    <w:left w:val="single" w:sz="4" w:space="0" w:color="FFFFFF"/>
                    <w:bottom w:val="single" w:sz="4" w:space="0" w:color="FFFFFF"/>
                  </w:tcBorders>
                  <w:shd w:val="clear" w:color="auto" w:fill="DBE5F1"/>
                  <w:vAlign w:val="center"/>
                </w:tcPr>
                <w:p w14:paraId="6AAB2932"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14%</w:t>
                  </w:r>
                </w:p>
              </w:tc>
              <w:tc>
                <w:tcPr>
                  <w:tcW w:w="1542" w:type="dxa"/>
                  <w:tcBorders>
                    <w:top w:val="single" w:sz="4" w:space="0" w:color="FFFFFF"/>
                    <w:left w:val="single" w:sz="4" w:space="0" w:color="FFFFFF"/>
                    <w:bottom w:val="single" w:sz="4" w:space="0" w:color="FFFFFF"/>
                  </w:tcBorders>
                  <w:shd w:val="clear" w:color="auto" w:fill="DBE5F1"/>
                  <w:vAlign w:val="center"/>
                </w:tcPr>
                <w:p w14:paraId="435862B1"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1</w:t>
                  </w:r>
                </w:p>
              </w:tc>
            </w:tr>
            <w:tr w:rsidR="00600DEE" w14:paraId="7B74A0DE"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103F3EAA"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Ostateczny</w:t>
                  </w:r>
                </w:p>
              </w:tc>
              <w:tc>
                <w:tcPr>
                  <w:tcW w:w="1600" w:type="dxa"/>
                  <w:tcBorders>
                    <w:top w:val="single" w:sz="4" w:space="0" w:color="FFFFFF"/>
                    <w:left w:val="single" w:sz="4" w:space="0" w:color="FFFFFF"/>
                    <w:bottom w:val="single" w:sz="4" w:space="0" w:color="FFFFFF"/>
                  </w:tcBorders>
                  <w:shd w:val="clear" w:color="auto" w:fill="DBE5F1"/>
                  <w:vAlign w:val="center"/>
                </w:tcPr>
                <w:p w14:paraId="6553CA9C"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 </w:t>
                  </w:r>
                </w:p>
              </w:tc>
              <w:tc>
                <w:tcPr>
                  <w:tcW w:w="1542" w:type="dxa"/>
                  <w:tcBorders>
                    <w:top w:val="single" w:sz="4" w:space="0" w:color="FFFFFF"/>
                    <w:left w:val="single" w:sz="4" w:space="0" w:color="FFFFFF"/>
                    <w:bottom w:val="single" w:sz="4" w:space="0" w:color="FFFFFF"/>
                  </w:tcBorders>
                  <w:shd w:val="clear" w:color="auto" w:fill="DBE5F1"/>
                  <w:vAlign w:val="center"/>
                </w:tcPr>
                <w:p w14:paraId="5A90AE1E"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0,78</w:t>
                  </w:r>
                </w:p>
              </w:tc>
            </w:tr>
          </w:tbl>
          <w:p w14:paraId="444C5B09"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tc>
        <w:tc>
          <w:tcPr>
            <w:tcW w:w="7201" w:type="dxa"/>
            <w:tcBorders>
              <w:left w:val="single" w:sz="4" w:space="0" w:color="000000"/>
            </w:tcBorders>
            <w:tcMar>
              <w:left w:w="284" w:type="dxa"/>
              <w:right w:w="284" w:type="dxa"/>
            </w:tcMar>
          </w:tcPr>
          <w:p w14:paraId="404D41C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For the purpose of the financial analysis, market prices represent a relevant reference for both the private and public investor when assessing the project’s financial performance. However, they are no longer relevant when the aim is to assess the project’s contribution to economic welfare.  For this purpose, all market prices have to be converted to the so-called ‘shadow prices’ which are more effective in conveying social benefits.</w:t>
            </w:r>
          </w:p>
          <w:p w14:paraId="6EE27E5C"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Input market prices are transformed into shadow prices by the application of Conversion Factors (CF).</w:t>
            </w:r>
          </w:p>
          <w:p w14:paraId="0216794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CF applicable to road infrastructure investment projects in Poland were calculated based on the weighted CF method:</w:t>
            </w:r>
          </w:p>
          <w:p w14:paraId="33382569" w14:textId="77777777" w:rsidR="00600DEE" w:rsidRPr="0045151D" w:rsidRDefault="00641FB5" w:rsidP="00D5736B">
            <w:pPr>
              <w:numPr>
                <w:ilvl w:val="0"/>
                <w:numId w:val="20"/>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Determination of Primary Conversion Factors:</w:t>
            </w:r>
          </w:p>
          <w:p w14:paraId="0C000DF5" w14:textId="77777777" w:rsidR="00600DEE" w:rsidRPr="0045151D" w:rsidRDefault="00641FB5" w:rsidP="00D5736B">
            <w:pPr>
              <w:numPr>
                <w:ilvl w:val="1"/>
                <w:numId w:val="20"/>
              </w:numPr>
              <w:pBdr>
                <w:top w:val="nil"/>
                <w:left w:val="nil"/>
                <w:bottom w:val="nil"/>
                <w:right w:val="nil"/>
                <w:between w:val="nil"/>
              </w:pBdr>
              <w:spacing w:before="120"/>
              <w:ind w:left="707" w:hanging="426"/>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Labour costs: based on the EU CBA guide Annex IV, it is estimated that the average value for Poland corresponds to 0.58</w:t>
            </w:r>
            <w:bookmarkStart w:id="130" w:name="_Ref91588878"/>
            <w:r>
              <w:rPr>
                <w:rFonts w:ascii="Calibri" w:eastAsia="Calibri" w:hAnsi="Calibri" w:cs="Calibri"/>
                <w:color w:val="000000"/>
                <w:sz w:val="20"/>
                <w:szCs w:val="20"/>
                <w:vertAlign w:val="superscript"/>
              </w:rPr>
              <w:footnoteReference w:id="26"/>
            </w:r>
            <w:bookmarkEnd w:id="130"/>
            <w:r w:rsidRPr="0045151D">
              <w:rPr>
                <w:rFonts w:ascii="Calibri" w:eastAsia="Calibri" w:hAnsi="Calibri" w:cs="Calibri"/>
                <w:color w:val="000000"/>
                <w:sz w:val="20"/>
                <w:szCs w:val="20"/>
                <w:lang w:val="en-GB"/>
              </w:rPr>
              <w:t>.</w:t>
            </w:r>
          </w:p>
          <w:p w14:paraId="79242E31" w14:textId="77777777" w:rsidR="00600DEE" w:rsidRPr="0045151D" w:rsidRDefault="00641FB5" w:rsidP="00D5736B">
            <w:pPr>
              <w:numPr>
                <w:ilvl w:val="1"/>
                <w:numId w:val="20"/>
              </w:numPr>
              <w:pBdr>
                <w:top w:val="nil"/>
                <w:left w:val="nil"/>
                <w:bottom w:val="nil"/>
                <w:right w:val="nil"/>
                <w:between w:val="nil"/>
              </w:pBdr>
              <w:spacing w:before="120"/>
              <w:ind w:left="707" w:hanging="426"/>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Fuel: based on European Commission data (Weekly Oil Bulletin, year 2019), the CF related to the fuel prices in Poland without taxes and duties (VAT being excluded from the calculation as it was already corrected in a first stage) and price at pump considered in transport construction projects has been estimated at 0.65.</w:t>
            </w:r>
          </w:p>
          <w:p w14:paraId="7C0D04DC" w14:textId="77777777" w:rsidR="00600DEE" w:rsidRPr="0045151D" w:rsidRDefault="00641FB5" w:rsidP="00D5736B">
            <w:pPr>
              <w:numPr>
                <w:ilvl w:val="0"/>
                <w:numId w:val="20"/>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Identification of weights of the primary inputs in derived items: this has been done based on the average cost composition of Polish construction, manufacturing and transport companies (data from “GUS: Costs of economic entities by type, 2019”, sectors Construction, Manufacturing and Transport, in </w:t>
            </w:r>
            <w:r w:rsidRPr="0045151D">
              <w:rPr>
                <w:rFonts w:ascii="Calibri" w:eastAsia="Calibri" w:hAnsi="Calibri" w:cs="Calibri"/>
                <w:i/>
                <w:color w:val="000000"/>
                <w:sz w:val="20"/>
                <w:szCs w:val="20"/>
                <w:lang w:val="en-GB"/>
              </w:rPr>
              <w:t>Financial Results of Economic Entities in I-IV 2019</w:t>
            </w:r>
            <w:r w:rsidRPr="0045151D">
              <w:rPr>
                <w:rFonts w:ascii="Calibri" w:eastAsia="Calibri" w:hAnsi="Calibri" w:cs="Calibri"/>
                <w:color w:val="000000"/>
                <w:sz w:val="20"/>
                <w:szCs w:val="20"/>
                <w:lang w:val="en-GB"/>
              </w:rPr>
              <w:t>, GUS, Warsaw 2020).</w:t>
            </w:r>
          </w:p>
          <w:p w14:paraId="1A805DE4" w14:textId="0388E264" w:rsidR="00600DEE" w:rsidRPr="0045151D" w:rsidRDefault="00641FB5" w:rsidP="00D5736B">
            <w:pPr>
              <w:numPr>
                <w:ilvl w:val="0"/>
                <w:numId w:val="20"/>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Computation of CF: a weighted average of primary input factor CFs, as presented in tables below:</w:t>
            </w:r>
          </w:p>
          <w:p w14:paraId="3561DA97" w14:textId="77777777" w:rsidR="00173EC8" w:rsidRPr="0045151D" w:rsidRDefault="00173EC8" w:rsidP="00173EC8">
            <w:pPr>
              <w:pBdr>
                <w:top w:val="nil"/>
                <w:left w:val="nil"/>
                <w:bottom w:val="nil"/>
                <w:right w:val="nil"/>
                <w:between w:val="nil"/>
              </w:pBdr>
              <w:spacing w:before="120"/>
              <w:ind w:left="707"/>
              <w:jc w:val="both"/>
              <w:rPr>
                <w:rFonts w:ascii="Calibri" w:eastAsia="Calibri" w:hAnsi="Calibri" w:cs="Calibri"/>
                <w:color w:val="000000"/>
                <w:sz w:val="20"/>
                <w:szCs w:val="20"/>
                <w:lang w:val="en-GB"/>
              </w:rPr>
            </w:pPr>
          </w:p>
          <w:p w14:paraId="499EB1F2"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Calculation of CF for constructions costs (CAPEX)</w:t>
            </w:r>
          </w:p>
          <w:tbl>
            <w:tblPr>
              <w:tblStyle w:val="affffffffffffff1"/>
              <w:tblW w:w="4582" w:type="dxa"/>
              <w:tblLayout w:type="fixed"/>
              <w:tblLook w:val="0000" w:firstRow="0" w:lastRow="0" w:firstColumn="0" w:lastColumn="0" w:noHBand="0" w:noVBand="0"/>
            </w:tblPr>
            <w:tblGrid>
              <w:gridCol w:w="1440"/>
              <w:gridCol w:w="1600"/>
              <w:gridCol w:w="1542"/>
            </w:tblGrid>
            <w:tr w:rsidR="00600DEE" w:rsidRPr="007463B9" w14:paraId="1E22BDC7" w14:textId="77777777" w:rsidTr="00173EC8">
              <w:trPr>
                <w:trHeight w:hRule="exact" w:val="567"/>
              </w:trPr>
              <w:tc>
                <w:tcPr>
                  <w:tcW w:w="1440" w:type="dxa"/>
                  <w:tcBorders>
                    <w:top w:val="single" w:sz="4" w:space="0" w:color="FFFFFF"/>
                    <w:left w:val="single" w:sz="4" w:space="0" w:color="FFFFFF"/>
                    <w:bottom w:val="single" w:sz="4" w:space="0" w:color="FFFFFF"/>
                  </w:tcBorders>
                  <w:shd w:val="clear" w:color="auto" w:fill="A6A6A6"/>
                  <w:vAlign w:val="center"/>
                </w:tcPr>
                <w:p w14:paraId="681D5AA4"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 xml:space="preserve">Components </w:t>
                  </w:r>
                </w:p>
              </w:tc>
              <w:tc>
                <w:tcPr>
                  <w:tcW w:w="1600" w:type="dxa"/>
                  <w:tcBorders>
                    <w:top w:val="single" w:sz="4" w:space="0" w:color="FFFFFF"/>
                    <w:left w:val="single" w:sz="4" w:space="0" w:color="FFFFFF"/>
                    <w:bottom w:val="single" w:sz="4" w:space="0" w:color="FFFFFF"/>
                  </w:tcBorders>
                  <w:shd w:val="clear" w:color="auto" w:fill="A6A6A6"/>
                  <w:vAlign w:val="center"/>
                </w:tcPr>
                <w:p w14:paraId="492B3B97"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Weight (*)</w:t>
                  </w:r>
                </w:p>
              </w:tc>
              <w:tc>
                <w:tcPr>
                  <w:tcW w:w="1542" w:type="dxa"/>
                  <w:tcBorders>
                    <w:top w:val="single" w:sz="4" w:space="0" w:color="FFFFFF"/>
                    <w:left w:val="single" w:sz="4" w:space="0" w:color="FFFFFF"/>
                    <w:bottom w:val="single" w:sz="4" w:space="0" w:color="FFFFFF"/>
                  </w:tcBorders>
                  <w:shd w:val="clear" w:color="auto" w:fill="A6A6A6"/>
                  <w:vAlign w:val="center"/>
                </w:tcPr>
                <w:p w14:paraId="1A99ECEB"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 xml:space="preserve">Conversion Factor </w:t>
                  </w:r>
                </w:p>
              </w:tc>
            </w:tr>
            <w:tr w:rsidR="00600DEE" w:rsidRPr="007463B9" w14:paraId="37A143C5"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35D73CEE" w14:textId="77777777" w:rsidR="00600DEE" w:rsidRPr="0045151D" w:rsidRDefault="00641FB5">
                  <w:pPr>
                    <w:spacing w:before="20" w:after="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Materials</w:t>
                  </w:r>
                </w:p>
              </w:tc>
              <w:tc>
                <w:tcPr>
                  <w:tcW w:w="1600" w:type="dxa"/>
                  <w:tcBorders>
                    <w:top w:val="single" w:sz="4" w:space="0" w:color="FFFFFF"/>
                    <w:left w:val="single" w:sz="4" w:space="0" w:color="FFFFFF"/>
                    <w:bottom w:val="single" w:sz="4" w:space="0" w:color="FFFFFF"/>
                  </w:tcBorders>
                  <w:shd w:val="clear" w:color="auto" w:fill="DBE5F1"/>
                  <w:vAlign w:val="center"/>
                </w:tcPr>
                <w:p w14:paraId="1D4954CC" w14:textId="77777777" w:rsidR="00600DEE" w:rsidRPr="0045151D" w:rsidRDefault="00641FB5">
                  <w:pPr>
                    <w:spacing w:before="20" w:after="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39%</w:t>
                  </w:r>
                </w:p>
              </w:tc>
              <w:tc>
                <w:tcPr>
                  <w:tcW w:w="1542" w:type="dxa"/>
                  <w:tcBorders>
                    <w:top w:val="single" w:sz="4" w:space="0" w:color="FFFFFF"/>
                    <w:left w:val="single" w:sz="4" w:space="0" w:color="FFFFFF"/>
                    <w:bottom w:val="single" w:sz="4" w:space="0" w:color="FFFFFF"/>
                  </w:tcBorders>
                  <w:shd w:val="clear" w:color="auto" w:fill="DBE5F1"/>
                  <w:vAlign w:val="center"/>
                </w:tcPr>
                <w:p w14:paraId="2146E3E3" w14:textId="77777777" w:rsidR="00600DEE" w:rsidRPr="0045151D" w:rsidRDefault="00641FB5">
                  <w:pPr>
                    <w:spacing w:before="20" w:after="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w:t>
                  </w:r>
                </w:p>
              </w:tc>
            </w:tr>
            <w:tr w:rsidR="00600DEE" w:rsidRPr="007463B9" w14:paraId="06187930"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40B1C145" w14:textId="77777777" w:rsidR="00600DEE" w:rsidRPr="0045151D" w:rsidRDefault="00641FB5">
                  <w:pPr>
                    <w:spacing w:before="20" w:after="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Labour </w:t>
                  </w:r>
                </w:p>
              </w:tc>
              <w:tc>
                <w:tcPr>
                  <w:tcW w:w="1600" w:type="dxa"/>
                  <w:tcBorders>
                    <w:top w:val="single" w:sz="4" w:space="0" w:color="FFFFFF"/>
                    <w:left w:val="single" w:sz="4" w:space="0" w:color="FFFFFF"/>
                    <w:bottom w:val="single" w:sz="4" w:space="0" w:color="FFFFFF"/>
                  </w:tcBorders>
                  <w:shd w:val="clear" w:color="auto" w:fill="DBE5F1"/>
                  <w:vAlign w:val="center"/>
                </w:tcPr>
                <w:p w14:paraId="7E5052B3" w14:textId="77777777" w:rsidR="00600DEE" w:rsidRPr="0045151D" w:rsidRDefault="00641FB5">
                  <w:pPr>
                    <w:spacing w:before="20" w:after="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25%</w:t>
                  </w:r>
                </w:p>
              </w:tc>
              <w:tc>
                <w:tcPr>
                  <w:tcW w:w="1542" w:type="dxa"/>
                  <w:tcBorders>
                    <w:top w:val="single" w:sz="4" w:space="0" w:color="FFFFFF"/>
                    <w:left w:val="single" w:sz="4" w:space="0" w:color="FFFFFF"/>
                    <w:bottom w:val="single" w:sz="4" w:space="0" w:color="FFFFFF"/>
                  </w:tcBorders>
                  <w:shd w:val="clear" w:color="auto" w:fill="DBE5F1"/>
                  <w:vAlign w:val="center"/>
                </w:tcPr>
                <w:p w14:paraId="6A8186AD" w14:textId="77777777" w:rsidR="00600DEE" w:rsidRPr="0045151D" w:rsidRDefault="00641FB5">
                  <w:pPr>
                    <w:spacing w:before="20" w:after="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0.58</w:t>
                  </w:r>
                </w:p>
              </w:tc>
            </w:tr>
            <w:tr w:rsidR="00600DEE" w:rsidRPr="007463B9" w14:paraId="6CF3BC65"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73EDCDD9" w14:textId="77777777" w:rsidR="00600DEE" w:rsidRPr="0045151D" w:rsidRDefault="00641FB5">
                  <w:pPr>
                    <w:spacing w:before="20" w:after="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Energy</w:t>
                  </w:r>
                </w:p>
              </w:tc>
              <w:tc>
                <w:tcPr>
                  <w:tcW w:w="1600" w:type="dxa"/>
                  <w:tcBorders>
                    <w:top w:val="single" w:sz="4" w:space="0" w:color="FFFFFF"/>
                    <w:left w:val="single" w:sz="4" w:space="0" w:color="FFFFFF"/>
                    <w:bottom w:val="single" w:sz="4" w:space="0" w:color="FFFFFF"/>
                  </w:tcBorders>
                  <w:shd w:val="clear" w:color="auto" w:fill="DBE5F1"/>
                  <w:vAlign w:val="center"/>
                </w:tcPr>
                <w:p w14:paraId="04FEEC81" w14:textId="77777777" w:rsidR="00600DEE" w:rsidRPr="0045151D" w:rsidRDefault="00641FB5">
                  <w:pPr>
                    <w:spacing w:before="20" w:after="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w:t>
                  </w:r>
                </w:p>
              </w:tc>
              <w:tc>
                <w:tcPr>
                  <w:tcW w:w="1542" w:type="dxa"/>
                  <w:tcBorders>
                    <w:top w:val="single" w:sz="4" w:space="0" w:color="FFFFFF"/>
                    <w:left w:val="single" w:sz="4" w:space="0" w:color="FFFFFF"/>
                    <w:bottom w:val="single" w:sz="4" w:space="0" w:color="FFFFFF"/>
                  </w:tcBorders>
                  <w:shd w:val="clear" w:color="auto" w:fill="DBE5F1"/>
                  <w:vAlign w:val="center"/>
                </w:tcPr>
                <w:p w14:paraId="42C3CF47" w14:textId="77777777" w:rsidR="00600DEE" w:rsidRPr="0045151D" w:rsidRDefault="00641FB5">
                  <w:pPr>
                    <w:spacing w:before="20" w:after="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0.656</w:t>
                  </w:r>
                </w:p>
              </w:tc>
            </w:tr>
            <w:tr w:rsidR="00600DEE" w:rsidRPr="007463B9" w14:paraId="33832FC8"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5D8F5438" w14:textId="77777777" w:rsidR="00600DEE" w:rsidRPr="0045151D" w:rsidRDefault="00641FB5">
                  <w:pPr>
                    <w:spacing w:before="20" w:after="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Others</w:t>
                  </w:r>
                </w:p>
              </w:tc>
              <w:tc>
                <w:tcPr>
                  <w:tcW w:w="1600" w:type="dxa"/>
                  <w:tcBorders>
                    <w:top w:val="single" w:sz="4" w:space="0" w:color="FFFFFF"/>
                    <w:left w:val="single" w:sz="4" w:space="0" w:color="FFFFFF"/>
                    <w:bottom w:val="single" w:sz="4" w:space="0" w:color="FFFFFF"/>
                  </w:tcBorders>
                  <w:shd w:val="clear" w:color="auto" w:fill="DBE5F1"/>
                  <w:vAlign w:val="center"/>
                </w:tcPr>
                <w:p w14:paraId="5E9EC6FA" w14:textId="77777777" w:rsidR="00600DEE" w:rsidRPr="0045151D" w:rsidRDefault="00641FB5">
                  <w:pPr>
                    <w:spacing w:before="20" w:after="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16%</w:t>
                  </w:r>
                </w:p>
              </w:tc>
              <w:tc>
                <w:tcPr>
                  <w:tcW w:w="1542" w:type="dxa"/>
                  <w:tcBorders>
                    <w:top w:val="single" w:sz="4" w:space="0" w:color="FFFFFF"/>
                    <w:left w:val="single" w:sz="4" w:space="0" w:color="FFFFFF"/>
                    <w:bottom w:val="single" w:sz="4" w:space="0" w:color="FFFFFF"/>
                  </w:tcBorders>
                  <w:shd w:val="clear" w:color="auto" w:fill="DBE5F1"/>
                  <w:vAlign w:val="center"/>
                </w:tcPr>
                <w:p w14:paraId="0C444E79" w14:textId="77777777" w:rsidR="00600DEE" w:rsidRPr="0045151D" w:rsidRDefault="00641FB5">
                  <w:pPr>
                    <w:spacing w:before="20" w:after="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w:t>
                  </w:r>
                </w:p>
              </w:tc>
            </w:tr>
            <w:tr w:rsidR="00600DEE" w:rsidRPr="007463B9" w14:paraId="02B538BA"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4ACCCB7F" w14:textId="77777777" w:rsidR="00600DEE" w:rsidRPr="0045151D" w:rsidRDefault="00641FB5">
                  <w:pPr>
                    <w:spacing w:before="20" w:after="20"/>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Final</w:t>
                  </w:r>
                </w:p>
              </w:tc>
              <w:tc>
                <w:tcPr>
                  <w:tcW w:w="1600" w:type="dxa"/>
                  <w:tcBorders>
                    <w:top w:val="single" w:sz="4" w:space="0" w:color="FFFFFF"/>
                    <w:left w:val="single" w:sz="4" w:space="0" w:color="FFFFFF"/>
                    <w:bottom w:val="single" w:sz="4" w:space="0" w:color="FFFFFF"/>
                  </w:tcBorders>
                  <w:shd w:val="clear" w:color="auto" w:fill="DBE5F1"/>
                  <w:vAlign w:val="center"/>
                </w:tcPr>
                <w:p w14:paraId="2DA797B0" w14:textId="77777777" w:rsidR="00600DEE" w:rsidRPr="0045151D" w:rsidRDefault="00641FB5">
                  <w:pPr>
                    <w:spacing w:before="20" w:after="20"/>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 </w:t>
                  </w:r>
                </w:p>
              </w:tc>
              <w:tc>
                <w:tcPr>
                  <w:tcW w:w="1542" w:type="dxa"/>
                  <w:tcBorders>
                    <w:top w:val="single" w:sz="4" w:space="0" w:color="FFFFFF"/>
                    <w:left w:val="single" w:sz="4" w:space="0" w:color="FFFFFF"/>
                    <w:bottom w:val="single" w:sz="4" w:space="0" w:color="FFFFFF"/>
                  </w:tcBorders>
                  <w:shd w:val="clear" w:color="auto" w:fill="DBE5F1"/>
                  <w:vAlign w:val="center"/>
                </w:tcPr>
                <w:p w14:paraId="1172F888" w14:textId="77777777" w:rsidR="00600DEE" w:rsidRPr="0045151D" w:rsidRDefault="00641FB5">
                  <w:pPr>
                    <w:spacing w:before="20" w:after="20"/>
                    <w:jc w:val="center"/>
                    <w:rPr>
                      <w:rFonts w:ascii="Calibri" w:eastAsia="Calibri" w:hAnsi="Calibri" w:cs="Calibri"/>
                      <w:b/>
                      <w:color w:val="4F81BD"/>
                      <w:sz w:val="18"/>
                      <w:szCs w:val="18"/>
                      <w:lang w:val="en-GB"/>
                    </w:rPr>
                  </w:pPr>
                  <w:r w:rsidRPr="0045151D">
                    <w:rPr>
                      <w:rFonts w:ascii="Calibri" w:eastAsia="Calibri" w:hAnsi="Calibri" w:cs="Calibri"/>
                      <w:b/>
                      <w:color w:val="4F81BD"/>
                      <w:sz w:val="18"/>
                      <w:szCs w:val="18"/>
                      <w:lang w:val="en-GB"/>
                    </w:rPr>
                    <w:t>0.83</w:t>
                  </w:r>
                </w:p>
              </w:tc>
            </w:tr>
          </w:tbl>
          <w:p w14:paraId="7D4DD756" w14:textId="77777777" w:rsidR="00600DEE" w:rsidRPr="0045151D" w:rsidRDefault="00641FB5">
            <w:pPr>
              <w:spacing w:before="120"/>
              <w:ind w:right="170"/>
              <w:jc w:val="both"/>
              <w:rPr>
                <w:rFonts w:ascii="Calibri" w:eastAsia="Calibri" w:hAnsi="Calibri" w:cs="Calibri"/>
                <w:sz w:val="16"/>
                <w:szCs w:val="16"/>
                <w:lang w:val="en-GB"/>
              </w:rPr>
            </w:pPr>
            <w:r w:rsidRPr="0045151D">
              <w:rPr>
                <w:rFonts w:ascii="Calibri" w:eastAsia="Calibri" w:hAnsi="Calibri" w:cs="Calibri"/>
                <w:sz w:val="16"/>
                <w:szCs w:val="16"/>
                <w:lang w:val="en-GB"/>
              </w:rPr>
              <w:t>(*)Financial Results of Economic Entities in I-IV 2019 (Manufacturing and Transport), GUS, Warsaw 2020.</w:t>
            </w:r>
          </w:p>
          <w:p w14:paraId="2E4AFF0C" w14:textId="77777777" w:rsidR="00600DEE" w:rsidRPr="0045151D" w:rsidRDefault="00641FB5">
            <w:pPr>
              <w:ind w:right="170"/>
              <w:jc w:val="both"/>
              <w:rPr>
                <w:rFonts w:ascii="Calibri" w:eastAsia="Calibri" w:hAnsi="Calibri" w:cs="Calibri"/>
                <w:color w:val="000000"/>
                <w:sz w:val="16"/>
                <w:szCs w:val="16"/>
                <w:lang w:val="fr-BE"/>
              </w:rPr>
            </w:pPr>
            <w:r w:rsidRPr="0045151D">
              <w:rPr>
                <w:rFonts w:ascii="Calibri" w:eastAsia="Calibri" w:hAnsi="Calibri" w:cs="Calibri"/>
                <w:color w:val="000000"/>
                <w:sz w:val="16"/>
                <w:szCs w:val="16"/>
                <w:lang w:val="fr-BE"/>
              </w:rPr>
              <w:t>(**) EU CBA guide 2014, Annex IV.</w:t>
            </w:r>
          </w:p>
          <w:p w14:paraId="0E27430F" w14:textId="77777777" w:rsidR="00600DEE" w:rsidRPr="0045151D" w:rsidRDefault="00641FB5">
            <w:pPr>
              <w:ind w:right="170"/>
              <w:jc w:val="both"/>
              <w:rPr>
                <w:rFonts w:ascii="Calibri" w:eastAsia="Calibri" w:hAnsi="Calibri" w:cs="Calibri"/>
                <w:color w:val="000000"/>
                <w:sz w:val="16"/>
                <w:szCs w:val="16"/>
                <w:lang w:val="en-GB"/>
              </w:rPr>
            </w:pPr>
            <w:r w:rsidRPr="0045151D">
              <w:rPr>
                <w:rFonts w:ascii="Calibri" w:eastAsia="Calibri" w:hAnsi="Calibri" w:cs="Calibri"/>
                <w:color w:val="000000"/>
                <w:sz w:val="16"/>
                <w:szCs w:val="16"/>
                <w:lang w:val="en-GB"/>
              </w:rPr>
              <w:t>(***)</w:t>
            </w:r>
            <w:r w:rsidRPr="0045151D">
              <w:rPr>
                <w:rFonts w:ascii="Calibri" w:eastAsia="Calibri" w:hAnsi="Calibri" w:cs="Calibri"/>
                <w:sz w:val="16"/>
                <w:szCs w:val="16"/>
                <w:lang w:val="en-GB"/>
              </w:rPr>
              <w:t>“Weekly Oil Bulletin, year 2019”, European Commission</w:t>
            </w:r>
          </w:p>
          <w:p w14:paraId="134445CF"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Calculation of CF for operating costs (OPEX)</w:t>
            </w:r>
          </w:p>
          <w:p w14:paraId="3D36C1E2" w14:textId="77777777" w:rsidR="00600DEE" w:rsidRPr="0045151D" w:rsidRDefault="00641FB5">
            <w:pPr>
              <w:pBdr>
                <w:top w:val="nil"/>
                <w:left w:val="nil"/>
                <w:bottom w:val="nil"/>
                <w:right w:val="nil"/>
                <w:between w:val="nil"/>
              </w:pBdr>
              <w:spacing w:before="120" w:after="120"/>
              <w:jc w:val="both"/>
              <w:rPr>
                <w:rFonts w:ascii="Calibri" w:eastAsia="Calibri" w:hAnsi="Calibri" w:cs="Calibri"/>
                <w:sz w:val="18"/>
                <w:szCs w:val="18"/>
                <w:lang w:val="en-GB"/>
              </w:rPr>
            </w:pPr>
            <w:r w:rsidRPr="0045151D">
              <w:rPr>
                <w:rFonts w:ascii="Calibri" w:eastAsia="Calibri" w:hAnsi="Calibri" w:cs="Calibri"/>
                <w:sz w:val="18"/>
                <w:szCs w:val="18"/>
                <w:lang w:val="en-GB"/>
              </w:rPr>
              <w:t>(Values from previous Blue Book edition 2015 are considered applicable)</w:t>
            </w:r>
          </w:p>
          <w:tbl>
            <w:tblPr>
              <w:tblStyle w:val="affffffffffffff2"/>
              <w:tblW w:w="4582" w:type="dxa"/>
              <w:tblLayout w:type="fixed"/>
              <w:tblLook w:val="0000" w:firstRow="0" w:lastRow="0" w:firstColumn="0" w:lastColumn="0" w:noHBand="0" w:noVBand="0"/>
            </w:tblPr>
            <w:tblGrid>
              <w:gridCol w:w="1440"/>
              <w:gridCol w:w="1600"/>
              <w:gridCol w:w="1542"/>
            </w:tblGrid>
            <w:tr w:rsidR="00600DEE" w14:paraId="37FEF16F" w14:textId="77777777">
              <w:trPr>
                <w:trHeight w:val="574"/>
              </w:trPr>
              <w:tc>
                <w:tcPr>
                  <w:tcW w:w="1440" w:type="dxa"/>
                  <w:tcBorders>
                    <w:top w:val="single" w:sz="4" w:space="0" w:color="FFFFFF"/>
                    <w:left w:val="single" w:sz="4" w:space="0" w:color="FFFFFF"/>
                    <w:bottom w:val="single" w:sz="4" w:space="0" w:color="FFFFFF"/>
                  </w:tcBorders>
                  <w:shd w:val="clear" w:color="auto" w:fill="A6A6A6"/>
                  <w:vAlign w:val="center"/>
                </w:tcPr>
                <w:p w14:paraId="78B8D0F7"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Components </w:t>
                  </w:r>
                </w:p>
              </w:tc>
              <w:tc>
                <w:tcPr>
                  <w:tcW w:w="1600" w:type="dxa"/>
                  <w:tcBorders>
                    <w:top w:val="single" w:sz="4" w:space="0" w:color="FFFFFF"/>
                    <w:left w:val="single" w:sz="4" w:space="0" w:color="FFFFFF"/>
                    <w:bottom w:val="single" w:sz="4" w:space="0" w:color="FFFFFF"/>
                  </w:tcBorders>
                  <w:shd w:val="clear" w:color="auto" w:fill="A6A6A6"/>
                  <w:vAlign w:val="center"/>
                </w:tcPr>
                <w:p w14:paraId="65359A13"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 xml:space="preserve">Weight </w:t>
                  </w:r>
                </w:p>
              </w:tc>
              <w:tc>
                <w:tcPr>
                  <w:tcW w:w="1542" w:type="dxa"/>
                  <w:tcBorders>
                    <w:top w:val="single" w:sz="4" w:space="0" w:color="FFFFFF"/>
                    <w:left w:val="single" w:sz="4" w:space="0" w:color="FFFFFF"/>
                    <w:bottom w:val="single" w:sz="4" w:space="0" w:color="FFFFFF"/>
                  </w:tcBorders>
                  <w:shd w:val="clear" w:color="auto" w:fill="A6A6A6"/>
                  <w:vAlign w:val="center"/>
                </w:tcPr>
                <w:p w14:paraId="5464BEF7"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Conversion Factor</w:t>
                  </w:r>
                </w:p>
              </w:tc>
            </w:tr>
            <w:tr w:rsidR="00600DEE" w14:paraId="1A777A29"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4A80F1C9"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Materials</w:t>
                  </w:r>
                </w:p>
              </w:tc>
              <w:tc>
                <w:tcPr>
                  <w:tcW w:w="1600" w:type="dxa"/>
                  <w:tcBorders>
                    <w:top w:val="single" w:sz="4" w:space="0" w:color="FFFFFF"/>
                    <w:left w:val="single" w:sz="4" w:space="0" w:color="FFFFFF"/>
                    <w:bottom w:val="single" w:sz="4" w:space="0" w:color="FFFFFF"/>
                  </w:tcBorders>
                  <w:shd w:val="clear" w:color="auto" w:fill="DBE5F1"/>
                  <w:vAlign w:val="center"/>
                </w:tcPr>
                <w:p w14:paraId="4FC88A47"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31%</w:t>
                  </w:r>
                </w:p>
              </w:tc>
              <w:tc>
                <w:tcPr>
                  <w:tcW w:w="1542" w:type="dxa"/>
                  <w:tcBorders>
                    <w:top w:val="single" w:sz="4" w:space="0" w:color="FFFFFF"/>
                    <w:left w:val="single" w:sz="4" w:space="0" w:color="FFFFFF"/>
                    <w:bottom w:val="single" w:sz="4" w:space="0" w:color="FFFFFF"/>
                  </w:tcBorders>
                  <w:shd w:val="clear" w:color="auto" w:fill="DBE5F1"/>
                  <w:vAlign w:val="center"/>
                </w:tcPr>
                <w:p w14:paraId="5B6DB2F6"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1</w:t>
                  </w:r>
                </w:p>
              </w:tc>
            </w:tr>
            <w:tr w:rsidR="00600DEE" w14:paraId="1C44E396"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749634DB"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 xml:space="preserve">Labour </w:t>
                  </w:r>
                </w:p>
              </w:tc>
              <w:tc>
                <w:tcPr>
                  <w:tcW w:w="1600" w:type="dxa"/>
                  <w:tcBorders>
                    <w:top w:val="single" w:sz="4" w:space="0" w:color="FFFFFF"/>
                    <w:left w:val="single" w:sz="4" w:space="0" w:color="FFFFFF"/>
                    <w:bottom w:val="single" w:sz="4" w:space="0" w:color="FFFFFF"/>
                  </w:tcBorders>
                  <w:shd w:val="clear" w:color="auto" w:fill="DBE5F1"/>
                  <w:vAlign w:val="center"/>
                </w:tcPr>
                <w:p w14:paraId="4176BE14"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35%</w:t>
                  </w:r>
                </w:p>
              </w:tc>
              <w:tc>
                <w:tcPr>
                  <w:tcW w:w="1542" w:type="dxa"/>
                  <w:tcBorders>
                    <w:top w:val="single" w:sz="4" w:space="0" w:color="FFFFFF"/>
                    <w:left w:val="single" w:sz="4" w:space="0" w:color="FFFFFF"/>
                    <w:bottom w:val="single" w:sz="4" w:space="0" w:color="FFFFFF"/>
                  </w:tcBorders>
                  <w:shd w:val="clear" w:color="auto" w:fill="DBE5F1"/>
                  <w:vAlign w:val="center"/>
                </w:tcPr>
                <w:p w14:paraId="0366DD4F"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0.58</w:t>
                  </w:r>
                </w:p>
              </w:tc>
            </w:tr>
            <w:tr w:rsidR="00600DEE" w14:paraId="45340F3F"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19DBBAB3"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Energy</w:t>
                  </w:r>
                </w:p>
              </w:tc>
              <w:tc>
                <w:tcPr>
                  <w:tcW w:w="1600" w:type="dxa"/>
                  <w:tcBorders>
                    <w:top w:val="single" w:sz="4" w:space="0" w:color="FFFFFF"/>
                    <w:left w:val="single" w:sz="4" w:space="0" w:color="FFFFFF"/>
                    <w:bottom w:val="single" w:sz="4" w:space="0" w:color="FFFFFF"/>
                  </w:tcBorders>
                  <w:shd w:val="clear" w:color="auto" w:fill="DBE5F1"/>
                  <w:vAlign w:val="center"/>
                </w:tcPr>
                <w:p w14:paraId="1D962A43"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20%</w:t>
                  </w:r>
                </w:p>
              </w:tc>
              <w:tc>
                <w:tcPr>
                  <w:tcW w:w="1542" w:type="dxa"/>
                  <w:tcBorders>
                    <w:top w:val="single" w:sz="4" w:space="0" w:color="FFFFFF"/>
                    <w:left w:val="single" w:sz="4" w:space="0" w:color="FFFFFF"/>
                    <w:bottom w:val="single" w:sz="4" w:space="0" w:color="FFFFFF"/>
                  </w:tcBorders>
                  <w:shd w:val="clear" w:color="auto" w:fill="DBE5F1"/>
                  <w:vAlign w:val="center"/>
                </w:tcPr>
                <w:p w14:paraId="24E01FE3"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0.65</w:t>
                  </w:r>
                </w:p>
              </w:tc>
            </w:tr>
            <w:tr w:rsidR="00600DEE" w14:paraId="7C9F2172"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7939BE2C" w14:textId="77777777" w:rsidR="00600DEE" w:rsidRDefault="00641FB5">
                  <w:pPr>
                    <w:spacing w:before="20" w:after="20"/>
                    <w:rPr>
                      <w:rFonts w:ascii="Calibri" w:eastAsia="Calibri" w:hAnsi="Calibri" w:cs="Calibri"/>
                      <w:color w:val="4F81BD"/>
                      <w:sz w:val="18"/>
                      <w:szCs w:val="18"/>
                    </w:rPr>
                  </w:pPr>
                  <w:r>
                    <w:rPr>
                      <w:rFonts w:ascii="Calibri" w:eastAsia="Calibri" w:hAnsi="Calibri" w:cs="Calibri"/>
                      <w:color w:val="4F81BD"/>
                      <w:sz w:val="18"/>
                      <w:szCs w:val="18"/>
                    </w:rPr>
                    <w:t>Others</w:t>
                  </w:r>
                </w:p>
              </w:tc>
              <w:tc>
                <w:tcPr>
                  <w:tcW w:w="1600" w:type="dxa"/>
                  <w:tcBorders>
                    <w:top w:val="single" w:sz="4" w:space="0" w:color="FFFFFF"/>
                    <w:left w:val="single" w:sz="4" w:space="0" w:color="FFFFFF"/>
                    <w:bottom w:val="single" w:sz="4" w:space="0" w:color="FFFFFF"/>
                  </w:tcBorders>
                  <w:shd w:val="clear" w:color="auto" w:fill="DBE5F1"/>
                  <w:vAlign w:val="center"/>
                </w:tcPr>
                <w:p w14:paraId="37419978"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14%</w:t>
                  </w:r>
                </w:p>
              </w:tc>
              <w:tc>
                <w:tcPr>
                  <w:tcW w:w="1542" w:type="dxa"/>
                  <w:tcBorders>
                    <w:top w:val="single" w:sz="4" w:space="0" w:color="FFFFFF"/>
                    <w:left w:val="single" w:sz="4" w:space="0" w:color="FFFFFF"/>
                    <w:bottom w:val="single" w:sz="4" w:space="0" w:color="FFFFFF"/>
                  </w:tcBorders>
                  <w:shd w:val="clear" w:color="auto" w:fill="DBE5F1"/>
                  <w:vAlign w:val="center"/>
                </w:tcPr>
                <w:p w14:paraId="6AA95141" w14:textId="77777777" w:rsidR="00600DEE" w:rsidRDefault="00641FB5">
                  <w:pPr>
                    <w:spacing w:before="20" w:after="20"/>
                    <w:jc w:val="center"/>
                    <w:rPr>
                      <w:rFonts w:ascii="Calibri" w:eastAsia="Calibri" w:hAnsi="Calibri" w:cs="Calibri"/>
                      <w:color w:val="4F81BD"/>
                      <w:sz w:val="18"/>
                      <w:szCs w:val="18"/>
                    </w:rPr>
                  </w:pPr>
                  <w:r>
                    <w:rPr>
                      <w:rFonts w:ascii="Calibri" w:eastAsia="Calibri" w:hAnsi="Calibri" w:cs="Calibri"/>
                      <w:color w:val="4F81BD"/>
                      <w:sz w:val="18"/>
                      <w:szCs w:val="18"/>
                    </w:rPr>
                    <w:t>1</w:t>
                  </w:r>
                </w:p>
              </w:tc>
            </w:tr>
            <w:tr w:rsidR="00600DEE" w14:paraId="74E07AF6" w14:textId="77777777">
              <w:trPr>
                <w:trHeight w:val="246"/>
              </w:trPr>
              <w:tc>
                <w:tcPr>
                  <w:tcW w:w="1440" w:type="dxa"/>
                  <w:tcBorders>
                    <w:top w:val="single" w:sz="4" w:space="0" w:color="FFFFFF"/>
                    <w:left w:val="single" w:sz="4" w:space="0" w:color="FFFFFF"/>
                    <w:bottom w:val="single" w:sz="4" w:space="0" w:color="FFFFFF"/>
                  </w:tcBorders>
                  <w:shd w:val="clear" w:color="auto" w:fill="DBE5F1"/>
                  <w:vAlign w:val="center"/>
                </w:tcPr>
                <w:p w14:paraId="7FD315C3" w14:textId="77777777" w:rsidR="00600DEE" w:rsidRDefault="00641FB5">
                  <w:pPr>
                    <w:spacing w:before="20" w:after="20"/>
                    <w:rPr>
                      <w:rFonts w:ascii="Calibri" w:eastAsia="Calibri" w:hAnsi="Calibri" w:cs="Calibri"/>
                      <w:b/>
                      <w:color w:val="4F81BD"/>
                      <w:sz w:val="18"/>
                      <w:szCs w:val="18"/>
                    </w:rPr>
                  </w:pPr>
                  <w:r>
                    <w:rPr>
                      <w:rFonts w:ascii="Calibri" w:eastAsia="Calibri" w:hAnsi="Calibri" w:cs="Calibri"/>
                      <w:b/>
                      <w:color w:val="4F81BD"/>
                      <w:sz w:val="18"/>
                      <w:szCs w:val="18"/>
                    </w:rPr>
                    <w:t>Final</w:t>
                  </w:r>
                </w:p>
              </w:tc>
              <w:tc>
                <w:tcPr>
                  <w:tcW w:w="1600" w:type="dxa"/>
                  <w:tcBorders>
                    <w:top w:val="single" w:sz="4" w:space="0" w:color="FFFFFF"/>
                    <w:left w:val="single" w:sz="4" w:space="0" w:color="FFFFFF"/>
                    <w:bottom w:val="single" w:sz="4" w:space="0" w:color="FFFFFF"/>
                  </w:tcBorders>
                  <w:shd w:val="clear" w:color="auto" w:fill="DBE5F1"/>
                  <w:vAlign w:val="center"/>
                </w:tcPr>
                <w:p w14:paraId="5FF6C3B6"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 </w:t>
                  </w:r>
                </w:p>
              </w:tc>
              <w:tc>
                <w:tcPr>
                  <w:tcW w:w="1542" w:type="dxa"/>
                  <w:tcBorders>
                    <w:top w:val="single" w:sz="4" w:space="0" w:color="FFFFFF"/>
                    <w:left w:val="single" w:sz="4" w:space="0" w:color="FFFFFF"/>
                    <w:bottom w:val="single" w:sz="4" w:space="0" w:color="FFFFFF"/>
                  </w:tcBorders>
                  <w:shd w:val="clear" w:color="auto" w:fill="DBE5F1"/>
                  <w:vAlign w:val="center"/>
                </w:tcPr>
                <w:p w14:paraId="18BF1049" w14:textId="77777777" w:rsidR="00600DEE" w:rsidRDefault="00641FB5">
                  <w:pPr>
                    <w:spacing w:before="20" w:after="20"/>
                    <w:jc w:val="center"/>
                    <w:rPr>
                      <w:rFonts w:ascii="Calibri" w:eastAsia="Calibri" w:hAnsi="Calibri" w:cs="Calibri"/>
                      <w:b/>
                      <w:color w:val="4F81BD"/>
                      <w:sz w:val="18"/>
                      <w:szCs w:val="18"/>
                    </w:rPr>
                  </w:pPr>
                  <w:r>
                    <w:rPr>
                      <w:rFonts w:ascii="Calibri" w:eastAsia="Calibri" w:hAnsi="Calibri" w:cs="Calibri"/>
                      <w:b/>
                      <w:color w:val="4F81BD"/>
                      <w:sz w:val="18"/>
                      <w:szCs w:val="18"/>
                    </w:rPr>
                    <w:t>0.78</w:t>
                  </w:r>
                </w:p>
              </w:tc>
            </w:tr>
          </w:tbl>
          <w:p w14:paraId="62DA2348"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tc>
      </w:tr>
    </w:tbl>
    <w:p w14:paraId="18534217" w14:textId="39566810" w:rsidR="00600DEE" w:rsidRDefault="00641FB5">
      <w:pPr>
        <w:rPr>
          <w:rFonts w:ascii="Calibri" w:eastAsia="Calibri" w:hAnsi="Calibri" w:cs="Calibri"/>
          <w:sz w:val="20"/>
          <w:szCs w:val="20"/>
        </w:rPr>
      </w:pPr>
      <w:r>
        <w:br w:type="page"/>
      </w:r>
    </w:p>
    <w:p w14:paraId="4D1B3A95" w14:textId="65D265AC" w:rsidR="00600DEE" w:rsidRPr="0045151D" w:rsidRDefault="00641FB5">
      <w:pPr>
        <w:pStyle w:val="Nagwek1"/>
        <w:rPr>
          <w:rFonts w:ascii="Calibri" w:eastAsia="Calibri" w:hAnsi="Calibri" w:cs="Calibri"/>
          <w:i/>
          <w:color w:val="0070C0"/>
          <w:lang w:val="pl-PL"/>
        </w:rPr>
      </w:pPr>
      <w:bookmarkStart w:id="131" w:name="_Toc95378019"/>
      <w:r w:rsidRPr="0045151D">
        <w:rPr>
          <w:rFonts w:ascii="Calibri" w:eastAsia="Calibri" w:hAnsi="Calibri" w:cs="Calibri"/>
          <w:color w:val="0070C0"/>
          <w:lang w:val="pl-PL"/>
        </w:rPr>
        <w:t>Załącznik D: Podstawy metodologiczne obliczania jednostkowych</w:t>
      </w:r>
      <w:r w:rsidRPr="0045151D">
        <w:rPr>
          <w:rFonts w:ascii="Calibri" w:eastAsia="Calibri" w:hAnsi="Calibri" w:cs="Calibri"/>
          <w:color w:val="0070C0"/>
          <w:lang w:val="pl-PL"/>
        </w:rPr>
        <w:br/>
        <w:t xml:space="preserve">                      </w:t>
      </w:r>
      <w:r w:rsidRPr="0045151D">
        <w:rPr>
          <w:rFonts w:ascii="Calibri" w:eastAsia="Calibri" w:hAnsi="Calibri" w:cs="Calibri"/>
          <w:color w:val="0070C0"/>
          <w:vertAlign w:val="superscript"/>
          <w:lang w:val="pl-PL"/>
        </w:rPr>
        <w:t xml:space="preserve"> </w:t>
      </w:r>
      <w:r w:rsidRPr="0045151D">
        <w:rPr>
          <w:rFonts w:ascii="Calibri" w:eastAsia="Calibri" w:hAnsi="Calibri" w:cs="Calibri"/>
          <w:color w:val="0070C0"/>
          <w:lang w:val="pl-PL"/>
        </w:rPr>
        <w:t>kosztów eksploatacji pojazdów (VOC)</w:t>
      </w:r>
      <w:r w:rsidRPr="0045151D">
        <w:rPr>
          <w:rFonts w:ascii="Calibri" w:eastAsia="Calibri" w:hAnsi="Calibri" w:cs="Calibri"/>
          <w:color w:val="0070C0"/>
          <w:lang w:val="pl-PL"/>
        </w:rPr>
        <w:br/>
      </w:r>
      <w:r w:rsidRPr="0045151D">
        <w:rPr>
          <w:rFonts w:ascii="Calibri" w:eastAsia="Calibri" w:hAnsi="Calibri" w:cs="Calibri"/>
          <w:i/>
          <w:color w:val="0070C0"/>
          <w:lang w:val="pl-PL"/>
        </w:rPr>
        <w:t>Appendix D: Methodological background to calculate unit Vehicle</w:t>
      </w:r>
      <w:r w:rsidRPr="0045151D">
        <w:rPr>
          <w:rFonts w:ascii="Calibri" w:eastAsia="Calibri" w:hAnsi="Calibri" w:cs="Calibri"/>
          <w:i/>
          <w:color w:val="0070C0"/>
          <w:lang w:val="pl-PL"/>
        </w:rPr>
        <w:br/>
        <w:t xml:space="preserve">                       Operating Costs (VOC)</w:t>
      </w:r>
      <w:bookmarkEnd w:id="131"/>
      <w:r w:rsidRPr="0045151D">
        <w:rPr>
          <w:rFonts w:ascii="Calibri" w:eastAsia="Calibri" w:hAnsi="Calibri" w:cs="Calibri"/>
          <w:i/>
          <w:color w:val="0070C0"/>
          <w:lang w:val="pl-PL"/>
        </w:rPr>
        <w:t xml:space="preserve"> </w:t>
      </w:r>
    </w:p>
    <w:tbl>
      <w:tblPr>
        <w:tblStyle w:val="affffffffffffff3"/>
        <w:tblW w:w="14571" w:type="dxa"/>
        <w:tblLayout w:type="fixed"/>
        <w:tblLook w:val="0400" w:firstRow="0" w:lastRow="0" w:firstColumn="0" w:lastColumn="0" w:noHBand="0" w:noVBand="1"/>
      </w:tblPr>
      <w:tblGrid>
        <w:gridCol w:w="7031"/>
        <w:gridCol w:w="7540"/>
      </w:tblGrid>
      <w:tr w:rsidR="00600DEE" w14:paraId="40087DE5" w14:textId="77777777">
        <w:tc>
          <w:tcPr>
            <w:tcW w:w="7031" w:type="dxa"/>
            <w:tcBorders>
              <w:right w:val="single" w:sz="4" w:space="0" w:color="000000"/>
            </w:tcBorders>
            <w:tcMar>
              <w:left w:w="284" w:type="dxa"/>
              <w:right w:w="284" w:type="dxa"/>
            </w:tcMar>
          </w:tcPr>
          <w:p w14:paraId="28A331E2"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Niniejszy załącznik przedstawia podstawowe zasady i podsumowanie obliczeń służących określeniu jednostkowych kosztów eksploatacji pojazdów (VOC) przedstawionych w załączniku A. Zawiera on również odniesienie do odpowiednich materiałów źródłowych wykorzystanych do tych obliczeń.</w:t>
            </w:r>
          </w:p>
          <w:p w14:paraId="17BD771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VOC są zdefiniowane, jako koszty ponoszone przez właścicieli pojazdów samochodowych niezbędne do ich wykorzystywania i obsługi, w tym zużycia paliwa, smarów, opon, koszty napraw i konserwacji, ubezpieczenia, koszty ogólne, administracji, itp. Wysokość VOC jest skorelowana z typem pojazdu i średnią prędkością jazdy, ale również jest zróżnicowana w zależności od elementów charakterystyki dróg takich jak ich parametry i stan nawierzchni.</w:t>
            </w:r>
          </w:p>
          <w:p w14:paraId="5A8E1B26"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 celu oszacowania VOC dla polskiej floty pojazdów, wyróżniono następujące grupy kosztów:</w:t>
            </w:r>
          </w:p>
          <w:p w14:paraId="18B45554" w14:textId="77777777" w:rsidR="00600DEE" w:rsidRDefault="00641FB5" w:rsidP="00D5736B">
            <w:pPr>
              <w:numPr>
                <w:ilvl w:val="0"/>
                <w:numId w:val="2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Koszty zużycia paliwa: będące funkcją przebiegu drogi i warunków ruchu.</w:t>
            </w:r>
          </w:p>
          <w:p w14:paraId="593A26CB" w14:textId="77777777" w:rsidR="00600DEE" w:rsidRDefault="00641FB5" w:rsidP="00D5736B">
            <w:pPr>
              <w:numPr>
                <w:ilvl w:val="0"/>
                <w:numId w:val="24"/>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Inne koszty: związane, z jakością drogi, która wpływa na zużycie pojazdów, w tym koszty oleju, opon, konserwacji pojazdu, jak również jego amortyzacji.</w:t>
            </w:r>
          </w:p>
          <w:p w14:paraId="26EF2B3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bookmarkStart w:id="132" w:name="_heading=h.36ei31r" w:colFirst="0" w:colLast="0"/>
            <w:bookmarkEnd w:id="132"/>
            <w:r>
              <w:rPr>
                <w:rFonts w:ascii="Calibri" w:eastAsia="Calibri" w:hAnsi="Calibri" w:cs="Calibri"/>
                <w:color w:val="000000"/>
                <w:sz w:val="20"/>
                <w:szCs w:val="20"/>
              </w:rPr>
              <w:t>Powyższe koszty opracowano na podstawie najnowszych dostępnych badań oraz odpowiednich materiałów źródłowych. Poniżej przedstawiono szczegółowe informacje dotyczące tych obliczeń.</w:t>
            </w:r>
          </w:p>
          <w:p w14:paraId="4058AA6D"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u w:val="single"/>
              </w:rPr>
            </w:pPr>
            <w:r>
              <w:rPr>
                <w:rFonts w:ascii="Calibri" w:eastAsia="Calibri" w:hAnsi="Calibri" w:cs="Calibri"/>
                <w:color w:val="000000"/>
                <w:sz w:val="20"/>
                <w:szCs w:val="20"/>
                <w:u w:val="single"/>
              </w:rPr>
              <w:t>Koszty zużycia paliwa:</w:t>
            </w:r>
          </w:p>
          <w:p w14:paraId="248EF735"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Koszty zużycia paliwa określa się generalnie jako funkcję typu pojazdu i warunków ruchowych (w szczególności, jako funkcję prędkości).</w:t>
            </w:r>
          </w:p>
          <w:p w14:paraId="1BAE7D67" w14:textId="77777777" w:rsidR="00600DEE" w:rsidRDefault="00600DEE">
            <w:pPr>
              <w:jc w:val="both"/>
              <w:rPr>
                <w:rFonts w:ascii="Calibri" w:eastAsia="Calibri" w:hAnsi="Calibri" w:cs="Calibri"/>
                <w:sz w:val="20"/>
                <w:szCs w:val="20"/>
              </w:rPr>
            </w:pPr>
          </w:p>
          <w:p w14:paraId="100DA765" w14:textId="77777777" w:rsidR="00600DEE" w:rsidRDefault="00641FB5">
            <w:pPr>
              <w:jc w:val="both"/>
              <w:rPr>
                <w:rFonts w:ascii="Calibri" w:eastAsia="Calibri" w:hAnsi="Calibri" w:cs="Calibri"/>
                <w:b/>
                <w:sz w:val="20"/>
                <w:szCs w:val="20"/>
              </w:rPr>
            </w:pPr>
            <w:r>
              <w:rPr>
                <w:rFonts w:ascii="Calibri" w:eastAsia="Calibri" w:hAnsi="Calibri" w:cs="Calibri"/>
                <w:b/>
                <w:sz w:val="20"/>
                <w:szCs w:val="20"/>
              </w:rPr>
              <w:t>Pojazdy lekkie spalinowe (LV)</w:t>
            </w:r>
          </w:p>
          <w:p w14:paraId="76DB9266" w14:textId="77777777" w:rsidR="00600DEE" w:rsidRDefault="00600DEE">
            <w:pPr>
              <w:jc w:val="both"/>
              <w:rPr>
                <w:rFonts w:ascii="Calibri" w:eastAsia="Calibri" w:hAnsi="Calibri" w:cs="Calibri"/>
                <w:b/>
                <w:sz w:val="20"/>
                <w:szCs w:val="20"/>
                <w:u w:val="single"/>
              </w:rPr>
            </w:pPr>
          </w:p>
          <w:p w14:paraId="608C428C"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Koszty te są oparte na wzorze zawartym w opracowaniu p.t. „Parameterisation of fuel consumption and CO2 emissions of passenger cars and light commercial vehicles for modelling purposes", JRC 2011:</w:t>
            </w:r>
          </w:p>
          <w:p w14:paraId="7FE1D97C" w14:textId="77777777" w:rsidR="00600DEE" w:rsidRDefault="00600DEE">
            <w:pPr>
              <w:jc w:val="both"/>
              <w:rPr>
                <w:rFonts w:ascii="Calibri" w:eastAsia="Calibri" w:hAnsi="Calibri" w:cs="Calibri"/>
                <w:sz w:val="20"/>
                <w:szCs w:val="20"/>
              </w:rPr>
            </w:pPr>
          </w:p>
          <w:p w14:paraId="16616814" w14:textId="77777777" w:rsidR="00600DEE" w:rsidRDefault="00641FB5">
            <w:pPr>
              <w:jc w:val="both"/>
              <w:rPr>
                <w:rFonts w:ascii="Calibri" w:eastAsia="Calibri" w:hAnsi="Calibri" w:cs="Calibri"/>
                <w:sz w:val="20"/>
                <w:szCs w:val="20"/>
              </w:rPr>
            </w:pPr>
            <w:r>
              <w:rPr>
                <w:noProof/>
                <w:lang w:eastAsia="pl-PL"/>
              </w:rPr>
              <w:drawing>
                <wp:inline distT="0" distB="0" distL="0" distR="0" wp14:anchorId="6345CB69" wp14:editId="78D2CC66">
                  <wp:extent cx="4215130" cy="1284288"/>
                  <wp:effectExtent l="0" t="0" r="0" b="0"/>
                  <wp:docPr id="533"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150"/>
                          <a:srcRect l="10904" t="31458" r="41698" b="47539"/>
                          <a:stretch>
                            <a:fillRect/>
                          </a:stretch>
                        </pic:blipFill>
                        <pic:spPr>
                          <a:xfrm>
                            <a:off x="0" y="0"/>
                            <a:ext cx="4226794" cy="1287842"/>
                          </a:xfrm>
                          <a:prstGeom prst="rect">
                            <a:avLst/>
                          </a:prstGeom>
                          <a:ln/>
                        </pic:spPr>
                      </pic:pic>
                    </a:graphicData>
                  </a:graphic>
                </wp:inline>
              </w:drawing>
            </w:r>
          </w:p>
          <w:p w14:paraId="31E28ED3" w14:textId="77777777" w:rsidR="00600DEE" w:rsidRDefault="00600DEE">
            <w:pPr>
              <w:jc w:val="both"/>
              <w:rPr>
                <w:rFonts w:ascii="Calibri" w:eastAsia="Calibri" w:hAnsi="Calibri" w:cs="Calibri"/>
                <w:sz w:val="20"/>
                <w:szCs w:val="20"/>
              </w:rPr>
            </w:pPr>
          </w:p>
          <w:p w14:paraId="5B8DFA09" w14:textId="77777777" w:rsidR="00600DEE" w:rsidRDefault="00641FB5" w:rsidP="00173EC8">
            <w:pPr>
              <w:pBdr>
                <w:top w:val="nil"/>
                <w:left w:val="nil"/>
                <w:bottom w:val="nil"/>
                <w:right w:val="nil"/>
                <w:between w:val="nil"/>
              </w:pBdr>
              <w:spacing w:before="120" w:after="240"/>
              <w:jc w:val="both"/>
              <w:rPr>
                <w:rFonts w:ascii="Calibri" w:eastAsia="Calibri" w:hAnsi="Calibri" w:cs="Calibri"/>
                <w:color w:val="000000"/>
                <w:sz w:val="20"/>
                <w:szCs w:val="20"/>
              </w:rPr>
            </w:pPr>
            <w:r>
              <w:rPr>
                <w:rFonts w:ascii="Calibri" w:eastAsia="Calibri" w:hAnsi="Calibri" w:cs="Calibri"/>
                <w:color w:val="000000"/>
                <w:sz w:val="20"/>
                <w:szCs w:val="20"/>
              </w:rPr>
              <w:t>gdzie:</w:t>
            </w:r>
          </w:p>
          <w:p w14:paraId="70BE0CC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Arial" w:eastAsia="Arial" w:hAnsi="Arial" w:cs="Arial"/>
                <w:noProof/>
                <w:color w:val="000000"/>
                <w:sz w:val="20"/>
                <w:szCs w:val="20"/>
                <w:lang w:eastAsia="pl-PL"/>
              </w:rPr>
              <w:drawing>
                <wp:inline distT="0" distB="0" distL="0" distR="0" wp14:anchorId="24A547F3" wp14:editId="73C5EB13">
                  <wp:extent cx="4215590" cy="871163"/>
                  <wp:effectExtent l="0" t="0" r="0" b="0"/>
                  <wp:docPr id="534"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151"/>
                          <a:srcRect l="7587" t="47812" r="28202" b="32099"/>
                          <a:stretch>
                            <a:fillRect/>
                          </a:stretch>
                        </pic:blipFill>
                        <pic:spPr>
                          <a:xfrm>
                            <a:off x="0" y="0"/>
                            <a:ext cx="4215590" cy="871163"/>
                          </a:xfrm>
                          <a:prstGeom prst="rect">
                            <a:avLst/>
                          </a:prstGeom>
                          <a:ln/>
                        </pic:spPr>
                      </pic:pic>
                    </a:graphicData>
                  </a:graphic>
                </wp:inline>
              </w:drawing>
            </w:r>
          </w:p>
          <w:p w14:paraId="45FC07A7"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m = masa pojazdu (masa własna + 75kg kierowca oraz 20kg paliwo), odpowiadająca masie homologacyjnej;</w:t>
            </w:r>
          </w:p>
          <w:p w14:paraId="70BE6CB4" w14:textId="0340421C" w:rsidR="00600DEE" w:rsidRDefault="00880D09">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g = przyspieszenie ziemskie (9,</w:t>
            </w:r>
            <w:r w:rsidR="00641FB5">
              <w:rPr>
                <w:rFonts w:ascii="Calibri" w:eastAsia="Calibri" w:hAnsi="Calibri" w:cs="Calibri"/>
                <w:color w:val="000000"/>
                <w:sz w:val="20"/>
                <w:szCs w:val="20"/>
              </w:rPr>
              <w:t>81 m/s</w:t>
            </w:r>
            <w:r w:rsidR="00641FB5">
              <w:rPr>
                <w:rFonts w:ascii="Calibri" w:eastAsia="Calibri" w:hAnsi="Calibri" w:cs="Calibri"/>
                <w:color w:val="000000"/>
                <w:sz w:val="20"/>
                <w:szCs w:val="20"/>
                <w:vertAlign w:val="superscript"/>
              </w:rPr>
              <w:t>2</w:t>
            </w:r>
            <w:r w:rsidR="00641FB5">
              <w:rPr>
                <w:rFonts w:ascii="Calibri" w:eastAsia="Calibri" w:hAnsi="Calibri" w:cs="Calibri"/>
                <w:color w:val="000000"/>
                <w:sz w:val="20"/>
                <w:szCs w:val="20"/>
              </w:rPr>
              <w:t>)</w:t>
            </w:r>
          </w:p>
          <w:p w14:paraId="545D29D4"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(r</w:t>
            </w:r>
            <w:r>
              <w:rPr>
                <w:rFonts w:ascii="Calibri" w:eastAsia="Calibri" w:hAnsi="Calibri" w:cs="Calibri"/>
                <w:color w:val="000000"/>
                <w:sz w:val="20"/>
                <w:szCs w:val="20"/>
                <w:vertAlign w:val="subscript"/>
              </w:rPr>
              <w:t>0</w:t>
            </w:r>
            <w:r>
              <w:rPr>
                <w:rFonts w:ascii="Calibri" w:eastAsia="Calibri" w:hAnsi="Calibri" w:cs="Calibri"/>
                <w:color w:val="000000"/>
                <w:sz w:val="20"/>
                <w:szCs w:val="20"/>
              </w:rPr>
              <w:t>,r</w:t>
            </w:r>
            <w:r>
              <w:rPr>
                <w:rFonts w:ascii="Calibri" w:eastAsia="Calibri" w:hAnsi="Calibri" w:cs="Calibri"/>
                <w:color w:val="000000"/>
                <w:sz w:val="20"/>
                <w:szCs w:val="20"/>
                <w:vertAlign w:val="subscript"/>
              </w:rPr>
              <w:t>1</w:t>
            </w:r>
            <w:r>
              <w:rPr>
                <w:rFonts w:ascii="Calibri" w:eastAsia="Calibri" w:hAnsi="Calibri" w:cs="Calibri"/>
                <w:color w:val="000000"/>
                <w:sz w:val="20"/>
                <w:szCs w:val="20"/>
              </w:rPr>
              <w:t>)  = współczynniki oporu toczenia</w:t>
            </w:r>
          </w:p>
          <w:p w14:paraId="151A8E5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v = prędkość (m/s)</w:t>
            </w:r>
          </w:p>
          <w:p w14:paraId="36D3A82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c</w:t>
            </w:r>
            <w:r>
              <w:rPr>
                <w:rFonts w:ascii="Calibri" w:eastAsia="Calibri" w:hAnsi="Calibri" w:cs="Calibri"/>
                <w:color w:val="000000"/>
                <w:sz w:val="20"/>
                <w:szCs w:val="20"/>
                <w:vertAlign w:val="subscript"/>
              </w:rPr>
              <w:t xml:space="preserve">d </w:t>
            </w:r>
            <w:r>
              <w:rPr>
                <w:rFonts w:ascii="Calibri" w:eastAsia="Calibri" w:hAnsi="Calibri" w:cs="Calibri"/>
                <w:color w:val="000000"/>
                <w:sz w:val="20"/>
                <w:szCs w:val="20"/>
              </w:rPr>
              <w:t>x A = opór aerodynamiczny (m</w:t>
            </w:r>
            <w:r>
              <w:rPr>
                <w:rFonts w:ascii="Calibri" w:eastAsia="Calibri" w:hAnsi="Calibri" w:cs="Calibri"/>
                <w:color w:val="000000"/>
                <w:sz w:val="20"/>
                <w:szCs w:val="20"/>
                <w:vertAlign w:val="superscript"/>
              </w:rPr>
              <w:t>2</w:t>
            </w:r>
            <w:r>
              <w:rPr>
                <w:rFonts w:ascii="Calibri" w:eastAsia="Calibri" w:hAnsi="Calibri" w:cs="Calibri"/>
                <w:color w:val="000000"/>
                <w:sz w:val="20"/>
                <w:szCs w:val="20"/>
              </w:rPr>
              <w:t>)</w:t>
            </w:r>
          </w:p>
          <w:p w14:paraId="70E5AB83"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Arial" w:eastAsia="Arial" w:hAnsi="Arial" w:cs="Arial"/>
                <w:noProof/>
                <w:color w:val="000000"/>
                <w:sz w:val="20"/>
                <w:szCs w:val="20"/>
                <w:highlight w:val="cyan"/>
                <w:lang w:eastAsia="pl-PL"/>
              </w:rPr>
              <w:drawing>
                <wp:inline distT="0" distB="0" distL="0" distR="0" wp14:anchorId="0AD821C8" wp14:editId="20949C19">
                  <wp:extent cx="3951605" cy="1352550"/>
                  <wp:effectExtent l="0" t="0" r="0" b="0"/>
                  <wp:docPr id="535"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152"/>
                          <a:srcRect l="16814" t="24173" r="43443" b="55052"/>
                          <a:stretch>
                            <a:fillRect/>
                          </a:stretch>
                        </pic:blipFill>
                        <pic:spPr>
                          <a:xfrm>
                            <a:off x="0" y="0"/>
                            <a:ext cx="3951605" cy="1352550"/>
                          </a:xfrm>
                          <a:prstGeom prst="rect">
                            <a:avLst/>
                          </a:prstGeom>
                          <a:ln/>
                        </pic:spPr>
                      </pic:pic>
                    </a:graphicData>
                  </a:graphic>
                </wp:inline>
              </w:drawing>
            </w:r>
          </w:p>
          <w:p w14:paraId="35F1C344" w14:textId="77777777" w:rsidR="00600DEE" w:rsidRDefault="00600DEE">
            <w:pPr>
              <w:jc w:val="both"/>
              <w:rPr>
                <w:rFonts w:ascii="Calibri" w:eastAsia="Calibri" w:hAnsi="Calibri" w:cs="Calibri"/>
                <w:sz w:val="20"/>
                <w:szCs w:val="20"/>
              </w:rPr>
            </w:pPr>
          </w:p>
          <w:p w14:paraId="260E756C" w14:textId="77777777" w:rsidR="00173EC8" w:rsidRDefault="00173EC8">
            <w:pPr>
              <w:jc w:val="both"/>
              <w:rPr>
                <w:rFonts w:ascii="Calibri" w:eastAsia="Calibri" w:hAnsi="Calibri" w:cs="Calibri"/>
                <w:sz w:val="20"/>
                <w:szCs w:val="20"/>
              </w:rPr>
            </w:pPr>
          </w:p>
          <w:p w14:paraId="1A3D08A4" w14:textId="77777777" w:rsidR="00173EC8" w:rsidRDefault="00173EC8">
            <w:pPr>
              <w:jc w:val="both"/>
              <w:rPr>
                <w:rFonts w:ascii="Calibri" w:eastAsia="Calibri" w:hAnsi="Calibri" w:cs="Calibri"/>
                <w:sz w:val="20"/>
                <w:szCs w:val="20"/>
              </w:rPr>
            </w:pPr>
          </w:p>
          <w:p w14:paraId="16DCD927" w14:textId="13BB79D1" w:rsidR="00600DEE" w:rsidRDefault="00641FB5">
            <w:pPr>
              <w:jc w:val="both"/>
              <w:rPr>
                <w:rFonts w:ascii="Calibri" w:eastAsia="Calibri" w:hAnsi="Calibri" w:cs="Calibri"/>
                <w:sz w:val="20"/>
                <w:szCs w:val="20"/>
              </w:rPr>
            </w:pPr>
            <w:r>
              <w:rPr>
                <w:rFonts w:ascii="Calibri" w:eastAsia="Calibri" w:hAnsi="Calibri" w:cs="Calibri"/>
                <w:sz w:val="20"/>
                <w:szCs w:val="20"/>
              </w:rPr>
              <w:t>W parametrach powyższej funkcji rozróżniono pojazdy napędzane olejem napędowym oraz pojazdy benzynowe, a także uwzględniono podział na poszczególne klasy EURO.</w:t>
            </w:r>
          </w:p>
          <w:p w14:paraId="318371A7" w14:textId="77777777" w:rsidR="00600DEE" w:rsidRDefault="00600DEE">
            <w:pPr>
              <w:jc w:val="both"/>
              <w:rPr>
                <w:rFonts w:ascii="Calibri" w:eastAsia="Calibri" w:hAnsi="Calibri" w:cs="Calibri"/>
                <w:sz w:val="20"/>
                <w:szCs w:val="20"/>
              </w:rPr>
            </w:pPr>
          </w:p>
          <w:p w14:paraId="1AABEE42" w14:textId="77777777" w:rsidR="00600DEE" w:rsidRDefault="00641FB5">
            <w:pPr>
              <w:jc w:val="both"/>
              <w:rPr>
                <w:rFonts w:ascii="Calibri" w:eastAsia="Calibri" w:hAnsi="Calibri" w:cs="Calibri"/>
                <w:sz w:val="20"/>
                <w:szCs w:val="20"/>
              </w:rPr>
            </w:pPr>
            <w:r>
              <w:rPr>
                <w:rFonts w:ascii="Calibri" w:eastAsia="Calibri" w:hAnsi="Calibri" w:cs="Calibri"/>
                <w:sz w:val="20"/>
                <w:szCs w:val="20"/>
              </w:rPr>
              <w:t>Dane dotyczące aktualnego składu polskiej floty pojazdów z uwzględnieniem wyżej wymienionych czynników (tzn. rodzajów stosowanego paliwa i klasy EURO) pochodzą z opracowania pt „Transport – wyniki działalności w 2019 r. Transport – activity results in 2019", GUS, 2020. Wszystkie pozostałe parametry niezbędne do powyższego wzoru pochodzą z odpowiednich materiałów źródłowych.</w:t>
            </w:r>
          </w:p>
          <w:p w14:paraId="50E0249B" w14:textId="77777777" w:rsidR="00600DEE" w:rsidRDefault="00600DEE">
            <w:pPr>
              <w:jc w:val="both"/>
              <w:rPr>
                <w:rFonts w:ascii="Calibri" w:eastAsia="Calibri" w:hAnsi="Calibri" w:cs="Calibri"/>
                <w:sz w:val="20"/>
                <w:szCs w:val="20"/>
              </w:rPr>
            </w:pPr>
          </w:p>
          <w:p w14:paraId="41E924DA" w14:textId="284C7072" w:rsidR="00600DEE" w:rsidRDefault="00641FB5">
            <w:pPr>
              <w:jc w:val="both"/>
              <w:rPr>
                <w:rFonts w:ascii="Calibri" w:eastAsia="Calibri" w:hAnsi="Calibri" w:cs="Calibri"/>
                <w:sz w:val="20"/>
                <w:szCs w:val="20"/>
              </w:rPr>
            </w:pPr>
            <w:r>
              <w:rPr>
                <w:rFonts w:ascii="Calibri" w:eastAsia="Calibri" w:hAnsi="Calibri" w:cs="Calibri"/>
                <w:sz w:val="20"/>
                <w:szCs w:val="20"/>
              </w:rPr>
              <w:t>Na podstawie powyższych założeń, otrzymano średnie zużycie paliwa dla przeciętnego LV w Po</w:t>
            </w:r>
            <w:r w:rsidR="00C25D65">
              <w:rPr>
                <w:rFonts w:ascii="Calibri" w:eastAsia="Calibri" w:hAnsi="Calibri" w:cs="Calibri"/>
                <w:sz w:val="20"/>
                <w:szCs w:val="20"/>
              </w:rPr>
              <w:t xml:space="preserve">lsce wyrażone w l/km w funkcji </w:t>
            </w:r>
            <w:r>
              <w:rPr>
                <w:rFonts w:ascii="Calibri" w:eastAsia="Calibri" w:hAnsi="Calibri" w:cs="Calibri"/>
                <w:sz w:val="20"/>
                <w:szCs w:val="20"/>
              </w:rPr>
              <w:t>prędkości (po zastosowaniu gęstości paliw zgodnie z wytycznymi ws. inwentaryzacji emisji zanieczyszczeń powietrza EMEP/EEA, 2019 r.). Na koniec podstawiono ceny poszczególnych paliw (z wyłączeniem podatków i opłat) z roku 2019.</w:t>
            </w:r>
          </w:p>
          <w:p w14:paraId="2837912B" w14:textId="77777777" w:rsidR="00600DEE" w:rsidRDefault="00600DEE">
            <w:pPr>
              <w:jc w:val="both"/>
              <w:rPr>
                <w:rFonts w:ascii="Calibri" w:eastAsia="Calibri" w:hAnsi="Calibri" w:cs="Calibri"/>
                <w:sz w:val="20"/>
                <w:szCs w:val="20"/>
              </w:rPr>
            </w:pPr>
          </w:p>
          <w:p w14:paraId="2C2DE6CE" w14:textId="77777777" w:rsidR="00173EC8" w:rsidRDefault="00173EC8">
            <w:pPr>
              <w:jc w:val="both"/>
              <w:rPr>
                <w:rFonts w:ascii="Calibri" w:eastAsia="Calibri" w:hAnsi="Calibri" w:cs="Calibri"/>
                <w:sz w:val="20"/>
                <w:szCs w:val="20"/>
              </w:rPr>
            </w:pPr>
          </w:p>
          <w:p w14:paraId="21C62854" w14:textId="77777777" w:rsidR="00173EC8" w:rsidRDefault="00173EC8">
            <w:pPr>
              <w:jc w:val="both"/>
              <w:rPr>
                <w:rFonts w:ascii="Calibri" w:eastAsia="Calibri" w:hAnsi="Calibri" w:cs="Calibri"/>
                <w:sz w:val="20"/>
                <w:szCs w:val="20"/>
              </w:rPr>
            </w:pPr>
          </w:p>
          <w:p w14:paraId="5CD44941" w14:textId="77777777" w:rsidR="00173EC8" w:rsidRDefault="00173EC8">
            <w:pPr>
              <w:jc w:val="both"/>
              <w:rPr>
                <w:rFonts w:ascii="Calibri" w:eastAsia="Calibri" w:hAnsi="Calibri" w:cs="Calibri"/>
                <w:sz w:val="20"/>
                <w:szCs w:val="20"/>
              </w:rPr>
            </w:pPr>
          </w:p>
          <w:p w14:paraId="61D08E7B" w14:textId="77777777" w:rsidR="00173EC8" w:rsidRDefault="00173EC8">
            <w:pPr>
              <w:jc w:val="both"/>
              <w:rPr>
                <w:rFonts w:ascii="Calibri" w:eastAsia="Calibri" w:hAnsi="Calibri" w:cs="Calibri"/>
                <w:sz w:val="20"/>
                <w:szCs w:val="20"/>
              </w:rPr>
            </w:pPr>
          </w:p>
          <w:p w14:paraId="552D6509" w14:textId="77777777" w:rsidR="00173EC8" w:rsidRDefault="00173EC8">
            <w:pPr>
              <w:jc w:val="both"/>
              <w:rPr>
                <w:rFonts w:ascii="Calibri" w:eastAsia="Calibri" w:hAnsi="Calibri" w:cs="Calibri"/>
                <w:sz w:val="20"/>
                <w:szCs w:val="20"/>
              </w:rPr>
            </w:pPr>
          </w:p>
          <w:p w14:paraId="4BE981DC" w14:textId="77777777" w:rsidR="00173EC8" w:rsidRDefault="00173EC8">
            <w:pPr>
              <w:jc w:val="both"/>
              <w:rPr>
                <w:rFonts w:ascii="Calibri" w:eastAsia="Calibri" w:hAnsi="Calibri" w:cs="Calibri"/>
                <w:sz w:val="20"/>
                <w:szCs w:val="20"/>
              </w:rPr>
            </w:pPr>
          </w:p>
          <w:p w14:paraId="03D5D29F" w14:textId="77777777" w:rsidR="00173EC8" w:rsidRDefault="00173EC8">
            <w:pPr>
              <w:jc w:val="both"/>
              <w:rPr>
                <w:rFonts w:ascii="Calibri" w:eastAsia="Calibri" w:hAnsi="Calibri" w:cs="Calibri"/>
                <w:sz w:val="20"/>
                <w:szCs w:val="20"/>
              </w:rPr>
            </w:pPr>
          </w:p>
          <w:p w14:paraId="70792105" w14:textId="77777777" w:rsidR="00173EC8" w:rsidRDefault="00173EC8">
            <w:pPr>
              <w:jc w:val="both"/>
              <w:rPr>
                <w:rFonts w:ascii="Calibri" w:eastAsia="Calibri" w:hAnsi="Calibri" w:cs="Calibri"/>
                <w:sz w:val="20"/>
                <w:szCs w:val="20"/>
              </w:rPr>
            </w:pPr>
          </w:p>
          <w:p w14:paraId="520D5CB4" w14:textId="77777777" w:rsidR="00173EC8" w:rsidRDefault="00173EC8">
            <w:pPr>
              <w:jc w:val="both"/>
              <w:rPr>
                <w:rFonts w:ascii="Calibri" w:eastAsia="Calibri" w:hAnsi="Calibri" w:cs="Calibri"/>
                <w:sz w:val="20"/>
                <w:szCs w:val="20"/>
              </w:rPr>
            </w:pPr>
          </w:p>
          <w:p w14:paraId="76C8ED84" w14:textId="7BDB70C6" w:rsidR="00600DEE" w:rsidRDefault="00641FB5">
            <w:pPr>
              <w:jc w:val="both"/>
              <w:rPr>
                <w:rFonts w:ascii="Calibri" w:eastAsia="Calibri" w:hAnsi="Calibri" w:cs="Calibri"/>
                <w:sz w:val="20"/>
                <w:szCs w:val="20"/>
              </w:rPr>
            </w:pPr>
            <w:r>
              <w:rPr>
                <w:rFonts w:ascii="Calibri" w:eastAsia="Calibri" w:hAnsi="Calibri" w:cs="Calibri"/>
                <w:sz w:val="20"/>
                <w:szCs w:val="20"/>
              </w:rPr>
              <w:t>Wynikowe średnie koszty zużycia paliwa dla PL podano w poniższej tabeli</w:t>
            </w:r>
            <w:r w:rsidR="00880D09">
              <w:t xml:space="preserve"> </w:t>
            </w:r>
            <w:r w:rsidR="00880D09" w:rsidRPr="00880D09">
              <w:rPr>
                <w:rFonts w:ascii="Calibri" w:eastAsia="Calibri" w:hAnsi="Calibri" w:cs="Calibri"/>
                <w:sz w:val="20"/>
                <w:szCs w:val="20"/>
              </w:rPr>
              <w:t>w cenach na początek roku 2020</w:t>
            </w:r>
            <w:r>
              <w:rPr>
                <w:rFonts w:ascii="Calibri" w:eastAsia="Calibri" w:hAnsi="Calibri" w:cs="Calibri"/>
                <w:sz w:val="20"/>
                <w:szCs w:val="20"/>
              </w:rPr>
              <w:t>:</w:t>
            </w:r>
          </w:p>
          <w:p w14:paraId="6428E92D" w14:textId="77777777" w:rsidR="00173EC8" w:rsidRDefault="00173EC8">
            <w:pPr>
              <w:jc w:val="both"/>
              <w:rPr>
                <w:rFonts w:ascii="Calibri" w:eastAsia="Calibri" w:hAnsi="Calibri" w:cs="Calibri"/>
                <w:sz w:val="20"/>
                <w:szCs w:val="20"/>
              </w:rPr>
            </w:pPr>
          </w:p>
          <w:p w14:paraId="154CEB6C" w14:textId="77777777" w:rsidR="00600DEE" w:rsidRDefault="00600DEE">
            <w:pPr>
              <w:jc w:val="both"/>
              <w:rPr>
                <w:rFonts w:ascii="Calibri" w:eastAsia="Calibri" w:hAnsi="Calibri" w:cs="Calibri"/>
                <w:sz w:val="20"/>
                <w:szCs w:val="20"/>
              </w:rPr>
            </w:pPr>
          </w:p>
          <w:tbl>
            <w:tblPr>
              <w:tblStyle w:val="affffffffffffff4"/>
              <w:tblW w:w="5809" w:type="dxa"/>
              <w:tblLayout w:type="fixed"/>
              <w:tblLook w:val="0000" w:firstRow="0" w:lastRow="0" w:firstColumn="0" w:lastColumn="0" w:noHBand="0" w:noVBand="0"/>
            </w:tblPr>
            <w:tblGrid>
              <w:gridCol w:w="2025"/>
              <w:gridCol w:w="2017"/>
              <w:gridCol w:w="1767"/>
            </w:tblGrid>
            <w:tr w:rsidR="00600DEE" w14:paraId="0863CD2A" w14:textId="77777777" w:rsidTr="00173EC8">
              <w:trPr>
                <w:trHeight w:hRule="exact" w:val="1021"/>
              </w:trPr>
              <w:tc>
                <w:tcPr>
                  <w:tcW w:w="2025" w:type="dxa"/>
                  <w:vMerge w:val="restart"/>
                  <w:tcBorders>
                    <w:top w:val="single" w:sz="4" w:space="0" w:color="FFFFFF"/>
                    <w:left w:val="single" w:sz="4" w:space="0" w:color="FFFFFF"/>
                  </w:tcBorders>
                  <w:shd w:val="clear" w:color="auto" w:fill="A6A6A6"/>
                  <w:vAlign w:val="center"/>
                </w:tcPr>
                <w:p w14:paraId="42F05B7C"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Prędkość (km/h)</w:t>
                  </w:r>
                </w:p>
              </w:tc>
              <w:tc>
                <w:tcPr>
                  <w:tcW w:w="3784" w:type="dxa"/>
                  <w:gridSpan w:val="2"/>
                  <w:tcBorders>
                    <w:top w:val="single" w:sz="4" w:space="0" w:color="FFFFFF"/>
                    <w:left w:val="single" w:sz="4" w:space="0" w:color="FFFFFF"/>
                    <w:bottom w:val="single" w:sz="4" w:space="0" w:color="FFFFFF"/>
                  </w:tcBorders>
                  <w:shd w:val="clear" w:color="auto" w:fill="A6A6A6"/>
                  <w:vAlign w:val="center"/>
                </w:tcPr>
                <w:p w14:paraId="19F2884E"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Zużycie paliwa dla LV – teren płaski (nawierzchnia nowo wybudowana/ wyremontowana)</w:t>
                  </w:r>
                </w:p>
              </w:tc>
            </w:tr>
            <w:tr w:rsidR="00600DEE" w14:paraId="7A206818" w14:textId="77777777">
              <w:trPr>
                <w:trHeight w:val="284"/>
              </w:trPr>
              <w:tc>
                <w:tcPr>
                  <w:tcW w:w="2025" w:type="dxa"/>
                  <w:vMerge/>
                  <w:tcBorders>
                    <w:top w:val="single" w:sz="4" w:space="0" w:color="FFFFFF"/>
                    <w:left w:val="single" w:sz="4" w:space="0" w:color="FFFFFF"/>
                  </w:tcBorders>
                  <w:shd w:val="clear" w:color="auto" w:fill="A6A6A6"/>
                  <w:vAlign w:val="center"/>
                </w:tcPr>
                <w:p w14:paraId="77C279E7"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2017" w:type="dxa"/>
                  <w:tcBorders>
                    <w:top w:val="single" w:sz="4" w:space="0" w:color="FFFFFF"/>
                    <w:left w:val="single" w:sz="4" w:space="0" w:color="FFFFFF"/>
                    <w:bottom w:val="single" w:sz="4" w:space="0" w:color="FFFFFF"/>
                  </w:tcBorders>
                  <w:shd w:val="clear" w:color="auto" w:fill="A6A6A6"/>
                  <w:vAlign w:val="center"/>
                </w:tcPr>
                <w:p w14:paraId="7ACB9537"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l/100 km</w:t>
                  </w:r>
                </w:p>
              </w:tc>
              <w:tc>
                <w:tcPr>
                  <w:tcW w:w="1767" w:type="dxa"/>
                  <w:tcBorders>
                    <w:top w:val="single" w:sz="4" w:space="0" w:color="FFFFFF"/>
                    <w:left w:val="single" w:sz="4" w:space="0" w:color="FFFFFF"/>
                    <w:bottom w:val="single" w:sz="4" w:space="0" w:color="FFFFFF"/>
                  </w:tcBorders>
                  <w:shd w:val="clear" w:color="auto" w:fill="A6A6A6"/>
                  <w:vAlign w:val="center"/>
                </w:tcPr>
                <w:p w14:paraId="6F285A63"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PLN/poj-km</w:t>
                  </w:r>
                </w:p>
              </w:tc>
            </w:tr>
            <w:tr w:rsidR="00600DEE" w14:paraId="6B376EF7"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484662B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w:t>
                  </w:r>
                </w:p>
              </w:tc>
              <w:tc>
                <w:tcPr>
                  <w:tcW w:w="2017" w:type="dxa"/>
                  <w:tcBorders>
                    <w:top w:val="single" w:sz="4" w:space="0" w:color="FFFFFF"/>
                    <w:left w:val="single" w:sz="4" w:space="0" w:color="FFFFFF"/>
                    <w:bottom w:val="single" w:sz="4" w:space="0" w:color="FFFFFF"/>
                  </w:tcBorders>
                  <w:shd w:val="clear" w:color="auto" w:fill="DBE5F1"/>
                  <w:vAlign w:val="bottom"/>
                </w:tcPr>
                <w:p w14:paraId="4F460C6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26,401</w:t>
                  </w:r>
                </w:p>
              </w:tc>
              <w:tc>
                <w:tcPr>
                  <w:tcW w:w="1767" w:type="dxa"/>
                  <w:tcBorders>
                    <w:top w:val="single" w:sz="4" w:space="0" w:color="FFFFFF"/>
                    <w:left w:val="single" w:sz="4" w:space="0" w:color="FFFFFF"/>
                    <w:bottom w:val="single" w:sz="4" w:space="0" w:color="FFFFFF"/>
                  </w:tcBorders>
                  <w:shd w:val="clear" w:color="auto" w:fill="DBE5F1"/>
                  <w:vAlign w:val="bottom"/>
                </w:tcPr>
                <w:p w14:paraId="4D55AF6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0,595</w:t>
                  </w:r>
                </w:p>
              </w:tc>
            </w:tr>
            <w:tr w:rsidR="00600DEE" w14:paraId="462BEB13"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48A8E46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11-20</w:t>
                  </w:r>
                </w:p>
              </w:tc>
              <w:tc>
                <w:tcPr>
                  <w:tcW w:w="2017" w:type="dxa"/>
                  <w:tcBorders>
                    <w:top w:val="single" w:sz="4" w:space="0" w:color="FFFFFF"/>
                    <w:left w:val="single" w:sz="4" w:space="0" w:color="FFFFFF"/>
                    <w:bottom w:val="single" w:sz="4" w:space="0" w:color="FFFFFF"/>
                  </w:tcBorders>
                  <w:shd w:val="clear" w:color="auto" w:fill="DBE5F1"/>
                  <w:vAlign w:val="bottom"/>
                </w:tcPr>
                <w:p w14:paraId="12501C9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16,721</w:t>
                  </w:r>
                </w:p>
              </w:tc>
              <w:tc>
                <w:tcPr>
                  <w:tcW w:w="1767" w:type="dxa"/>
                  <w:tcBorders>
                    <w:top w:val="single" w:sz="4" w:space="0" w:color="FFFFFF"/>
                    <w:left w:val="single" w:sz="4" w:space="0" w:color="FFFFFF"/>
                    <w:bottom w:val="single" w:sz="4" w:space="0" w:color="FFFFFF"/>
                  </w:tcBorders>
                  <w:shd w:val="clear" w:color="auto" w:fill="DBE5F1"/>
                  <w:vAlign w:val="bottom"/>
                </w:tcPr>
                <w:p w14:paraId="266685E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0,377</w:t>
                  </w:r>
                </w:p>
              </w:tc>
            </w:tr>
            <w:tr w:rsidR="00600DEE" w14:paraId="0CDA9216"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1DE610E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21-30</w:t>
                  </w:r>
                </w:p>
              </w:tc>
              <w:tc>
                <w:tcPr>
                  <w:tcW w:w="2017" w:type="dxa"/>
                  <w:tcBorders>
                    <w:top w:val="single" w:sz="4" w:space="0" w:color="FFFFFF"/>
                    <w:left w:val="single" w:sz="4" w:space="0" w:color="FFFFFF"/>
                    <w:bottom w:val="single" w:sz="4" w:space="0" w:color="FFFFFF"/>
                  </w:tcBorders>
                  <w:shd w:val="clear" w:color="auto" w:fill="DBE5F1"/>
                  <w:vAlign w:val="bottom"/>
                </w:tcPr>
                <w:p w14:paraId="1E23D91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12,740</w:t>
                  </w:r>
                </w:p>
              </w:tc>
              <w:tc>
                <w:tcPr>
                  <w:tcW w:w="1767" w:type="dxa"/>
                  <w:tcBorders>
                    <w:top w:val="single" w:sz="4" w:space="0" w:color="FFFFFF"/>
                    <w:left w:val="single" w:sz="4" w:space="0" w:color="FFFFFF"/>
                    <w:bottom w:val="single" w:sz="4" w:space="0" w:color="FFFFFF"/>
                  </w:tcBorders>
                  <w:shd w:val="clear" w:color="auto" w:fill="DBE5F1"/>
                  <w:vAlign w:val="bottom"/>
                </w:tcPr>
                <w:p w14:paraId="604D344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0,287</w:t>
                  </w:r>
                </w:p>
              </w:tc>
            </w:tr>
            <w:tr w:rsidR="00600DEE" w14:paraId="609CD5D6"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3822FBC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31-40</w:t>
                  </w:r>
                </w:p>
              </w:tc>
              <w:tc>
                <w:tcPr>
                  <w:tcW w:w="2017" w:type="dxa"/>
                  <w:tcBorders>
                    <w:top w:val="single" w:sz="4" w:space="0" w:color="FFFFFF"/>
                    <w:left w:val="single" w:sz="4" w:space="0" w:color="FFFFFF"/>
                    <w:bottom w:val="single" w:sz="4" w:space="0" w:color="FFFFFF"/>
                  </w:tcBorders>
                  <w:shd w:val="clear" w:color="auto" w:fill="DBE5F1"/>
                  <w:vAlign w:val="bottom"/>
                </w:tcPr>
                <w:p w14:paraId="312109E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10,347</w:t>
                  </w:r>
                </w:p>
              </w:tc>
              <w:tc>
                <w:tcPr>
                  <w:tcW w:w="1767" w:type="dxa"/>
                  <w:tcBorders>
                    <w:top w:val="single" w:sz="4" w:space="0" w:color="FFFFFF"/>
                    <w:left w:val="single" w:sz="4" w:space="0" w:color="FFFFFF"/>
                    <w:bottom w:val="single" w:sz="4" w:space="0" w:color="FFFFFF"/>
                  </w:tcBorders>
                  <w:shd w:val="clear" w:color="auto" w:fill="DBE5F1"/>
                  <w:vAlign w:val="bottom"/>
                </w:tcPr>
                <w:p w14:paraId="5B86E21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0,233</w:t>
                  </w:r>
                </w:p>
              </w:tc>
            </w:tr>
            <w:tr w:rsidR="00600DEE" w14:paraId="108A3F32"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7BC45D2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41-50</w:t>
                  </w:r>
                </w:p>
              </w:tc>
              <w:tc>
                <w:tcPr>
                  <w:tcW w:w="2017" w:type="dxa"/>
                  <w:tcBorders>
                    <w:top w:val="single" w:sz="4" w:space="0" w:color="FFFFFF"/>
                    <w:left w:val="single" w:sz="4" w:space="0" w:color="FFFFFF"/>
                    <w:bottom w:val="single" w:sz="4" w:space="0" w:color="FFFFFF"/>
                  </w:tcBorders>
                  <w:shd w:val="clear" w:color="auto" w:fill="DBE5F1"/>
                  <w:vAlign w:val="bottom"/>
                </w:tcPr>
                <w:p w14:paraId="3736053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8,765</w:t>
                  </w:r>
                </w:p>
              </w:tc>
              <w:tc>
                <w:tcPr>
                  <w:tcW w:w="1767" w:type="dxa"/>
                  <w:tcBorders>
                    <w:top w:val="single" w:sz="4" w:space="0" w:color="FFFFFF"/>
                    <w:left w:val="single" w:sz="4" w:space="0" w:color="FFFFFF"/>
                    <w:bottom w:val="single" w:sz="4" w:space="0" w:color="FFFFFF"/>
                  </w:tcBorders>
                  <w:shd w:val="clear" w:color="auto" w:fill="DBE5F1"/>
                  <w:vAlign w:val="bottom"/>
                </w:tcPr>
                <w:p w14:paraId="2E7318C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0,198</w:t>
                  </w:r>
                </w:p>
              </w:tc>
            </w:tr>
            <w:tr w:rsidR="00600DEE" w14:paraId="511AFB8B"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22A71DC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51-60</w:t>
                  </w:r>
                </w:p>
              </w:tc>
              <w:tc>
                <w:tcPr>
                  <w:tcW w:w="2017" w:type="dxa"/>
                  <w:tcBorders>
                    <w:top w:val="single" w:sz="4" w:space="0" w:color="FFFFFF"/>
                    <w:left w:val="single" w:sz="4" w:space="0" w:color="FFFFFF"/>
                    <w:bottom w:val="single" w:sz="4" w:space="0" w:color="FFFFFF"/>
                  </w:tcBorders>
                  <w:shd w:val="clear" w:color="auto" w:fill="DBE5F1"/>
                  <w:vAlign w:val="bottom"/>
                </w:tcPr>
                <w:p w14:paraId="002E597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7,709</w:t>
                  </w:r>
                </w:p>
              </w:tc>
              <w:tc>
                <w:tcPr>
                  <w:tcW w:w="1767" w:type="dxa"/>
                  <w:tcBorders>
                    <w:top w:val="single" w:sz="4" w:space="0" w:color="FFFFFF"/>
                    <w:left w:val="single" w:sz="4" w:space="0" w:color="FFFFFF"/>
                    <w:bottom w:val="single" w:sz="4" w:space="0" w:color="FFFFFF"/>
                  </w:tcBorders>
                  <w:shd w:val="clear" w:color="auto" w:fill="DBE5F1"/>
                  <w:vAlign w:val="bottom"/>
                </w:tcPr>
                <w:p w14:paraId="0D2B4C4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0,174</w:t>
                  </w:r>
                </w:p>
              </w:tc>
            </w:tr>
            <w:tr w:rsidR="00600DEE" w14:paraId="1BF418AD"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1330D5F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61-70</w:t>
                  </w:r>
                </w:p>
              </w:tc>
              <w:tc>
                <w:tcPr>
                  <w:tcW w:w="2017" w:type="dxa"/>
                  <w:tcBorders>
                    <w:top w:val="single" w:sz="4" w:space="0" w:color="FFFFFF"/>
                    <w:left w:val="single" w:sz="4" w:space="0" w:color="FFFFFF"/>
                    <w:bottom w:val="single" w:sz="4" w:space="0" w:color="FFFFFF"/>
                  </w:tcBorders>
                  <w:shd w:val="clear" w:color="auto" w:fill="DBE5F1"/>
                  <w:vAlign w:val="bottom"/>
                </w:tcPr>
                <w:p w14:paraId="538DEE9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7,039</w:t>
                  </w:r>
                </w:p>
              </w:tc>
              <w:tc>
                <w:tcPr>
                  <w:tcW w:w="1767" w:type="dxa"/>
                  <w:tcBorders>
                    <w:top w:val="single" w:sz="4" w:space="0" w:color="FFFFFF"/>
                    <w:left w:val="single" w:sz="4" w:space="0" w:color="FFFFFF"/>
                    <w:bottom w:val="single" w:sz="4" w:space="0" w:color="FFFFFF"/>
                  </w:tcBorders>
                  <w:shd w:val="clear" w:color="auto" w:fill="DBE5F1"/>
                  <w:vAlign w:val="bottom"/>
                </w:tcPr>
                <w:p w14:paraId="070668E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0,159</w:t>
                  </w:r>
                </w:p>
              </w:tc>
            </w:tr>
            <w:tr w:rsidR="00600DEE" w14:paraId="4EB5EF53"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7E6370B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71-80</w:t>
                  </w:r>
                </w:p>
              </w:tc>
              <w:tc>
                <w:tcPr>
                  <w:tcW w:w="2017" w:type="dxa"/>
                  <w:tcBorders>
                    <w:top w:val="single" w:sz="4" w:space="0" w:color="FFFFFF"/>
                    <w:left w:val="single" w:sz="4" w:space="0" w:color="FFFFFF"/>
                    <w:bottom w:val="single" w:sz="4" w:space="0" w:color="FFFFFF"/>
                  </w:tcBorders>
                  <w:shd w:val="clear" w:color="auto" w:fill="DBE5F1"/>
                  <w:vAlign w:val="bottom"/>
                </w:tcPr>
                <w:p w14:paraId="47E94FA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6,678</w:t>
                  </w:r>
                </w:p>
              </w:tc>
              <w:tc>
                <w:tcPr>
                  <w:tcW w:w="1767" w:type="dxa"/>
                  <w:tcBorders>
                    <w:top w:val="single" w:sz="4" w:space="0" w:color="FFFFFF"/>
                    <w:left w:val="single" w:sz="4" w:space="0" w:color="FFFFFF"/>
                    <w:bottom w:val="single" w:sz="4" w:space="0" w:color="FFFFFF"/>
                  </w:tcBorders>
                  <w:shd w:val="clear" w:color="auto" w:fill="DBE5F1"/>
                  <w:vAlign w:val="bottom"/>
                </w:tcPr>
                <w:p w14:paraId="5CA2056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0,151</w:t>
                  </w:r>
                </w:p>
              </w:tc>
            </w:tr>
            <w:tr w:rsidR="00600DEE" w14:paraId="6ACE3E25"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34AB11C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81-90</w:t>
                  </w:r>
                </w:p>
              </w:tc>
              <w:tc>
                <w:tcPr>
                  <w:tcW w:w="2017" w:type="dxa"/>
                  <w:tcBorders>
                    <w:top w:val="single" w:sz="4" w:space="0" w:color="FFFFFF"/>
                    <w:left w:val="single" w:sz="4" w:space="0" w:color="FFFFFF"/>
                    <w:bottom w:val="single" w:sz="4" w:space="0" w:color="FFFFFF"/>
                  </w:tcBorders>
                  <w:shd w:val="clear" w:color="auto" w:fill="DBE5F1"/>
                  <w:vAlign w:val="bottom"/>
                </w:tcPr>
                <w:p w14:paraId="21D4E15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6,575</w:t>
                  </w:r>
                </w:p>
              </w:tc>
              <w:tc>
                <w:tcPr>
                  <w:tcW w:w="1767" w:type="dxa"/>
                  <w:tcBorders>
                    <w:top w:val="single" w:sz="4" w:space="0" w:color="FFFFFF"/>
                    <w:left w:val="single" w:sz="4" w:space="0" w:color="FFFFFF"/>
                    <w:bottom w:val="single" w:sz="4" w:space="0" w:color="FFFFFF"/>
                  </w:tcBorders>
                  <w:shd w:val="clear" w:color="auto" w:fill="DBE5F1"/>
                  <w:vAlign w:val="bottom"/>
                </w:tcPr>
                <w:p w14:paraId="7ED5CAB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0,148</w:t>
                  </w:r>
                </w:p>
              </w:tc>
            </w:tr>
            <w:tr w:rsidR="00600DEE" w14:paraId="209BA813"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0532FAD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91-100</w:t>
                  </w:r>
                </w:p>
              </w:tc>
              <w:tc>
                <w:tcPr>
                  <w:tcW w:w="2017" w:type="dxa"/>
                  <w:tcBorders>
                    <w:top w:val="single" w:sz="4" w:space="0" w:color="FFFFFF"/>
                    <w:left w:val="single" w:sz="4" w:space="0" w:color="FFFFFF"/>
                    <w:bottom w:val="single" w:sz="4" w:space="0" w:color="FFFFFF"/>
                  </w:tcBorders>
                  <w:shd w:val="clear" w:color="auto" w:fill="DBE5F1"/>
                  <w:vAlign w:val="bottom"/>
                </w:tcPr>
                <w:p w14:paraId="0FCEE00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6,696</w:t>
                  </w:r>
                </w:p>
              </w:tc>
              <w:tc>
                <w:tcPr>
                  <w:tcW w:w="1767" w:type="dxa"/>
                  <w:tcBorders>
                    <w:top w:val="single" w:sz="4" w:space="0" w:color="FFFFFF"/>
                    <w:left w:val="single" w:sz="4" w:space="0" w:color="FFFFFF"/>
                    <w:bottom w:val="single" w:sz="4" w:space="0" w:color="FFFFFF"/>
                  </w:tcBorders>
                  <w:shd w:val="clear" w:color="auto" w:fill="DBE5F1"/>
                  <w:vAlign w:val="bottom"/>
                </w:tcPr>
                <w:p w14:paraId="0E74598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0,151</w:t>
                  </w:r>
                </w:p>
              </w:tc>
            </w:tr>
            <w:tr w:rsidR="00600DEE" w14:paraId="2189F279"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0E8BA97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101-110</w:t>
                  </w:r>
                </w:p>
              </w:tc>
              <w:tc>
                <w:tcPr>
                  <w:tcW w:w="2017" w:type="dxa"/>
                  <w:tcBorders>
                    <w:top w:val="single" w:sz="4" w:space="0" w:color="FFFFFF"/>
                    <w:left w:val="single" w:sz="4" w:space="0" w:color="FFFFFF"/>
                    <w:bottom w:val="single" w:sz="4" w:space="0" w:color="FFFFFF"/>
                  </w:tcBorders>
                  <w:shd w:val="clear" w:color="auto" w:fill="DBE5F1"/>
                  <w:vAlign w:val="bottom"/>
                </w:tcPr>
                <w:p w14:paraId="1EEFDA9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7,019</w:t>
                  </w:r>
                </w:p>
              </w:tc>
              <w:tc>
                <w:tcPr>
                  <w:tcW w:w="1767" w:type="dxa"/>
                  <w:tcBorders>
                    <w:top w:val="single" w:sz="4" w:space="0" w:color="FFFFFF"/>
                    <w:left w:val="single" w:sz="4" w:space="0" w:color="FFFFFF"/>
                    <w:bottom w:val="single" w:sz="4" w:space="0" w:color="FFFFFF"/>
                  </w:tcBorders>
                  <w:shd w:val="clear" w:color="auto" w:fill="DBE5F1"/>
                  <w:vAlign w:val="bottom"/>
                </w:tcPr>
                <w:p w14:paraId="72A0E54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0,158</w:t>
                  </w:r>
                </w:p>
              </w:tc>
            </w:tr>
            <w:tr w:rsidR="00600DEE" w14:paraId="3F2E67F5"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4427DFA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111-120</w:t>
                  </w:r>
                </w:p>
              </w:tc>
              <w:tc>
                <w:tcPr>
                  <w:tcW w:w="2017" w:type="dxa"/>
                  <w:tcBorders>
                    <w:top w:val="single" w:sz="4" w:space="0" w:color="FFFFFF"/>
                    <w:left w:val="single" w:sz="4" w:space="0" w:color="FFFFFF"/>
                    <w:bottom w:val="single" w:sz="4" w:space="0" w:color="FFFFFF"/>
                  </w:tcBorders>
                  <w:shd w:val="clear" w:color="auto" w:fill="DBE5F1"/>
                  <w:vAlign w:val="bottom"/>
                </w:tcPr>
                <w:p w14:paraId="48BBDF6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7,524</w:t>
                  </w:r>
                </w:p>
              </w:tc>
              <w:tc>
                <w:tcPr>
                  <w:tcW w:w="1767" w:type="dxa"/>
                  <w:tcBorders>
                    <w:top w:val="single" w:sz="4" w:space="0" w:color="FFFFFF"/>
                    <w:left w:val="single" w:sz="4" w:space="0" w:color="FFFFFF"/>
                    <w:bottom w:val="single" w:sz="4" w:space="0" w:color="FFFFFF"/>
                  </w:tcBorders>
                  <w:shd w:val="clear" w:color="auto" w:fill="DBE5F1"/>
                  <w:vAlign w:val="bottom"/>
                </w:tcPr>
                <w:p w14:paraId="6A75AB0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0,170</w:t>
                  </w:r>
                </w:p>
              </w:tc>
            </w:tr>
            <w:tr w:rsidR="00600DEE" w14:paraId="481A9772"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725701F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121-130</w:t>
                  </w:r>
                </w:p>
              </w:tc>
              <w:tc>
                <w:tcPr>
                  <w:tcW w:w="2017" w:type="dxa"/>
                  <w:tcBorders>
                    <w:top w:val="single" w:sz="4" w:space="0" w:color="FFFFFF"/>
                    <w:left w:val="single" w:sz="4" w:space="0" w:color="FFFFFF"/>
                    <w:bottom w:val="single" w:sz="4" w:space="0" w:color="FFFFFF"/>
                  </w:tcBorders>
                  <w:shd w:val="clear" w:color="auto" w:fill="DBE5F1"/>
                  <w:vAlign w:val="bottom"/>
                </w:tcPr>
                <w:p w14:paraId="0EF4148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8,198</w:t>
                  </w:r>
                </w:p>
              </w:tc>
              <w:tc>
                <w:tcPr>
                  <w:tcW w:w="1767" w:type="dxa"/>
                  <w:tcBorders>
                    <w:top w:val="single" w:sz="4" w:space="0" w:color="FFFFFF"/>
                    <w:left w:val="single" w:sz="4" w:space="0" w:color="FFFFFF"/>
                    <w:bottom w:val="single" w:sz="4" w:space="0" w:color="FFFFFF"/>
                  </w:tcBorders>
                  <w:shd w:val="clear" w:color="auto" w:fill="DBE5F1"/>
                  <w:vAlign w:val="bottom"/>
                </w:tcPr>
                <w:p w14:paraId="44C4AC8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0,185</w:t>
                  </w:r>
                </w:p>
              </w:tc>
            </w:tr>
            <w:tr w:rsidR="00600DEE" w14:paraId="21CFE1D2"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3F30CE4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131-140</w:t>
                  </w:r>
                </w:p>
              </w:tc>
              <w:tc>
                <w:tcPr>
                  <w:tcW w:w="2017" w:type="dxa"/>
                  <w:tcBorders>
                    <w:top w:val="single" w:sz="4" w:space="0" w:color="FFFFFF"/>
                    <w:left w:val="single" w:sz="4" w:space="0" w:color="FFFFFF"/>
                    <w:bottom w:val="single" w:sz="4" w:space="0" w:color="FFFFFF"/>
                  </w:tcBorders>
                  <w:shd w:val="clear" w:color="auto" w:fill="DBE5F1"/>
                  <w:vAlign w:val="bottom"/>
                </w:tcPr>
                <w:p w14:paraId="4E672A4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9,029</w:t>
                  </w:r>
                </w:p>
              </w:tc>
              <w:tc>
                <w:tcPr>
                  <w:tcW w:w="1767" w:type="dxa"/>
                  <w:tcBorders>
                    <w:top w:val="single" w:sz="4" w:space="0" w:color="FFFFFF"/>
                    <w:left w:val="single" w:sz="4" w:space="0" w:color="FFFFFF"/>
                    <w:bottom w:val="single" w:sz="4" w:space="0" w:color="FFFFFF"/>
                  </w:tcBorders>
                  <w:shd w:val="clear" w:color="auto" w:fill="DBE5F1"/>
                  <w:vAlign w:val="bottom"/>
                </w:tcPr>
                <w:p w14:paraId="66CEAD0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0,204</w:t>
                  </w:r>
                </w:p>
              </w:tc>
            </w:tr>
          </w:tbl>
          <w:p w14:paraId="525668EE" w14:textId="77777777" w:rsidR="00173EC8" w:rsidRDefault="00173EC8">
            <w:pPr>
              <w:pBdr>
                <w:top w:val="nil"/>
                <w:left w:val="nil"/>
                <w:bottom w:val="nil"/>
                <w:right w:val="nil"/>
                <w:between w:val="nil"/>
              </w:pBdr>
              <w:spacing w:before="120"/>
              <w:jc w:val="both"/>
              <w:rPr>
                <w:rFonts w:ascii="Calibri" w:eastAsia="Calibri" w:hAnsi="Calibri" w:cs="Calibri"/>
                <w:b/>
                <w:i/>
                <w:color w:val="000000"/>
                <w:sz w:val="20"/>
                <w:szCs w:val="20"/>
              </w:rPr>
            </w:pPr>
          </w:p>
          <w:p w14:paraId="481C7DCC" w14:textId="77777777" w:rsidR="00173EC8" w:rsidRDefault="00173EC8">
            <w:pPr>
              <w:pBdr>
                <w:top w:val="nil"/>
                <w:left w:val="nil"/>
                <w:bottom w:val="nil"/>
                <w:right w:val="nil"/>
                <w:between w:val="nil"/>
              </w:pBdr>
              <w:spacing w:before="120"/>
              <w:jc w:val="both"/>
              <w:rPr>
                <w:rFonts w:ascii="Calibri" w:eastAsia="Calibri" w:hAnsi="Calibri" w:cs="Calibri"/>
                <w:b/>
                <w:i/>
                <w:color w:val="000000"/>
                <w:sz w:val="20"/>
                <w:szCs w:val="20"/>
              </w:rPr>
            </w:pPr>
          </w:p>
          <w:p w14:paraId="54440E2D" w14:textId="77777777" w:rsidR="00173EC8" w:rsidRDefault="00173EC8">
            <w:pPr>
              <w:pBdr>
                <w:top w:val="nil"/>
                <w:left w:val="nil"/>
                <w:bottom w:val="nil"/>
                <w:right w:val="nil"/>
                <w:between w:val="nil"/>
              </w:pBdr>
              <w:spacing w:before="120"/>
              <w:jc w:val="both"/>
              <w:rPr>
                <w:rFonts w:ascii="Calibri" w:eastAsia="Calibri" w:hAnsi="Calibri" w:cs="Calibri"/>
                <w:b/>
                <w:i/>
                <w:color w:val="000000"/>
                <w:sz w:val="20"/>
                <w:szCs w:val="20"/>
              </w:rPr>
            </w:pPr>
          </w:p>
          <w:p w14:paraId="3267C60B" w14:textId="77777777" w:rsidR="00173EC8" w:rsidRDefault="00173EC8">
            <w:pPr>
              <w:pBdr>
                <w:top w:val="nil"/>
                <w:left w:val="nil"/>
                <w:bottom w:val="nil"/>
                <w:right w:val="nil"/>
                <w:between w:val="nil"/>
              </w:pBdr>
              <w:spacing w:before="120"/>
              <w:jc w:val="both"/>
              <w:rPr>
                <w:rFonts w:ascii="Calibri" w:eastAsia="Calibri" w:hAnsi="Calibri" w:cs="Calibri"/>
                <w:b/>
                <w:i/>
                <w:color w:val="000000"/>
                <w:sz w:val="20"/>
                <w:szCs w:val="20"/>
              </w:rPr>
            </w:pPr>
          </w:p>
          <w:p w14:paraId="7F66CE42" w14:textId="77777777" w:rsidR="00173EC8" w:rsidRDefault="00173EC8">
            <w:pPr>
              <w:pBdr>
                <w:top w:val="nil"/>
                <w:left w:val="nil"/>
                <w:bottom w:val="nil"/>
                <w:right w:val="nil"/>
                <w:between w:val="nil"/>
              </w:pBdr>
              <w:spacing w:before="120"/>
              <w:jc w:val="both"/>
              <w:rPr>
                <w:rFonts w:ascii="Calibri" w:eastAsia="Calibri" w:hAnsi="Calibri" w:cs="Calibri"/>
                <w:b/>
                <w:i/>
                <w:color w:val="000000"/>
                <w:sz w:val="20"/>
                <w:szCs w:val="20"/>
              </w:rPr>
            </w:pPr>
          </w:p>
          <w:p w14:paraId="76F654DF" w14:textId="77777777" w:rsidR="00173EC8" w:rsidRDefault="00173EC8">
            <w:pPr>
              <w:pBdr>
                <w:top w:val="nil"/>
                <w:left w:val="nil"/>
                <w:bottom w:val="nil"/>
                <w:right w:val="nil"/>
                <w:between w:val="nil"/>
              </w:pBdr>
              <w:spacing w:before="120"/>
              <w:jc w:val="both"/>
              <w:rPr>
                <w:rFonts w:ascii="Calibri" w:eastAsia="Calibri" w:hAnsi="Calibri" w:cs="Calibri"/>
                <w:b/>
                <w:i/>
                <w:color w:val="000000"/>
                <w:sz w:val="20"/>
                <w:szCs w:val="20"/>
              </w:rPr>
            </w:pPr>
          </w:p>
          <w:p w14:paraId="4B462513" w14:textId="77777777" w:rsidR="00173EC8" w:rsidRDefault="00173EC8">
            <w:pPr>
              <w:pBdr>
                <w:top w:val="nil"/>
                <w:left w:val="nil"/>
                <w:bottom w:val="nil"/>
                <w:right w:val="nil"/>
                <w:between w:val="nil"/>
              </w:pBdr>
              <w:spacing w:before="120"/>
              <w:jc w:val="both"/>
              <w:rPr>
                <w:rFonts w:ascii="Calibri" w:eastAsia="Calibri" w:hAnsi="Calibri" w:cs="Calibri"/>
                <w:b/>
                <w:i/>
                <w:color w:val="000000"/>
                <w:sz w:val="20"/>
                <w:szCs w:val="20"/>
              </w:rPr>
            </w:pPr>
          </w:p>
          <w:p w14:paraId="3F1702B1" w14:textId="6322DB5B" w:rsidR="00600DEE" w:rsidRPr="00880D09" w:rsidRDefault="00641FB5">
            <w:pPr>
              <w:pBdr>
                <w:top w:val="nil"/>
                <w:left w:val="nil"/>
                <w:bottom w:val="nil"/>
                <w:right w:val="nil"/>
                <w:between w:val="nil"/>
              </w:pBdr>
              <w:spacing w:before="120"/>
              <w:jc w:val="both"/>
              <w:rPr>
                <w:rFonts w:ascii="Calibri" w:eastAsia="Calibri" w:hAnsi="Calibri" w:cs="Calibri"/>
                <w:b/>
                <w:color w:val="000000"/>
                <w:sz w:val="20"/>
                <w:szCs w:val="20"/>
              </w:rPr>
            </w:pPr>
            <w:r w:rsidRPr="00880D09">
              <w:rPr>
                <w:rFonts w:ascii="Calibri" w:eastAsia="Calibri" w:hAnsi="Calibri" w:cs="Calibri"/>
                <w:b/>
                <w:color w:val="000000"/>
                <w:sz w:val="20"/>
                <w:szCs w:val="20"/>
              </w:rPr>
              <w:t>Pojazdy ciężarowe spalinowe (HGV)</w:t>
            </w:r>
          </w:p>
          <w:p w14:paraId="70CF0C20" w14:textId="77777777" w:rsidR="00600DEE" w:rsidRDefault="00600DEE">
            <w:pPr>
              <w:jc w:val="both"/>
              <w:rPr>
                <w:rFonts w:ascii="Calibri" w:eastAsia="Calibri" w:hAnsi="Calibri" w:cs="Calibri"/>
                <w:sz w:val="20"/>
                <w:szCs w:val="20"/>
              </w:rPr>
            </w:pPr>
          </w:p>
          <w:p w14:paraId="521120EF" w14:textId="0FEFB999" w:rsidR="00600DEE" w:rsidRDefault="00641FB5">
            <w:pPr>
              <w:jc w:val="both"/>
              <w:rPr>
                <w:rFonts w:ascii="Calibri" w:eastAsia="Calibri" w:hAnsi="Calibri" w:cs="Calibri"/>
                <w:sz w:val="20"/>
                <w:szCs w:val="20"/>
              </w:rPr>
            </w:pPr>
            <w:r>
              <w:rPr>
                <w:rFonts w:ascii="Calibri" w:eastAsia="Calibri" w:hAnsi="Calibri" w:cs="Calibri"/>
                <w:sz w:val="20"/>
                <w:szCs w:val="20"/>
              </w:rPr>
              <w:t>Niniejsze dane opierają się na opracowaniu „EMEP/EEA air pollutant emission inventory guidebook, 2019, 1.A.3.b.i-iv Road Transport Appendix 4 Emission Factors 2019 (Sept. 2020)” i przygotowano je na bazie analogicznych założeń, jak w przypadku LV. Skład polskiej floty HGV zaczerpnięto z tego samego źródła, co w przypadku LV. Poniżej przedstawiono średnie koszty zużycia paliwa przez HGV</w:t>
            </w:r>
            <w:r w:rsidR="00C65DA8">
              <w:rPr>
                <w:rFonts w:ascii="Calibri" w:eastAsia="Calibri" w:hAnsi="Calibri" w:cs="Calibri"/>
                <w:sz w:val="20"/>
                <w:szCs w:val="20"/>
              </w:rPr>
              <w:t xml:space="preserve"> </w:t>
            </w:r>
            <w:r w:rsidR="00C65DA8" w:rsidRPr="00C65DA8">
              <w:rPr>
                <w:rFonts w:ascii="Calibri" w:eastAsia="Calibri" w:hAnsi="Calibri" w:cs="Calibri"/>
                <w:sz w:val="20"/>
                <w:szCs w:val="20"/>
              </w:rPr>
              <w:t>w cenach na początek roku 2020</w:t>
            </w:r>
            <w:r>
              <w:rPr>
                <w:rFonts w:ascii="Calibri" w:eastAsia="Calibri" w:hAnsi="Calibri" w:cs="Calibri"/>
                <w:sz w:val="20"/>
                <w:szCs w:val="20"/>
              </w:rPr>
              <w:t>:</w:t>
            </w:r>
          </w:p>
          <w:p w14:paraId="76294DA8" w14:textId="77777777" w:rsidR="00600DEE" w:rsidRDefault="00600DEE">
            <w:pPr>
              <w:jc w:val="both"/>
              <w:rPr>
                <w:rFonts w:ascii="Calibri" w:eastAsia="Calibri" w:hAnsi="Calibri" w:cs="Calibri"/>
                <w:sz w:val="20"/>
                <w:szCs w:val="20"/>
                <w:u w:val="single"/>
              </w:rPr>
            </w:pPr>
          </w:p>
          <w:tbl>
            <w:tblPr>
              <w:tblStyle w:val="affffffffffffff5"/>
              <w:tblW w:w="5809" w:type="dxa"/>
              <w:tblLayout w:type="fixed"/>
              <w:tblLook w:val="0000" w:firstRow="0" w:lastRow="0" w:firstColumn="0" w:lastColumn="0" w:noHBand="0" w:noVBand="0"/>
            </w:tblPr>
            <w:tblGrid>
              <w:gridCol w:w="2025"/>
              <w:gridCol w:w="2017"/>
              <w:gridCol w:w="1767"/>
            </w:tblGrid>
            <w:tr w:rsidR="00600DEE" w14:paraId="6D60C8C5" w14:textId="77777777" w:rsidTr="00173EC8">
              <w:trPr>
                <w:trHeight w:val="907"/>
              </w:trPr>
              <w:tc>
                <w:tcPr>
                  <w:tcW w:w="2025" w:type="dxa"/>
                  <w:vMerge w:val="restart"/>
                  <w:tcBorders>
                    <w:top w:val="single" w:sz="4" w:space="0" w:color="FFFFFF"/>
                    <w:left w:val="single" w:sz="4" w:space="0" w:color="FFFFFF"/>
                  </w:tcBorders>
                  <w:shd w:val="clear" w:color="auto" w:fill="A6A6A6"/>
                  <w:vAlign w:val="center"/>
                </w:tcPr>
                <w:p w14:paraId="29952842"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Prędkość (km/h)</w:t>
                  </w:r>
                </w:p>
              </w:tc>
              <w:tc>
                <w:tcPr>
                  <w:tcW w:w="3784" w:type="dxa"/>
                  <w:gridSpan w:val="2"/>
                  <w:tcBorders>
                    <w:top w:val="single" w:sz="4" w:space="0" w:color="FFFFFF"/>
                    <w:left w:val="single" w:sz="4" w:space="0" w:color="FFFFFF"/>
                    <w:bottom w:val="single" w:sz="4" w:space="0" w:color="FFFFFF"/>
                  </w:tcBorders>
                  <w:shd w:val="clear" w:color="auto" w:fill="A6A6A6"/>
                  <w:vAlign w:val="center"/>
                </w:tcPr>
                <w:p w14:paraId="5A363A20"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Zużycie paliwa dla HGV – teren płaski (nawierzchnia nowowybudowana /wyremontowana)</w:t>
                  </w:r>
                </w:p>
              </w:tc>
            </w:tr>
            <w:tr w:rsidR="00600DEE" w14:paraId="11E3B7FB" w14:textId="77777777">
              <w:trPr>
                <w:trHeight w:val="284"/>
              </w:trPr>
              <w:tc>
                <w:tcPr>
                  <w:tcW w:w="2025" w:type="dxa"/>
                  <w:vMerge/>
                  <w:tcBorders>
                    <w:top w:val="single" w:sz="4" w:space="0" w:color="FFFFFF"/>
                    <w:left w:val="single" w:sz="4" w:space="0" w:color="FFFFFF"/>
                  </w:tcBorders>
                  <w:shd w:val="clear" w:color="auto" w:fill="A6A6A6"/>
                  <w:vAlign w:val="center"/>
                </w:tcPr>
                <w:p w14:paraId="35032407"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rPr>
                  </w:pPr>
                </w:p>
              </w:tc>
              <w:tc>
                <w:tcPr>
                  <w:tcW w:w="2017" w:type="dxa"/>
                  <w:tcBorders>
                    <w:top w:val="single" w:sz="4" w:space="0" w:color="FFFFFF"/>
                    <w:left w:val="single" w:sz="4" w:space="0" w:color="FFFFFF"/>
                    <w:bottom w:val="single" w:sz="4" w:space="0" w:color="FFFFFF"/>
                  </w:tcBorders>
                  <w:shd w:val="clear" w:color="auto" w:fill="A6A6A6"/>
                  <w:vAlign w:val="center"/>
                </w:tcPr>
                <w:p w14:paraId="548A0120"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l/100 km</w:t>
                  </w:r>
                </w:p>
              </w:tc>
              <w:tc>
                <w:tcPr>
                  <w:tcW w:w="1767" w:type="dxa"/>
                  <w:tcBorders>
                    <w:top w:val="single" w:sz="4" w:space="0" w:color="FFFFFF"/>
                    <w:left w:val="single" w:sz="4" w:space="0" w:color="FFFFFF"/>
                    <w:bottom w:val="single" w:sz="4" w:space="0" w:color="FFFFFF"/>
                  </w:tcBorders>
                  <w:shd w:val="clear" w:color="auto" w:fill="A6A6A6"/>
                  <w:vAlign w:val="center"/>
                </w:tcPr>
                <w:p w14:paraId="4D5A07A2" w14:textId="78AC975C" w:rsidR="00600DEE" w:rsidRDefault="00C65DA8">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PLN/poj-</w:t>
                  </w:r>
                  <w:r w:rsidR="00641FB5">
                    <w:rPr>
                      <w:rFonts w:ascii="Calibri" w:eastAsia="Calibri" w:hAnsi="Calibri" w:cs="Calibri"/>
                      <w:b/>
                      <w:color w:val="FFFFFF"/>
                      <w:sz w:val="18"/>
                      <w:szCs w:val="18"/>
                    </w:rPr>
                    <w:t>km</w:t>
                  </w:r>
                </w:p>
              </w:tc>
            </w:tr>
            <w:tr w:rsidR="00600DEE" w14:paraId="7AF1A9B7"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6815E1C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w:t>
                  </w:r>
                </w:p>
              </w:tc>
              <w:tc>
                <w:tcPr>
                  <w:tcW w:w="2017" w:type="dxa"/>
                  <w:tcBorders>
                    <w:top w:val="single" w:sz="4" w:space="0" w:color="FFFFFF"/>
                    <w:left w:val="single" w:sz="4" w:space="0" w:color="FFFFFF"/>
                    <w:bottom w:val="single" w:sz="4" w:space="0" w:color="FFFFFF"/>
                  </w:tcBorders>
                  <w:shd w:val="clear" w:color="auto" w:fill="DBE5F1"/>
                  <w:vAlign w:val="bottom"/>
                </w:tcPr>
                <w:p w14:paraId="2A82DDE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61,594</w:t>
                  </w:r>
                </w:p>
              </w:tc>
              <w:tc>
                <w:tcPr>
                  <w:tcW w:w="1767" w:type="dxa"/>
                  <w:tcBorders>
                    <w:top w:val="single" w:sz="4" w:space="0" w:color="FFFFFF"/>
                    <w:left w:val="single" w:sz="4" w:space="0" w:color="FFFFFF"/>
                    <w:bottom w:val="single" w:sz="4" w:space="0" w:color="FFFFFF"/>
                  </w:tcBorders>
                  <w:shd w:val="clear" w:color="auto" w:fill="DBE5F1"/>
                  <w:vAlign w:val="bottom"/>
                </w:tcPr>
                <w:p w14:paraId="79883F4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1,524</w:t>
                  </w:r>
                </w:p>
              </w:tc>
            </w:tr>
            <w:tr w:rsidR="00600DEE" w14:paraId="73B607D3"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2408C09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11-20</w:t>
                  </w:r>
                </w:p>
              </w:tc>
              <w:tc>
                <w:tcPr>
                  <w:tcW w:w="2017" w:type="dxa"/>
                  <w:tcBorders>
                    <w:top w:val="single" w:sz="4" w:space="0" w:color="FFFFFF"/>
                    <w:left w:val="single" w:sz="4" w:space="0" w:color="FFFFFF"/>
                    <w:bottom w:val="single" w:sz="4" w:space="0" w:color="FFFFFF"/>
                  </w:tcBorders>
                  <w:shd w:val="clear" w:color="auto" w:fill="DBE5F1"/>
                  <w:vAlign w:val="bottom"/>
                </w:tcPr>
                <w:p w14:paraId="7ED195C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34,305</w:t>
                  </w:r>
                </w:p>
              </w:tc>
              <w:tc>
                <w:tcPr>
                  <w:tcW w:w="1767" w:type="dxa"/>
                  <w:tcBorders>
                    <w:top w:val="single" w:sz="4" w:space="0" w:color="FFFFFF"/>
                    <w:left w:val="single" w:sz="4" w:space="0" w:color="FFFFFF"/>
                    <w:bottom w:val="single" w:sz="4" w:space="0" w:color="FFFFFF"/>
                  </w:tcBorders>
                  <w:shd w:val="clear" w:color="auto" w:fill="DBE5F1"/>
                  <w:vAlign w:val="bottom"/>
                </w:tcPr>
                <w:p w14:paraId="496CF31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0,849</w:t>
                  </w:r>
                </w:p>
              </w:tc>
            </w:tr>
            <w:tr w:rsidR="00600DEE" w14:paraId="70CBA1F7"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2957276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21-30</w:t>
                  </w:r>
                </w:p>
              </w:tc>
              <w:tc>
                <w:tcPr>
                  <w:tcW w:w="2017" w:type="dxa"/>
                  <w:tcBorders>
                    <w:top w:val="single" w:sz="4" w:space="0" w:color="FFFFFF"/>
                    <w:left w:val="single" w:sz="4" w:space="0" w:color="FFFFFF"/>
                    <w:bottom w:val="single" w:sz="4" w:space="0" w:color="FFFFFF"/>
                  </w:tcBorders>
                  <w:shd w:val="clear" w:color="auto" w:fill="DBE5F1"/>
                  <w:vAlign w:val="bottom"/>
                </w:tcPr>
                <w:p w14:paraId="0F8EACA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26,090</w:t>
                  </w:r>
                </w:p>
              </w:tc>
              <w:tc>
                <w:tcPr>
                  <w:tcW w:w="1767" w:type="dxa"/>
                  <w:tcBorders>
                    <w:top w:val="single" w:sz="4" w:space="0" w:color="FFFFFF"/>
                    <w:left w:val="single" w:sz="4" w:space="0" w:color="FFFFFF"/>
                    <w:bottom w:val="single" w:sz="4" w:space="0" w:color="FFFFFF"/>
                  </w:tcBorders>
                  <w:shd w:val="clear" w:color="auto" w:fill="DBE5F1"/>
                  <w:vAlign w:val="bottom"/>
                </w:tcPr>
                <w:p w14:paraId="6F82322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0,646</w:t>
                  </w:r>
                </w:p>
              </w:tc>
            </w:tr>
            <w:tr w:rsidR="00600DEE" w14:paraId="5F38214F"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4F1174C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31-40</w:t>
                  </w:r>
                </w:p>
              </w:tc>
              <w:tc>
                <w:tcPr>
                  <w:tcW w:w="2017" w:type="dxa"/>
                  <w:tcBorders>
                    <w:top w:val="single" w:sz="4" w:space="0" w:color="FFFFFF"/>
                    <w:left w:val="single" w:sz="4" w:space="0" w:color="FFFFFF"/>
                    <w:bottom w:val="single" w:sz="4" w:space="0" w:color="FFFFFF"/>
                  </w:tcBorders>
                  <w:shd w:val="clear" w:color="auto" w:fill="DBE5F1"/>
                  <w:vAlign w:val="bottom"/>
                </w:tcPr>
                <w:p w14:paraId="6BBA778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21,921</w:t>
                  </w:r>
                </w:p>
              </w:tc>
              <w:tc>
                <w:tcPr>
                  <w:tcW w:w="1767" w:type="dxa"/>
                  <w:tcBorders>
                    <w:top w:val="single" w:sz="4" w:space="0" w:color="FFFFFF"/>
                    <w:left w:val="single" w:sz="4" w:space="0" w:color="FFFFFF"/>
                    <w:bottom w:val="single" w:sz="4" w:space="0" w:color="FFFFFF"/>
                  </w:tcBorders>
                  <w:shd w:val="clear" w:color="auto" w:fill="DBE5F1"/>
                  <w:vAlign w:val="bottom"/>
                </w:tcPr>
                <w:p w14:paraId="6B88191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0,542</w:t>
                  </w:r>
                </w:p>
              </w:tc>
            </w:tr>
            <w:tr w:rsidR="00600DEE" w14:paraId="7A1F24E6"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0762C15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41-50</w:t>
                  </w:r>
                </w:p>
              </w:tc>
              <w:tc>
                <w:tcPr>
                  <w:tcW w:w="2017" w:type="dxa"/>
                  <w:tcBorders>
                    <w:top w:val="single" w:sz="4" w:space="0" w:color="FFFFFF"/>
                    <w:left w:val="single" w:sz="4" w:space="0" w:color="FFFFFF"/>
                    <w:bottom w:val="single" w:sz="4" w:space="0" w:color="FFFFFF"/>
                  </w:tcBorders>
                  <w:shd w:val="clear" w:color="auto" w:fill="DBE5F1"/>
                  <w:vAlign w:val="bottom"/>
                </w:tcPr>
                <w:p w14:paraId="729F36A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19,632</w:t>
                  </w:r>
                </w:p>
              </w:tc>
              <w:tc>
                <w:tcPr>
                  <w:tcW w:w="1767" w:type="dxa"/>
                  <w:tcBorders>
                    <w:top w:val="single" w:sz="4" w:space="0" w:color="FFFFFF"/>
                    <w:left w:val="single" w:sz="4" w:space="0" w:color="FFFFFF"/>
                    <w:bottom w:val="single" w:sz="4" w:space="0" w:color="FFFFFF"/>
                  </w:tcBorders>
                  <w:shd w:val="clear" w:color="auto" w:fill="DBE5F1"/>
                  <w:vAlign w:val="bottom"/>
                </w:tcPr>
                <w:p w14:paraId="6100E35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0,486</w:t>
                  </w:r>
                </w:p>
              </w:tc>
            </w:tr>
            <w:tr w:rsidR="00600DEE" w14:paraId="36612ACC"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17D77BA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51-60</w:t>
                  </w:r>
                </w:p>
              </w:tc>
              <w:tc>
                <w:tcPr>
                  <w:tcW w:w="2017" w:type="dxa"/>
                  <w:tcBorders>
                    <w:top w:val="single" w:sz="4" w:space="0" w:color="FFFFFF"/>
                    <w:left w:val="single" w:sz="4" w:space="0" w:color="FFFFFF"/>
                    <w:bottom w:val="single" w:sz="4" w:space="0" w:color="FFFFFF"/>
                  </w:tcBorders>
                  <w:shd w:val="clear" w:color="auto" w:fill="DBE5F1"/>
                  <w:vAlign w:val="bottom"/>
                </w:tcPr>
                <w:p w14:paraId="40AF5EF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18,414</w:t>
                  </w:r>
                </w:p>
              </w:tc>
              <w:tc>
                <w:tcPr>
                  <w:tcW w:w="1767" w:type="dxa"/>
                  <w:tcBorders>
                    <w:top w:val="single" w:sz="4" w:space="0" w:color="FFFFFF"/>
                    <w:left w:val="single" w:sz="4" w:space="0" w:color="FFFFFF"/>
                    <w:bottom w:val="single" w:sz="4" w:space="0" w:color="FFFFFF"/>
                  </w:tcBorders>
                  <w:shd w:val="clear" w:color="auto" w:fill="DBE5F1"/>
                  <w:vAlign w:val="bottom"/>
                </w:tcPr>
                <w:p w14:paraId="22DA93B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0,456</w:t>
                  </w:r>
                </w:p>
              </w:tc>
            </w:tr>
            <w:tr w:rsidR="00600DEE" w14:paraId="3B9547DA"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48B395B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61-70</w:t>
                  </w:r>
                </w:p>
              </w:tc>
              <w:tc>
                <w:tcPr>
                  <w:tcW w:w="2017" w:type="dxa"/>
                  <w:tcBorders>
                    <w:top w:val="single" w:sz="4" w:space="0" w:color="FFFFFF"/>
                    <w:left w:val="single" w:sz="4" w:space="0" w:color="FFFFFF"/>
                    <w:bottom w:val="single" w:sz="4" w:space="0" w:color="FFFFFF"/>
                  </w:tcBorders>
                  <w:shd w:val="clear" w:color="auto" w:fill="DBE5F1"/>
                  <w:vAlign w:val="bottom"/>
                </w:tcPr>
                <w:p w14:paraId="2C849EB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17,843</w:t>
                  </w:r>
                </w:p>
              </w:tc>
              <w:tc>
                <w:tcPr>
                  <w:tcW w:w="1767" w:type="dxa"/>
                  <w:tcBorders>
                    <w:top w:val="single" w:sz="4" w:space="0" w:color="FFFFFF"/>
                    <w:left w:val="single" w:sz="4" w:space="0" w:color="FFFFFF"/>
                    <w:bottom w:val="single" w:sz="4" w:space="0" w:color="FFFFFF"/>
                  </w:tcBorders>
                  <w:shd w:val="clear" w:color="auto" w:fill="DBE5F1"/>
                  <w:vAlign w:val="bottom"/>
                </w:tcPr>
                <w:p w14:paraId="76C9ECF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0,441</w:t>
                  </w:r>
                </w:p>
              </w:tc>
            </w:tr>
            <w:tr w:rsidR="00600DEE" w14:paraId="76609160"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68F25AF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71-80</w:t>
                  </w:r>
                </w:p>
              </w:tc>
              <w:tc>
                <w:tcPr>
                  <w:tcW w:w="2017" w:type="dxa"/>
                  <w:tcBorders>
                    <w:top w:val="single" w:sz="4" w:space="0" w:color="FFFFFF"/>
                    <w:left w:val="single" w:sz="4" w:space="0" w:color="FFFFFF"/>
                    <w:bottom w:val="single" w:sz="4" w:space="0" w:color="FFFFFF"/>
                  </w:tcBorders>
                  <w:shd w:val="clear" w:color="auto" w:fill="DBE5F1"/>
                  <w:vAlign w:val="bottom"/>
                </w:tcPr>
                <w:p w14:paraId="3498E81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17,687</w:t>
                  </w:r>
                </w:p>
              </w:tc>
              <w:tc>
                <w:tcPr>
                  <w:tcW w:w="1767" w:type="dxa"/>
                  <w:tcBorders>
                    <w:top w:val="single" w:sz="4" w:space="0" w:color="FFFFFF"/>
                    <w:left w:val="single" w:sz="4" w:space="0" w:color="FFFFFF"/>
                    <w:bottom w:val="single" w:sz="4" w:space="0" w:color="FFFFFF"/>
                  </w:tcBorders>
                  <w:shd w:val="clear" w:color="auto" w:fill="DBE5F1"/>
                  <w:vAlign w:val="bottom"/>
                </w:tcPr>
                <w:p w14:paraId="690B6CF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0,438</w:t>
                  </w:r>
                </w:p>
              </w:tc>
            </w:tr>
            <w:tr w:rsidR="00600DEE" w14:paraId="6F3D6DC0"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71B618E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81-90</w:t>
                  </w:r>
                </w:p>
              </w:tc>
              <w:tc>
                <w:tcPr>
                  <w:tcW w:w="2017" w:type="dxa"/>
                  <w:tcBorders>
                    <w:top w:val="single" w:sz="4" w:space="0" w:color="FFFFFF"/>
                    <w:left w:val="single" w:sz="4" w:space="0" w:color="FFFFFF"/>
                    <w:bottom w:val="single" w:sz="4" w:space="0" w:color="FFFFFF"/>
                  </w:tcBorders>
                  <w:shd w:val="clear" w:color="auto" w:fill="DBE5F1"/>
                  <w:vAlign w:val="bottom"/>
                </w:tcPr>
                <w:p w14:paraId="71E6D1C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17,861</w:t>
                  </w:r>
                </w:p>
              </w:tc>
              <w:tc>
                <w:tcPr>
                  <w:tcW w:w="1767" w:type="dxa"/>
                  <w:tcBorders>
                    <w:top w:val="single" w:sz="4" w:space="0" w:color="FFFFFF"/>
                    <w:left w:val="single" w:sz="4" w:space="0" w:color="FFFFFF"/>
                    <w:bottom w:val="single" w:sz="4" w:space="0" w:color="FFFFFF"/>
                  </w:tcBorders>
                  <w:shd w:val="clear" w:color="auto" w:fill="DBE5F1"/>
                  <w:vAlign w:val="bottom"/>
                </w:tcPr>
                <w:p w14:paraId="3F099F9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0,442</w:t>
                  </w:r>
                </w:p>
              </w:tc>
            </w:tr>
            <w:tr w:rsidR="00600DEE" w14:paraId="7E2B3A66"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22A85A8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91-100</w:t>
                  </w:r>
                </w:p>
              </w:tc>
              <w:tc>
                <w:tcPr>
                  <w:tcW w:w="2017" w:type="dxa"/>
                  <w:tcBorders>
                    <w:top w:val="single" w:sz="4" w:space="0" w:color="FFFFFF"/>
                    <w:left w:val="single" w:sz="4" w:space="0" w:color="FFFFFF"/>
                    <w:bottom w:val="single" w:sz="4" w:space="0" w:color="FFFFFF"/>
                  </w:tcBorders>
                  <w:shd w:val="clear" w:color="auto" w:fill="DBE5F1"/>
                  <w:vAlign w:val="bottom"/>
                </w:tcPr>
                <w:p w14:paraId="2FA5EFF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18,524</w:t>
                  </w:r>
                </w:p>
              </w:tc>
              <w:tc>
                <w:tcPr>
                  <w:tcW w:w="1767" w:type="dxa"/>
                  <w:tcBorders>
                    <w:top w:val="single" w:sz="4" w:space="0" w:color="FFFFFF"/>
                    <w:left w:val="single" w:sz="4" w:space="0" w:color="FFFFFF"/>
                    <w:bottom w:val="single" w:sz="4" w:space="0" w:color="FFFFFF"/>
                  </w:tcBorders>
                  <w:shd w:val="clear" w:color="auto" w:fill="DBE5F1"/>
                  <w:vAlign w:val="bottom"/>
                </w:tcPr>
                <w:p w14:paraId="0BF2D6E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0,458</w:t>
                  </w:r>
                </w:p>
              </w:tc>
            </w:tr>
            <w:tr w:rsidR="00600DEE" w14:paraId="687068F5"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5B6C5D2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101-110</w:t>
                  </w:r>
                </w:p>
              </w:tc>
              <w:tc>
                <w:tcPr>
                  <w:tcW w:w="2017" w:type="dxa"/>
                  <w:tcBorders>
                    <w:top w:val="single" w:sz="4" w:space="0" w:color="FFFFFF"/>
                    <w:left w:val="single" w:sz="4" w:space="0" w:color="FFFFFF"/>
                    <w:bottom w:val="single" w:sz="4" w:space="0" w:color="FFFFFF"/>
                  </w:tcBorders>
                  <w:shd w:val="clear" w:color="auto" w:fill="DBE5F1"/>
                  <w:vAlign w:val="bottom"/>
                </w:tcPr>
                <w:p w14:paraId="673DA16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21,322</w:t>
                  </w:r>
                </w:p>
              </w:tc>
              <w:tc>
                <w:tcPr>
                  <w:tcW w:w="1767" w:type="dxa"/>
                  <w:tcBorders>
                    <w:top w:val="single" w:sz="4" w:space="0" w:color="FFFFFF"/>
                    <w:left w:val="single" w:sz="4" w:space="0" w:color="FFFFFF"/>
                    <w:bottom w:val="single" w:sz="4" w:space="0" w:color="FFFFFF"/>
                  </w:tcBorders>
                  <w:shd w:val="clear" w:color="auto" w:fill="DBE5F1"/>
                  <w:vAlign w:val="bottom"/>
                </w:tcPr>
                <w:p w14:paraId="426644F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0,528</w:t>
                  </w:r>
                </w:p>
              </w:tc>
            </w:tr>
            <w:tr w:rsidR="00600DEE" w14:paraId="5184EB0C"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3B7765C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111-120</w:t>
                  </w:r>
                </w:p>
              </w:tc>
              <w:tc>
                <w:tcPr>
                  <w:tcW w:w="2017" w:type="dxa"/>
                  <w:tcBorders>
                    <w:top w:val="single" w:sz="4" w:space="0" w:color="FFFFFF"/>
                    <w:left w:val="single" w:sz="4" w:space="0" w:color="FFFFFF"/>
                    <w:bottom w:val="single" w:sz="4" w:space="0" w:color="FFFFFF"/>
                  </w:tcBorders>
                  <w:shd w:val="clear" w:color="auto" w:fill="DBE5F1"/>
                  <w:vAlign w:val="bottom"/>
                </w:tcPr>
                <w:p w14:paraId="6E8971C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24,121</w:t>
                  </w:r>
                </w:p>
              </w:tc>
              <w:tc>
                <w:tcPr>
                  <w:tcW w:w="1767" w:type="dxa"/>
                  <w:tcBorders>
                    <w:top w:val="single" w:sz="4" w:space="0" w:color="FFFFFF"/>
                    <w:left w:val="single" w:sz="4" w:space="0" w:color="FFFFFF"/>
                    <w:bottom w:val="single" w:sz="4" w:space="0" w:color="FFFFFF"/>
                  </w:tcBorders>
                  <w:shd w:val="clear" w:color="auto" w:fill="DBE5F1"/>
                  <w:vAlign w:val="bottom"/>
                </w:tcPr>
                <w:p w14:paraId="29DE558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0,597</w:t>
                  </w:r>
                </w:p>
              </w:tc>
            </w:tr>
            <w:tr w:rsidR="00600DEE" w14:paraId="5A01896E"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733A099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121-130</w:t>
                  </w:r>
                </w:p>
              </w:tc>
              <w:tc>
                <w:tcPr>
                  <w:tcW w:w="2017" w:type="dxa"/>
                  <w:tcBorders>
                    <w:top w:val="single" w:sz="4" w:space="0" w:color="FFFFFF"/>
                    <w:left w:val="single" w:sz="4" w:space="0" w:color="FFFFFF"/>
                    <w:bottom w:val="single" w:sz="4" w:space="0" w:color="FFFFFF"/>
                  </w:tcBorders>
                  <w:shd w:val="clear" w:color="auto" w:fill="DBE5F1"/>
                  <w:vAlign w:val="bottom"/>
                </w:tcPr>
                <w:p w14:paraId="148FDF9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26,919</w:t>
                  </w:r>
                </w:p>
              </w:tc>
              <w:tc>
                <w:tcPr>
                  <w:tcW w:w="1767" w:type="dxa"/>
                  <w:tcBorders>
                    <w:top w:val="single" w:sz="4" w:space="0" w:color="FFFFFF"/>
                    <w:left w:val="single" w:sz="4" w:space="0" w:color="FFFFFF"/>
                    <w:bottom w:val="single" w:sz="4" w:space="0" w:color="FFFFFF"/>
                  </w:tcBorders>
                  <w:shd w:val="clear" w:color="auto" w:fill="DBE5F1"/>
                  <w:vAlign w:val="bottom"/>
                </w:tcPr>
                <w:p w14:paraId="6E80B08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0,666</w:t>
                  </w:r>
                </w:p>
              </w:tc>
            </w:tr>
            <w:tr w:rsidR="00600DEE" w14:paraId="0ED074F6"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08021F0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131-140</w:t>
                  </w:r>
                </w:p>
              </w:tc>
              <w:tc>
                <w:tcPr>
                  <w:tcW w:w="2017" w:type="dxa"/>
                  <w:tcBorders>
                    <w:top w:val="single" w:sz="4" w:space="0" w:color="FFFFFF"/>
                    <w:left w:val="single" w:sz="4" w:space="0" w:color="FFFFFF"/>
                    <w:bottom w:val="single" w:sz="4" w:space="0" w:color="FFFFFF"/>
                  </w:tcBorders>
                  <w:shd w:val="clear" w:color="auto" w:fill="DBE5F1"/>
                  <w:vAlign w:val="bottom"/>
                </w:tcPr>
                <w:p w14:paraId="546BF4E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29,718</w:t>
                  </w:r>
                </w:p>
              </w:tc>
              <w:tc>
                <w:tcPr>
                  <w:tcW w:w="1767" w:type="dxa"/>
                  <w:tcBorders>
                    <w:top w:val="single" w:sz="4" w:space="0" w:color="FFFFFF"/>
                    <w:left w:val="single" w:sz="4" w:space="0" w:color="FFFFFF"/>
                    <w:bottom w:val="single" w:sz="4" w:space="0" w:color="FFFFFF"/>
                  </w:tcBorders>
                  <w:shd w:val="clear" w:color="auto" w:fill="DBE5F1"/>
                  <w:vAlign w:val="bottom"/>
                </w:tcPr>
                <w:p w14:paraId="4C9F1AB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0,735</w:t>
                  </w:r>
                </w:p>
              </w:tc>
            </w:tr>
          </w:tbl>
          <w:p w14:paraId="6E23C7B9" w14:textId="77777777" w:rsidR="00600DEE" w:rsidRDefault="00600DEE">
            <w:pPr>
              <w:jc w:val="both"/>
              <w:rPr>
                <w:rFonts w:ascii="Calibri" w:eastAsia="Calibri" w:hAnsi="Calibri" w:cs="Calibri"/>
                <w:sz w:val="20"/>
                <w:szCs w:val="20"/>
                <w:u w:val="single"/>
              </w:rPr>
            </w:pPr>
          </w:p>
          <w:p w14:paraId="6DB1F38C"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u w:val="single"/>
              </w:rPr>
            </w:pPr>
            <w:r>
              <w:rPr>
                <w:rFonts w:ascii="Calibri" w:eastAsia="Calibri" w:hAnsi="Calibri" w:cs="Calibri"/>
                <w:color w:val="000000"/>
                <w:sz w:val="20"/>
                <w:szCs w:val="20"/>
                <w:u w:val="single"/>
              </w:rPr>
              <w:t>Pozostałe koszty:</w:t>
            </w:r>
          </w:p>
          <w:p w14:paraId="5ED93F10" w14:textId="541CFF01"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Dodatkowo, kolejny składnik kosztów (nazywany także kosztem posiadania pojazdu) oblicza się z uwzględnieniem amortyzacji pojazdu i innych kosztów (np. zużycie opon, oleju, koszty rejestracji pojazdów, itp.). Dane wykorzystywane do oszacowania tych kosztów bazują na odpowiednich materiałach źródłowych dotyczących aktualnej polskiej floty pojazdów podanych poniżej.</w:t>
            </w:r>
          </w:p>
          <w:p w14:paraId="776FA0A7" w14:textId="77777777" w:rsidR="00173EC8" w:rsidRDefault="00173EC8">
            <w:pPr>
              <w:pBdr>
                <w:top w:val="nil"/>
                <w:left w:val="nil"/>
                <w:bottom w:val="nil"/>
                <w:right w:val="nil"/>
                <w:between w:val="nil"/>
              </w:pBdr>
              <w:spacing w:before="120"/>
              <w:jc w:val="both"/>
              <w:rPr>
                <w:rFonts w:ascii="Calibri" w:eastAsia="Calibri" w:hAnsi="Calibri" w:cs="Calibri"/>
                <w:color w:val="000000"/>
                <w:sz w:val="20"/>
                <w:szCs w:val="20"/>
              </w:rPr>
            </w:pPr>
          </w:p>
          <w:p w14:paraId="4F5536BB" w14:textId="4E7303CF"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Wyniki obliczeń dla spalinowych LV </w:t>
            </w:r>
            <w:r w:rsidR="00C65DA8" w:rsidRPr="00C65DA8">
              <w:rPr>
                <w:rFonts w:ascii="Calibri" w:eastAsia="Calibri" w:hAnsi="Calibri" w:cs="Calibri"/>
                <w:color w:val="000000"/>
                <w:sz w:val="20"/>
                <w:szCs w:val="20"/>
              </w:rPr>
              <w:t>w cenach na początek roku 2020 są</w:t>
            </w:r>
            <w:r>
              <w:rPr>
                <w:rFonts w:ascii="Calibri" w:eastAsia="Calibri" w:hAnsi="Calibri" w:cs="Calibri"/>
                <w:color w:val="000000"/>
                <w:sz w:val="20"/>
                <w:szCs w:val="20"/>
              </w:rPr>
              <w:t xml:space="preserve"> następujące:</w:t>
            </w:r>
          </w:p>
          <w:p w14:paraId="15F1F5F3" w14:textId="77777777" w:rsidR="00A3175F" w:rsidRDefault="00A3175F">
            <w:pPr>
              <w:pBdr>
                <w:top w:val="nil"/>
                <w:left w:val="nil"/>
                <w:bottom w:val="nil"/>
                <w:right w:val="nil"/>
                <w:between w:val="nil"/>
              </w:pBdr>
              <w:spacing w:before="120" w:after="120"/>
              <w:jc w:val="both"/>
              <w:rPr>
                <w:rFonts w:ascii="Calibri" w:eastAsia="Calibri" w:hAnsi="Calibri" w:cs="Calibri"/>
                <w:color w:val="000000"/>
                <w:sz w:val="20"/>
                <w:szCs w:val="20"/>
              </w:rPr>
            </w:pPr>
          </w:p>
          <w:tbl>
            <w:tblPr>
              <w:tblStyle w:val="affffffffffffff6"/>
              <w:tblW w:w="6264" w:type="dxa"/>
              <w:tblLayout w:type="fixed"/>
              <w:tblLook w:val="0000" w:firstRow="0" w:lastRow="0" w:firstColumn="0" w:lastColumn="0" w:noHBand="0" w:noVBand="0"/>
            </w:tblPr>
            <w:tblGrid>
              <w:gridCol w:w="2437"/>
              <w:gridCol w:w="2268"/>
              <w:gridCol w:w="1559"/>
            </w:tblGrid>
            <w:tr w:rsidR="00600DEE" w14:paraId="668840ED" w14:textId="77777777" w:rsidTr="0093229F">
              <w:trPr>
                <w:trHeight w:hRule="exact" w:val="794"/>
              </w:trPr>
              <w:tc>
                <w:tcPr>
                  <w:tcW w:w="2437" w:type="dxa"/>
                  <w:tcBorders>
                    <w:top w:val="single" w:sz="4" w:space="0" w:color="FFFFFF"/>
                    <w:left w:val="single" w:sz="4" w:space="0" w:color="FFFFFF"/>
                    <w:bottom w:val="single" w:sz="4" w:space="0" w:color="FFFFFF"/>
                  </w:tcBorders>
                  <w:shd w:val="clear" w:color="auto" w:fill="A6A6A6"/>
                  <w:vAlign w:val="center"/>
                </w:tcPr>
                <w:p w14:paraId="13218FAF" w14:textId="77777777" w:rsidR="00600DEE" w:rsidRDefault="00600DEE">
                  <w:pPr>
                    <w:spacing w:before="20"/>
                    <w:jc w:val="center"/>
                    <w:rPr>
                      <w:rFonts w:ascii="Calibri" w:eastAsia="Calibri" w:hAnsi="Calibri" w:cs="Calibri"/>
                      <w:b/>
                      <w:color w:val="FFFFFF"/>
                      <w:sz w:val="18"/>
                      <w:szCs w:val="18"/>
                    </w:rPr>
                  </w:pPr>
                </w:p>
              </w:tc>
              <w:tc>
                <w:tcPr>
                  <w:tcW w:w="2268" w:type="dxa"/>
                  <w:tcBorders>
                    <w:top w:val="single" w:sz="4" w:space="0" w:color="FFFFFF"/>
                    <w:left w:val="single" w:sz="4" w:space="0" w:color="FFFFFF"/>
                    <w:bottom w:val="single" w:sz="4" w:space="0" w:color="FFFFFF"/>
                  </w:tcBorders>
                  <w:shd w:val="clear" w:color="auto" w:fill="A6A6A6"/>
                  <w:vAlign w:val="center"/>
                </w:tcPr>
                <w:p w14:paraId="0991E7B2" w14:textId="77777777" w:rsidR="00600DEE" w:rsidRDefault="00641FB5">
                  <w:pPr>
                    <w:spacing w:before="20"/>
                    <w:jc w:val="center"/>
                    <w:rPr>
                      <w:rFonts w:ascii="Calibri" w:eastAsia="Calibri" w:hAnsi="Calibri" w:cs="Calibri"/>
                      <w:b/>
                      <w:color w:val="FFFFFF"/>
                      <w:sz w:val="18"/>
                      <w:szCs w:val="18"/>
                    </w:rPr>
                  </w:pPr>
                  <w:r>
                    <w:rPr>
                      <w:rFonts w:ascii="Calibri" w:eastAsia="Calibri" w:hAnsi="Calibri" w:cs="Calibri"/>
                      <w:b/>
                      <w:color w:val="FFFFFF"/>
                      <w:sz w:val="18"/>
                      <w:szCs w:val="18"/>
                    </w:rPr>
                    <w:t>w PLN, z uwzględnieniem podatków, opłat i ceł</w:t>
                  </w:r>
                </w:p>
              </w:tc>
              <w:tc>
                <w:tcPr>
                  <w:tcW w:w="1559" w:type="dxa"/>
                  <w:tcBorders>
                    <w:top w:val="single" w:sz="4" w:space="0" w:color="FFFFFF"/>
                    <w:left w:val="single" w:sz="4" w:space="0" w:color="FFFFFF"/>
                    <w:bottom w:val="single" w:sz="4" w:space="0" w:color="FFFFFF"/>
                  </w:tcBorders>
                  <w:shd w:val="clear" w:color="auto" w:fill="A6A6A6"/>
                </w:tcPr>
                <w:p w14:paraId="3D725734" w14:textId="77777777" w:rsidR="00600DEE" w:rsidRDefault="00641FB5">
                  <w:pPr>
                    <w:spacing w:before="20"/>
                    <w:jc w:val="center"/>
                    <w:rPr>
                      <w:rFonts w:ascii="Calibri" w:eastAsia="Calibri" w:hAnsi="Calibri" w:cs="Calibri"/>
                      <w:b/>
                      <w:color w:val="FFFFFF"/>
                      <w:sz w:val="18"/>
                      <w:szCs w:val="18"/>
                    </w:rPr>
                  </w:pPr>
                  <w:r>
                    <w:rPr>
                      <w:rFonts w:ascii="Calibri" w:eastAsia="Calibri" w:hAnsi="Calibri" w:cs="Calibri"/>
                      <w:b/>
                      <w:color w:val="FFFFFF"/>
                      <w:sz w:val="18"/>
                      <w:szCs w:val="18"/>
                    </w:rPr>
                    <w:t>w PLN, bez podatków, opłat i ceł</w:t>
                  </w:r>
                </w:p>
              </w:tc>
            </w:tr>
            <w:tr w:rsidR="00600DEE" w14:paraId="6E220944" w14:textId="77777777" w:rsidTr="0093229F">
              <w:trPr>
                <w:trHeight w:hRule="exact" w:val="340"/>
              </w:trPr>
              <w:tc>
                <w:tcPr>
                  <w:tcW w:w="2437" w:type="dxa"/>
                  <w:tcBorders>
                    <w:top w:val="single" w:sz="4" w:space="0" w:color="FFFFFF"/>
                    <w:left w:val="single" w:sz="4" w:space="0" w:color="FFFFFF"/>
                    <w:bottom w:val="single" w:sz="4" w:space="0" w:color="FFFFFF"/>
                  </w:tcBorders>
                  <w:shd w:val="clear" w:color="auto" w:fill="DBE5F1"/>
                  <w:vAlign w:val="bottom"/>
                </w:tcPr>
                <w:p w14:paraId="142FB88A" w14:textId="77777777" w:rsidR="00600DEE" w:rsidRDefault="00641FB5">
                  <w:pPr>
                    <w:spacing w:before="20"/>
                    <w:rPr>
                      <w:rFonts w:ascii="Calibri" w:eastAsia="Calibri" w:hAnsi="Calibri" w:cs="Calibri"/>
                      <w:color w:val="4F81BD"/>
                      <w:sz w:val="18"/>
                      <w:szCs w:val="18"/>
                    </w:rPr>
                  </w:pPr>
                  <w:r>
                    <w:rPr>
                      <w:rFonts w:ascii="Calibri" w:eastAsia="Calibri" w:hAnsi="Calibri" w:cs="Calibri"/>
                      <w:color w:val="4F81BD"/>
                      <w:sz w:val="18"/>
                      <w:szCs w:val="18"/>
                    </w:rPr>
                    <w:t>1. Ubezpieczenie OC</w:t>
                  </w:r>
                </w:p>
              </w:tc>
              <w:tc>
                <w:tcPr>
                  <w:tcW w:w="2268" w:type="dxa"/>
                  <w:tcBorders>
                    <w:top w:val="single" w:sz="4" w:space="0" w:color="FFFFFF"/>
                    <w:left w:val="single" w:sz="4" w:space="0" w:color="FFFFFF"/>
                    <w:bottom w:val="single" w:sz="4" w:space="0" w:color="FFFFFF"/>
                  </w:tcBorders>
                  <w:shd w:val="clear" w:color="auto" w:fill="DBE5F1"/>
                  <w:vAlign w:val="center"/>
                </w:tcPr>
                <w:p w14:paraId="05C743F4"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681</w:t>
                  </w:r>
                </w:p>
              </w:tc>
              <w:tc>
                <w:tcPr>
                  <w:tcW w:w="1559" w:type="dxa"/>
                  <w:tcBorders>
                    <w:top w:val="single" w:sz="4" w:space="0" w:color="FFFFFF"/>
                    <w:left w:val="single" w:sz="4" w:space="0" w:color="FFFFFF"/>
                    <w:bottom w:val="single" w:sz="4" w:space="0" w:color="FFFFFF"/>
                  </w:tcBorders>
                  <w:shd w:val="clear" w:color="auto" w:fill="DBE5F1"/>
                  <w:vAlign w:val="center"/>
                </w:tcPr>
                <w:p w14:paraId="4886957F"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681</w:t>
                  </w:r>
                </w:p>
              </w:tc>
            </w:tr>
            <w:tr w:rsidR="00600DEE" w14:paraId="0EDED194" w14:textId="77777777" w:rsidTr="0093229F">
              <w:trPr>
                <w:trHeight w:hRule="exact" w:val="340"/>
              </w:trPr>
              <w:tc>
                <w:tcPr>
                  <w:tcW w:w="2437" w:type="dxa"/>
                  <w:tcBorders>
                    <w:top w:val="single" w:sz="4" w:space="0" w:color="FFFFFF"/>
                    <w:left w:val="single" w:sz="4" w:space="0" w:color="FFFFFF"/>
                    <w:bottom w:val="single" w:sz="4" w:space="0" w:color="FFFFFF"/>
                  </w:tcBorders>
                  <w:shd w:val="clear" w:color="auto" w:fill="DBE5F1"/>
                  <w:vAlign w:val="bottom"/>
                </w:tcPr>
                <w:p w14:paraId="2ACA77A1" w14:textId="77777777" w:rsidR="00600DEE" w:rsidRDefault="00641FB5">
                  <w:pPr>
                    <w:spacing w:before="20"/>
                    <w:rPr>
                      <w:rFonts w:ascii="Calibri" w:eastAsia="Calibri" w:hAnsi="Calibri" w:cs="Calibri"/>
                      <w:color w:val="4F81BD"/>
                      <w:sz w:val="18"/>
                      <w:szCs w:val="18"/>
                    </w:rPr>
                  </w:pPr>
                  <w:r>
                    <w:rPr>
                      <w:rFonts w:ascii="Calibri" w:eastAsia="Calibri" w:hAnsi="Calibri" w:cs="Calibri"/>
                      <w:color w:val="4F81BD"/>
                      <w:sz w:val="18"/>
                      <w:szCs w:val="18"/>
                    </w:rPr>
                    <w:t>2. Wymiana opon</w:t>
                  </w:r>
                </w:p>
              </w:tc>
              <w:tc>
                <w:tcPr>
                  <w:tcW w:w="2268" w:type="dxa"/>
                  <w:tcBorders>
                    <w:top w:val="single" w:sz="4" w:space="0" w:color="FFFFFF"/>
                    <w:left w:val="single" w:sz="4" w:space="0" w:color="FFFFFF"/>
                    <w:bottom w:val="single" w:sz="4" w:space="0" w:color="FFFFFF"/>
                  </w:tcBorders>
                  <w:shd w:val="clear" w:color="auto" w:fill="DBE5F1"/>
                  <w:vAlign w:val="center"/>
                </w:tcPr>
                <w:p w14:paraId="345C3421"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216</w:t>
                  </w:r>
                </w:p>
              </w:tc>
              <w:tc>
                <w:tcPr>
                  <w:tcW w:w="1559" w:type="dxa"/>
                  <w:tcBorders>
                    <w:top w:val="single" w:sz="4" w:space="0" w:color="FFFFFF"/>
                    <w:left w:val="single" w:sz="4" w:space="0" w:color="FFFFFF"/>
                    <w:bottom w:val="single" w:sz="4" w:space="0" w:color="FFFFFF"/>
                  </w:tcBorders>
                  <w:shd w:val="clear" w:color="auto" w:fill="DBE5F1"/>
                  <w:vAlign w:val="center"/>
                </w:tcPr>
                <w:p w14:paraId="5048AB42"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176</w:t>
                  </w:r>
                </w:p>
              </w:tc>
            </w:tr>
            <w:tr w:rsidR="00600DEE" w14:paraId="27807AFB" w14:textId="77777777" w:rsidTr="0093229F">
              <w:trPr>
                <w:trHeight w:hRule="exact" w:val="454"/>
              </w:trPr>
              <w:tc>
                <w:tcPr>
                  <w:tcW w:w="2437" w:type="dxa"/>
                  <w:tcBorders>
                    <w:top w:val="single" w:sz="4" w:space="0" w:color="FFFFFF"/>
                    <w:left w:val="single" w:sz="4" w:space="0" w:color="FFFFFF"/>
                    <w:bottom w:val="single" w:sz="4" w:space="0" w:color="FFFFFF"/>
                  </w:tcBorders>
                  <w:shd w:val="clear" w:color="auto" w:fill="DBE5F1"/>
                  <w:vAlign w:val="bottom"/>
                </w:tcPr>
                <w:p w14:paraId="151AE300" w14:textId="77777777" w:rsidR="00600DEE" w:rsidRDefault="00641FB5">
                  <w:pPr>
                    <w:spacing w:before="20"/>
                    <w:rPr>
                      <w:rFonts w:ascii="Calibri" w:eastAsia="Calibri" w:hAnsi="Calibri" w:cs="Calibri"/>
                      <w:color w:val="4F81BD"/>
                      <w:sz w:val="18"/>
                      <w:szCs w:val="18"/>
                    </w:rPr>
                  </w:pPr>
                  <w:r>
                    <w:rPr>
                      <w:rFonts w:ascii="Calibri" w:eastAsia="Calibri" w:hAnsi="Calibri" w:cs="Calibri"/>
                      <w:color w:val="4F81BD"/>
                      <w:sz w:val="18"/>
                      <w:szCs w:val="18"/>
                    </w:rPr>
                    <w:t xml:space="preserve">3. Obowiązkowe przeglądy i opłaty </w:t>
                  </w:r>
                </w:p>
              </w:tc>
              <w:tc>
                <w:tcPr>
                  <w:tcW w:w="2268" w:type="dxa"/>
                  <w:tcBorders>
                    <w:top w:val="single" w:sz="4" w:space="0" w:color="FFFFFF"/>
                    <w:left w:val="single" w:sz="4" w:space="0" w:color="FFFFFF"/>
                    <w:bottom w:val="single" w:sz="4" w:space="0" w:color="FFFFFF"/>
                  </w:tcBorders>
                  <w:shd w:val="clear" w:color="auto" w:fill="DBE5F1"/>
                  <w:vAlign w:val="center"/>
                </w:tcPr>
                <w:p w14:paraId="43832E5F"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100</w:t>
                  </w:r>
                </w:p>
              </w:tc>
              <w:tc>
                <w:tcPr>
                  <w:tcW w:w="1559" w:type="dxa"/>
                  <w:tcBorders>
                    <w:top w:val="single" w:sz="4" w:space="0" w:color="FFFFFF"/>
                    <w:left w:val="single" w:sz="4" w:space="0" w:color="FFFFFF"/>
                    <w:bottom w:val="single" w:sz="4" w:space="0" w:color="FFFFFF"/>
                  </w:tcBorders>
                  <w:shd w:val="clear" w:color="auto" w:fill="DBE5F1"/>
                  <w:vAlign w:val="center"/>
                </w:tcPr>
                <w:p w14:paraId="1A96D545"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100</w:t>
                  </w:r>
                </w:p>
              </w:tc>
            </w:tr>
            <w:tr w:rsidR="00600DEE" w14:paraId="1FBE5632" w14:textId="77777777" w:rsidTr="0093229F">
              <w:trPr>
                <w:trHeight w:hRule="exact" w:val="340"/>
              </w:trPr>
              <w:tc>
                <w:tcPr>
                  <w:tcW w:w="2437" w:type="dxa"/>
                  <w:tcBorders>
                    <w:top w:val="single" w:sz="4" w:space="0" w:color="FFFFFF"/>
                    <w:left w:val="single" w:sz="4" w:space="0" w:color="FFFFFF"/>
                    <w:bottom w:val="single" w:sz="4" w:space="0" w:color="FFFFFF"/>
                  </w:tcBorders>
                  <w:shd w:val="clear" w:color="auto" w:fill="DBE5F1"/>
                  <w:vAlign w:val="bottom"/>
                </w:tcPr>
                <w:p w14:paraId="06FAAA88" w14:textId="77777777" w:rsidR="00600DEE" w:rsidRDefault="00641FB5">
                  <w:pPr>
                    <w:spacing w:before="20"/>
                    <w:rPr>
                      <w:rFonts w:ascii="Calibri" w:eastAsia="Calibri" w:hAnsi="Calibri" w:cs="Calibri"/>
                      <w:color w:val="4F81BD"/>
                      <w:sz w:val="18"/>
                      <w:szCs w:val="18"/>
                    </w:rPr>
                  </w:pPr>
                  <w:r>
                    <w:rPr>
                      <w:rFonts w:ascii="Calibri" w:eastAsia="Calibri" w:hAnsi="Calibri" w:cs="Calibri"/>
                      <w:color w:val="4F81BD"/>
                      <w:sz w:val="18"/>
                      <w:szCs w:val="18"/>
                    </w:rPr>
                    <w:t>4. Olej, filtry, płyny</w:t>
                  </w:r>
                </w:p>
              </w:tc>
              <w:tc>
                <w:tcPr>
                  <w:tcW w:w="2268" w:type="dxa"/>
                  <w:tcBorders>
                    <w:top w:val="single" w:sz="4" w:space="0" w:color="FFFFFF"/>
                    <w:left w:val="single" w:sz="4" w:space="0" w:color="FFFFFF"/>
                    <w:bottom w:val="single" w:sz="4" w:space="0" w:color="FFFFFF"/>
                  </w:tcBorders>
                  <w:shd w:val="clear" w:color="auto" w:fill="DBE5F1"/>
                  <w:vAlign w:val="center"/>
                </w:tcPr>
                <w:p w14:paraId="596CD17C"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250</w:t>
                  </w:r>
                </w:p>
              </w:tc>
              <w:tc>
                <w:tcPr>
                  <w:tcW w:w="1559" w:type="dxa"/>
                  <w:tcBorders>
                    <w:top w:val="single" w:sz="4" w:space="0" w:color="FFFFFF"/>
                    <w:left w:val="single" w:sz="4" w:space="0" w:color="FFFFFF"/>
                    <w:bottom w:val="single" w:sz="4" w:space="0" w:color="FFFFFF"/>
                  </w:tcBorders>
                  <w:shd w:val="clear" w:color="auto" w:fill="DBE5F1"/>
                  <w:vAlign w:val="center"/>
                </w:tcPr>
                <w:p w14:paraId="3EAD7716"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203</w:t>
                  </w:r>
                </w:p>
              </w:tc>
            </w:tr>
            <w:tr w:rsidR="00600DEE" w14:paraId="739F9931" w14:textId="77777777" w:rsidTr="0093229F">
              <w:trPr>
                <w:trHeight w:hRule="exact" w:val="340"/>
              </w:trPr>
              <w:tc>
                <w:tcPr>
                  <w:tcW w:w="2437" w:type="dxa"/>
                  <w:tcBorders>
                    <w:top w:val="single" w:sz="4" w:space="0" w:color="FFFFFF"/>
                    <w:left w:val="single" w:sz="4" w:space="0" w:color="FFFFFF"/>
                    <w:bottom w:val="single" w:sz="4" w:space="0" w:color="FFFFFF"/>
                  </w:tcBorders>
                  <w:shd w:val="clear" w:color="auto" w:fill="DBE5F1"/>
                  <w:vAlign w:val="bottom"/>
                </w:tcPr>
                <w:p w14:paraId="63FD6F6A" w14:textId="77777777" w:rsidR="00600DEE" w:rsidRDefault="00641FB5">
                  <w:pPr>
                    <w:spacing w:before="20"/>
                    <w:rPr>
                      <w:rFonts w:ascii="Calibri" w:eastAsia="Calibri" w:hAnsi="Calibri" w:cs="Calibri"/>
                      <w:color w:val="4F81BD"/>
                      <w:sz w:val="18"/>
                      <w:szCs w:val="18"/>
                    </w:rPr>
                  </w:pPr>
                  <w:r>
                    <w:rPr>
                      <w:rFonts w:ascii="Calibri" w:eastAsia="Calibri" w:hAnsi="Calibri" w:cs="Calibri"/>
                      <w:color w:val="4F81BD"/>
                      <w:sz w:val="18"/>
                      <w:szCs w:val="18"/>
                    </w:rPr>
                    <w:t xml:space="preserve">5. Inne </w:t>
                  </w:r>
                </w:p>
              </w:tc>
              <w:tc>
                <w:tcPr>
                  <w:tcW w:w="2268" w:type="dxa"/>
                  <w:tcBorders>
                    <w:top w:val="single" w:sz="4" w:space="0" w:color="FFFFFF"/>
                    <w:left w:val="single" w:sz="4" w:space="0" w:color="FFFFFF"/>
                    <w:bottom w:val="single" w:sz="4" w:space="0" w:color="FFFFFF"/>
                  </w:tcBorders>
                  <w:shd w:val="clear" w:color="auto" w:fill="DBE5F1"/>
                  <w:vAlign w:val="center"/>
                </w:tcPr>
                <w:p w14:paraId="0CA818A4"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2000</w:t>
                  </w:r>
                </w:p>
              </w:tc>
              <w:tc>
                <w:tcPr>
                  <w:tcW w:w="1559" w:type="dxa"/>
                  <w:tcBorders>
                    <w:top w:val="single" w:sz="4" w:space="0" w:color="FFFFFF"/>
                    <w:left w:val="single" w:sz="4" w:space="0" w:color="FFFFFF"/>
                    <w:bottom w:val="single" w:sz="4" w:space="0" w:color="FFFFFF"/>
                  </w:tcBorders>
                  <w:shd w:val="clear" w:color="auto" w:fill="DBE5F1"/>
                  <w:vAlign w:val="center"/>
                </w:tcPr>
                <w:p w14:paraId="27C60AF8"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1626</w:t>
                  </w:r>
                </w:p>
              </w:tc>
            </w:tr>
            <w:tr w:rsidR="00600DEE" w14:paraId="77FEEB16" w14:textId="77777777" w:rsidTr="0093229F">
              <w:trPr>
                <w:trHeight w:hRule="exact" w:val="340"/>
              </w:trPr>
              <w:tc>
                <w:tcPr>
                  <w:tcW w:w="2437" w:type="dxa"/>
                  <w:tcBorders>
                    <w:top w:val="single" w:sz="4" w:space="0" w:color="FFFFFF"/>
                    <w:left w:val="single" w:sz="4" w:space="0" w:color="FFFFFF"/>
                    <w:bottom w:val="single" w:sz="4" w:space="0" w:color="FFFFFF"/>
                  </w:tcBorders>
                  <w:shd w:val="clear" w:color="auto" w:fill="DBE5F1"/>
                  <w:vAlign w:val="bottom"/>
                </w:tcPr>
                <w:p w14:paraId="4CC4E97B" w14:textId="77777777" w:rsidR="00600DEE" w:rsidRDefault="00600DEE">
                  <w:pPr>
                    <w:rPr>
                      <w:rFonts w:ascii="Calibri" w:eastAsia="Calibri" w:hAnsi="Calibri" w:cs="Calibri"/>
                      <w:i/>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tcPr>
                <w:p w14:paraId="393DF71D" w14:textId="77777777" w:rsidR="00600DEE" w:rsidRDefault="00600DEE">
                  <w:pPr>
                    <w:jc w:val="center"/>
                    <w:rPr>
                      <w:rFonts w:ascii="Calibri" w:eastAsia="Calibri" w:hAnsi="Calibri" w:cs="Calibri"/>
                      <w:i/>
                      <w:color w:val="4F81BD"/>
                      <w:sz w:val="18"/>
                      <w:szCs w:val="18"/>
                    </w:rPr>
                  </w:pPr>
                </w:p>
              </w:tc>
              <w:tc>
                <w:tcPr>
                  <w:tcW w:w="1559" w:type="dxa"/>
                  <w:tcBorders>
                    <w:top w:val="single" w:sz="4" w:space="0" w:color="FFFFFF"/>
                    <w:left w:val="single" w:sz="4" w:space="0" w:color="FFFFFF"/>
                    <w:bottom w:val="single" w:sz="4" w:space="0" w:color="FFFFFF"/>
                  </w:tcBorders>
                  <w:shd w:val="clear" w:color="auto" w:fill="DBE5F1"/>
                </w:tcPr>
                <w:p w14:paraId="193DEECD" w14:textId="77777777" w:rsidR="00600DEE" w:rsidRDefault="00600DEE">
                  <w:pPr>
                    <w:jc w:val="center"/>
                    <w:rPr>
                      <w:rFonts w:ascii="Calibri" w:eastAsia="Calibri" w:hAnsi="Calibri" w:cs="Calibri"/>
                      <w:i/>
                      <w:color w:val="4F81BD"/>
                      <w:sz w:val="18"/>
                      <w:szCs w:val="18"/>
                    </w:rPr>
                  </w:pPr>
                </w:p>
              </w:tc>
            </w:tr>
            <w:tr w:rsidR="00600DEE" w14:paraId="4CDA2E1A" w14:textId="77777777" w:rsidTr="0093229F">
              <w:trPr>
                <w:trHeight w:hRule="exact" w:val="340"/>
              </w:trPr>
              <w:tc>
                <w:tcPr>
                  <w:tcW w:w="2437" w:type="dxa"/>
                  <w:tcBorders>
                    <w:top w:val="single" w:sz="4" w:space="0" w:color="FFFFFF"/>
                    <w:left w:val="single" w:sz="4" w:space="0" w:color="FFFFFF"/>
                    <w:bottom w:val="single" w:sz="4" w:space="0" w:color="FFFFFF"/>
                  </w:tcBorders>
                  <w:shd w:val="clear" w:color="auto" w:fill="DBE5F1"/>
                  <w:vAlign w:val="bottom"/>
                </w:tcPr>
                <w:p w14:paraId="098DA92D" w14:textId="77777777" w:rsidR="00600DEE" w:rsidRDefault="00641FB5">
                  <w:pPr>
                    <w:rPr>
                      <w:rFonts w:ascii="Calibri" w:eastAsia="Calibri" w:hAnsi="Calibri" w:cs="Calibri"/>
                      <w:i/>
                      <w:color w:val="4F81BD"/>
                      <w:sz w:val="18"/>
                      <w:szCs w:val="18"/>
                    </w:rPr>
                  </w:pPr>
                  <w:r>
                    <w:rPr>
                      <w:rFonts w:ascii="Calibri" w:eastAsia="Calibri" w:hAnsi="Calibri" w:cs="Calibri"/>
                      <w:i/>
                      <w:color w:val="4F81BD"/>
                      <w:sz w:val="18"/>
                      <w:szCs w:val="18"/>
                    </w:rPr>
                    <w:t>Suma  (PLN/km) (*)</w:t>
                  </w:r>
                </w:p>
              </w:tc>
              <w:tc>
                <w:tcPr>
                  <w:tcW w:w="2268" w:type="dxa"/>
                  <w:tcBorders>
                    <w:top w:val="single" w:sz="4" w:space="0" w:color="FFFFFF"/>
                    <w:left w:val="single" w:sz="4" w:space="0" w:color="FFFFFF"/>
                    <w:bottom w:val="single" w:sz="4" w:space="0" w:color="FFFFFF"/>
                  </w:tcBorders>
                  <w:shd w:val="clear" w:color="auto" w:fill="DBE5F1"/>
                  <w:vAlign w:val="center"/>
                </w:tcPr>
                <w:p w14:paraId="1A9FD255"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0,374</w:t>
                  </w:r>
                </w:p>
              </w:tc>
              <w:tc>
                <w:tcPr>
                  <w:tcW w:w="1559" w:type="dxa"/>
                  <w:tcBorders>
                    <w:top w:val="single" w:sz="4" w:space="0" w:color="FFFFFF"/>
                    <w:left w:val="single" w:sz="4" w:space="0" w:color="FFFFFF"/>
                    <w:bottom w:val="single" w:sz="4" w:space="0" w:color="FFFFFF"/>
                  </w:tcBorders>
                  <w:shd w:val="clear" w:color="auto" w:fill="DBE5F1"/>
                  <w:vAlign w:val="center"/>
                </w:tcPr>
                <w:p w14:paraId="0054B617"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0,321</w:t>
                  </w:r>
                </w:p>
              </w:tc>
            </w:tr>
            <w:tr w:rsidR="00600DEE" w14:paraId="3F8BD497" w14:textId="77777777" w:rsidTr="0093229F">
              <w:trPr>
                <w:trHeight w:hRule="exact" w:val="340"/>
              </w:trPr>
              <w:tc>
                <w:tcPr>
                  <w:tcW w:w="2437" w:type="dxa"/>
                  <w:tcBorders>
                    <w:top w:val="single" w:sz="4" w:space="0" w:color="FFFFFF"/>
                    <w:left w:val="single" w:sz="4" w:space="0" w:color="FFFFFF"/>
                    <w:bottom w:val="single" w:sz="4" w:space="0" w:color="FFFFFF"/>
                  </w:tcBorders>
                  <w:shd w:val="clear" w:color="auto" w:fill="DBE5F1"/>
                  <w:vAlign w:val="bottom"/>
                </w:tcPr>
                <w:p w14:paraId="6927798E" w14:textId="77777777" w:rsidR="00600DEE" w:rsidRDefault="00600DEE">
                  <w:pPr>
                    <w:rPr>
                      <w:rFonts w:ascii="Calibri" w:eastAsia="Calibri" w:hAnsi="Calibri" w:cs="Calibri"/>
                      <w:color w:val="4F81BD"/>
                      <w:sz w:val="18"/>
                      <w:szCs w:val="18"/>
                    </w:rPr>
                  </w:pPr>
                </w:p>
              </w:tc>
              <w:tc>
                <w:tcPr>
                  <w:tcW w:w="2268" w:type="dxa"/>
                  <w:tcBorders>
                    <w:top w:val="single" w:sz="4" w:space="0" w:color="FFFFFF"/>
                    <w:left w:val="single" w:sz="4" w:space="0" w:color="FFFFFF"/>
                    <w:bottom w:val="single" w:sz="4" w:space="0" w:color="FFFFFF"/>
                  </w:tcBorders>
                  <w:shd w:val="clear" w:color="auto" w:fill="DBE5F1"/>
                </w:tcPr>
                <w:p w14:paraId="2A6F2A35" w14:textId="77777777" w:rsidR="00600DEE" w:rsidRDefault="00600DEE">
                  <w:pPr>
                    <w:jc w:val="center"/>
                    <w:rPr>
                      <w:rFonts w:ascii="Calibri" w:eastAsia="Calibri" w:hAnsi="Calibri" w:cs="Calibri"/>
                      <w:color w:val="4F81BD"/>
                      <w:sz w:val="18"/>
                      <w:szCs w:val="18"/>
                    </w:rPr>
                  </w:pPr>
                </w:p>
              </w:tc>
              <w:tc>
                <w:tcPr>
                  <w:tcW w:w="1559" w:type="dxa"/>
                  <w:tcBorders>
                    <w:top w:val="single" w:sz="4" w:space="0" w:color="FFFFFF"/>
                    <w:left w:val="single" w:sz="4" w:space="0" w:color="FFFFFF"/>
                    <w:bottom w:val="single" w:sz="4" w:space="0" w:color="FFFFFF"/>
                  </w:tcBorders>
                  <w:shd w:val="clear" w:color="auto" w:fill="DBE5F1"/>
                </w:tcPr>
                <w:p w14:paraId="05B30322" w14:textId="77777777" w:rsidR="00600DEE" w:rsidRDefault="00600DEE">
                  <w:pPr>
                    <w:jc w:val="center"/>
                    <w:rPr>
                      <w:rFonts w:ascii="Calibri" w:eastAsia="Calibri" w:hAnsi="Calibri" w:cs="Calibri"/>
                      <w:color w:val="4F81BD"/>
                      <w:sz w:val="18"/>
                      <w:szCs w:val="18"/>
                    </w:rPr>
                  </w:pPr>
                </w:p>
              </w:tc>
            </w:tr>
            <w:tr w:rsidR="00600DEE" w14:paraId="02EED18B" w14:textId="77777777" w:rsidTr="0093229F">
              <w:trPr>
                <w:trHeight w:hRule="exact" w:val="340"/>
              </w:trPr>
              <w:tc>
                <w:tcPr>
                  <w:tcW w:w="2437" w:type="dxa"/>
                  <w:tcBorders>
                    <w:top w:val="single" w:sz="4" w:space="0" w:color="FFFFFF"/>
                    <w:left w:val="single" w:sz="4" w:space="0" w:color="FFFFFF"/>
                    <w:bottom w:val="single" w:sz="4" w:space="0" w:color="FFFFFF"/>
                  </w:tcBorders>
                  <w:shd w:val="clear" w:color="auto" w:fill="DBE5F1"/>
                  <w:vAlign w:val="bottom"/>
                </w:tcPr>
                <w:p w14:paraId="72678942"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Amortyzacja (PLN/km) (**)</w:t>
                  </w:r>
                </w:p>
              </w:tc>
              <w:tc>
                <w:tcPr>
                  <w:tcW w:w="2268" w:type="dxa"/>
                  <w:tcBorders>
                    <w:top w:val="single" w:sz="4" w:space="0" w:color="FFFFFF"/>
                    <w:left w:val="single" w:sz="4" w:space="0" w:color="FFFFFF"/>
                    <w:bottom w:val="single" w:sz="4" w:space="0" w:color="FFFFFF"/>
                  </w:tcBorders>
                  <w:shd w:val="clear" w:color="auto" w:fill="DBE5F1"/>
                  <w:vAlign w:val="center"/>
                </w:tcPr>
                <w:p w14:paraId="0909921B"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0,64</w:t>
                  </w:r>
                </w:p>
              </w:tc>
              <w:tc>
                <w:tcPr>
                  <w:tcW w:w="1559" w:type="dxa"/>
                  <w:tcBorders>
                    <w:top w:val="single" w:sz="4" w:space="0" w:color="FFFFFF"/>
                    <w:left w:val="single" w:sz="4" w:space="0" w:color="FFFFFF"/>
                    <w:bottom w:val="single" w:sz="4" w:space="0" w:color="FFFFFF"/>
                  </w:tcBorders>
                  <w:shd w:val="clear" w:color="auto" w:fill="DBE5F1"/>
                  <w:vAlign w:val="center"/>
                </w:tcPr>
                <w:p w14:paraId="4F36C34A" w14:textId="77777777" w:rsidR="00600DEE" w:rsidRDefault="00641FB5">
                  <w:pPr>
                    <w:jc w:val="center"/>
                    <w:rPr>
                      <w:rFonts w:ascii="Calibri" w:eastAsia="Calibri" w:hAnsi="Calibri" w:cs="Calibri"/>
                      <w:color w:val="4F81BD"/>
                      <w:sz w:val="18"/>
                      <w:szCs w:val="18"/>
                    </w:rPr>
                  </w:pPr>
                  <w:r>
                    <w:rPr>
                      <w:rFonts w:ascii="Calibri" w:eastAsia="Calibri" w:hAnsi="Calibri" w:cs="Calibri"/>
                      <w:i/>
                      <w:color w:val="4F81BD"/>
                      <w:sz w:val="18"/>
                      <w:szCs w:val="18"/>
                    </w:rPr>
                    <w:t>0,49</w:t>
                  </w:r>
                </w:p>
              </w:tc>
            </w:tr>
            <w:tr w:rsidR="00600DEE" w14:paraId="2B017985" w14:textId="77777777" w:rsidTr="0093229F">
              <w:trPr>
                <w:trHeight w:hRule="exact" w:val="284"/>
              </w:trPr>
              <w:tc>
                <w:tcPr>
                  <w:tcW w:w="2437" w:type="dxa"/>
                  <w:tcBorders>
                    <w:top w:val="single" w:sz="4" w:space="0" w:color="FFFFFF"/>
                    <w:left w:val="single" w:sz="4" w:space="0" w:color="FFFFFF"/>
                    <w:bottom w:val="single" w:sz="4" w:space="0" w:color="FFFFFF"/>
                  </w:tcBorders>
                  <w:shd w:val="clear" w:color="auto" w:fill="95B3D7"/>
                  <w:vAlign w:val="bottom"/>
                </w:tcPr>
                <w:p w14:paraId="1EE964F1" w14:textId="77777777" w:rsidR="00600DEE" w:rsidRDefault="00641FB5">
                  <w:pPr>
                    <w:rPr>
                      <w:rFonts w:ascii="Calibri" w:eastAsia="Calibri" w:hAnsi="Calibri" w:cs="Calibri"/>
                      <w:b/>
                      <w:color w:val="FFFFFF"/>
                      <w:sz w:val="18"/>
                      <w:szCs w:val="18"/>
                    </w:rPr>
                  </w:pPr>
                  <w:r>
                    <w:rPr>
                      <w:rFonts w:ascii="Calibri" w:eastAsia="Calibri" w:hAnsi="Calibri" w:cs="Calibri"/>
                      <w:b/>
                      <w:color w:val="FFFFFF"/>
                      <w:sz w:val="18"/>
                      <w:szCs w:val="18"/>
                    </w:rPr>
                    <w:t>OGÓŁEM INNE (PLN/km)</w:t>
                  </w:r>
                </w:p>
              </w:tc>
              <w:tc>
                <w:tcPr>
                  <w:tcW w:w="2268" w:type="dxa"/>
                  <w:tcBorders>
                    <w:top w:val="single" w:sz="4" w:space="0" w:color="FFFFFF"/>
                    <w:left w:val="single" w:sz="4" w:space="0" w:color="FFFFFF"/>
                    <w:bottom w:val="single" w:sz="4" w:space="0" w:color="FFFFFF"/>
                  </w:tcBorders>
                  <w:shd w:val="clear" w:color="auto" w:fill="95B3D7"/>
                  <w:vAlign w:val="center"/>
                </w:tcPr>
                <w:p w14:paraId="7AD221CE"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1,017</w:t>
                  </w:r>
                </w:p>
              </w:tc>
              <w:tc>
                <w:tcPr>
                  <w:tcW w:w="1559" w:type="dxa"/>
                  <w:tcBorders>
                    <w:top w:val="single" w:sz="4" w:space="0" w:color="FFFFFF"/>
                    <w:left w:val="single" w:sz="4" w:space="0" w:color="FFFFFF"/>
                    <w:bottom w:val="single" w:sz="4" w:space="0" w:color="FFFFFF"/>
                  </w:tcBorders>
                  <w:shd w:val="clear" w:color="auto" w:fill="95B3D7"/>
                  <w:vAlign w:val="center"/>
                </w:tcPr>
                <w:p w14:paraId="6A67CBC7"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0,811</w:t>
                  </w:r>
                </w:p>
              </w:tc>
            </w:tr>
          </w:tbl>
          <w:p w14:paraId="482F7A2D" w14:textId="77777777" w:rsidR="00A3175F" w:rsidRDefault="00A3175F">
            <w:pPr>
              <w:ind w:right="170"/>
              <w:jc w:val="both"/>
              <w:rPr>
                <w:rFonts w:ascii="Calibri" w:eastAsia="Calibri" w:hAnsi="Calibri" w:cs="Calibri"/>
                <w:b/>
                <w:i/>
                <w:sz w:val="16"/>
                <w:szCs w:val="16"/>
              </w:rPr>
            </w:pPr>
          </w:p>
          <w:p w14:paraId="69E8F61E" w14:textId="77777777" w:rsidR="0093229F" w:rsidRDefault="00641FB5">
            <w:pPr>
              <w:ind w:right="170"/>
              <w:jc w:val="both"/>
              <w:rPr>
                <w:rFonts w:ascii="Calibri" w:eastAsia="Calibri" w:hAnsi="Calibri" w:cs="Calibri"/>
                <w:b/>
                <w:i/>
                <w:sz w:val="16"/>
                <w:szCs w:val="16"/>
              </w:rPr>
            </w:pPr>
            <w:r>
              <w:rPr>
                <w:rFonts w:ascii="Calibri" w:eastAsia="Calibri" w:hAnsi="Calibri" w:cs="Calibri"/>
                <w:b/>
                <w:i/>
                <w:sz w:val="16"/>
                <w:szCs w:val="16"/>
              </w:rPr>
              <w:t xml:space="preserve">Źródła: </w:t>
            </w:r>
          </w:p>
          <w:p w14:paraId="3E22D632" w14:textId="7CDBF5E6" w:rsidR="0093229F" w:rsidRDefault="0093229F" w:rsidP="00D5736B">
            <w:pPr>
              <w:pStyle w:val="Akapitzlist"/>
              <w:numPr>
                <w:ilvl w:val="0"/>
                <w:numId w:val="85"/>
              </w:numPr>
              <w:ind w:left="615" w:right="170"/>
              <w:jc w:val="both"/>
              <w:rPr>
                <w:rFonts w:ascii="Calibri" w:eastAsia="Calibri" w:hAnsi="Calibri" w:cs="Calibri"/>
                <w:b/>
                <w:i/>
                <w:sz w:val="16"/>
                <w:szCs w:val="16"/>
              </w:rPr>
            </w:pPr>
            <w:r w:rsidRPr="0093229F">
              <w:rPr>
                <w:rFonts w:ascii="Calibri" w:eastAsia="Calibri" w:hAnsi="Calibri" w:cs="Calibri"/>
                <w:b/>
                <w:i/>
                <w:sz w:val="16"/>
                <w:szCs w:val="16"/>
              </w:rPr>
              <w:t>https://rankomat.pl/samochod/ile-kosztu</w:t>
            </w:r>
            <w:hyperlink r:id="rId153">
              <w:r w:rsidR="00641FB5" w:rsidRPr="0093229F">
                <w:rPr>
                  <w:rFonts w:ascii="Calibri" w:eastAsia="Calibri" w:hAnsi="Calibri" w:cs="Calibri"/>
                  <w:b/>
                  <w:sz w:val="16"/>
                  <w:szCs w:val="16"/>
                </w:rPr>
                <w:t>je-ubezpieczenie-samochodu-1</w:t>
              </w:r>
            </w:hyperlink>
            <w:r w:rsidR="00641FB5" w:rsidRPr="0093229F">
              <w:rPr>
                <w:rFonts w:ascii="Calibri" w:eastAsia="Calibri" w:hAnsi="Calibri" w:cs="Calibri"/>
                <w:b/>
                <w:i/>
                <w:sz w:val="16"/>
                <w:szCs w:val="16"/>
              </w:rPr>
              <w:t>;</w:t>
            </w:r>
          </w:p>
          <w:p w14:paraId="1EF07788" w14:textId="77777777" w:rsidR="0093229F" w:rsidRDefault="00641FB5" w:rsidP="00D5736B">
            <w:pPr>
              <w:pStyle w:val="Akapitzlist"/>
              <w:numPr>
                <w:ilvl w:val="0"/>
                <w:numId w:val="85"/>
              </w:numPr>
              <w:ind w:left="615" w:right="170"/>
              <w:jc w:val="both"/>
              <w:rPr>
                <w:rFonts w:ascii="Calibri" w:eastAsia="Calibri" w:hAnsi="Calibri" w:cs="Calibri"/>
                <w:b/>
                <w:i/>
                <w:sz w:val="16"/>
                <w:szCs w:val="16"/>
              </w:rPr>
            </w:pPr>
            <w:r w:rsidRPr="0093229F">
              <w:rPr>
                <w:rFonts w:ascii="Calibri" w:eastAsia="Calibri" w:hAnsi="Calibri" w:cs="Calibri"/>
                <w:b/>
                <w:i/>
                <w:sz w:val="16"/>
                <w:szCs w:val="16"/>
              </w:rPr>
              <w:t xml:space="preserve"> </w:t>
            </w:r>
            <w:hyperlink r:id="rId154">
              <w:r w:rsidRPr="0093229F">
                <w:rPr>
                  <w:rFonts w:ascii="Calibri" w:eastAsia="Calibri" w:hAnsi="Calibri" w:cs="Calibri"/>
                  <w:b/>
                  <w:i/>
                  <w:sz w:val="16"/>
                  <w:szCs w:val="16"/>
                </w:rPr>
                <w:t>https://www.oponeo.pl/artykul/ile-kosztuje-wymiana-opon</w:t>
              </w:r>
            </w:hyperlink>
            <w:r w:rsidRPr="0093229F">
              <w:rPr>
                <w:rFonts w:ascii="Calibri" w:eastAsia="Calibri" w:hAnsi="Calibri" w:cs="Calibri"/>
                <w:b/>
                <w:i/>
                <w:sz w:val="16"/>
                <w:szCs w:val="16"/>
              </w:rPr>
              <w:t>;</w:t>
            </w:r>
          </w:p>
          <w:p w14:paraId="7F7C4D1A" w14:textId="77777777" w:rsidR="0093229F" w:rsidRDefault="00641FB5" w:rsidP="00D5736B">
            <w:pPr>
              <w:pStyle w:val="Akapitzlist"/>
              <w:numPr>
                <w:ilvl w:val="0"/>
                <w:numId w:val="85"/>
              </w:numPr>
              <w:ind w:left="615"/>
              <w:jc w:val="both"/>
              <w:rPr>
                <w:rFonts w:ascii="Calibri" w:eastAsia="Calibri" w:hAnsi="Calibri" w:cs="Calibri"/>
                <w:b/>
                <w:i/>
                <w:sz w:val="16"/>
                <w:szCs w:val="16"/>
              </w:rPr>
            </w:pPr>
            <w:r w:rsidRPr="0093229F">
              <w:rPr>
                <w:rFonts w:ascii="Calibri" w:eastAsia="Calibri" w:hAnsi="Calibri" w:cs="Calibri"/>
                <w:b/>
                <w:i/>
                <w:sz w:val="16"/>
                <w:szCs w:val="16"/>
              </w:rPr>
              <w:t xml:space="preserve"> </w:t>
            </w:r>
            <w:hyperlink r:id="rId155">
              <w:r w:rsidRPr="0093229F">
                <w:rPr>
                  <w:rFonts w:ascii="Calibri" w:eastAsia="Calibri" w:hAnsi="Calibri" w:cs="Calibri"/>
                  <w:b/>
                  <w:i/>
                  <w:sz w:val="16"/>
                  <w:szCs w:val="16"/>
                </w:rPr>
                <w:t>https://kb.pl/porady/ile-kosztuje-przeglad-samochodu-sprawdz-aktualne-ceny-_mot/</w:t>
              </w:r>
            </w:hyperlink>
            <w:r w:rsidRPr="0093229F">
              <w:rPr>
                <w:rFonts w:ascii="Calibri" w:eastAsia="Calibri" w:hAnsi="Calibri" w:cs="Calibri"/>
                <w:b/>
                <w:i/>
                <w:sz w:val="16"/>
                <w:szCs w:val="16"/>
              </w:rPr>
              <w:t>;</w:t>
            </w:r>
          </w:p>
          <w:p w14:paraId="3F515F2A" w14:textId="77777777" w:rsidR="0093229F" w:rsidRDefault="00641FB5" w:rsidP="00D5736B">
            <w:pPr>
              <w:pStyle w:val="Akapitzlist"/>
              <w:numPr>
                <w:ilvl w:val="0"/>
                <w:numId w:val="85"/>
              </w:numPr>
              <w:ind w:left="615" w:right="170"/>
              <w:jc w:val="both"/>
              <w:rPr>
                <w:rFonts w:ascii="Calibri" w:eastAsia="Calibri" w:hAnsi="Calibri" w:cs="Calibri"/>
                <w:b/>
                <w:i/>
                <w:sz w:val="16"/>
                <w:szCs w:val="16"/>
              </w:rPr>
            </w:pPr>
            <w:r w:rsidRPr="0093229F">
              <w:rPr>
                <w:rFonts w:ascii="Calibri" w:eastAsia="Calibri" w:hAnsi="Calibri" w:cs="Calibri"/>
                <w:b/>
                <w:i/>
                <w:sz w:val="16"/>
                <w:szCs w:val="16"/>
              </w:rPr>
              <w:t xml:space="preserve"> </w:t>
            </w:r>
            <w:hyperlink r:id="rId156">
              <w:r w:rsidRPr="0093229F">
                <w:rPr>
                  <w:rFonts w:ascii="Calibri" w:eastAsia="Calibri" w:hAnsi="Calibri" w:cs="Calibri"/>
                  <w:b/>
                  <w:i/>
                  <w:sz w:val="16"/>
                  <w:szCs w:val="16"/>
                </w:rPr>
                <w:t>https://www.motofakty.pl/artykul/ile-kosztuje-wymiana-oleju-w-samochodzie.html</w:t>
              </w:r>
            </w:hyperlink>
            <w:r w:rsidRPr="0093229F">
              <w:rPr>
                <w:rFonts w:ascii="Calibri" w:eastAsia="Calibri" w:hAnsi="Calibri" w:cs="Calibri"/>
                <w:b/>
                <w:i/>
                <w:sz w:val="16"/>
                <w:szCs w:val="16"/>
              </w:rPr>
              <w:t xml:space="preserve">; </w:t>
            </w:r>
          </w:p>
          <w:p w14:paraId="729FB031" w14:textId="3C92B439" w:rsidR="00600DEE" w:rsidRPr="0093229F" w:rsidRDefault="0093229F" w:rsidP="00D5736B">
            <w:pPr>
              <w:pStyle w:val="Akapitzlist"/>
              <w:numPr>
                <w:ilvl w:val="0"/>
                <w:numId w:val="85"/>
              </w:numPr>
              <w:ind w:left="615" w:right="170"/>
              <w:jc w:val="both"/>
              <w:rPr>
                <w:rFonts w:ascii="Calibri" w:eastAsia="Calibri" w:hAnsi="Calibri" w:cs="Calibri"/>
                <w:b/>
                <w:i/>
                <w:sz w:val="16"/>
                <w:szCs w:val="16"/>
              </w:rPr>
            </w:pPr>
            <w:r w:rsidRPr="0093229F">
              <w:rPr>
                <w:rFonts w:ascii="Calibri" w:eastAsia="Calibri" w:hAnsi="Calibri" w:cs="Calibri"/>
                <w:b/>
                <w:i/>
                <w:sz w:val="16"/>
                <w:szCs w:val="16"/>
              </w:rPr>
              <w:t>https://www.bankier.pl/smart/koszty-eksploatacji-samochodu-ile-kosztuje-utrzymanie-samochodu</w:t>
            </w:r>
            <w:r w:rsidR="00641FB5" w:rsidRPr="0093229F">
              <w:rPr>
                <w:rFonts w:ascii="Calibri" w:eastAsia="Calibri" w:hAnsi="Calibri" w:cs="Calibri"/>
                <w:b/>
                <w:i/>
                <w:sz w:val="16"/>
                <w:szCs w:val="16"/>
              </w:rPr>
              <w:t>, wiosna 2021</w:t>
            </w:r>
          </w:p>
          <w:p w14:paraId="73372F93" w14:textId="3C4C9D09" w:rsidR="00600DEE" w:rsidRDefault="00641FB5">
            <w:pPr>
              <w:ind w:right="170"/>
              <w:jc w:val="both"/>
              <w:rPr>
                <w:rFonts w:ascii="Calibri" w:eastAsia="Calibri" w:hAnsi="Calibri" w:cs="Calibri"/>
                <w:b/>
                <w:i/>
                <w:sz w:val="16"/>
                <w:szCs w:val="16"/>
              </w:rPr>
            </w:pPr>
            <w:r>
              <w:rPr>
                <w:rFonts w:ascii="Calibri" w:eastAsia="Calibri" w:hAnsi="Calibri" w:cs="Calibri"/>
                <w:b/>
                <w:i/>
                <w:sz w:val="16"/>
                <w:szCs w:val="16"/>
              </w:rPr>
              <w:t xml:space="preserve">(*) Zakładając średni roczny przebieg PL zgodnie z opracowaniem „Prognozy eksperckie zmian aktywności sektora transportu drogowego (w kontekście ustawy o systemie zarządzania emisjami gazów cieplarnianych </w:t>
            </w:r>
            <w:r w:rsidR="00C65DA8">
              <w:rPr>
                <w:rFonts w:ascii="Calibri" w:eastAsia="Calibri" w:hAnsi="Calibri" w:cs="Calibri"/>
                <w:b/>
                <w:i/>
                <w:sz w:val="16"/>
                <w:szCs w:val="16"/>
              </w:rPr>
              <w:t>i innych substancji)", ITS 2017.</w:t>
            </w:r>
            <w:r>
              <w:rPr>
                <w:rFonts w:ascii="Calibri" w:eastAsia="Calibri" w:hAnsi="Calibri" w:cs="Calibri"/>
                <w:b/>
                <w:i/>
                <w:sz w:val="16"/>
                <w:szCs w:val="16"/>
              </w:rPr>
              <w:tab/>
              <w:t xml:space="preserve"> </w:t>
            </w:r>
          </w:p>
          <w:p w14:paraId="27290A46" w14:textId="3C1AD346" w:rsidR="00600DEE" w:rsidRDefault="00641FB5">
            <w:pPr>
              <w:spacing w:before="120"/>
              <w:ind w:right="170"/>
              <w:jc w:val="both"/>
              <w:rPr>
                <w:rFonts w:ascii="Calibri" w:eastAsia="Calibri" w:hAnsi="Calibri" w:cs="Calibri"/>
                <w:b/>
                <w:i/>
                <w:sz w:val="16"/>
                <w:szCs w:val="16"/>
              </w:rPr>
            </w:pPr>
            <w:r>
              <w:rPr>
                <w:rFonts w:ascii="Calibri" w:eastAsia="Calibri" w:hAnsi="Calibri" w:cs="Calibri"/>
                <w:b/>
                <w:i/>
                <w:sz w:val="16"/>
                <w:szCs w:val="16"/>
              </w:rPr>
              <w:t xml:space="preserve">(**) Amortyzacja: wyliczenia autorskie w oparciu o średnią cenę samochodu osobowego netto bez podatków, opłat i ceł (SAMAR: </w:t>
            </w:r>
            <w:hyperlink r:id="rId157">
              <w:r>
                <w:rPr>
                  <w:rFonts w:ascii="Calibri" w:eastAsia="Calibri" w:hAnsi="Calibri" w:cs="Calibri"/>
                  <w:b/>
                  <w:i/>
                  <w:color w:val="0000FF"/>
                  <w:sz w:val="16"/>
                  <w:szCs w:val="16"/>
                  <w:u w:val="single"/>
                </w:rPr>
                <w:t>https://www.motofakty.pl/artykul/ceny-aut-w-2019-r-nowe-samochody-w-polsce-byly-drozsze-niz-w-2018.html</w:t>
              </w:r>
            </w:hyperlink>
            <w:r>
              <w:rPr>
                <w:rFonts w:ascii="Calibri" w:eastAsia="Calibri" w:hAnsi="Calibri" w:cs="Calibri"/>
                <w:b/>
                <w:i/>
                <w:sz w:val="16"/>
                <w:szCs w:val="16"/>
              </w:rPr>
              <w:t>) i uwzględniając  średnią długość życia LV (</w:t>
            </w:r>
            <w:hyperlink r:id="rId158" w:anchor=":~:text=Key%20observations,the%20EU%20is%2011.6%20years">
              <w:r>
                <w:rPr>
                  <w:rFonts w:ascii="Calibri" w:eastAsia="Calibri" w:hAnsi="Calibri" w:cs="Calibri"/>
                  <w:b/>
                  <w:i/>
                  <w:color w:val="0000FF"/>
                  <w:sz w:val="16"/>
                  <w:szCs w:val="16"/>
                  <w:u w:val="single"/>
                </w:rPr>
                <w:t>https://www.acea.be/statistics/article/average-vehicleage#:~:text=Key%20observations,the%20EU%20is%2011.6%20years</w:t>
              </w:r>
            </w:hyperlink>
            <w:r>
              <w:rPr>
                <w:rFonts w:ascii="Calibri" w:eastAsia="Calibri" w:hAnsi="Calibri" w:cs="Calibri"/>
                <w:b/>
                <w:i/>
                <w:sz w:val="16"/>
                <w:szCs w:val="16"/>
              </w:rPr>
              <w:t>) i powyższy  średni roczny przebleg.</w:t>
            </w:r>
            <w:r>
              <w:rPr>
                <w:rFonts w:ascii="Calibri" w:eastAsia="Calibri" w:hAnsi="Calibri" w:cs="Calibri"/>
                <w:b/>
                <w:i/>
                <w:sz w:val="16"/>
                <w:szCs w:val="16"/>
              </w:rPr>
              <w:tab/>
            </w:r>
          </w:p>
          <w:p w14:paraId="6C7BDA3F" w14:textId="64E5AC54"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Wyniki obliczeń dla spalinowych HGV </w:t>
            </w:r>
            <w:r w:rsidR="00C65DA8" w:rsidRPr="00C65DA8">
              <w:rPr>
                <w:rFonts w:ascii="Calibri" w:eastAsia="Calibri" w:hAnsi="Calibri" w:cs="Calibri"/>
                <w:color w:val="000000"/>
                <w:sz w:val="20"/>
                <w:szCs w:val="20"/>
              </w:rPr>
              <w:t xml:space="preserve">w cenach na początek roku 2020 są </w:t>
            </w:r>
            <w:r>
              <w:rPr>
                <w:rFonts w:ascii="Calibri" w:eastAsia="Calibri" w:hAnsi="Calibri" w:cs="Calibri"/>
                <w:color w:val="000000"/>
                <w:sz w:val="20"/>
                <w:szCs w:val="20"/>
              </w:rPr>
              <w:t>są następujące:</w:t>
            </w:r>
          </w:p>
          <w:tbl>
            <w:tblPr>
              <w:tblStyle w:val="affffffffffffff7"/>
              <w:tblW w:w="6190" w:type="dxa"/>
              <w:tblLayout w:type="fixed"/>
              <w:tblLook w:val="0000" w:firstRow="0" w:lastRow="0" w:firstColumn="0" w:lastColumn="0" w:noHBand="0" w:noVBand="0"/>
            </w:tblPr>
            <w:tblGrid>
              <w:gridCol w:w="2043"/>
              <w:gridCol w:w="1427"/>
              <w:gridCol w:w="1280"/>
              <w:gridCol w:w="1440"/>
            </w:tblGrid>
            <w:tr w:rsidR="00600DEE" w14:paraId="6FC0B009" w14:textId="77777777" w:rsidTr="00701BA3">
              <w:trPr>
                <w:trHeight w:hRule="exact" w:val="1021"/>
              </w:trPr>
              <w:tc>
                <w:tcPr>
                  <w:tcW w:w="2043" w:type="dxa"/>
                  <w:tcBorders>
                    <w:top w:val="single" w:sz="4" w:space="0" w:color="FFFFFF"/>
                    <w:left w:val="single" w:sz="4" w:space="0" w:color="FFFFFF"/>
                    <w:bottom w:val="single" w:sz="4" w:space="0" w:color="FFFFFF"/>
                  </w:tcBorders>
                  <w:shd w:val="clear" w:color="auto" w:fill="A6A6A6"/>
                  <w:vAlign w:val="center"/>
                </w:tcPr>
                <w:p w14:paraId="66709347" w14:textId="77777777" w:rsidR="00600DEE" w:rsidRDefault="00641FB5">
                  <w:pPr>
                    <w:rPr>
                      <w:rFonts w:ascii="Calibri" w:eastAsia="Calibri" w:hAnsi="Calibri" w:cs="Calibri"/>
                      <w:b/>
                      <w:color w:val="FFFFFF"/>
                      <w:sz w:val="18"/>
                      <w:szCs w:val="18"/>
                    </w:rPr>
                  </w:pPr>
                  <w:r>
                    <w:rPr>
                      <w:rFonts w:ascii="Calibri" w:eastAsia="Calibri" w:hAnsi="Calibri" w:cs="Calibri"/>
                      <w:b/>
                      <w:color w:val="FFFFFF"/>
                      <w:sz w:val="18"/>
                      <w:szCs w:val="18"/>
                    </w:rPr>
                    <w:t>Inne koszty ogółem w ujęciu rocznym</w:t>
                  </w:r>
                </w:p>
              </w:tc>
              <w:tc>
                <w:tcPr>
                  <w:tcW w:w="1427" w:type="dxa"/>
                  <w:tcBorders>
                    <w:top w:val="single" w:sz="4" w:space="0" w:color="FFFFFF"/>
                    <w:left w:val="single" w:sz="4" w:space="0" w:color="FFFFFF"/>
                    <w:bottom w:val="single" w:sz="4" w:space="0" w:color="FFFFFF"/>
                  </w:tcBorders>
                  <w:shd w:val="clear" w:color="auto" w:fill="A6A6A6"/>
                  <w:vAlign w:val="center"/>
                </w:tcPr>
                <w:p w14:paraId="07CEF652"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 PLN, z uwzględnieniem podatków, opłat i ceł</w:t>
                  </w:r>
                </w:p>
              </w:tc>
              <w:tc>
                <w:tcPr>
                  <w:tcW w:w="1280" w:type="dxa"/>
                  <w:tcBorders>
                    <w:top w:val="single" w:sz="4" w:space="0" w:color="FFFFFF"/>
                    <w:left w:val="single" w:sz="4" w:space="0" w:color="FFFFFF"/>
                    <w:bottom w:val="single" w:sz="4" w:space="0" w:color="FFFFFF"/>
                  </w:tcBorders>
                  <w:shd w:val="clear" w:color="auto" w:fill="A6A6A6"/>
                  <w:vAlign w:val="center"/>
                </w:tcPr>
                <w:p w14:paraId="29CC4E01"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 PLN, bez podatków, opłat i ceł</w:t>
                  </w:r>
                </w:p>
              </w:tc>
              <w:tc>
                <w:tcPr>
                  <w:tcW w:w="1440" w:type="dxa"/>
                  <w:tcBorders>
                    <w:top w:val="single" w:sz="4" w:space="0" w:color="FFFFFF"/>
                    <w:left w:val="single" w:sz="4" w:space="0" w:color="FFFFFF"/>
                    <w:bottom w:val="single" w:sz="4" w:space="0" w:color="FFFFFF"/>
                  </w:tcBorders>
                  <w:shd w:val="clear" w:color="auto" w:fill="A6A6A6"/>
                </w:tcPr>
                <w:p w14:paraId="33B6329E" w14:textId="69E4C796" w:rsidR="00600DEE" w:rsidRDefault="00641FB5" w:rsidP="00701BA3">
                  <w:pPr>
                    <w:jc w:val="center"/>
                    <w:rPr>
                      <w:rFonts w:ascii="Calibri" w:eastAsia="Calibri" w:hAnsi="Calibri" w:cs="Calibri"/>
                      <w:b/>
                      <w:color w:val="FFFFFF"/>
                      <w:sz w:val="18"/>
                      <w:szCs w:val="18"/>
                    </w:rPr>
                  </w:pPr>
                  <w:r>
                    <w:rPr>
                      <w:rFonts w:ascii="Calibri" w:eastAsia="Calibri" w:hAnsi="Calibri" w:cs="Calibri"/>
                      <w:b/>
                      <w:color w:val="FFFFFF"/>
                      <w:sz w:val="18"/>
                      <w:szCs w:val="18"/>
                    </w:rPr>
                    <w:t>PLN/poj-km, z wyłączeniem wszystkich podatków</w:t>
                  </w:r>
                  <w:r w:rsidR="00701BA3">
                    <w:rPr>
                      <w:rFonts w:ascii="Calibri" w:eastAsia="Calibri" w:hAnsi="Calibri" w:cs="Calibri"/>
                      <w:b/>
                      <w:color w:val="FFFFFF"/>
                      <w:sz w:val="18"/>
                      <w:szCs w:val="18"/>
                    </w:rPr>
                    <w:t xml:space="preserve"> </w:t>
                  </w:r>
                  <w:r>
                    <w:rPr>
                      <w:rFonts w:ascii="Calibri" w:eastAsia="Calibri" w:hAnsi="Calibri" w:cs="Calibri"/>
                      <w:b/>
                      <w:color w:val="FFFFFF"/>
                      <w:sz w:val="18"/>
                      <w:szCs w:val="18"/>
                    </w:rPr>
                    <w:t>(*)</w:t>
                  </w:r>
                </w:p>
              </w:tc>
            </w:tr>
            <w:tr w:rsidR="00600DEE" w14:paraId="49934861" w14:textId="77777777" w:rsidTr="00701BA3">
              <w:trPr>
                <w:trHeight w:hRule="exact" w:val="680"/>
              </w:trPr>
              <w:tc>
                <w:tcPr>
                  <w:tcW w:w="2043" w:type="dxa"/>
                  <w:tcBorders>
                    <w:top w:val="single" w:sz="4" w:space="0" w:color="FFFFFF"/>
                    <w:left w:val="single" w:sz="4" w:space="0" w:color="FFFFFF"/>
                    <w:bottom w:val="single" w:sz="4" w:space="0" w:color="FFFFFF"/>
                  </w:tcBorders>
                  <w:shd w:val="clear" w:color="auto" w:fill="DBE5F1"/>
                  <w:vAlign w:val="bottom"/>
                </w:tcPr>
                <w:p w14:paraId="4E2E44E7"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Amortyzacja lub utrata wartości rynkowej taboru</w:t>
                  </w:r>
                </w:p>
              </w:tc>
              <w:tc>
                <w:tcPr>
                  <w:tcW w:w="1427" w:type="dxa"/>
                  <w:tcBorders>
                    <w:top w:val="single" w:sz="4" w:space="0" w:color="FFFFFF"/>
                    <w:left w:val="single" w:sz="4" w:space="0" w:color="FFFFFF"/>
                    <w:bottom w:val="single" w:sz="4" w:space="0" w:color="FFFFFF"/>
                  </w:tcBorders>
                  <w:shd w:val="clear" w:color="auto" w:fill="DBE5F1"/>
                  <w:vAlign w:val="bottom"/>
                </w:tcPr>
                <w:p w14:paraId="601620AA"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400 000</w:t>
                  </w:r>
                </w:p>
              </w:tc>
              <w:tc>
                <w:tcPr>
                  <w:tcW w:w="1280" w:type="dxa"/>
                  <w:tcBorders>
                    <w:top w:val="single" w:sz="4" w:space="0" w:color="FFFFFF"/>
                    <w:left w:val="single" w:sz="4" w:space="0" w:color="FFFFFF"/>
                    <w:bottom w:val="single" w:sz="4" w:space="0" w:color="FFFFFF"/>
                  </w:tcBorders>
                  <w:shd w:val="clear" w:color="auto" w:fill="DBE5F1"/>
                  <w:vAlign w:val="bottom"/>
                </w:tcPr>
                <w:p w14:paraId="4BF0164A"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320 397</w:t>
                  </w:r>
                </w:p>
              </w:tc>
              <w:tc>
                <w:tcPr>
                  <w:tcW w:w="1440" w:type="dxa"/>
                  <w:tcBorders>
                    <w:top w:val="single" w:sz="4" w:space="0" w:color="FFFFFF"/>
                    <w:left w:val="single" w:sz="4" w:space="0" w:color="FFFFFF"/>
                    <w:bottom w:val="single" w:sz="4" w:space="0" w:color="FFFFFF"/>
                  </w:tcBorders>
                  <w:shd w:val="clear" w:color="auto" w:fill="DBE5F1"/>
                  <w:vAlign w:val="bottom"/>
                </w:tcPr>
                <w:p w14:paraId="5493EA60"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0,986</w:t>
                  </w:r>
                </w:p>
              </w:tc>
            </w:tr>
            <w:tr w:rsidR="00600DEE" w14:paraId="2FA51F5B" w14:textId="77777777" w:rsidTr="00701BA3">
              <w:trPr>
                <w:trHeight w:hRule="exact" w:val="454"/>
              </w:trPr>
              <w:tc>
                <w:tcPr>
                  <w:tcW w:w="2043" w:type="dxa"/>
                  <w:tcBorders>
                    <w:top w:val="single" w:sz="4" w:space="0" w:color="FFFFFF"/>
                    <w:left w:val="single" w:sz="4" w:space="0" w:color="FFFFFF"/>
                    <w:bottom w:val="single" w:sz="4" w:space="0" w:color="FFFFFF"/>
                  </w:tcBorders>
                  <w:shd w:val="clear" w:color="auto" w:fill="DBE5F1"/>
                  <w:vAlign w:val="bottom"/>
                </w:tcPr>
                <w:p w14:paraId="324C9378"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Materiały eksploatacyjne</w:t>
                  </w:r>
                </w:p>
              </w:tc>
              <w:tc>
                <w:tcPr>
                  <w:tcW w:w="1427" w:type="dxa"/>
                  <w:tcBorders>
                    <w:top w:val="single" w:sz="4" w:space="0" w:color="FFFFFF"/>
                    <w:left w:val="single" w:sz="4" w:space="0" w:color="FFFFFF"/>
                    <w:bottom w:val="single" w:sz="4" w:space="0" w:color="FFFFFF"/>
                  </w:tcBorders>
                  <w:shd w:val="clear" w:color="auto" w:fill="DBE5F1"/>
                  <w:vAlign w:val="bottom"/>
                </w:tcPr>
                <w:p w14:paraId="3EC24174"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3 000</w:t>
                  </w:r>
                </w:p>
              </w:tc>
              <w:tc>
                <w:tcPr>
                  <w:tcW w:w="1280" w:type="dxa"/>
                  <w:tcBorders>
                    <w:top w:val="single" w:sz="4" w:space="0" w:color="FFFFFF"/>
                    <w:left w:val="single" w:sz="4" w:space="0" w:color="FFFFFF"/>
                    <w:bottom w:val="single" w:sz="4" w:space="0" w:color="FFFFFF"/>
                  </w:tcBorders>
                  <w:shd w:val="clear" w:color="auto" w:fill="DBE5F1"/>
                  <w:vAlign w:val="bottom"/>
                </w:tcPr>
                <w:p w14:paraId="3D55D755"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2 439</w:t>
                  </w:r>
                </w:p>
              </w:tc>
              <w:tc>
                <w:tcPr>
                  <w:tcW w:w="1440" w:type="dxa"/>
                  <w:tcBorders>
                    <w:top w:val="single" w:sz="4" w:space="0" w:color="FFFFFF"/>
                    <w:left w:val="single" w:sz="4" w:space="0" w:color="FFFFFF"/>
                    <w:bottom w:val="single" w:sz="4" w:space="0" w:color="FFFFFF"/>
                  </w:tcBorders>
                  <w:shd w:val="clear" w:color="auto" w:fill="DBE5F1"/>
                  <w:vAlign w:val="bottom"/>
                </w:tcPr>
                <w:p w14:paraId="2132A9B4"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0,075</w:t>
                  </w:r>
                </w:p>
              </w:tc>
            </w:tr>
            <w:tr w:rsidR="00600DEE" w14:paraId="0B5DFC95" w14:textId="77777777" w:rsidTr="00701BA3">
              <w:trPr>
                <w:trHeight w:hRule="exact" w:val="454"/>
              </w:trPr>
              <w:tc>
                <w:tcPr>
                  <w:tcW w:w="2043" w:type="dxa"/>
                  <w:tcBorders>
                    <w:top w:val="single" w:sz="4" w:space="0" w:color="FFFFFF"/>
                    <w:left w:val="single" w:sz="4" w:space="0" w:color="FFFFFF"/>
                    <w:bottom w:val="single" w:sz="4" w:space="0" w:color="FFFFFF"/>
                  </w:tcBorders>
                  <w:shd w:val="clear" w:color="auto" w:fill="DBE5F1"/>
                  <w:vAlign w:val="bottom"/>
                </w:tcPr>
                <w:p w14:paraId="6CB0AC0A" w14:textId="77777777" w:rsidR="00600DEE" w:rsidRDefault="00641FB5">
                  <w:pPr>
                    <w:rPr>
                      <w:rFonts w:ascii="Calibri" w:eastAsia="Calibri" w:hAnsi="Calibri" w:cs="Calibri"/>
                      <w:color w:val="4F81BD"/>
                      <w:sz w:val="18"/>
                      <w:szCs w:val="18"/>
                    </w:rPr>
                  </w:pPr>
                  <w:r>
                    <w:rPr>
                      <w:rFonts w:ascii="Calibri" w:eastAsia="Calibri" w:hAnsi="Calibri" w:cs="Calibri"/>
                      <w:color w:val="4F81BD"/>
                      <w:sz w:val="18"/>
                      <w:szCs w:val="18"/>
                    </w:rPr>
                    <w:t xml:space="preserve">Opony </w:t>
                  </w:r>
                </w:p>
              </w:tc>
              <w:tc>
                <w:tcPr>
                  <w:tcW w:w="1427" w:type="dxa"/>
                  <w:tcBorders>
                    <w:top w:val="single" w:sz="4" w:space="0" w:color="FFFFFF"/>
                    <w:left w:val="single" w:sz="4" w:space="0" w:color="FFFFFF"/>
                    <w:bottom w:val="single" w:sz="4" w:space="0" w:color="FFFFFF"/>
                  </w:tcBorders>
                  <w:shd w:val="clear" w:color="auto" w:fill="DBE5F1"/>
                  <w:vAlign w:val="bottom"/>
                </w:tcPr>
                <w:p w14:paraId="50C4EE7F"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 </w:t>
                  </w:r>
                </w:p>
              </w:tc>
              <w:tc>
                <w:tcPr>
                  <w:tcW w:w="1280" w:type="dxa"/>
                  <w:tcBorders>
                    <w:top w:val="single" w:sz="4" w:space="0" w:color="FFFFFF"/>
                    <w:left w:val="single" w:sz="4" w:space="0" w:color="FFFFFF"/>
                    <w:bottom w:val="single" w:sz="4" w:space="0" w:color="FFFFFF"/>
                  </w:tcBorders>
                  <w:shd w:val="clear" w:color="auto" w:fill="DBE5F1"/>
                  <w:vAlign w:val="bottom"/>
                </w:tcPr>
                <w:p w14:paraId="2DFE6983"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 </w:t>
                  </w:r>
                </w:p>
              </w:tc>
              <w:tc>
                <w:tcPr>
                  <w:tcW w:w="1440" w:type="dxa"/>
                  <w:tcBorders>
                    <w:top w:val="single" w:sz="4" w:space="0" w:color="FFFFFF"/>
                    <w:left w:val="single" w:sz="4" w:space="0" w:color="FFFFFF"/>
                    <w:bottom w:val="single" w:sz="4" w:space="0" w:color="FFFFFF"/>
                  </w:tcBorders>
                  <w:shd w:val="clear" w:color="auto" w:fill="DBE5F1"/>
                  <w:vAlign w:val="bottom"/>
                </w:tcPr>
                <w:p w14:paraId="1422853C"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0,147</w:t>
                  </w:r>
                </w:p>
              </w:tc>
            </w:tr>
            <w:tr w:rsidR="00600DEE" w14:paraId="160F1558" w14:textId="77777777" w:rsidTr="00701BA3">
              <w:trPr>
                <w:trHeight w:hRule="exact" w:val="680"/>
              </w:trPr>
              <w:tc>
                <w:tcPr>
                  <w:tcW w:w="2043" w:type="dxa"/>
                  <w:tcBorders>
                    <w:top w:val="single" w:sz="4" w:space="0" w:color="FFFFFF"/>
                    <w:left w:val="single" w:sz="4" w:space="0" w:color="FFFFFF"/>
                    <w:bottom w:val="single" w:sz="4" w:space="0" w:color="FFFFFF"/>
                  </w:tcBorders>
                  <w:shd w:val="clear" w:color="auto" w:fill="DBE5F1"/>
                  <w:vAlign w:val="bottom"/>
                </w:tcPr>
                <w:p w14:paraId="2FAF92EE" w14:textId="77777777" w:rsidR="00600DEE" w:rsidRDefault="00641FB5">
                  <w:pPr>
                    <w:spacing w:before="20"/>
                    <w:rPr>
                      <w:rFonts w:ascii="Calibri" w:eastAsia="Calibri" w:hAnsi="Calibri" w:cs="Calibri"/>
                      <w:color w:val="4F81BD"/>
                      <w:sz w:val="18"/>
                      <w:szCs w:val="18"/>
                    </w:rPr>
                  </w:pPr>
                  <w:r>
                    <w:rPr>
                      <w:rFonts w:ascii="Calibri" w:eastAsia="Calibri" w:hAnsi="Calibri" w:cs="Calibri"/>
                      <w:color w:val="4F81BD"/>
                      <w:sz w:val="18"/>
                      <w:szCs w:val="18"/>
                    </w:rPr>
                    <w:t xml:space="preserve">Ubezpieczenie komunikacyjne (OCP, OC, AC) </w:t>
                  </w:r>
                </w:p>
                <w:p w14:paraId="7DA49424" w14:textId="77777777" w:rsidR="00600DEE" w:rsidRDefault="00600DEE">
                  <w:pPr>
                    <w:rPr>
                      <w:rFonts w:ascii="Calibri" w:eastAsia="Calibri" w:hAnsi="Calibri" w:cs="Calibri"/>
                      <w:color w:val="4F81BD"/>
                      <w:sz w:val="18"/>
                      <w:szCs w:val="18"/>
                    </w:rPr>
                  </w:pPr>
                </w:p>
              </w:tc>
              <w:tc>
                <w:tcPr>
                  <w:tcW w:w="1427" w:type="dxa"/>
                  <w:tcBorders>
                    <w:top w:val="single" w:sz="4" w:space="0" w:color="FFFFFF"/>
                    <w:left w:val="single" w:sz="4" w:space="0" w:color="FFFFFF"/>
                    <w:bottom w:val="single" w:sz="4" w:space="0" w:color="FFFFFF"/>
                  </w:tcBorders>
                  <w:shd w:val="clear" w:color="auto" w:fill="DBE5F1"/>
                  <w:vAlign w:val="bottom"/>
                </w:tcPr>
                <w:p w14:paraId="2DD4278F"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8 000</w:t>
                  </w:r>
                </w:p>
              </w:tc>
              <w:tc>
                <w:tcPr>
                  <w:tcW w:w="1280" w:type="dxa"/>
                  <w:tcBorders>
                    <w:top w:val="single" w:sz="4" w:space="0" w:color="FFFFFF"/>
                    <w:left w:val="single" w:sz="4" w:space="0" w:color="FFFFFF"/>
                    <w:bottom w:val="single" w:sz="4" w:space="0" w:color="FFFFFF"/>
                  </w:tcBorders>
                  <w:shd w:val="clear" w:color="auto" w:fill="DBE5F1"/>
                  <w:vAlign w:val="bottom"/>
                </w:tcPr>
                <w:p w14:paraId="3EFE63CE"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8 000</w:t>
                  </w:r>
                </w:p>
              </w:tc>
              <w:tc>
                <w:tcPr>
                  <w:tcW w:w="1440" w:type="dxa"/>
                  <w:tcBorders>
                    <w:top w:val="single" w:sz="4" w:space="0" w:color="FFFFFF"/>
                    <w:left w:val="single" w:sz="4" w:space="0" w:color="FFFFFF"/>
                    <w:bottom w:val="single" w:sz="4" w:space="0" w:color="FFFFFF"/>
                  </w:tcBorders>
                  <w:shd w:val="clear" w:color="auto" w:fill="DBE5F1"/>
                  <w:vAlign w:val="bottom"/>
                </w:tcPr>
                <w:p w14:paraId="40479AEC" w14:textId="77777777" w:rsidR="00600DEE" w:rsidRDefault="00641FB5">
                  <w:pPr>
                    <w:jc w:val="center"/>
                    <w:rPr>
                      <w:rFonts w:ascii="Calibri" w:eastAsia="Calibri" w:hAnsi="Calibri" w:cs="Calibri"/>
                      <w:i/>
                      <w:color w:val="4F81BD"/>
                      <w:sz w:val="18"/>
                      <w:szCs w:val="18"/>
                    </w:rPr>
                  </w:pPr>
                  <w:r>
                    <w:rPr>
                      <w:rFonts w:ascii="Calibri" w:eastAsia="Calibri" w:hAnsi="Calibri" w:cs="Calibri"/>
                      <w:i/>
                      <w:color w:val="4F81BD"/>
                      <w:sz w:val="18"/>
                      <w:szCs w:val="18"/>
                    </w:rPr>
                    <w:t>0,246</w:t>
                  </w:r>
                </w:p>
              </w:tc>
            </w:tr>
            <w:tr w:rsidR="00600DEE" w14:paraId="126619EC" w14:textId="77777777" w:rsidTr="00701BA3">
              <w:trPr>
                <w:trHeight w:hRule="exact" w:val="567"/>
              </w:trPr>
              <w:tc>
                <w:tcPr>
                  <w:tcW w:w="2043" w:type="dxa"/>
                  <w:tcBorders>
                    <w:top w:val="single" w:sz="4" w:space="0" w:color="FFFFFF"/>
                    <w:left w:val="single" w:sz="4" w:space="0" w:color="FFFFFF"/>
                    <w:bottom w:val="single" w:sz="4" w:space="0" w:color="FFFFFF"/>
                  </w:tcBorders>
                  <w:shd w:val="clear" w:color="auto" w:fill="95B3D7"/>
                  <w:vAlign w:val="center"/>
                </w:tcPr>
                <w:p w14:paraId="6F1EB1AE" w14:textId="77777777" w:rsidR="00600DEE" w:rsidRDefault="00641FB5">
                  <w:pPr>
                    <w:rPr>
                      <w:rFonts w:ascii="Calibri" w:eastAsia="Calibri" w:hAnsi="Calibri" w:cs="Calibri"/>
                      <w:b/>
                      <w:color w:val="FFFFFF"/>
                      <w:sz w:val="18"/>
                      <w:szCs w:val="18"/>
                    </w:rPr>
                  </w:pPr>
                  <w:r>
                    <w:rPr>
                      <w:rFonts w:ascii="Calibri" w:eastAsia="Calibri" w:hAnsi="Calibri" w:cs="Calibri"/>
                      <w:b/>
                      <w:color w:val="FFFFFF"/>
                      <w:sz w:val="18"/>
                      <w:szCs w:val="18"/>
                    </w:rPr>
                    <w:t>OGÓŁEM (PLN/km)</w:t>
                  </w:r>
                </w:p>
              </w:tc>
              <w:tc>
                <w:tcPr>
                  <w:tcW w:w="1427" w:type="dxa"/>
                  <w:tcBorders>
                    <w:top w:val="single" w:sz="4" w:space="0" w:color="FFFFFF"/>
                    <w:left w:val="single" w:sz="4" w:space="0" w:color="FFFFFF"/>
                    <w:bottom w:val="single" w:sz="4" w:space="0" w:color="FFFFFF"/>
                  </w:tcBorders>
                  <w:shd w:val="clear" w:color="auto" w:fill="95B3D7"/>
                  <w:vAlign w:val="bottom"/>
                </w:tcPr>
                <w:p w14:paraId="079349A4" w14:textId="77777777" w:rsidR="00600DEE" w:rsidRDefault="00600DEE">
                  <w:pPr>
                    <w:jc w:val="center"/>
                    <w:rPr>
                      <w:rFonts w:ascii="Calibri" w:eastAsia="Calibri" w:hAnsi="Calibri" w:cs="Calibri"/>
                      <w:b/>
                      <w:color w:val="FFFFFF"/>
                      <w:sz w:val="18"/>
                      <w:szCs w:val="18"/>
                    </w:rPr>
                  </w:pPr>
                </w:p>
              </w:tc>
              <w:tc>
                <w:tcPr>
                  <w:tcW w:w="1280" w:type="dxa"/>
                  <w:tcBorders>
                    <w:top w:val="single" w:sz="4" w:space="0" w:color="FFFFFF"/>
                    <w:left w:val="single" w:sz="4" w:space="0" w:color="FFFFFF"/>
                    <w:bottom w:val="single" w:sz="4" w:space="0" w:color="FFFFFF"/>
                  </w:tcBorders>
                  <w:shd w:val="clear" w:color="auto" w:fill="95B3D7"/>
                  <w:vAlign w:val="bottom"/>
                </w:tcPr>
                <w:p w14:paraId="387CBB92" w14:textId="77777777" w:rsidR="00600DEE" w:rsidRDefault="00600DEE">
                  <w:pPr>
                    <w:jc w:val="center"/>
                    <w:rPr>
                      <w:rFonts w:ascii="Calibri" w:eastAsia="Calibri" w:hAnsi="Calibri" w:cs="Calibri"/>
                      <w:b/>
                      <w:color w:val="FFFFFF"/>
                      <w:sz w:val="18"/>
                      <w:szCs w:val="18"/>
                    </w:rPr>
                  </w:pPr>
                </w:p>
              </w:tc>
              <w:tc>
                <w:tcPr>
                  <w:tcW w:w="1440" w:type="dxa"/>
                  <w:tcBorders>
                    <w:top w:val="single" w:sz="4" w:space="0" w:color="FFFFFF"/>
                    <w:left w:val="single" w:sz="4" w:space="0" w:color="FFFFFF"/>
                    <w:bottom w:val="single" w:sz="4" w:space="0" w:color="FFFFFF"/>
                  </w:tcBorders>
                  <w:shd w:val="clear" w:color="auto" w:fill="95B3D7"/>
                  <w:vAlign w:val="bottom"/>
                </w:tcPr>
                <w:p w14:paraId="2434A336"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1,454</w:t>
                  </w:r>
                </w:p>
              </w:tc>
            </w:tr>
          </w:tbl>
          <w:p w14:paraId="71FD3B43" w14:textId="77777777" w:rsidR="00600DEE" w:rsidRDefault="00641FB5">
            <w:pPr>
              <w:ind w:right="170"/>
              <w:jc w:val="both"/>
              <w:rPr>
                <w:rFonts w:ascii="Calibri" w:eastAsia="Calibri" w:hAnsi="Calibri" w:cs="Calibri"/>
                <w:b/>
                <w:i/>
                <w:sz w:val="10"/>
                <w:szCs w:val="10"/>
              </w:rPr>
            </w:pPr>
            <w:r>
              <w:rPr>
                <w:rFonts w:ascii="Calibri" w:eastAsia="Calibri" w:hAnsi="Calibri" w:cs="Calibri"/>
                <w:b/>
                <w:i/>
                <w:sz w:val="16"/>
                <w:szCs w:val="16"/>
              </w:rPr>
              <w:t>Źródła:</w:t>
            </w:r>
            <w:r>
              <w:t xml:space="preserve"> </w:t>
            </w:r>
            <w:hyperlink r:id="rId159">
              <w:r>
                <w:rPr>
                  <w:rFonts w:ascii="Calibri" w:eastAsia="Calibri" w:hAnsi="Calibri" w:cs="Calibri"/>
                  <w:b/>
                  <w:i/>
                  <w:color w:val="0000FF"/>
                  <w:sz w:val="16"/>
                  <w:szCs w:val="16"/>
                  <w:u w:val="single"/>
                </w:rPr>
                <w:t>Jak wyznaczyć stawkę za km zlecenia transportowego? - FireTMS</w:t>
              </w:r>
            </w:hyperlink>
            <w:r>
              <w:rPr>
                <w:rFonts w:ascii="Calibri" w:eastAsia="Calibri" w:hAnsi="Calibri" w:cs="Calibri"/>
                <w:b/>
                <w:i/>
                <w:sz w:val="8"/>
                <w:szCs w:val="8"/>
              </w:rPr>
              <w:t xml:space="preserve"> </w:t>
            </w:r>
            <w:r>
              <w:rPr>
                <w:rFonts w:ascii="Calibri" w:eastAsia="Calibri" w:hAnsi="Calibri" w:cs="Calibri"/>
                <w:b/>
                <w:i/>
                <w:sz w:val="10"/>
                <w:szCs w:val="10"/>
              </w:rPr>
              <w:t xml:space="preserve"> </w:t>
            </w:r>
          </w:p>
          <w:p w14:paraId="1AD772F3" w14:textId="79FB3691"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b/>
                <w:i/>
                <w:color w:val="000000"/>
                <w:sz w:val="16"/>
                <w:szCs w:val="16"/>
              </w:rPr>
              <w:t xml:space="preserve">(*) Zakładając średni roczny przebieg HGV zgodnie z: „Prognozy eksperckie zmian aktywności sektora transportu drogowego (w kontekście ustawy o systemie zarządzania emisjami gazów cieplarnianych i </w:t>
            </w:r>
            <w:r w:rsidR="00C65DA8">
              <w:rPr>
                <w:rFonts w:ascii="Calibri" w:eastAsia="Calibri" w:hAnsi="Calibri" w:cs="Calibri"/>
                <w:b/>
                <w:i/>
                <w:color w:val="000000"/>
                <w:sz w:val="16"/>
                <w:szCs w:val="16"/>
              </w:rPr>
              <w:t>innych substancji)", ITS 2017.</w:t>
            </w:r>
            <w:r>
              <w:rPr>
                <w:rFonts w:ascii="Calibri" w:eastAsia="Calibri" w:hAnsi="Calibri" w:cs="Calibri"/>
                <w:b/>
                <w:i/>
                <w:color w:val="000000"/>
                <w:sz w:val="16"/>
                <w:szCs w:val="16"/>
              </w:rPr>
              <w:tab/>
            </w:r>
          </w:p>
          <w:p w14:paraId="7EC4B916" w14:textId="77777777" w:rsidR="00701BA3" w:rsidRDefault="00701BA3">
            <w:pPr>
              <w:pBdr>
                <w:top w:val="nil"/>
                <w:left w:val="nil"/>
                <w:bottom w:val="nil"/>
                <w:right w:val="nil"/>
                <w:between w:val="nil"/>
              </w:pBdr>
              <w:spacing w:before="120"/>
              <w:jc w:val="both"/>
              <w:rPr>
                <w:rFonts w:ascii="Calibri" w:eastAsia="Calibri" w:hAnsi="Calibri" w:cs="Calibri"/>
                <w:color w:val="000000"/>
                <w:sz w:val="20"/>
                <w:szCs w:val="20"/>
                <w:u w:val="single"/>
              </w:rPr>
            </w:pPr>
          </w:p>
          <w:p w14:paraId="5661A69F" w14:textId="54634116" w:rsidR="00600DEE" w:rsidRDefault="00641FB5" w:rsidP="00701BA3">
            <w:pPr>
              <w:pBdr>
                <w:top w:val="nil"/>
                <w:left w:val="nil"/>
                <w:bottom w:val="nil"/>
                <w:right w:val="nil"/>
                <w:between w:val="nil"/>
              </w:pBdr>
              <w:jc w:val="both"/>
              <w:rPr>
                <w:rFonts w:ascii="Calibri" w:eastAsia="Calibri" w:hAnsi="Calibri" w:cs="Calibri"/>
                <w:color w:val="000000"/>
                <w:sz w:val="20"/>
                <w:szCs w:val="20"/>
                <w:u w:val="single"/>
              </w:rPr>
            </w:pPr>
            <w:r>
              <w:rPr>
                <w:rFonts w:ascii="Calibri" w:eastAsia="Calibri" w:hAnsi="Calibri" w:cs="Calibri"/>
                <w:color w:val="000000"/>
                <w:sz w:val="20"/>
                <w:szCs w:val="20"/>
                <w:u w:val="single"/>
              </w:rPr>
              <w:t>Założenia do kosztów eksploatacji (VOC) spalinowych pojazdów LV i HGV</w:t>
            </w:r>
          </w:p>
          <w:p w14:paraId="7B421380" w14:textId="77777777" w:rsidR="00600DEE" w:rsidRDefault="00641FB5">
            <w:pPr>
              <w:pBdr>
                <w:top w:val="nil"/>
                <w:left w:val="nil"/>
                <w:bottom w:val="nil"/>
                <w:right w:val="nil"/>
                <w:between w:val="nil"/>
              </w:pBdr>
              <w:spacing w:before="60"/>
              <w:jc w:val="both"/>
              <w:rPr>
                <w:rFonts w:ascii="Calibri" w:eastAsia="Calibri" w:hAnsi="Calibri" w:cs="Calibri"/>
                <w:color w:val="000000"/>
                <w:sz w:val="20"/>
                <w:szCs w:val="20"/>
              </w:rPr>
            </w:pPr>
            <w:r>
              <w:rPr>
                <w:rFonts w:ascii="Calibri" w:eastAsia="Calibri" w:hAnsi="Calibri" w:cs="Calibri"/>
                <w:b/>
                <w:color w:val="000000"/>
                <w:sz w:val="20"/>
                <w:szCs w:val="20"/>
              </w:rPr>
              <w:t>Całkowite VOC dla LV i HGV</w:t>
            </w:r>
            <w:r>
              <w:rPr>
                <w:rFonts w:ascii="Calibri" w:eastAsia="Calibri" w:hAnsi="Calibri" w:cs="Calibri"/>
                <w:color w:val="000000"/>
                <w:sz w:val="20"/>
                <w:szCs w:val="20"/>
              </w:rPr>
              <w:t xml:space="preserve"> (koszty jednostkowe w Załączniku A) szacowane są jako suma kosztów zużycia paliwa (wyrażone funkcją prędkości podróży) plus inne koszty (jedne i drugie z wyłączeniem wszelkich podatków, ceł i opłat publicznych), tak jak przedstawiono obydwa z tych komponentów powyżej. Dotyczą one drogi w dobrym stanie (tzn. z nawierzchnią nowowybudowaną/wyremontowaną) i płaskiego terenu.</w:t>
            </w:r>
          </w:p>
          <w:p w14:paraId="30F30B5D" w14:textId="77777777" w:rsidR="00600DEE" w:rsidRDefault="00600DEE">
            <w:pPr>
              <w:pBdr>
                <w:top w:val="nil"/>
                <w:left w:val="nil"/>
                <w:bottom w:val="nil"/>
                <w:right w:val="nil"/>
                <w:between w:val="nil"/>
              </w:pBdr>
              <w:spacing w:before="60"/>
              <w:jc w:val="both"/>
              <w:rPr>
                <w:rFonts w:ascii="Calibri" w:eastAsia="Calibri" w:hAnsi="Calibri" w:cs="Calibri"/>
                <w:color w:val="000000"/>
                <w:sz w:val="20"/>
                <w:szCs w:val="20"/>
              </w:rPr>
            </w:pPr>
          </w:p>
          <w:p w14:paraId="74A7A951" w14:textId="77777777" w:rsidR="00701BA3" w:rsidRDefault="00701BA3">
            <w:pPr>
              <w:pBdr>
                <w:top w:val="nil"/>
                <w:left w:val="nil"/>
                <w:bottom w:val="nil"/>
                <w:right w:val="nil"/>
                <w:between w:val="nil"/>
              </w:pBdr>
              <w:spacing w:before="60"/>
              <w:jc w:val="both"/>
              <w:rPr>
                <w:rFonts w:ascii="Calibri" w:eastAsia="Calibri" w:hAnsi="Calibri" w:cs="Calibri"/>
                <w:color w:val="000000"/>
                <w:sz w:val="20"/>
                <w:szCs w:val="20"/>
              </w:rPr>
            </w:pPr>
          </w:p>
          <w:p w14:paraId="53B63B3B" w14:textId="77777777" w:rsidR="00701BA3" w:rsidRDefault="00701BA3">
            <w:pPr>
              <w:pBdr>
                <w:top w:val="nil"/>
                <w:left w:val="nil"/>
                <w:bottom w:val="nil"/>
                <w:right w:val="nil"/>
                <w:between w:val="nil"/>
              </w:pBdr>
              <w:spacing w:before="60"/>
              <w:jc w:val="both"/>
              <w:rPr>
                <w:rFonts w:ascii="Calibri" w:eastAsia="Calibri" w:hAnsi="Calibri" w:cs="Calibri"/>
                <w:color w:val="000000"/>
                <w:sz w:val="20"/>
                <w:szCs w:val="20"/>
              </w:rPr>
            </w:pPr>
          </w:p>
          <w:p w14:paraId="0AAB839C" w14:textId="77777777" w:rsidR="00C25D65" w:rsidRDefault="00C25D65">
            <w:pPr>
              <w:pBdr>
                <w:top w:val="nil"/>
                <w:left w:val="nil"/>
                <w:bottom w:val="nil"/>
                <w:right w:val="nil"/>
                <w:between w:val="nil"/>
              </w:pBdr>
              <w:spacing w:before="60"/>
              <w:jc w:val="both"/>
              <w:rPr>
                <w:rFonts w:ascii="Calibri" w:eastAsia="Calibri" w:hAnsi="Calibri" w:cs="Calibri"/>
                <w:color w:val="000000"/>
                <w:sz w:val="20"/>
                <w:szCs w:val="20"/>
              </w:rPr>
            </w:pPr>
          </w:p>
          <w:p w14:paraId="52D80CB6" w14:textId="77777777" w:rsidR="00C25D65" w:rsidRDefault="00C25D65">
            <w:pPr>
              <w:pBdr>
                <w:top w:val="nil"/>
                <w:left w:val="nil"/>
                <w:bottom w:val="nil"/>
                <w:right w:val="nil"/>
                <w:between w:val="nil"/>
              </w:pBdr>
              <w:spacing w:before="60"/>
              <w:jc w:val="both"/>
              <w:rPr>
                <w:rFonts w:ascii="Calibri" w:eastAsia="Calibri" w:hAnsi="Calibri" w:cs="Calibri"/>
                <w:color w:val="000000"/>
                <w:sz w:val="20"/>
                <w:szCs w:val="20"/>
              </w:rPr>
            </w:pPr>
          </w:p>
          <w:p w14:paraId="7707BDFB" w14:textId="2360C7A7" w:rsidR="00600DEE" w:rsidRDefault="00641FB5">
            <w:pPr>
              <w:pBdr>
                <w:top w:val="nil"/>
                <w:left w:val="nil"/>
                <w:bottom w:val="nil"/>
                <w:right w:val="nil"/>
                <w:between w:val="nil"/>
              </w:pBdr>
              <w:spacing w:before="60"/>
              <w:jc w:val="both"/>
              <w:rPr>
                <w:rFonts w:ascii="Calibri" w:eastAsia="Calibri" w:hAnsi="Calibri" w:cs="Calibri"/>
                <w:color w:val="000000"/>
                <w:sz w:val="20"/>
                <w:szCs w:val="20"/>
              </w:rPr>
            </w:pPr>
            <w:r>
              <w:rPr>
                <w:rFonts w:ascii="Calibri" w:eastAsia="Calibri" w:hAnsi="Calibri" w:cs="Calibri"/>
                <w:color w:val="000000"/>
                <w:sz w:val="20"/>
                <w:szCs w:val="20"/>
              </w:rPr>
              <w:t>W związku z tym, odpowiednie współczynniki dotyczące innych warunków drogowych i typów terenu przedstawiono poniżej:</w:t>
            </w:r>
          </w:p>
          <w:p w14:paraId="5F796AD6" w14:textId="77777777" w:rsidR="00701BA3" w:rsidRDefault="00701BA3">
            <w:pPr>
              <w:pBdr>
                <w:top w:val="nil"/>
                <w:left w:val="nil"/>
                <w:bottom w:val="nil"/>
                <w:right w:val="nil"/>
                <w:between w:val="nil"/>
              </w:pBdr>
              <w:spacing w:before="120"/>
              <w:jc w:val="both"/>
              <w:rPr>
                <w:rFonts w:ascii="Calibri" w:eastAsia="Calibri" w:hAnsi="Calibri" w:cs="Calibri"/>
                <w:color w:val="000000"/>
                <w:sz w:val="20"/>
                <w:szCs w:val="20"/>
                <w:u w:val="single"/>
              </w:rPr>
            </w:pPr>
          </w:p>
          <w:p w14:paraId="7F104628" w14:textId="7670C66E" w:rsidR="00600DEE" w:rsidRDefault="00641FB5">
            <w:pPr>
              <w:pBdr>
                <w:top w:val="nil"/>
                <w:left w:val="nil"/>
                <w:bottom w:val="nil"/>
                <w:right w:val="nil"/>
                <w:between w:val="nil"/>
              </w:pBdr>
              <w:spacing w:before="120"/>
              <w:jc w:val="both"/>
              <w:rPr>
                <w:rFonts w:ascii="Calibri" w:eastAsia="Calibri" w:hAnsi="Calibri" w:cs="Calibri"/>
                <w:color w:val="000000"/>
                <w:sz w:val="20"/>
                <w:szCs w:val="20"/>
                <w:u w:val="single"/>
              </w:rPr>
            </w:pPr>
            <w:r>
              <w:rPr>
                <w:rFonts w:ascii="Calibri" w:eastAsia="Calibri" w:hAnsi="Calibri" w:cs="Calibri"/>
                <w:color w:val="000000"/>
                <w:sz w:val="20"/>
                <w:szCs w:val="20"/>
                <w:u w:val="single"/>
              </w:rPr>
              <w:t>Nachylenie podłużne drogi:</w:t>
            </w:r>
          </w:p>
          <w:p w14:paraId="2E607607" w14:textId="24C9F03F" w:rsidR="00600DEE" w:rsidRDefault="00641FB5" w:rsidP="00701BA3">
            <w:pPr>
              <w:pBdr>
                <w:top w:val="nil"/>
                <w:left w:val="nil"/>
                <w:bottom w:val="nil"/>
                <w:right w:val="nil"/>
                <w:between w:val="nil"/>
              </w:pBdr>
              <w:spacing w:before="60" w:after="240"/>
              <w:jc w:val="both"/>
              <w:rPr>
                <w:rFonts w:ascii="Calibri" w:eastAsia="Calibri" w:hAnsi="Calibri" w:cs="Calibri"/>
                <w:color w:val="000000"/>
                <w:sz w:val="20"/>
                <w:szCs w:val="20"/>
              </w:rPr>
            </w:pPr>
            <w:r>
              <w:rPr>
                <w:rFonts w:ascii="Calibri" w:eastAsia="Calibri" w:hAnsi="Calibri" w:cs="Calibri"/>
                <w:color w:val="000000"/>
                <w:sz w:val="20"/>
                <w:szCs w:val="20"/>
              </w:rPr>
              <w:t>Przyjmuje się, że teren falisty zwiększa zużycie paliwa pojazdów lekkich o 15%. W przypadku HGV, odpowiedni współczynnik uzyskano w oparciu o zastosowane równania do wyliczania zużycia paliwa.</w:t>
            </w:r>
          </w:p>
          <w:p w14:paraId="7212734E" w14:textId="77777777" w:rsidR="00701BA3" w:rsidRDefault="00701BA3">
            <w:pPr>
              <w:pBdr>
                <w:top w:val="nil"/>
                <w:left w:val="nil"/>
                <w:bottom w:val="nil"/>
                <w:right w:val="nil"/>
                <w:between w:val="nil"/>
              </w:pBdr>
              <w:spacing w:before="60"/>
              <w:jc w:val="both"/>
              <w:rPr>
                <w:rFonts w:ascii="Calibri" w:eastAsia="Calibri" w:hAnsi="Calibri" w:cs="Calibri"/>
                <w:color w:val="000000"/>
                <w:sz w:val="20"/>
                <w:szCs w:val="20"/>
              </w:rPr>
            </w:pPr>
          </w:p>
          <w:p w14:paraId="459CAA02" w14:textId="1EC56780" w:rsidR="00600DEE" w:rsidRDefault="00641FB5">
            <w:pPr>
              <w:pBdr>
                <w:top w:val="nil"/>
                <w:left w:val="nil"/>
                <w:bottom w:val="nil"/>
                <w:right w:val="nil"/>
                <w:between w:val="nil"/>
              </w:pBdr>
              <w:spacing w:before="60"/>
              <w:jc w:val="both"/>
              <w:rPr>
                <w:rFonts w:ascii="Calibri" w:eastAsia="Calibri" w:hAnsi="Calibri" w:cs="Calibri"/>
                <w:color w:val="000000"/>
                <w:sz w:val="20"/>
                <w:szCs w:val="20"/>
              </w:rPr>
            </w:pPr>
            <w:r>
              <w:rPr>
                <w:rFonts w:ascii="Calibri" w:eastAsia="Calibri" w:hAnsi="Calibri" w:cs="Calibri"/>
                <w:color w:val="000000"/>
                <w:sz w:val="20"/>
                <w:szCs w:val="20"/>
              </w:rPr>
              <w:t>Odpowiednie mnożniki stosowane do łącznych VOC zaprezentowano poniżej:</w:t>
            </w:r>
          </w:p>
          <w:p w14:paraId="16205D8A" w14:textId="77777777" w:rsidR="00701BA3" w:rsidRDefault="00701BA3">
            <w:pPr>
              <w:pBdr>
                <w:top w:val="nil"/>
                <w:left w:val="nil"/>
                <w:bottom w:val="nil"/>
                <w:right w:val="nil"/>
                <w:between w:val="nil"/>
              </w:pBdr>
              <w:spacing w:before="60"/>
              <w:jc w:val="both"/>
              <w:rPr>
                <w:rFonts w:ascii="Calibri" w:eastAsia="Calibri" w:hAnsi="Calibri" w:cs="Calibri"/>
                <w:color w:val="000000"/>
                <w:sz w:val="20"/>
                <w:szCs w:val="20"/>
              </w:rPr>
            </w:pPr>
          </w:p>
          <w:tbl>
            <w:tblPr>
              <w:tblStyle w:val="affffffffffffff8"/>
              <w:tblW w:w="3395" w:type="dxa"/>
              <w:tblLayout w:type="fixed"/>
              <w:tblLook w:val="0400" w:firstRow="0" w:lastRow="0" w:firstColumn="0" w:lastColumn="0" w:noHBand="0" w:noVBand="1"/>
            </w:tblPr>
            <w:tblGrid>
              <w:gridCol w:w="1694"/>
              <w:gridCol w:w="850"/>
              <w:gridCol w:w="851"/>
            </w:tblGrid>
            <w:tr w:rsidR="00600DEE" w14:paraId="586BEED1" w14:textId="77777777" w:rsidTr="00701BA3">
              <w:trPr>
                <w:trHeight w:hRule="exact" w:val="454"/>
              </w:trPr>
              <w:tc>
                <w:tcPr>
                  <w:tcW w:w="1694" w:type="dxa"/>
                  <w:tcBorders>
                    <w:top w:val="single" w:sz="4" w:space="0" w:color="FFFFFF"/>
                    <w:left w:val="single" w:sz="4" w:space="0" w:color="FFFFFF"/>
                    <w:bottom w:val="single" w:sz="4" w:space="0" w:color="FFFFFF"/>
                    <w:right w:val="nil"/>
                  </w:tcBorders>
                  <w:shd w:val="clear" w:color="auto" w:fill="A6A6A6"/>
                  <w:vAlign w:val="center"/>
                </w:tcPr>
                <w:p w14:paraId="2632E2CC"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Rodzaj teren</w:t>
                  </w:r>
                </w:p>
              </w:tc>
              <w:tc>
                <w:tcPr>
                  <w:tcW w:w="850" w:type="dxa"/>
                  <w:tcBorders>
                    <w:top w:val="single" w:sz="4" w:space="0" w:color="FFFFFF"/>
                    <w:left w:val="single" w:sz="4" w:space="0" w:color="FFFFFF"/>
                    <w:bottom w:val="single" w:sz="4" w:space="0" w:color="FFFFFF"/>
                    <w:right w:val="nil"/>
                  </w:tcBorders>
                  <w:shd w:val="clear" w:color="auto" w:fill="A6A6A6"/>
                  <w:vAlign w:val="center"/>
                </w:tcPr>
                <w:p w14:paraId="09337E4F"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LV</w:t>
                  </w:r>
                </w:p>
              </w:tc>
              <w:tc>
                <w:tcPr>
                  <w:tcW w:w="851" w:type="dxa"/>
                  <w:tcBorders>
                    <w:top w:val="single" w:sz="4" w:space="0" w:color="FFFFFF"/>
                    <w:left w:val="single" w:sz="4" w:space="0" w:color="FFFFFF"/>
                    <w:bottom w:val="single" w:sz="4" w:space="0" w:color="FFFFFF"/>
                    <w:right w:val="nil"/>
                  </w:tcBorders>
                  <w:shd w:val="clear" w:color="auto" w:fill="A6A6A6"/>
                  <w:vAlign w:val="center"/>
                </w:tcPr>
                <w:p w14:paraId="17815A25"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HGV</w:t>
                  </w:r>
                </w:p>
              </w:tc>
            </w:tr>
            <w:tr w:rsidR="00600DEE" w14:paraId="1FAAFD39" w14:textId="77777777" w:rsidTr="00701BA3">
              <w:trPr>
                <w:trHeight w:hRule="exact" w:val="454"/>
              </w:trPr>
              <w:tc>
                <w:tcPr>
                  <w:tcW w:w="1694" w:type="dxa"/>
                  <w:tcBorders>
                    <w:top w:val="single" w:sz="4" w:space="0" w:color="FFFFFF"/>
                    <w:left w:val="single" w:sz="4" w:space="0" w:color="FFFFFF"/>
                    <w:bottom w:val="single" w:sz="4" w:space="0" w:color="FFFFFF"/>
                    <w:right w:val="nil"/>
                  </w:tcBorders>
                  <w:shd w:val="clear" w:color="auto" w:fill="DBE5F1"/>
                  <w:vAlign w:val="center"/>
                </w:tcPr>
                <w:p w14:paraId="3FB5BCAA"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Płaski</w:t>
                  </w:r>
                </w:p>
              </w:tc>
              <w:tc>
                <w:tcPr>
                  <w:tcW w:w="850" w:type="dxa"/>
                  <w:tcBorders>
                    <w:top w:val="single" w:sz="4" w:space="0" w:color="FFFFFF"/>
                    <w:left w:val="single" w:sz="4" w:space="0" w:color="FFFFFF"/>
                    <w:bottom w:val="single" w:sz="4" w:space="0" w:color="FFFFFF"/>
                    <w:right w:val="nil"/>
                  </w:tcBorders>
                  <w:shd w:val="clear" w:color="auto" w:fill="DBE5F1"/>
                  <w:vAlign w:val="center"/>
                </w:tcPr>
                <w:p w14:paraId="3A139F7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c>
                <w:tcPr>
                  <w:tcW w:w="851" w:type="dxa"/>
                  <w:tcBorders>
                    <w:top w:val="single" w:sz="4" w:space="0" w:color="FFFFFF"/>
                    <w:left w:val="single" w:sz="4" w:space="0" w:color="FFFFFF"/>
                    <w:bottom w:val="single" w:sz="4" w:space="0" w:color="FFFFFF"/>
                    <w:right w:val="nil"/>
                  </w:tcBorders>
                  <w:shd w:val="clear" w:color="auto" w:fill="DBE5F1"/>
                  <w:vAlign w:val="center"/>
                </w:tcPr>
                <w:p w14:paraId="1DD8C28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r>
            <w:tr w:rsidR="00600DEE" w14:paraId="29C04DD3" w14:textId="77777777" w:rsidTr="00701BA3">
              <w:trPr>
                <w:trHeight w:hRule="exact" w:val="454"/>
              </w:trPr>
              <w:tc>
                <w:tcPr>
                  <w:tcW w:w="1694" w:type="dxa"/>
                  <w:tcBorders>
                    <w:top w:val="single" w:sz="4" w:space="0" w:color="FFFFFF"/>
                    <w:left w:val="single" w:sz="4" w:space="0" w:color="FFFFFF"/>
                    <w:bottom w:val="single" w:sz="4" w:space="0" w:color="FFFFFF"/>
                    <w:right w:val="nil"/>
                  </w:tcBorders>
                  <w:shd w:val="clear" w:color="auto" w:fill="DBE5F1"/>
                  <w:vAlign w:val="center"/>
                </w:tcPr>
                <w:p w14:paraId="7DC1412E"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Falisty</w:t>
                  </w:r>
                </w:p>
              </w:tc>
              <w:tc>
                <w:tcPr>
                  <w:tcW w:w="850" w:type="dxa"/>
                  <w:tcBorders>
                    <w:top w:val="single" w:sz="4" w:space="0" w:color="FFFFFF"/>
                    <w:left w:val="single" w:sz="4" w:space="0" w:color="FFFFFF"/>
                    <w:bottom w:val="single" w:sz="4" w:space="0" w:color="FFFFFF"/>
                    <w:right w:val="nil"/>
                  </w:tcBorders>
                  <w:shd w:val="clear" w:color="auto" w:fill="DBE5F1"/>
                  <w:vAlign w:val="center"/>
                </w:tcPr>
                <w:p w14:paraId="79EE7AD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1,032</w:t>
                  </w:r>
                </w:p>
              </w:tc>
              <w:tc>
                <w:tcPr>
                  <w:tcW w:w="851" w:type="dxa"/>
                  <w:tcBorders>
                    <w:top w:val="single" w:sz="4" w:space="0" w:color="FFFFFF"/>
                    <w:left w:val="single" w:sz="4" w:space="0" w:color="FFFFFF"/>
                    <w:bottom w:val="single" w:sz="4" w:space="0" w:color="FFFFFF"/>
                    <w:right w:val="nil"/>
                  </w:tcBorders>
                  <w:shd w:val="clear" w:color="auto" w:fill="DBE5F1"/>
                  <w:vAlign w:val="center"/>
                </w:tcPr>
                <w:p w14:paraId="4CEC8BE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1,200</w:t>
                  </w:r>
                </w:p>
              </w:tc>
            </w:tr>
          </w:tbl>
          <w:p w14:paraId="51766BDF" w14:textId="48DE700C" w:rsidR="00600DEE" w:rsidRDefault="00641FB5">
            <w:pPr>
              <w:pBdr>
                <w:top w:val="nil"/>
                <w:left w:val="nil"/>
                <w:bottom w:val="nil"/>
                <w:right w:val="nil"/>
                <w:between w:val="nil"/>
              </w:pBdr>
              <w:spacing w:before="60"/>
              <w:jc w:val="both"/>
              <w:rPr>
                <w:rFonts w:ascii="Calibri" w:eastAsia="Calibri" w:hAnsi="Calibri" w:cs="Calibri"/>
                <w:b/>
                <w:color w:val="000000"/>
                <w:sz w:val="16"/>
                <w:szCs w:val="16"/>
              </w:rPr>
            </w:pPr>
            <w:r>
              <w:rPr>
                <w:rFonts w:ascii="Calibri" w:eastAsia="Calibri" w:hAnsi="Calibri" w:cs="Calibri"/>
                <w:b/>
                <w:color w:val="000000"/>
                <w:sz w:val="16"/>
                <w:szCs w:val="16"/>
              </w:rPr>
              <w:t>Źródła: opracowanie własne bazujące przede wszystkim na pracy „Minimizing vehicle fuel consumption on hilly roads based on dynamic programming” - Min Zhou, Hui Jin, Feng Ding, 2017 (sagepub.com) w przypadku LV; oraz „EMEP/EEA air pollutant emission inventory guidebook, 2019,” 1.A.3.b.i-iv Road Transport Appendix 4 Emission Factors 2019 (Sept. 2020)” w przypadku HGV.</w:t>
            </w:r>
          </w:p>
          <w:p w14:paraId="187D47D1" w14:textId="7426204B" w:rsidR="00701BA3" w:rsidRDefault="00701BA3">
            <w:pPr>
              <w:pBdr>
                <w:top w:val="nil"/>
                <w:left w:val="nil"/>
                <w:bottom w:val="nil"/>
                <w:right w:val="nil"/>
                <w:between w:val="nil"/>
              </w:pBdr>
              <w:spacing w:before="60"/>
              <w:jc w:val="both"/>
              <w:rPr>
                <w:rFonts w:ascii="Calibri" w:eastAsia="Calibri" w:hAnsi="Calibri" w:cs="Calibri"/>
                <w:b/>
                <w:color w:val="000000"/>
                <w:sz w:val="16"/>
                <w:szCs w:val="16"/>
              </w:rPr>
            </w:pPr>
          </w:p>
          <w:p w14:paraId="75B1E098" w14:textId="44021118" w:rsidR="00701BA3" w:rsidRDefault="00701BA3">
            <w:pPr>
              <w:pBdr>
                <w:top w:val="nil"/>
                <w:left w:val="nil"/>
                <w:bottom w:val="nil"/>
                <w:right w:val="nil"/>
                <w:between w:val="nil"/>
              </w:pBdr>
              <w:spacing w:before="60"/>
              <w:jc w:val="both"/>
              <w:rPr>
                <w:rFonts w:ascii="Calibri" w:eastAsia="Calibri" w:hAnsi="Calibri" w:cs="Calibri"/>
                <w:b/>
                <w:color w:val="000000"/>
                <w:sz w:val="16"/>
                <w:szCs w:val="16"/>
              </w:rPr>
            </w:pPr>
          </w:p>
          <w:p w14:paraId="1E569286" w14:textId="77777777" w:rsidR="00701BA3" w:rsidRDefault="00701BA3">
            <w:pPr>
              <w:pBdr>
                <w:top w:val="nil"/>
                <w:left w:val="nil"/>
                <w:bottom w:val="nil"/>
                <w:right w:val="nil"/>
                <w:between w:val="nil"/>
              </w:pBdr>
              <w:spacing w:before="60"/>
              <w:jc w:val="both"/>
              <w:rPr>
                <w:rFonts w:ascii="Calibri" w:eastAsia="Calibri" w:hAnsi="Calibri" w:cs="Calibri"/>
                <w:b/>
                <w:color w:val="000000"/>
                <w:sz w:val="16"/>
                <w:szCs w:val="16"/>
              </w:rPr>
            </w:pPr>
          </w:p>
          <w:p w14:paraId="47152A25"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u w:val="single"/>
              </w:rPr>
            </w:pPr>
            <w:r>
              <w:rPr>
                <w:rFonts w:ascii="Calibri" w:eastAsia="Calibri" w:hAnsi="Calibri" w:cs="Calibri"/>
                <w:color w:val="000000"/>
                <w:sz w:val="20"/>
                <w:szCs w:val="20"/>
                <w:u w:val="single"/>
              </w:rPr>
              <w:t>Stan drogi</w:t>
            </w:r>
          </w:p>
          <w:p w14:paraId="11FEA902" w14:textId="361AF3A2"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Na podstawie: “Optimisation of</w:t>
            </w:r>
            <w:r w:rsidR="00C65DA8">
              <w:rPr>
                <w:rFonts w:ascii="Calibri" w:eastAsia="Calibri" w:hAnsi="Calibri" w:cs="Calibri"/>
                <w:color w:val="000000"/>
                <w:sz w:val="20"/>
                <w:szCs w:val="20"/>
              </w:rPr>
              <w:t xml:space="preserve"> Maintenance", (OECD/ITF 2012, str</w:t>
            </w:r>
            <w:r>
              <w:rPr>
                <w:rFonts w:ascii="Calibri" w:eastAsia="Calibri" w:hAnsi="Calibri" w:cs="Calibri"/>
                <w:color w:val="000000"/>
                <w:sz w:val="20"/>
                <w:szCs w:val="20"/>
              </w:rPr>
              <w:t>. 12) uzyskano następujące współczynniki. Poniższe mnożniki stosowane są do łącznych VOC:</w:t>
            </w:r>
          </w:p>
          <w:p w14:paraId="453D121B" w14:textId="52EC6B73" w:rsidR="00701BA3" w:rsidRDefault="00701BA3">
            <w:pPr>
              <w:pBdr>
                <w:top w:val="nil"/>
                <w:left w:val="nil"/>
                <w:bottom w:val="nil"/>
                <w:right w:val="nil"/>
                <w:between w:val="nil"/>
              </w:pBdr>
              <w:spacing w:before="120"/>
              <w:jc w:val="both"/>
              <w:rPr>
                <w:rFonts w:ascii="Calibri" w:eastAsia="Calibri" w:hAnsi="Calibri" w:cs="Calibri"/>
                <w:color w:val="000000"/>
                <w:sz w:val="20"/>
                <w:szCs w:val="20"/>
              </w:rPr>
            </w:pPr>
          </w:p>
          <w:p w14:paraId="52E30C38" w14:textId="6B589A55" w:rsidR="00701BA3" w:rsidRDefault="00701BA3">
            <w:pPr>
              <w:pBdr>
                <w:top w:val="nil"/>
                <w:left w:val="nil"/>
                <w:bottom w:val="nil"/>
                <w:right w:val="nil"/>
                <w:between w:val="nil"/>
              </w:pBdr>
              <w:spacing w:before="120"/>
              <w:jc w:val="both"/>
              <w:rPr>
                <w:rFonts w:ascii="Calibri" w:eastAsia="Calibri" w:hAnsi="Calibri" w:cs="Calibri"/>
                <w:color w:val="000000"/>
                <w:sz w:val="20"/>
                <w:szCs w:val="20"/>
              </w:rPr>
            </w:pPr>
          </w:p>
          <w:p w14:paraId="1B5BBC68" w14:textId="2957A704" w:rsidR="00701BA3" w:rsidRDefault="00701BA3">
            <w:pPr>
              <w:pBdr>
                <w:top w:val="nil"/>
                <w:left w:val="nil"/>
                <w:bottom w:val="nil"/>
                <w:right w:val="nil"/>
                <w:between w:val="nil"/>
              </w:pBdr>
              <w:spacing w:before="120"/>
              <w:jc w:val="both"/>
              <w:rPr>
                <w:rFonts w:ascii="Calibri" w:eastAsia="Calibri" w:hAnsi="Calibri" w:cs="Calibri"/>
                <w:color w:val="000000"/>
                <w:sz w:val="20"/>
                <w:szCs w:val="20"/>
              </w:rPr>
            </w:pPr>
          </w:p>
          <w:p w14:paraId="22AF1800" w14:textId="32387FC8" w:rsidR="00701BA3" w:rsidRDefault="00701BA3">
            <w:pPr>
              <w:pBdr>
                <w:top w:val="nil"/>
                <w:left w:val="nil"/>
                <w:bottom w:val="nil"/>
                <w:right w:val="nil"/>
                <w:between w:val="nil"/>
              </w:pBdr>
              <w:spacing w:before="120"/>
              <w:jc w:val="both"/>
              <w:rPr>
                <w:rFonts w:ascii="Calibri" w:eastAsia="Calibri" w:hAnsi="Calibri" w:cs="Calibri"/>
                <w:color w:val="000000"/>
                <w:sz w:val="20"/>
                <w:szCs w:val="20"/>
              </w:rPr>
            </w:pPr>
          </w:p>
          <w:p w14:paraId="3C8AF5F2" w14:textId="3A0A1A09" w:rsidR="00701BA3" w:rsidRDefault="00701BA3">
            <w:pPr>
              <w:pBdr>
                <w:top w:val="nil"/>
                <w:left w:val="nil"/>
                <w:bottom w:val="nil"/>
                <w:right w:val="nil"/>
                <w:between w:val="nil"/>
              </w:pBdr>
              <w:spacing w:before="120"/>
              <w:jc w:val="both"/>
              <w:rPr>
                <w:rFonts w:ascii="Calibri" w:eastAsia="Calibri" w:hAnsi="Calibri" w:cs="Calibri"/>
                <w:color w:val="000000"/>
                <w:sz w:val="20"/>
                <w:szCs w:val="20"/>
              </w:rPr>
            </w:pPr>
          </w:p>
          <w:p w14:paraId="71A663DA"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Mnożniki kosztów eksploatacji pojazdów w zależności od stanu technicznego drogi dla pojazdów spalinowych (LV, HGV): </w:t>
            </w:r>
          </w:p>
          <w:tbl>
            <w:tblPr>
              <w:tblStyle w:val="affffffffffffff9"/>
              <w:tblW w:w="5605" w:type="dxa"/>
              <w:tblLayout w:type="fixed"/>
              <w:tblLook w:val="0400" w:firstRow="0" w:lastRow="0" w:firstColumn="0" w:lastColumn="0" w:noHBand="0" w:noVBand="1"/>
            </w:tblPr>
            <w:tblGrid>
              <w:gridCol w:w="2695"/>
              <w:gridCol w:w="1351"/>
              <w:gridCol w:w="1559"/>
            </w:tblGrid>
            <w:tr w:rsidR="00600DEE" w14:paraId="0515B583" w14:textId="77777777" w:rsidTr="00EB71BA">
              <w:trPr>
                <w:trHeight w:hRule="exact" w:val="454"/>
              </w:trPr>
              <w:tc>
                <w:tcPr>
                  <w:tcW w:w="2695" w:type="dxa"/>
                  <w:tcBorders>
                    <w:top w:val="single" w:sz="4" w:space="0" w:color="FFFFFF"/>
                    <w:left w:val="single" w:sz="4" w:space="0" w:color="FFFFFF"/>
                    <w:bottom w:val="single" w:sz="4" w:space="0" w:color="FFFFFF"/>
                    <w:right w:val="nil"/>
                  </w:tcBorders>
                  <w:shd w:val="clear" w:color="auto" w:fill="A6A6A6"/>
                  <w:vAlign w:val="center"/>
                </w:tcPr>
                <w:p w14:paraId="17518FE5"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Stan drogi</w:t>
                  </w:r>
                </w:p>
              </w:tc>
              <w:tc>
                <w:tcPr>
                  <w:tcW w:w="1351" w:type="dxa"/>
                  <w:tcBorders>
                    <w:top w:val="single" w:sz="4" w:space="0" w:color="FFFFFF"/>
                    <w:left w:val="single" w:sz="4" w:space="0" w:color="FFFFFF"/>
                    <w:bottom w:val="single" w:sz="4" w:space="0" w:color="FFFFFF"/>
                    <w:right w:val="nil"/>
                  </w:tcBorders>
                  <w:shd w:val="clear" w:color="auto" w:fill="A6A6A6"/>
                  <w:vAlign w:val="center"/>
                </w:tcPr>
                <w:p w14:paraId="2F09F4AC"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LV</w:t>
                  </w:r>
                </w:p>
              </w:tc>
              <w:tc>
                <w:tcPr>
                  <w:tcW w:w="1559" w:type="dxa"/>
                  <w:tcBorders>
                    <w:top w:val="single" w:sz="4" w:space="0" w:color="FFFFFF"/>
                    <w:left w:val="single" w:sz="4" w:space="0" w:color="FFFFFF"/>
                    <w:bottom w:val="single" w:sz="4" w:space="0" w:color="FFFFFF"/>
                    <w:right w:val="nil"/>
                  </w:tcBorders>
                  <w:shd w:val="clear" w:color="auto" w:fill="A6A6A6"/>
                  <w:vAlign w:val="center"/>
                </w:tcPr>
                <w:p w14:paraId="2BFC31F8"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HGV</w:t>
                  </w:r>
                </w:p>
              </w:tc>
            </w:tr>
            <w:tr w:rsidR="00600DEE" w14:paraId="11A021C5" w14:textId="77777777" w:rsidTr="00EB71BA">
              <w:trPr>
                <w:trHeight w:hRule="exact" w:val="454"/>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2CE121D5"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Dobry (po budowie/remoncie)</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53DBA78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2CB75E0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r>
            <w:tr w:rsidR="00600DEE" w14:paraId="3E1FAB31" w14:textId="77777777" w:rsidTr="00EB71BA">
              <w:trPr>
                <w:trHeight w:hRule="exact" w:val="454"/>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473C3E82"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 xml:space="preserve">Zdegradowany, </w:t>
                  </w:r>
                </w:p>
                <w:p w14:paraId="6D36E70D"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Prędkość (km/h)</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6E4AD827" w14:textId="77777777" w:rsidR="00600DEE" w:rsidRDefault="00600DEE">
                  <w:pPr>
                    <w:jc w:val="center"/>
                    <w:rPr>
                      <w:rFonts w:ascii="Calibri" w:eastAsia="Calibri" w:hAnsi="Calibri" w:cs="Calibri"/>
                      <w:color w:val="4F81BD"/>
                      <w:sz w:val="18"/>
                      <w:szCs w:val="18"/>
                    </w:rPr>
                  </w:pP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485348E1" w14:textId="77777777" w:rsidR="00600DEE" w:rsidRDefault="00600DEE">
                  <w:pPr>
                    <w:jc w:val="center"/>
                    <w:rPr>
                      <w:rFonts w:ascii="Calibri" w:eastAsia="Calibri" w:hAnsi="Calibri" w:cs="Calibri"/>
                      <w:color w:val="4F81BD"/>
                      <w:sz w:val="18"/>
                      <w:szCs w:val="18"/>
                    </w:rPr>
                  </w:pPr>
                </w:p>
              </w:tc>
            </w:tr>
            <w:tr w:rsidR="00600DEE" w14:paraId="7FC3D5AD"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5FF74D44"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0-10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2D5C1B1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4187548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1,125</w:t>
                  </w:r>
                </w:p>
              </w:tc>
            </w:tr>
            <w:tr w:rsidR="00600DEE" w14:paraId="4BE7D51A"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16E944FD"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11-20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0E084A3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6F13210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1,125</w:t>
                  </w:r>
                </w:p>
              </w:tc>
            </w:tr>
            <w:tr w:rsidR="00600DEE" w14:paraId="54B6AC4A"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17E71725"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21-30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176FB1F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330B548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1,125</w:t>
                  </w:r>
                </w:p>
              </w:tc>
            </w:tr>
            <w:tr w:rsidR="00600DEE" w14:paraId="32E3F1C7"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7EFC6646"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31-40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33EC920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15A9EC8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1,125</w:t>
                  </w:r>
                </w:p>
              </w:tc>
            </w:tr>
            <w:tr w:rsidR="00600DEE" w14:paraId="706E1831"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6DBF26FF"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41-50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5947FE5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39F4690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1,125</w:t>
                  </w:r>
                </w:p>
              </w:tc>
            </w:tr>
            <w:tr w:rsidR="00600DEE" w14:paraId="59B64DB1"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4AA30A29"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51-60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6BC9923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1,131</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2EFA770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1,146</w:t>
                  </w:r>
                </w:p>
              </w:tc>
            </w:tr>
            <w:tr w:rsidR="00600DEE" w14:paraId="110EDCA5"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41CF77EF"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61-70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4F38F69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1,150</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57591F3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1,167</w:t>
                  </w:r>
                </w:p>
              </w:tc>
            </w:tr>
            <w:tr w:rsidR="00600DEE" w14:paraId="149F4FC0"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023355C0"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71-80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066D55E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1,169</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2B847C3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1,188</w:t>
                  </w:r>
                </w:p>
              </w:tc>
            </w:tr>
            <w:tr w:rsidR="00600DEE" w14:paraId="3DB79446"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3EC33F4C"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81-90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63600DD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1,188</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76FF5D9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1,208</w:t>
                  </w:r>
                </w:p>
              </w:tc>
            </w:tr>
            <w:tr w:rsidR="00600DEE" w14:paraId="282D8EC0"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46C0107B"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91-100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51450A5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1,206</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60AB56C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1,229</w:t>
                  </w:r>
                </w:p>
              </w:tc>
            </w:tr>
            <w:tr w:rsidR="00600DEE" w14:paraId="66D12FE1"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76CA2FE4"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101-110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459C3D5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1,225</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15EAABE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1,250</w:t>
                  </w:r>
                </w:p>
              </w:tc>
            </w:tr>
            <w:tr w:rsidR="00600DEE" w14:paraId="41B57274"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0226B3B8"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111-120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21C9395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1,225</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3FA896F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1,250</w:t>
                  </w:r>
                </w:p>
              </w:tc>
            </w:tr>
            <w:tr w:rsidR="00600DEE" w14:paraId="1F26124C"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68F4A05C"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121-130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0BB8C98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1,225</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4B19282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1,250</w:t>
                  </w:r>
                </w:p>
              </w:tc>
            </w:tr>
            <w:tr w:rsidR="00600DEE" w14:paraId="282296C4"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1298B4F2"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131-140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0762586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1,225</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62E5E22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1,250</w:t>
                  </w:r>
                </w:p>
              </w:tc>
            </w:tr>
          </w:tbl>
          <w:p w14:paraId="51FE9C71" w14:textId="77777777" w:rsidR="00600DEE" w:rsidRDefault="00641FB5">
            <w:pPr>
              <w:pBdr>
                <w:top w:val="nil"/>
                <w:left w:val="nil"/>
                <w:bottom w:val="nil"/>
                <w:right w:val="nil"/>
                <w:between w:val="nil"/>
              </w:pBdr>
              <w:spacing w:before="120" w:after="120"/>
              <w:jc w:val="both"/>
              <w:rPr>
                <w:rFonts w:ascii="Calibri" w:eastAsia="Calibri" w:hAnsi="Calibri" w:cs="Calibri"/>
                <w:b/>
                <w:color w:val="000000"/>
                <w:sz w:val="20"/>
                <w:szCs w:val="20"/>
              </w:rPr>
            </w:pPr>
            <w:r>
              <w:rPr>
                <w:rFonts w:ascii="Calibri" w:eastAsia="Calibri" w:hAnsi="Calibri" w:cs="Calibri"/>
                <w:b/>
                <w:color w:val="000000"/>
                <w:sz w:val="20"/>
                <w:szCs w:val="20"/>
              </w:rPr>
              <w:t xml:space="preserve">Pojazdy elektryczne LV: </w:t>
            </w:r>
          </w:p>
          <w:p w14:paraId="2FC48094"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Zakłada się, że analogicznie jak w przypadku pojazdów spalinowych, dla elektrycznych LV VOC zawierają: (i) koszty zużycia energii elektrycznej; oraz (ii) pozostałe koszty. </w:t>
            </w:r>
          </w:p>
          <w:p w14:paraId="20858C54" w14:textId="1107112A"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Zakłada się, że część odnosząca się do pozostałych kosztów jest równoważna jak dla spalinowych LV (tj. 0,811 zł/km</w:t>
            </w:r>
            <w:r w:rsidR="005771F2">
              <w:t xml:space="preserve"> </w:t>
            </w:r>
            <w:r w:rsidR="005771F2" w:rsidRPr="005771F2">
              <w:rPr>
                <w:rFonts w:ascii="Calibri" w:eastAsia="Calibri" w:hAnsi="Calibri" w:cs="Calibri"/>
                <w:color w:val="000000"/>
                <w:sz w:val="20"/>
                <w:szCs w:val="20"/>
              </w:rPr>
              <w:t>w cenach na początek roku 2020</w:t>
            </w:r>
            <w:r>
              <w:rPr>
                <w:rFonts w:ascii="Calibri" w:eastAsia="Calibri" w:hAnsi="Calibri" w:cs="Calibri"/>
                <w:color w:val="000000"/>
                <w:sz w:val="20"/>
                <w:szCs w:val="20"/>
              </w:rPr>
              <w:t xml:space="preserve">). </w:t>
            </w:r>
          </w:p>
          <w:p w14:paraId="3E652ED5"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Koszty zużycia energii dla pojazdów elektrycznych wynikają z pomnożenia: </w:t>
            </w:r>
          </w:p>
          <w:p w14:paraId="4AC283AF" w14:textId="77777777" w:rsidR="00600DEE" w:rsidRDefault="00641FB5" w:rsidP="00C25D65">
            <w:pPr>
              <w:pBdr>
                <w:top w:val="nil"/>
                <w:left w:val="nil"/>
                <w:bottom w:val="nil"/>
                <w:right w:val="nil"/>
                <w:between w:val="nil"/>
              </w:pBdr>
              <w:spacing w:before="120" w:after="120"/>
              <w:ind w:left="720"/>
              <w:jc w:val="both"/>
              <w:rPr>
                <w:rFonts w:ascii="Calibri" w:eastAsia="Calibri" w:hAnsi="Calibri" w:cs="Calibri"/>
                <w:color w:val="000000"/>
                <w:sz w:val="20"/>
                <w:szCs w:val="20"/>
              </w:rPr>
            </w:pPr>
            <w:r>
              <w:rPr>
                <w:rFonts w:ascii="Calibri" w:eastAsia="Calibri" w:hAnsi="Calibri" w:cs="Calibri"/>
                <w:color w:val="000000"/>
                <w:sz w:val="20"/>
                <w:szCs w:val="20"/>
              </w:rPr>
              <w:t xml:space="preserve">- średniego wskaźnika zużycia dla przeciętnego LV wynoszącego 0,233 kWh/pojazd na kilometr (zgodnie z „EIB Project Carbon Footprint Methodologies”, lipiec 2020 r., Tabele A1.7 Transport Emissions Factors – Transport drogowy); przez </w:t>
            </w:r>
          </w:p>
          <w:p w14:paraId="2342B667" w14:textId="354A5565" w:rsidR="00600DEE" w:rsidRDefault="00641FB5" w:rsidP="00C25D65">
            <w:pPr>
              <w:pBdr>
                <w:top w:val="nil"/>
                <w:left w:val="nil"/>
                <w:bottom w:val="nil"/>
                <w:right w:val="nil"/>
                <w:between w:val="nil"/>
              </w:pBdr>
              <w:spacing w:before="120" w:after="120"/>
              <w:ind w:left="720"/>
              <w:jc w:val="both"/>
              <w:rPr>
                <w:rFonts w:ascii="Calibri" w:eastAsia="Calibri" w:hAnsi="Calibri" w:cs="Calibri"/>
                <w:color w:val="000000"/>
                <w:sz w:val="20"/>
                <w:szCs w:val="20"/>
              </w:rPr>
            </w:pPr>
            <w:r>
              <w:rPr>
                <w:rFonts w:ascii="Calibri" w:eastAsia="Calibri" w:hAnsi="Calibri" w:cs="Calibri"/>
                <w:color w:val="000000"/>
                <w:sz w:val="20"/>
                <w:szCs w:val="20"/>
              </w:rPr>
              <w:t>- koszt energii elektrycznej (0,2044 zł/kWh</w:t>
            </w:r>
            <w:r w:rsidR="005771F2">
              <w:t xml:space="preserve"> </w:t>
            </w:r>
            <w:r w:rsidR="005771F2" w:rsidRPr="005771F2">
              <w:rPr>
                <w:rFonts w:ascii="Calibri" w:eastAsia="Calibri" w:hAnsi="Calibri" w:cs="Calibri"/>
                <w:color w:val="000000"/>
                <w:sz w:val="20"/>
                <w:szCs w:val="20"/>
              </w:rPr>
              <w:t>w roku 2019</w:t>
            </w:r>
            <w:r>
              <w:rPr>
                <w:rFonts w:ascii="Calibri" w:eastAsia="Calibri" w:hAnsi="Calibri" w:cs="Calibri"/>
                <w:color w:val="000000"/>
                <w:sz w:val="20"/>
                <w:szCs w:val="20"/>
              </w:rPr>
              <w:t xml:space="preserve">) – na podstawie danych „Eurostat, Składniki cen energii elektrycznej dla odbiorców niebędących gospodarstwami domowymi – dane roczne (od 2007 r.)” https://ec.europa.eu/eurostat/databrowser/view/NRG_PC_205_C__custom_519166/default/table?lang=en </w:t>
            </w:r>
          </w:p>
          <w:p w14:paraId="515C617D"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Wspomniana powyżej „Metodologia śladu węglowego projektu EBI” zawiera odniesienia do średnich wskaźników zużycia energii dla różnych typów pojazdów elektrycznych (w tym autobusów), które mogą być przydatne w AKK niektórych projektów. </w:t>
            </w:r>
          </w:p>
          <w:p w14:paraId="6014CA9B"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Analogicznie jak w przypadku spalinowych LV, na powyższe koszty wpływa nachylenie drogi i stan drogi, jak opisano poniżej. </w:t>
            </w:r>
          </w:p>
          <w:p w14:paraId="18AD801E" w14:textId="77777777" w:rsidR="00600DEE" w:rsidRDefault="00641FB5" w:rsidP="00EB71BA">
            <w:pPr>
              <w:spacing w:before="60" w:after="100" w:afterAutospacing="1"/>
              <w:jc w:val="both"/>
              <w:rPr>
                <w:rFonts w:ascii="Calibri" w:eastAsia="Calibri" w:hAnsi="Calibri" w:cs="Calibri"/>
                <w:sz w:val="20"/>
                <w:szCs w:val="20"/>
              </w:rPr>
            </w:pPr>
            <w:r>
              <w:rPr>
                <w:rFonts w:ascii="Calibri" w:eastAsia="Calibri" w:hAnsi="Calibri" w:cs="Calibri"/>
                <w:color w:val="000000"/>
                <w:sz w:val="20"/>
                <w:szCs w:val="20"/>
              </w:rPr>
              <w:t>Mnożniki kosztów eksploatacji pojazdów w zależności od rodzaju terenu dla pojazdów elektrycznych oparte są na tych samych zasadach jak dla pojazdów spalinowych. Mnożniki te należy zastosować do łącznych VOC:</w:t>
            </w:r>
          </w:p>
          <w:tbl>
            <w:tblPr>
              <w:tblStyle w:val="affffffffffffffa"/>
              <w:tblW w:w="3395" w:type="dxa"/>
              <w:tblLayout w:type="fixed"/>
              <w:tblLook w:val="0400" w:firstRow="0" w:lastRow="0" w:firstColumn="0" w:lastColumn="0" w:noHBand="0" w:noVBand="1"/>
            </w:tblPr>
            <w:tblGrid>
              <w:gridCol w:w="1694"/>
              <w:gridCol w:w="850"/>
              <w:gridCol w:w="851"/>
            </w:tblGrid>
            <w:tr w:rsidR="00600DEE" w14:paraId="69CAF1DF" w14:textId="77777777">
              <w:trPr>
                <w:trHeight w:val="309"/>
              </w:trPr>
              <w:tc>
                <w:tcPr>
                  <w:tcW w:w="1694" w:type="dxa"/>
                  <w:tcBorders>
                    <w:top w:val="single" w:sz="4" w:space="0" w:color="FFFFFF"/>
                    <w:left w:val="single" w:sz="4" w:space="0" w:color="FFFFFF"/>
                    <w:bottom w:val="single" w:sz="4" w:space="0" w:color="FFFFFF"/>
                    <w:right w:val="nil"/>
                  </w:tcBorders>
                  <w:shd w:val="clear" w:color="auto" w:fill="A6A6A6"/>
                  <w:vAlign w:val="center"/>
                </w:tcPr>
                <w:p w14:paraId="5318B046" w14:textId="40E0ED9F"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Rodzaj teren</w:t>
                  </w:r>
                  <w:r w:rsidR="005771F2">
                    <w:rPr>
                      <w:rFonts w:ascii="Calibri" w:eastAsia="Calibri" w:hAnsi="Calibri" w:cs="Calibri"/>
                      <w:b/>
                      <w:color w:val="FFFFFF"/>
                      <w:sz w:val="18"/>
                      <w:szCs w:val="18"/>
                    </w:rPr>
                    <w:t>u</w:t>
                  </w:r>
                </w:p>
              </w:tc>
              <w:tc>
                <w:tcPr>
                  <w:tcW w:w="850" w:type="dxa"/>
                  <w:tcBorders>
                    <w:top w:val="single" w:sz="4" w:space="0" w:color="FFFFFF"/>
                    <w:left w:val="single" w:sz="4" w:space="0" w:color="FFFFFF"/>
                    <w:bottom w:val="single" w:sz="4" w:space="0" w:color="FFFFFF"/>
                    <w:right w:val="nil"/>
                  </w:tcBorders>
                  <w:shd w:val="clear" w:color="auto" w:fill="A6A6A6"/>
                  <w:vAlign w:val="center"/>
                </w:tcPr>
                <w:p w14:paraId="752F622A"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LV</w:t>
                  </w:r>
                </w:p>
              </w:tc>
              <w:tc>
                <w:tcPr>
                  <w:tcW w:w="851" w:type="dxa"/>
                  <w:tcBorders>
                    <w:top w:val="single" w:sz="4" w:space="0" w:color="FFFFFF"/>
                    <w:left w:val="single" w:sz="4" w:space="0" w:color="FFFFFF"/>
                    <w:bottom w:val="single" w:sz="4" w:space="0" w:color="FFFFFF"/>
                    <w:right w:val="nil"/>
                  </w:tcBorders>
                  <w:shd w:val="clear" w:color="auto" w:fill="A6A6A6"/>
                  <w:vAlign w:val="center"/>
                </w:tcPr>
                <w:p w14:paraId="35D5E550"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HGV</w:t>
                  </w:r>
                </w:p>
              </w:tc>
            </w:tr>
            <w:tr w:rsidR="00600DEE" w14:paraId="2AEC5CCE" w14:textId="77777777">
              <w:trPr>
                <w:trHeight w:val="258"/>
              </w:trPr>
              <w:tc>
                <w:tcPr>
                  <w:tcW w:w="1694" w:type="dxa"/>
                  <w:tcBorders>
                    <w:top w:val="single" w:sz="4" w:space="0" w:color="FFFFFF"/>
                    <w:left w:val="single" w:sz="4" w:space="0" w:color="FFFFFF"/>
                    <w:bottom w:val="single" w:sz="4" w:space="0" w:color="FFFFFF"/>
                    <w:right w:val="nil"/>
                  </w:tcBorders>
                  <w:shd w:val="clear" w:color="auto" w:fill="DBE5F1"/>
                  <w:vAlign w:val="center"/>
                </w:tcPr>
                <w:p w14:paraId="29ADE09D"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Płaski</w:t>
                  </w:r>
                </w:p>
              </w:tc>
              <w:tc>
                <w:tcPr>
                  <w:tcW w:w="850" w:type="dxa"/>
                  <w:tcBorders>
                    <w:top w:val="single" w:sz="4" w:space="0" w:color="FFFFFF"/>
                    <w:left w:val="single" w:sz="4" w:space="0" w:color="FFFFFF"/>
                    <w:bottom w:val="single" w:sz="4" w:space="0" w:color="FFFFFF"/>
                    <w:right w:val="nil"/>
                  </w:tcBorders>
                  <w:shd w:val="clear" w:color="auto" w:fill="DBE5F1"/>
                  <w:vAlign w:val="bottom"/>
                </w:tcPr>
                <w:p w14:paraId="0E8EB06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c>
                <w:tcPr>
                  <w:tcW w:w="851" w:type="dxa"/>
                  <w:tcBorders>
                    <w:top w:val="single" w:sz="4" w:space="0" w:color="FFFFFF"/>
                    <w:left w:val="single" w:sz="4" w:space="0" w:color="FFFFFF"/>
                    <w:bottom w:val="single" w:sz="4" w:space="0" w:color="FFFFFF"/>
                    <w:right w:val="nil"/>
                  </w:tcBorders>
                  <w:shd w:val="clear" w:color="auto" w:fill="DBE5F1"/>
                  <w:vAlign w:val="bottom"/>
                </w:tcPr>
                <w:p w14:paraId="1311BF8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r>
            <w:tr w:rsidR="00600DEE" w14:paraId="0304BC25" w14:textId="77777777">
              <w:trPr>
                <w:trHeight w:val="258"/>
              </w:trPr>
              <w:tc>
                <w:tcPr>
                  <w:tcW w:w="1694" w:type="dxa"/>
                  <w:tcBorders>
                    <w:top w:val="single" w:sz="4" w:space="0" w:color="FFFFFF"/>
                    <w:left w:val="single" w:sz="4" w:space="0" w:color="FFFFFF"/>
                    <w:bottom w:val="single" w:sz="4" w:space="0" w:color="FFFFFF"/>
                    <w:right w:val="nil"/>
                  </w:tcBorders>
                  <w:shd w:val="clear" w:color="auto" w:fill="DBE5F1"/>
                  <w:vAlign w:val="center"/>
                </w:tcPr>
                <w:p w14:paraId="48B1135E"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Falisty</w:t>
                  </w:r>
                </w:p>
              </w:tc>
              <w:tc>
                <w:tcPr>
                  <w:tcW w:w="850" w:type="dxa"/>
                  <w:tcBorders>
                    <w:top w:val="single" w:sz="4" w:space="0" w:color="FFFFFF"/>
                    <w:left w:val="single" w:sz="4" w:space="0" w:color="FFFFFF"/>
                    <w:bottom w:val="single" w:sz="4" w:space="0" w:color="FFFFFF"/>
                    <w:right w:val="nil"/>
                  </w:tcBorders>
                  <w:shd w:val="clear" w:color="auto" w:fill="DBE5F1"/>
                  <w:vAlign w:val="bottom"/>
                </w:tcPr>
                <w:p w14:paraId="4C40D06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1,032</w:t>
                  </w:r>
                </w:p>
              </w:tc>
              <w:tc>
                <w:tcPr>
                  <w:tcW w:w="851" w:type="dxa"/>
                  <w:tcBorders>
                    <w:top w:val="single" w:sz="4" w:space="0" w:color="FFFFFF"/>
                    <w:left w:val="single" w:sz="4" w:space="0" w:color="FFFFFF"/>
                    <w:bottom w:val="single" w:sz="4" w:space="0" w:color="FFFFFF"/>
                    <w:right w:val="nil"/>
                  </w:tcBorders>
                  <w:shd w:val="clear" w:color="auto" w:fill="DBE5F1"/>
                  <w:vAlign w:val="bottom"/>
                </w:tcPr>
                <w:p w14:paraId="6D8784F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1,200</w:t>
                  </w:r>
                </w:p>
              </w:tc>
            </w:tr>
          </w:tbl>
          <w:p w14:paraId="17CD13CD" w14:textId="77777777" w:rsidR="00C25D65" w:rsidRDefault="00C25D65">
            <w:pPr>
              <w:pBdr>
                <w:top w:val="nil"/>
                <w:left w:val="nil"/>
                <w:bottom w:val="nil"/>
                <w:right w:val="nil"/>
                <w:between w:val="nil"/>
              </w:pBdr>
              <w:spacing w:before="120" w:after="120"/>
              <w:jc w:val="both"/>
              <w:rPr>
                <w:rFonts w:ascii="Calibri" w:eastAsia="Calibri" w:hAnsi="Calibri" w:cs="Calibri"/>
                <w:color w:val="000000"/>
                <w:sz w:val="20"/>
                <w:szCs w:val="20"/>
              </w:rPr>
            </w:pPr>
          </w:p>
          <w:p w14:paraId="67B284C5" w14:textId="68441B02"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highlight w:val="cyan"/>
              </w:rPr>
            </w:pPr>
            <w:r>
              <w:rPr>
                <w:rFonts w:ascii="Calibri" w:eastAsia="Calibri" w:hAnsi="Calibri" w:cs="Calibri"/>
                <w:color w:val="000000"/>
                <w:sz w:val="20"/>
                <w:szCs w:val="20"/>
              </w:rPr>
              <w:t>Mnożniki kosztów zużycia energii elektrycznej w zależności od</w:t>
            </w:r>
            <w:r w:rsidR="005771F2">
              <w:t xml:space="preserve"> </w:t>
            </w:r>
            <w:r w:rsidR="005771F2" w:rsidRPr="005771F2">
              <w:rPr>
                <w:rFonts w:ascii="Calibri" w:eastAsia="Calibri" w:hAnsi="Calibri" w:cs="Calibri"/>
                <w:color w:val="000000"/>
                <w:sz w:val="20"/>
                <w:szCs w:val="20"/>
              </w:rPr>
              <w:t>stanu technicznego drogi</w:t>
            </w:r>
            <w:r>
              <w:rPr>
                <w:rFonts w:ascii="Calibri" w:eastAsia="Calibri" w:hAnsi="Calibri" w:cs="Calibri"/>
                <w:color w:val="000000"/>
                <w:sz w:val="20"/>
                <w:szCs w:val="20"/>
              </w:rPr>
              <w:t xml:space="preserve"> dla pojazdów elektrycznych i hybrydowych (LV, autobusy miejskie) są stosowane do łącznych VOC i opierają się na zasadach opisanych dla spalinowych LV.</w:t>
            </w:r>
          </w:p>
          <w:p w14:paraId="469C75A6" w14:textId="77777777" w:rsidR="00600DEE" w:rsidRDefault="00600DEE">
            <w:pPr>
              <w:spacing w:before="60"/>
              <w:jc w:val="both"/>
              <w:rPr>
                <w:rFonts w:ascii="Calibri" w:eastAsia="Calibri" w:hAnsi="Calibri" w:cs="Calibri"/>
                <w:sz w:val="20"/>
                <w:szCs w:val="20"/>
              </w:rPr>
            </w:pPr>
          </w:p>
          <w:tbl>
            <w:tblPr>
              <w:tblStyle w:val="affffffffffffffb"/>
              <w:tblW w:w="5605" w:type="dxa"/>
              <w:tblLayout w:type="fixed"/>
              <w:tblLook w:val="0400" w:firstRow="0" w:lastRow="0" w:firstColumn="0" w:lastColumn="0" w:noHBand="0" w:noVBand="1"/>
            </w:tblPr>
            <w:tblGrid>
              <w:gridCol w:w="2695"/>
              <w:gridCol w:w="1351"/>
              <w:gridCol w:w="1559"/>
            </w:tblGrid>
            <w:tr w:rsidR="00600DEE" w14:paraId="562AC45B" w14:textId="77777777">
              <w:trPr>
                <w:trHeight w:val="465"/>
              </w:trPr>
              <w:tc>
                <w:tcPr>
                  <w:tcW w:w="2695" w:type="dxa"/>
                  <w:tcBorders>
                    <w:top w:val="single" w:sz="4" w:space="0" w:color="FFFFFF"/>
                    <w:left w:val="single" w:sz="4" w:space="0" w:color="FFFFFF"/>
                    <w:bottom w:val="single" w:sz="4" w:space="0" w:color="FFFFFF"/>
                    <w:right w:val="nil"/>
                  </w:tcBorders>
                  <w:shd w:val="clear" w:color="auto" w:fill="A6A6A6"/>
                  <w:vAlign w:val="center"/>
                </w:tcPr>
                <w:p w14:paraId="7B5A4A5A"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Stan drogi</w:t>
                  </w:r>
                </w:p>
              </w:tc>
              <w:tc>
                <w:tcPr>
                  <w:tcW w:w="1351" w:type="dxa"/>
                  <w:tcBorders>
                    <w:top w:val="single" w:sz="4" w:space="0" w:color="FFFFFF"/>
                    <w:left w:val="single" w:sz="4" w:space="0" w:color="FFFFFF"/>
                    <w:bottom w:val="single" w:sz="4" w:space="0" w:color="FFFFFF"/>
                    <w:right w:val="nil"/>
                  </w:tcBorders>
                  <w:shd w:val="clear" w:color="auto" w:fill="A6A6A6"/>
                  <w:vAlign w:val="center"/>
                </w:tcPr>
                <w:p w14:paraId="51E351DC"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LV</w:t>
                  </w:r>
                </w:p>
              </w:tc>
              <w:tc>
                <w:tcPr>
                  <w:tcW w:w="1559" w:type="dxa"/>
                  <w:tcBorders>
                    <w:top w:val="single" w:sz="4" w:space="0" w:color="FFFFFF"/>
                    <w:left w:val="single" w:sz="4" w:space="0" w:color="FFFFFF"/>
                    <w:bottom w:val="single" w:sz="4" w:space="0" w:color="FFFFFF"/>
                    <w:right w:val="nil"/>
                  </w:tcBorders>
                  <w:shd w:val="clear" w:color="auto" w:fill="A6A6A6"/>
                  <w:vAlign w:val="center"/>
                </w:tcPr>
                <w:p w14:paraId="18C845CF"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Autobus elektryczny</w:t>
                  </w:r>
                </w:p>
              </w:tc>
            </w:tr>
            <w:tr w:rsidR="00600DEE" w14:paraId="1DEBD4BD"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41BBACB4"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Dobry (po budowie/remoncie)</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57DD407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5DFF159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r>
            <w:tr w:rsidR="00600DEE" w14:paraId="07849653"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7B4D27CE"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Zdegradowany</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59FCFF2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1,169</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59D6263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1,188</w:t>
                  </w:r>
                </w:p>
              </w:tc>
            </w:tr>
          </w:tbl>
          <w:p w14:paraId="0487A42E" w14:textId="77777777" w:rsidR="00600DEE" w:rsidRDefault="00600DEE">
            <w:pPr>
              <w:pBdr>
                <w:top w:val="nil"/>
                <w:left w:val="nil"/>
                <w:bottom w:val="nil"/>
                <w:right w:val="nil"/>
                <w:between w:val="nil"/>
              </w:pBdr>
              <w:spacing w:before="60"/>
              <w:jc w:val="both"/>
              <w:rPr>
                <w:rFonts w:ascii="Calibri" w:eastAsia="Calibri" w:hAnsi="Calibri" w:cs="Calibri"/>
                <w:color w:val="000000"/>
                <w:sz w:val="20"/>
                <w:szCs w:val="20"/>
              </w:rPr>
            </w:pPr>
          </w:p>
        </w:tc>
        <w:tc>
          <w:tcPr>
            <w:tcW w:w="7540" w:type="dxa"/>
            <w:tcBorders>
              <w:left w:val="single" w:sz="4" w:space="0" w:color="000000"/>
            </w:tcBorders>
            <w:tcMar>
              <w:left w:w="284" w:type="dxa"/>
              <w:right w:w="284" w:type="dxa"/>
            </w:tcMar>
          </w:tcPr>
          <w:p w14:paraId="62B22AC3"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present Appendix presents the basic principles and summary of calculations carried out to determine Vehicle Operating Costs (VOC) presented in Appendix A. It also includes relevant recognised references used for those calculations. </w:t>
            </w:r>
          </w:p>
          <w:p w14:paraId="681F619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VOC are defined as the costs borne by the owners of road vehicles to use and operate them, including fuel consumption, lubricants consumption, tires wear, repair and maintenance costs, insurance, overheads, administration, etc. In fact, VOC are correlated with type of vehicle and average travel speed, but also depend on characteristics of roads such as road parameters and surface conditions. </w:t>
            </w:r>
          </w:p>
          <w:p w14:paraId="16EED2A4"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order to estimate the VOCs of the Polish vehicle fleet, the following cost composition is distinguished:</w:t>
            </w:r>
          </w:p>
          <w:p w14:paraId="6313A4AF" w14:textId="77777777" w:rsidR="00600DEE" w:rsidRPr="0045151D" w:rsidRDefault="00641FB5" w:rsidP="00D5736B">
            <w:pPr>
              <w:numPr>
                <w:ilvl w:val="0"/>
                <w:numId w:val="73"/>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Fuel consumption costs: a function of the road alignment and traffic conditions.</w:t>
            </w:r>
          </w:p>
          <w:p w14:paraId="03A1B5E1" w14:textId="77777777" w:rsidR="00600DEE" w:rsidRPr="0045151D" w:rsidRDefault="00641FB5" w:rsidP="00D5736B">
            <w:pPr>
              <w:numPr>
                <w:ilvl w:val="0"/>
                <w:numId w:val="73"/>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Other costs: road quality affects the wear and tear on vehicles, including costs of oil, tyres, vehicle maintenance as well as their depreciation.</w:t>
            </w:r>
          </w:p>
          <w:p w14:paraId="6DCB2638"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Latest available research and recognised sources of information have been used to obtain above referred costs. Details on those calculations are presented below. </w:t>
            </w:r>
          </w:p>
          <w:p w14:paraId="2586160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u w:val="single"/>
                <w:lang w:val="en-GB"/>
              </w:rPr>
            </w:pPr>
            <w:r w:rsidRPr="0045151D">
              <w:rPr>
                <w:rFonts w:ascii="Calibri" w:eastAsia="Calibri" w:hAnsi="Calibri" w:cs="Calibri"/>
                <w:color w:val="000000"/>
                <w:sz w:val="20"/>
                <w:szCs w:val="20"/>
                <w:u w:val="single"/>
                <w:lang w:val="en-GB"/>
              </w:rPr>
              <w:t xml:space="preserve">Fuel consumption costs: </w:t>
            </w:r>
          </w:p>
          <w:p w14:paraId="2406C7F5"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Fuel consumption costs are defined as a function depending generally on vehicle type and traffic conditions (in particular, as a function of speed).</w:t>
            </w:r>
          </w:p>
          <w:p w14:paraId="3331C032"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16A70EDD"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21F1FFD1"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5BEFABFF" w14:textId="77777777" w:rsidR="00600DEE" w:rsidRPr="00C25D65" w:rsidRDefault="00641FB5">
            <w:pPr>
              <w:pBdr>
                <w:top w:val="nil"/>
                <w:left w:val="nil"/>
                <w:bottom w:val="nil"/>
                <w:right w:val="nil"/>
                <w:between w:val="nil"/>
              </w:pBdr>
              <w:spacing w:before="120"/>
              <w:jc w:val="both"/>
              <w:rPr>
                <w:rFonts w:ascii="Calibri" w:eastAsia="Calibri" w:hAnsi="Calibri" w:cs="Calibri"/>
                <w:b/>
                <w:color w:val="000000"/>
                <w:sz w:val="20"/>
                <w:szCs w:val="20"/>
                <w:lang w:val="en-GB"/>
              </w:rPr>
            </w:pPr>
            <w:r w:rsidRPr="00C25D65">
              <w:rPr>
                <w:rFonts w:ascii="Calibri" w:eastAsia="Calibri" w:hAnsi="Calibri" w:cs="Calibri"/>
                <w:b/>
                <w:color w:val="000000"/>
                <w:sz w:val="20"/>
                <w:szCs w:val="20"/>
                <w:lang w:val="en-GB"/>
              </w:rPr>
              <w:t>Combustion motor Light Vehicles (LV)</w:t>
            </w:r>
          </w:p>
          <w:p w14:paraId="46D07C75" w14:textId="47437AA2" w:rsidR="00173EC8" w:rsidRPr="0045151D" w:rsidRDefault="00641FB5" w:rsidP="00173EC8">
            <w:pPr>
              <w:pBdr>
                <w:top w:val="nil"/>
                <w:left w:val="nil"/>
                <w:bottom w:val="nil"/>
                <w:right w:val="nil"/>
                <w:between w:val="nil"/>
              </w:pBdr>
              <w:spacing w:before="120" w:after="24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costs are based on formula provided in "Parameterisation of fuel consumption and CO2 emissions of passenger cars and light commercial vehicles for modelling purposes", JRC 2011:</w:t>
            </w:r>
          </w:p>
          <w:p w14:paraId="4960AB7F"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Arial" w:eastAsia="Arial" w:hAnsi="Arial" w:cs="Arial"/>
                <w:noProof/>
                <w:color w:val="000000"/>
                <w:sz w:val="20"/>
                <w:szCs w:val="20"/>
                <w:lang w:eastAsia="pl-PL"/>
              </w:rPr>
              <w:drawing>
                <wp:inline distT="0" distB="0" distL="0" distR="0" wp14:anchorId="00352588" wp14:editId="11ED7999">
                  <wp:extent cx="4284558" cy="1269369"/>
                  <wp:effectExtent l="0" t="0" r="0" b="0"/>
                  <wp:docPr id="536"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150"/>
                          <a:srcRect l="10904" t="31458" r="42085" b="47387"/>
                          <a:stretch>
                            <a:fillRect/>
                          </a:stretch>
                        </pic:blipFill>
                        <pic:spPr>
                          <a:xfrm>
                            <a:off x="0" y="0"/>
                            <a:ext cx="4284558" cy="1269369"/>
                          </a:xfrm>
                          <a:prstGeom prst="rect">
                            <a:avLst/>
                          </a:prstGeom>
                          <a:ln/>
                        </pic:spPr>
                      </pic:pic>
                    </a:graphicData>
                  </a:graphic>
                </wp:inline>
              </w:drawing>
            </w:r>
          </w:p>
          <w:p w14:paraId="57DBB789" w14:textId="77777777" w:rsidR="00173EC8" w:rsidRDefault="00173EC8">
            <w:pPr>
              <w:pBdr>
                <w:top w:val="nil"/>
                <w:left w:val="nil"/>
                <w:bottom w:val="nil"/>
                <w:right w:val="nil"/>
                <w:between w:val="nil"/>
              </w:pBdr>
              <w:spacing w:before="120"/>
              <w:jc w:val="both"/>
              <w:rPr>
                <w:rFonts w:ascii="Calibri" w:eastAsia="Calibri" w:hAnsi="Calibri" w:cs="Calibri"/>
                <w:color w:val="000000"/>
                <w:sz w:val="20"/>
                <w:szCs w:val="20"/>
              </w:rPr>
            </w:pPr>
          </w:p>
          <w:p w14:paraId="1CA00759" w14:textId="49F85B84"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Calibri" w:eastAsia="Calibri" w:hAnsi="Calibri" w:cs="Calibri"/>
                <w:color w:val="000000"/>
                <w:sz w:val="20"/>
                <w:szCs w:val="20"/>
              </w:rPr>
              <w:t>where:</w:t>
            </w:r>
          </w:p>
          <w:p w14:paraId="42469D80"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Arial" w:eastAsia="Arial" w:hAnsi="Arial" w:cs="Arial"/>
                <w:noProof/>
                <w:color w:val="000000"/>
                <w:sz w:val="20"/>
                <w:szCs w:val="20"/>
                <w:lang w:eastAsia="pl-PL"/>
              </w:rPr>
              <w:drawing>
                <wp:inline distT="0" distB="0" distL="0" distR="0" wp14:anchorId="5E5E95FC" wp14:editId="6DACBD9E">
                  <wp:extent cx="4215590" cy="871163"/>
                  <wp:effectExtent l="0" t="0" r="0" b="0"/>
                  <wp:docPr id="537"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151"/>
                          <a:srcRect l="7587" t="47812" r="28202" b="32099"/>
                          <a:stretch>
                            <a:fillRect/>
                          </a:stretch>
                        </pic:blipFill>
                        <pic:spPr>
                          <a:xfrm>
                            <a:off x="0" y="0"/>
                            <a:ext cx="4215590" cy="871163"/>
                          </a:xfrm>
                          <a:prstGeom prst="rect">
                            <a:avLst/>
                          </a:prstGeom>
                          <a:ln/>
                        </pic:spPr>
                      </pic:pic>
                    </a:graphicData>
                  </a:graphic>
                </wp:inline>
              </w:drawing>
            </w:r>
          </w:p>
          <w:p w14:paraId="2A150BDF"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m = vehicle weight (empty weight + 75kg for driver and 20kg for fuel), corresponding to the licensed weight;</w:t>
            </w:r>
          </w:p>
          <w:p w14:paraId="047531B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g = gravitational acceleration (9.81 m/s</w:t>
            </w:r>
            <w:r w:rsidRPr="0045151D">
              <w:rPr>
                <w:rFonts w:ascii="Calibri" w:eastAsia="Calibri" w:hAnsi="Calibri" w:cs="Calibri"/>
                <w:color w:val="000000"/>
                <w:sz w:val="20"/>
                <w:szCs w:val="20"/>
                <w:vertAlign w:val="superscript"/>
                <w:lang w:val="en-GB"/>
              </w:rPr>
              <w:t>2</w:t>
            </w:r>
            <w:r w:rsidRPr="0045151D">
              <w:rPr>
                <w:rFonts w:ascii="Calibri" w:eastAsia="Calibri" w:hAnsi="Calibri" w:cs="Calibri"/>
                <w:color w:val="000000"/>
                <w:sz w:val="20"/>
                <w:szCs w:val="20"/>
                <w:lang w:val="en-GB"/>
              </w:rPr>
              <w:t>)</w:t>
            </w:r>
          </w:p>
          <w:p w14:paraId="1F01332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w:t>
            </w:r>
            <w:r w:rsidRPr="0045151D">
              <w:rPr>
                <w:rFonts w:ascii="Calibri" w:eastAsia="Calibri" w:hAnsi="Calibri" w:cs="Calibri"/>
                <w:color w:val="000000"/>
                <w:sz w:val="20"/>
                <w:szCs w:val="20"/>
                <w:vertAlign w:val="subscript"/>
                <w:lang w:val="en-GB"/>
              </w:rPr>
              <w:t>0</w:t>
            </w:r>
            <w:r w:rsidRPr="0045151D">
              <w:rPr>
                <w:rFonts w:ascii="Calibri" w:eastAsia="Calibri" w:hAnsi="Calibri" w:cs="Calibri"/>
                <w:color w:val="000000"/>
                <w:sz w:val="20"/>
                <w:szCs w:val="20"/>
                <w:lang w:val="en-GB"/>
              </w:rPr>
              <w:t>,r</w:t>
            </w:r>
            <w:r w:rsidRPr="0045151D">
              <w:rPr>
                <w:rFonts w:ascii="Calibri" w:eastAsia="Calibri" w:hAnsi="Calibri" w:cs="Calibri"/>
                <w:color w:val="000000"/>
                <w:sz w:val="20"/>
                <w:szCs w:val="20"/>
                <w:vertAlign w:val="subscript"/>
                <w:lang w:val="en-GB"/>
              </w:rPr>
              <w:t>1</w:t>
            </w:r>
            <w:r w:rsidRPr="0045151D">
              <w:rPr>
                <w:rFonts w:ascii="Calibri" w:eastAsia="Calibri" w:hAnsi="Calibri" w:cs="Calibri"/>
                <w:color w:val="000000"/>
                <w:sz w:val="20"/>
                <w:szCs w:val="20"/>
                <w:lang w:val="en-GB"/>
              </w:rPr>
              <w:t>)  = rolling resistance coefficients</w:t>
            </w:r>
          </w:p>
          <w:p w14:paraId="0C14AB8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v = velocity (m/s)</w:t>
            </w:r>
          </w:p>
          <w:p w14:paraId="10040DC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w:t>
            </w:r>
            <w:r w:rsidRPr="0045151D">
              <w:rPr>
                <w:rFonts w:ascii="Calibri" w:eastAsia="Calibri" w:hAnsi="Calibri" w:cs="Calibri"/>
                <w:color w:val="000000"/>
                <w:sz w:val="20"/>
                <w:szCs w:val="20"/>
                <w:vertAlign w:val="subscript"/>
                <w:lang w:val="en-GB"/>
              </w:rPr>
              <w:t xml:space="preserve">d </w:t>
            </w:r>
            <w:r w:rsidRPr="0045151D">
              <w:rPr>
                <w:rFonts w:ascii="Calibri" w:eastAsia="Calibri" w:hAnsi="Calibri" w:cs="Calibri"/>
                <w:color w:val="000000"/>
                <w:sz w:val="20"/>
                <w:szCs w:val="20"/>
                <w:lang w:val="en-GB"/>
              </w:rPr>
              <w:t>x A = aerodynamic resistance (m</w:t>
            </w:r>
            <w:r w:rsidRPr="0045151D">
              <w:rPr>
                <w:rFonts w:ascii="Calibri" w:eastAsia="Calibri" w:hAnsi="Calibri" w:cs="Calibri"/>
                <w:color w:val="000000"/>
                <w:sz w:val="20"/>
                <w:szCs w:val="20"/>
                <w:vertAlign w:val="superscript"/>
                <w:lang w:val="en-GB"/>
              </w:rPr>
              <w:t>2</w:t>
            </w:r>
            <w:r w:rsidRPr="0045151D">
              <w:rPr>
                <w:rFonts w:ascii="Calibri" w:eastAsia="Calibri" w:hAnsi="Calibri" w:cs="Calibri"/>
                <w:color w:val="000000"/>
                <w:sz w:val="20"/>
                <w:szCs w:val="20"/>
                <w:lang w:val="en-GB"/>
              </w:rPr>
              <w:t>)</w:t>
            </w:r>
          </w:p>
          <w:p w14:paraId="0691D262"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23409E78"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010C2329" w14:textId="77777777" w:rsidR="00600DEE" w:rsidRDefault="00641FB5">
            <w:pPr>
              <w:pBdr>
                <w:top w:val="nil"/>
                <w:left w:val="nil"/>
                <w:bottom w:val="nil"/>
                <w:right w:val="nil"/>
                <w:between w:val="nil"/>
              </w:pBdr>
              <w:spacing w:before="120"/>
              <w:jc w:val="both"/>
              <w:rPr>
                <w:rFonts w:ascii="Calibri" w:eastAsia="Calibri" w:hAnsi="Calibri" w:cs="Calibri"/>
                <w:color w:val="000000"/>
                <w:sz w:val="20"/>
                <w:szCs w:val="20"/>
              </w:rPr>
            </w:pPr>
            <w:r>
              <w:rPr>
                <w:rFonts w:ascii="Arial" w:eastAsia="Arial" w:hAnsi="Arial" w:cs="Arial"/>
                <w:noProof/>
                <w:color w:val="000000"/>
                <w:sz w:val="20"/>
                <w:szCs w:val="20"/>
                <w:lang w:eastAsia="pl-PL"/>
              </w:rPr>
              <w:drawing>
                <wp:inline distT="0" distB="0" distL="0" distR="0" wp14:anchorId="16F336FC" wp14:editId="0B911A45">
                  <wp:extent cx="3951605" cy="1352550"/>
                  <wp:effectExtent l="0" t="0" r="0" b="0"/>
                  <wp:docPr id="538"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152"/>
                          <a:srcRect l="16814" t="24173" r="43443" b="55052"/>
                          <a:stretch>
                            <a:fillRect/>
                          </a:stretch>
                        </pic:blipFill>
                        <pic:spPr>
                          <a:xfrm>
                            <a:off x="0" y="0"/>
                            <a:ext cx="3951605" cy="1352550"/>
                          </a:xfrm>
                          <a:prstGeom prst="rect">
                            <a:avLst/>
                          </a:prstGeom>
                          <a:ln/>
                        </pic:spPr>
                      </pic:pic>
                    </a:graphicData>
                  </a:graphic>
                </wp:inline>
              </w:drawing>
            </w:r>
          </w:p>
          <w:p w14:paraId="49AD8CE6" w14:textId="77777777" w:rsidR="00600DEE" w:rsidRDefault="00600DEE">
            <w:pPr>
              <w:pBdr>
                <w:top w:val="nil"/>
                <w:left w:val="nil"/>
                <w:bottom w:val="nil"/>
                <w:right w:val="nil"/>
                <w:between w:val="nil"/>
              </w:pBdr>
              <w:spacing w:before="120"/>
              <w:jc w:val="both"/>
              <w:rPr>
                <w:rFonts w:ascii="Calibri" w:eastAsia="Calibri" w:hAnsi="Calibri" w:cs="Calibri"/>
                <w:color w:val="000000"/>
                <w:sz w:val="20"/>
                <w:szCs w:val="20"/>
              </w:rPr>
            </w:pPr>
          </w:p>
          <w:p w14:paraId="22AEC9F9" w14:textId="77777777" w:rsidR="00173EC8" w:rsidRDefault="00173EC8">
            <w:pPr>
              <w:pBdr>
                <w:top w:val="nil"/>
                <w:left w:val="nil"/>
                <w:bottom w:val="nil"/>
                <w:right w:val="nil"/>
                <w:between w:val="nil"/>
              </w:pBdr>
              <w:spacing w:before="120"/>
              <w:jc w:val="both"/>
              <w:rPr>
                <w:rFonts w:ascii="Calibri" w:eastAsia="Calibri" w:hAnsi="Calibri" w:cs="Calibri"/>
                <w:color w:val="000000"/>
                <w:sz w:val="20"/>
                <w:szCs w:val="20"/>
              </w:rPr>
            </w:pPr>
          </w:p>
          <w:p w14:paraId="22032574" w14:textId="32813A85" w:rsidR="00600DEE" w:rsidRPr="0045151D" w:rsidRDefault="00641FB5" w:rsidP="00173EC8">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above function parameters distinguish between Diesel and Petrol cars and, for those, disaggregation by different EURO classes is also considered. </w:t>
            </w:r>
          </w:p>
          <w:p w14:paraId="6DC0A689"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Data on current Polish vehicle fleet composition regarding above aspects (i.e. type of fuel consumption and EURO class) is obtained based on "Transport – wyniki działalności w 2019 r. Transport – activity results in 2019", GUS, 2020. All other parameters required for the above equation are provided in the respective source. </w:t>
            </w:r>
          </w:p>
          <w:p w14:paraId="12C1B5FB"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Based on the assumptions above, the average fuel consumption for an average LV in Poland in l/km as a function of speed is obtained (after applying related fuel density, as per EMEP/EEA air pollutant emission inventory guidebook, 2019). Finally, the respective fuel price is applied (excluding taxes &amp; duties) for 2019.</w:t>
            </w:r>
          </w:p>
          <w:p w14:paraId="289C05E6"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4C24C9A7"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7D6CB4C9"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6799D33F"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1BDBA3EB"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3F378FAE"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18E93502"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24370BFC"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457706E8"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70ADD331"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2C6F1A5A" w14:textId="38C0367F" w:rsidR="00600DEE" w:rsidRPr="0045151D" w:rsidRDefault="00641FB5" w:rsidP="00173EC8">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resulting average fuel consumption costs for LV are presented in the table below</w:t>
            </w:r>
            <w:r w:rsidR="00880D09" w:rsidRPr="00880D09">
              <w:rPr>
                <w:lang w:val="en-US"/>
              </w:rPr>
              <w:t xml:space="preserve"> </w:t>
            </w:r>
            <w:r w:rsidR="00880D09" w:rsidRPr="00880D09">
              <w:rPr>
                <w:rFonts w:ascii="Calibri" w:eastAsia="Calibri" w:hAnsi="Calibri" w:cs="Calibri"/>
                <w:color w:val="000000"/>
                <w:sz w:val="20"/>
                <w:szCs w:val="20"/>
                <w:lang w:val="en-GB"/>
              </w:rPr>
              <w:t>in prices as at the beginning of 2020</w:t>
            </w:r>
            <w:r w:rsidRPr="0045151D">
              <w:rPr>
                <w:rFonts w:ascii="Calibri" w:eastAsia="Calibri" w:hAnsi="Calibri" w:cs="Calibri"/>
                <w:color w:val="000000"/>
                <w:sz w:val="20"/>
                <w:szCs w:val="20"/>
                <w:lang w:val="en-GB"/>
              </w:rPr>
              <w:t>:</w:t>
            </w:r>
          </w:p>
          <w:p w14:paraId="0B924D55" w14:textId="77777777" w:rsidR="00173EC8" w:rsidRPr="0045151D" w:rsidRDefault="00173EC8" w:rsidP="00173EC8">
            <w:pPr>
              <w:pBdr>
                <w:top w:val="nil"/>
                <w:left w:val="nil"/>
                <w:bottom w:val="nil"/>
                <w:right w:val="nil"/>
                <w:between w:val="nil"/>
              </w:pBdr>
              <w:jc w:val="both"/>
              <w:rPr>
                <w:rFonts w:ascii="Calibri" w:eastAsia="Calibri" w:hAnsi="Calibri" w:cs="Calibri"/>
                <w:color w:val="000000"/>
                <w:sz w:val="20"/>
                <w:szCs w:val="20"/>
                <w:lang w:val="en-GB"/>
              </w:rPr>
            </w:pPr>
          </w:p>
          <w:p w14:paraId="3D52C311" w14:textId="77777777" w:rsidR="00600DEE" w:rsidRPr="0045151D" w:rsidRDefault="00641FB5" w:rsidP="00173EC8">
            <w:pPr>
              <w:pBdr>
                <w:top w:val="nil"/>
                <w:left w:val="nil"/>
                <w:bottom w:val="nil"/>
                <w:right w:val="nil"/>
                <w:between w:val="nil"/>
              </w:pBdr>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 </w:t>
            </w:r>
          </w:p>
          <w:tbl>
            <w:tblPr>
              <w:tblStyle w:val="affffffffffffffc"/>
              <w:tblW w:w="5809" w:type="dxa"/>
              <w:tblLayout w:type="fixed"/>
              <w:tblLook w:val="0000" w:firstRow="0" w:lastRow="0" w:firstColumn="0" w:lastColumn="0" w:noHBand="0" w:noVBand="0"/>
            </w:tblPr>
            <w:tblGrid>
              <w:gridCol w:w="2025"/>
              <w:gridCol w:w="2017"/>
              <w:gridCol w:w="1767"/>
            </w:tblGrid>
            <w:tr w:rsidR="00600DEE" w:rsidRPr="007463B9" w14:paraId="799E4F79" w14:textId="77777777" w:rsidTr="00173EC8">
              <w:trPr>
                <w:trHeight w:hRule="exact" w:val="1021"/>
              </w:trPr>
              <w:tc>
                <w:tcPr>
                  <w:tcW w:w="2025" w:type="dxa"/>
                  <w:vMerge w:val="restart"/>
                  <w:tcBorders>
                    <w:top w:val="single" w:sz="4" w:space="0" w:color="FFFFFF"/>
                    <w:left w:val="single" w:sz="4" w:space="0" w:color="FFFFFF"/>
                  </w:tcBorders>
                  <w:shd w:val="clear" w:color="auto" w:fill="A6A6A6"/>
                  <w:vAlign w:val="center"/>
                </w:tcPr>
                <w:p w14:paraId="2B122AE2"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Speed (km/h)</w:t>
                  </w:r>
                </w:p>
              </w:tc>
              <w:tc>
                <w:tcPr>
                  <w:tcW w:w="3784" w:type="dxa"/>
                  <w:gridSpan w:val="2"/>
                  <w:tcBorders>
                    <w:top w:val="single" w:sz="4" w:space="0" w:color="FFFFFF"/>
                    <w:left w:val="single" w:sz="4" w:space="0" w:color="FFFFFF"/>
                    <w:bottom w:val="single" w:sz="4" w:space="0" w:color="FFFFFF"/>
                  </w:tcBorders>
                  <w:shd w:val="clear" w:color="auto" w:fill="A6A6A6"/>
                  <w:vAlign w:val="center"/>
                </w:tcPr>
                <w:p w14:paraId="7303F36B"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LV Fuel consumption– flat terrain (pavement after construction/rehabilitation)</w:t>
                  </w:r>
                </w:p>
              </w:tc>
            </w:tr>
            <w:tr w:rsidR="00600DEE" w:rsidRPr="007463B9" w14:paraId="2D37525A" w14:textId="77777777">
              <w:trPr>
                <w:trHeight w:val="284"/>
              </w:trPr>
              <w:tc>
                <w:tcPr>
                  <w:tcW w:w="2025" w:type="dxa"/>
                  <w:vMerge/>
                  <w:tcBorders>
                    <w:top w:val="single" w:sz="4" w:space="0" w:color="FFFFFF"/>
                    <w:left w:val="single" w:sz="4" w:space="0" w:color="FFFFFF"/>
                  </w:tcBorders>
                  <w:shd w:val="clear" w:color="auto" w:fill="A6A6A6"/>
                  <w:vAlign w:val="center"/>
                </w:tcPr>
                <w:p w14:paraId="495BBBAF"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lang w:val="en-GB"/>
                    </w:rPr>
                  </w:pPr>
                </w:p>
              </w:tc>
              <w:tc>
                <w:tcPr>
                  <w:tcW w:w="2017" w:type="dxa"/>
                  <w:tcBorders>
                    <w:top w:val="single" w:sz="4" w:space="0" w:color="FFFFFF"/>
                    <w:left w:val="single" w:sz="4" w:space="0" w:color="FFFFFF"/>
                    <w:bottom w:val="single" w:sz="4" w:space="0" w:color="FFFFFF"/>
                  </w:tcBorders>
                  <w:shd w:val="clear" w:color="auto" w:fill="A6A6A6"/>
                  <w:vAlign w:val="center"/>
                </w:tcPr>
                <w:p w14:paraId="5F3C039C"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l/100 km</w:t>
                  </w:r>
                </w:p>
              </w:tc>
              <w:tc>
                <w:tcPr>
                  <w:tcW w:w="1767" w:type="dxa"/>
                  <w:tcBorders>
                    <w:top w:val="single" w:sz="4" w:space="0" w:color="FFFFFF"/>
                    <w:left w:val="single" w:sz="4" w:space="0" w:color="FFFFFF"/>
                    <w:bottom w:val="single" w:sz="4" w:space="0" w:color="FFFFFF"/>
                  </w:tcBorders>
                  <w:shd w:val="clear" w:color="auto" w:fill="A6A6A6"/>
                  <w:vAlign w:val="center"/>
                </w:tcPr>
                <w:p w14:paraId="1C636C1D"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PLN/veh-km</w:t>
                  </w:r>
                </w:p>
              </w:tc>
            </w:tr>
            <w:tr w:rsidR="00600DEE" w:rsidRPr="007463B9" w14:paraId="25036712"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3E5F1AE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w:t>
                  </w:r>
                </w:p>
              </w:tc>
              <w:tc>
                <w:tcPr>
                  <w:tcW w:w="2017" w:type="dxa"/>
                  <w:tcBorders>
                    <w:top w:val="single" w:sz="4" w:space="0" w:color="FFFFFF"/>
                    <w:left w:val="single" w:sz="4" w:space="0" w:color="FFFFFF"/>
                    <w:bottom w:val="single" w:sz="4" w:space="0" w:color="FFFFFF"/>
                  </w:tcBorders>
                  <w:shd w:val="clear" w:color="auto" w:fill="DBE5F1"/>
                  <w:vAlign w:val="bottom"/>
                </w:tcPr>
                <w:p w14:paraId="6198632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26.401</w:t>
                  </w:r>
                </w:p>
              </w:tc>
              <w:tc>
                <w:tcPr>
                  <w:tcW w:w="1767" w:type="dxa"/>
                  <w:tcBorders>
                    <w:top w:val="single" w:sz="4" w:space="0" w:color="FFFFFF"/>
                    <w:left w:val="single" w:sz="4" w:space="0" w:color="FFFFFF"/>
                    <w:bottom w:val="single" w:sz="4" w:space="0" w:color="FFFFFF"/>
                  </w:tcBorders>
                  <w:shd w:val="clear" w:color="auto" w:fill="DBE5F1"/>
                  <w:vAlign w:val="bottom"/>
                </w:tcPr>
                <w:p w14:paraId="2E2037A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0.595</w:t>
                  </w:r>
                </w:p>
              </w:tc>
            </w:tr>
            <w:tr w:rsidR="00600DEE" w:rsidRPr="007463B9" w14:paraId="0AB0766A"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0E95E4E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11-20</w:t>
                  </w:r>
                </w:p>
              </w:tc>
              <w:tc>
                <w:tcPr>
                  <w:tcW w:w="2017" w:type="dxa"/>
                  <w:tcBorders>
                    <w:top w:val="single" w:sz="4" w:space="0" w:color="FFFFFF"/>
                    <w:left w:val="single" w:sz="4" w:space="0" w:color="FFFFFF"/>
                    <w:bottom w:val="single" w:sz="4" w:space="0" w:color="FFFFFF"/>
                  </w:tcBorders>
                  <w:shd w:val="clear" w:color="auto" w:fill="DBE5F1"/>
                  <w:vAlign w:val="bottom"/>
                </w:tcPr>
                <w:p w14:paraId="277A15D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16.721</w:t>
                  </w:r>
                </w:p>
              </w:tc>
              <w:tc>
                <w:tcPr>
                  <w:tcW w:w="1767" w:type="dxa"/>
                  <w:tcBorders>
                    <w:top w:val="single" w:sz="4" w:space="0" w:color="FFFFFF"/>
                    <w:left w:val="single" w:sz="4" w:space="0" w:color="FFFFFF"/>
                    <w:bottom w:val="single" w:sz="4" w:space="0" w:color="FFFFFF"/>
                  </w:tcBorders>
                  <w:shd w:val="clear" w:color="auto" w:fill="DBE5F1"/>
                  <w:vAlign w:val="bottom"/>
                </w:tcPr>
                <w:p w14:paraId="11A53A0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0.377</w:t>
                  </w:r>
                </w:p>
              </w:tc>
            </w:tr>
            <w:tr w:rsidR="00600DEE" w:rsidRPr="007463B9" w14:paraId="20F48F5C"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2EBB7FC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21-30</w:t>
                  </w:r>
                </w:p>
              </w:tc>
              <w:tc>
                <w:tcPr>
                  <w:tcW w:w="2017" w:type="dxa"/>
                  <w:tcBorders>
                    <w:top w:val="single" w:sz="4" w:space="0" w:color="FFFFFF"/>
                    <w:left w:val="single" w:sz="4" w:space="0" w:color="FFFFFF"/>
                    <w:bottom w:val="single" w:sz="4" w:space="0" w:color="FFFFFF"/>
                  </w:tcBorders>
                  <w:shd w:val="clear" w:color="auto" w:fill="DBE5F1"/>
                  <w:vAlign w:val="bottom"/>
                </w:tcPr>
                <w:p w14:paraId="6A20A7E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12.740</w:t>
                  </w:r>
                </w:p>
              </w:tc>
              <w:tc>
                <w:tcPr>
                  <w:tcW w:w="1767" w:type="dxa"/>
                  <w:tcBorders>
                    <w:top w:val="single" w:sz="4" w:space="0" w:color="FFFFFF"/>
                    <w:left w:val="single" w:sz="4" w:space="0" w:color="FFFFFF"/>
                    <w:bottom w:val="single" w:sz="4" w:space="0" w:color="FFFFFF"/>
                  </w:tcBorders>
                  <w:shd w:val="clear" w:color="auto" w:fill="DBE5F1"/>
                  <w:vAlign w:val="bottom"/>
                </w:tcPr>
                <w:p w14:paraId="01D69A9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0.287</w:t>
                  </w:r>
                </w:p>
              </w:tc>
            </w:tr>
            <w:tr w:rsidR="00600DEE" w:rsidRPr="007463B9" w14:paraId="29297E71"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612C785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31-40</w:t>
                  </w:r>
                </w:p>
              </w:tc>
              <w:tc>
                <w:tcPr>
                  <w:tcW w:w="2017" w:type="dxa"/>
                  <w:tcBorders>
                    <w:top w:val="single" w:sz="4" w:space="0" w:color="FFFFFF"/>
                    <w:left w:val="single" w:sz="4" w:space="0" w:color="FFFFFF"/>
                    <w:bottom w:val="single" w:sz="4" w:space="0" w:color="FFFFFF"/>
                  </w:tcBorders>
                  <w:shd w:val="clear" w:color="auto" w:fill="DBE5F1"/>
                  <w:vAlign w:val="bottom"/>
                </w:tcPr>
                <w:p w14:paraId="0212849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10.347</w:t>
                  </w:r>
                </w:p>
              </w:tc>
              <w:tc>
                <w:tcPr>
                  <w:tcW w:w="1767" w:type="dxa"/>
                  <w:tcBorders>
                    <w:top w:val="single" w:sz="4" w:space="0" w:color="FFFFFF"/>
                    <w:left w:val="single" w:sz="4" w:space="0" w:color="FFFFFF"/>
                    <w:bottom w:val="single" w:sz="4" w:space="0" w:color="FFFFFF"/>
                  </w:tcBorders>
                  <w:shd w:val="clear" w:color="auto" w:fill="DBE5F1"/>
                  <w:vAlign w:val="bottom"/>
                </w:tcPr>
                <w:p w14:paraId="1B766C6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0.233</w:t>
                  </w:r>
                </w:p>
              </w:tc>
            </w:tr>
            <w:tr w:rsidR="00600DEE" w:rsidRPr="007463B9" w14:paraId="026F4741"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37E4896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41-50</w:t>
                  </w:r>
                </w:p>
              </w:tc>
              <w:tc>
                <w:tcPr>
                  <w:tcW w:w="2017" w:type="dxa"/>
                  <w:tcBorders>
                    <w:top w:val="single" w:sz="4" w:space="0" w:color="FFFFFF"/>
                    <w:left w:val="single" w:sz="4" w:space="0" w:color="FFFFFF"/>
                    <w:bottom w:val="single" w:sz="4" w:space="0" w:color="FFFFFF"/>
                  </w:tcBorders>
                  <w:shd w:val="clear" w:color="auto" w:fill="DBE5F1"/>
                  <w:vAlign w:val="bottom"/>
                </w:tcPr>
                <w:p w14:paraId="5578BBF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8.765</w:t>
                  </w:r>
                </w:p>
              </w:tc>
              <w:tc>
                <w:tcPr>
                  <w:tcW w:w="1767" w:type="dxa"/>
                  <w:tcBorders>
                    <w:top w:val="single" w:sz="4" w:space="0" w:color="FFFFFF"/>
                    <w:left w:val="single" w:sz="4" w:space="0" w:color="FFFFFF"/>
                    <w:bottom w:val="single" w:sz="4" w:space="0" w:color="FFFFFF"/>
                  </w:tcBorders>
                  <w:shd w:val="clear" w:color="auto" w:fill="DBE5F1"/>
                  <w:vAlign w:val="bottom"/>
                </w:tcPr>
                <w:p w14:paraId="13CEDFE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0.198</w:t>
                  </w:r>
                </w:p>
              </w:tc>
            </w:tr>
            <w:tr w:rsidR="00600DEE" w:rsidRPr="007463B9" w14:paraId="09C23D04"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020D48E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51-60</w:t>
                  </w:r>
                </w:p>
              </w:tc>
              <w:tc>
                <w:tcPr>
                  <w:tcW w:w="2017" w:type="dxa"/>
                  <w:tcBorders>
                    <w:top w:val="single" w:sz="4" w:space="0" w:color="FFFFFF"/>
                    <w:left w:val="single" w:sz="4" w:space="0" w:color="FFFFFF"/>
                    <w:bottom w:val="single" w:sz="4" w:space="0" w:color="FFFFFF"/>
                  </w:tcBorders>
                  <w:shd w:val="clear" w:color="auto" w:fill="DBE5F1"/>
                  <w:vAlign w:val="bottom"/>
                </w:tcPr>
                <w:p w14:paraId="52B299E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7.709</w:t>
                  </w:r>
                </w:p>
              </w:tc>
              <w:tc>
                <w:tcPr>
                  <w:tcW w:w="1767" w:type="dxa"/>
                  <w:tcBorders>
                    <w:top w:val="single" w:sz="4" w:space="0" w:color="FFFFFF"/>
                    <w:left w:val="single" w:sz="4" w:space="0" w:color="FFFFFF"/>
                    <w:bottom w:val="single" w:sz="4" w:space="0" w:color="FFFFFF"/>
                  </w:tcBorders>
                  <w:shd w:val="clear" w:color="auto" w:fill="DBE5F1"/>
                  <w:vAlign w:val="bottom"/>
                </w:tcPr>
                <w:p w14:paraId="28C7883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0.174</w:t>
                  </w:r>
                </w:p>
              </w:tc>
            </w:tr>
            <w:tr w:rsidR="00600DEE" w:rsidRPr="007463B9" w14:paraId="656D25AC"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7BAB866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61-70</w:t>
                  </w:r>
                </w:p>
              </w:tc>
              <w:tc>
                <w:tcPr>
                  <w:tcW w:w="2017" w:type="dxa"/>
                  <w:tcBorders>
                    <w:top w:val="single" w:sz="4" w:space="0" w:color="FFFFFF"/>
                    <w:left w:val="single" w:sz="4" w:space="0" w:color="FFFFFF"/>
                    <w:bottom w:val="single" w:sz="4" w:space="0" w:color="FFFFFF"/>
                  </w:tcBorders>
                  <w:shd w:val="clear" w:color="auto" w:fill="DBE5F1"/>
                  <w:vAlign w:val="bottom"/>
                </w:tcPr>
                <w:p w14:paraId="7E5060A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7.039</w:t>
                  </w:r>
                </w:p>
              </w:tc>
              <w:tc>
                <w:tcPr>
                  <w:tcW w:w="1767" w:type="dxa"/>
                  <w:tcBorders>
                    <w:top w:val="single" w:sz="4" w:space="0" w:color="FFFFFF"/>
                    <w:left w:val="single" w:sz="4" w:space="0" w:color="FFFFFF"/>
                    <w:bottom w:val="single" w:sz="4" w:space="0" w:color="FFFFFF"/>
                  </w:tcBorders>
                  <w:shd w:val="clear" w:color="auto" w:fill="DBE5F1"/>
                  <w:vAlign w:val="bottom"/>
                </w:tcPr>
                <w:p w14:paraId="6C99DAD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0.159</w:t>
                  </w:r>
                </w:p>
              </w:tc>
            </w:tr>
            <w:tr w:rsidR="00600DEE" w:rsidRPr="007463B9" w14:paraId="19979466"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274B20E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71-80</w:t>
                  </w:r>
                </w:p>
              </w:tc>
              <w:tc>
                <w:tcPr>
                  <w:tcW w:w="2017" w:type="dxa"/>
                  <w:tcBorders>
                    <w:top w:val="single" w:sz="4" w:space="0" w:color="FFFFFF"/>
                    <w:left w:val="single" w:sz="4" w:space="0" w:color="FFFFFF"/>
                    <w:bottom w:val="single" w:sz="4" w:space="0" w:color="FFFFFF"/>
                  </w:tcBorders>
                  <w:shd w:val="clear" w:color="auto" w:fill="DBE5F1"/>
                  <w:vAlign w:val="bottom"/>
                </w:tcPr>
                <w:p w14:paraId="083A53E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6.678</w:t>
                  </w:r>
                </w:p>
              </w:tc>
              <w:tc>
                <w:tcPr>
                  <w:tcW w:w="1767" w:type="dxa"/>
                  <w:tcBorders>
                    <w:top w:val="single" w:sz="4" w:space="0" w:color="FFFFFF"/>
                    <w:left w:val="single" w:sz="4" w:space="0" w:color="FFFFFF"/>
                    <w:bottom w:val="single" w:sz="4" w:space="0" w:color="FFFFFF"/>
                  </w:tcBorders>
                  <w:shd w:val="clear" w:color="auto" w:fill="DBE5F1"/>
                  <w:vAlign w:val="bottom"/>
                </w:tcPr>
                <w:p w14:paraId="40B2774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0.151</w:t>
                  </w:r>
                </w:p>
              </w:tc>
            </w:tr>
            <w:tr w:rsidR="00600DEE" w:rsidRPr="007463B9" w14:paraId="2EADB639"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6724D53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81-90</w:t>
                  </w:r>
                </w:p>
              </w:tc>
              <w:tc>
                <w:tcPr>
                  <w:tcW w:w="2017" w:type="dxa"/>
                  <w:tcBorders>
                    <w:top w:val="single" w:sz="4" w:space="0" w:color="FFFFFF"/>
                    <w:left w:val="single" w:sz="4" w:space="0" w:color="FFFFFF"/>
                    <w:bottom w:val="single" w:sz="4" w:space="0" w:color="FFFFFF"/>
                  </w:tcBorders>
                  <w:shd w:val="clear" w:color="auto" w:fill="DBE5F1"/>
                  <w:vAlign w:val="bottom"/>
                </w:tcPr>
                <w:p w14:paraId="0B144F6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6.575</w:t>
                  </w:r>
                </w:p>
              </w:tc>
              <w:tc>
                <w:tcPr>
                  <w:tcW w:w="1767" w:type="dxa"/>
                  <w:tcBorders>
                    <w:top w:val="single" w:sz="4" w:space="0" w:color="FFFFFF"/>
                    <w:left w:val="single" w:sz="4" w:space="0" w:color="FFFFFF"/>
                    <w:bottom w:val="single" w:sz="4" w:space="0" w:color="FFFFFF"/>
                  </w:tcBorders>
                  <w:shd w:val="clear" w:color="auto" w:fill="DBE5F1"/>
                  <w:vAlign w:val="bottom"/>
                </w:tcPr>
                <w:p w14:paraId="2536497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0.148</w:t>
                  </w:r>
                </w:p>
              </w:tc>
            </w:tr>
            <w:tr w:rsidR="00600DEE" w:rsidRPr="007463B9" w14:paraId="20445F57"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5934679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91-100</w:t>
                  </w:r>
                </w:p>
              </w:tc>
              <w:tc>
                <w:tcPr>
                  <w:tcW w:w="2017" w:type="dxa"/>
                  <w:tcBorders>
                    <w:top w:val="single" w:sz="4" w:space="0" w:color="FFFFFF"/>
                    <w:left w:val="single" w:sz="4" w:space="0" w:color="FFFFFF"/>
                    <w:bottom w:val="single" w:sz="4" w:space="0" w:color="FFFFFF"/>
                  </w:tcBorders>
                  <w:shd w:val="clear" w:color="auto" w:fill="DBE5F1"/>
                  <w:vAlign w:val="bottom"/>
                </w:tcPr>
                <w:p w14:paraId="4A76351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6.696</w:t>
                  </w:r>
                </w:p>
              </w:tc>
              <w:tc>
                <w:tcPr>
                  <w:tcW w:w="1767" w:type="dxa"/>
                  <w:tcBorders>
                    <w:top w:val="single" w:sz="4" w:space="0" w:color="FFFFFF"/>
                    <w:left w:val="single" w:sz="4" w:space="0" w:color="FFFFFF"/>
                    <w:bottom w:val="single" w:sz="4" w:space="0" w:color="FFFFFF"/>
                  </w:tcBorders>
                  <w:shd w:val="clear" w:color="auto" w:fill="DBE5F1"/>
                  <w:vAlign w:val="bottom"/>
                </w:tcPr>
                <w:p w14:paraId="33DF802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0.151</w:t>
                  </w:r>
                </w:p>
              </w:tc>
            </w:tr>
            <w:tr w:rsidR="00600DEE" w:rsidRPr="007463B9" w14:paraId="0382AA65"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7A0A5A2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101-110</w:t>
                  </w:r>
                </w:p>
              </w:tc>
              <w:tc>
                <w:tcPr>
                  <w:tcW w:w="2017" w:type="dxa"/>
                  <w:tcBorders>
                    <w:top w:val="single" w:sz="4" w:space="0" w:color="FFFFFF"/>
                    <w:left w:val="single" w:sz="4" w:space="0" w:color="FFFFFF"/>
                    <w:bottom w:val="single" w:sz="4" w:space="0" w:color="FFFFFF"/>
                  </w:tcBorders>
                  <w:shd w:val="clear" w:color="auto" w:fill="DBE5F1"/>
                  <w:vAlign w:val="bottom"/>
                </w:tcPr>
                <w:p w14:paraId="7A318A4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7.019</w:t>
                  </w:r>
                </w:p>
              </w:tc>
              <w:tc>
                <w:tcPr>
                  <w:tcW w:w="1767" w:type="dxa"/>
                  <w:tcBorders>
                    <w:top w:val="single" w:sz="4" w:space="0" w:color="FFFFFF"/>
                    <w:left w:val="single" w:sz="4" w:space="0" w:color="FFFFFF"/>
                    <w:bottom w:val="single" w:sz="4" w:space="0" w:color="FFFFFF"/>
                  </w:tcBorders>
                  <w:shd w:val="clear" w:color="auto" w:fill="DBE5F1"/>
                  <w:vAlign w:val="bottom"/>
                </w:tcPr>
                <w:p w14:paraId="5993507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0.158</w:t>
                  </w:r>
                </w:p>
              </w:tc>
            </w:tr>
            <w:tr w:rsidR="00600DEE" w:rsidRPr="007463B9" w14:paraId="0ECA588E"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46CF8AE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111-120</w:t>
                  </w:r>
                </w:p>
              </w:tc>
              <w:tc>
                <w:tcPr>
                  <w:tcW w:w="2017" w:type="dxa"/>
                  <w:tcBorders>
                    <w:top w:val="single" w:sz="4" w:space="0" w:color="FFFFFF"/>
                    <w:left w:val="single" w:sz="4" w:space="0" w:color="FFFFFF"/>
                    <w:bottom w:val="single" w:sz="4" w:space="0" w:color="FFFFFF"/>
                  </w:tcBorders>
                  <w:shd w:val="clear" w:color="auto" w:fill="DBE5F1"/>
                  <w:vAlign w:val="bottom"/>
                </w:tcPr>
                <w:p w14:paraId="2310B23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7.524</w:t>
                  </w:r>
                </w:p>
              </w:tc>
              <w:tc>
                <w:tcPr>
                  <w:tcW w:w="1767" w:type="dxa"/>
                  <w:tcBorders>
                    <w:top w:val="single" w:sz="4" w:space="0" w:color="FFFFFF"/>
                    <w:left w:val="single" w:sz="4" w:space="0" w:color="FFFFFF"/>
                    <w:bottom w:val="single" w:sz="4" w:space="0" w:color="FFFFFF"/>
                  </w:tcBorders>
                  <w:shd w:val="clear" w:color="auto" w:fill="DBE5F1"/>
                  <w:vAlign w:val="bottom"/>
                </w:tcPr>
                <w:p w14:paraId="52908EF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0.170</w:t>
                  </w:r>
                </w:p>
              </w:tc>
            </w:tr>
            <w:tr w:rsidR="00600DEE" w:rsidRPr="007463B9" w14:paraId="4B965E8B"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03B3EE7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121-130</w:t>
                  </w:r>
                </w:p>
              </w:tc>
              <w:tc>
                <w:tcPr>
                  <w:tcW w:w="2017" w:type="dxa"/>
                  <w:tcBorders>
                    <w:top w:val="single" w:sz="4" w:space="0" w:color="FFFFFF"/>
                    <w:left w:val="single" w:sz="4" w:space="0" w:color="FFFFFF"/>
                    <w:bottom w:val="single" w:sz="4" w:space="0" w:color="FFFFFF"/>
                  </w:tcBorders>
                  <w:shd w:val="clear" w:color="auto" w:fill="DBE5F1"/>
                  <w:vAlign w:val="bottom"/>
                </w:tcPr>
                <w:p w14:paraId="28D1266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8.198</w:t>
                  </w:r>
                </w:p>
              </w:tc>
              <w:tc>
                <w:tcPr>
                  <w:tcW w:w="1767" w:type="dxa"/>
                  <w:tcBorders>
                    <w:top w:val="single" w:sz="4" w:space="0" w:color="FFFFFF"/>
                    <w:left w:val="single" w:sz="4" w:space="0" w:color="FFFFFF"/>
                    <w:bottom w:val="single" w:sz="4" w:space="0" w:color="FFFFFF"/>
                  </w:tcBorders>
                  <w:shd w:val="clear" w:color="auto" w:fill="DBE5F1"/>
                  <w:vAlign w:val="bottom"/>
                </w:tcPr>
                <w:p w14:paraId="7AB9F91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0.185</w:t>
                  </w:r>
                </w:p>
              </w:tc>
            </w:tr>
            <w:tr w:rsidR="00600DEE" w:rsidRPr="007463B9" w14:paraId="684529AF" w14:textId="77777777" w:rsidTr="00173EC8">
              <w:trPr>
                <w:trHeight w:hRule="exact" w:val="340"/>
              </w:trPr>
              <w:tc>
                <w:tcPr>
                  <w:tcW w:w="2025" w:type="dxa"/>
                  <w:tcBorders>
                    <w:top w:val="single" w:sz="4" w:space="0" w:color="FFFFFF"/>
                    <w:left w:val="single" w:sz="4" w:space="0" w:color="FFFFFF"/>
                    <w:bottom w:val="single" w:sz="4" w:space="0" w:color="FFFFFF"/>
                  </w:tcBorders>
                  <w:shd w:val="clear" w:color="auto" w:fill="DBE5F1"/>
                  <w:vAlign w:val="center"/>
                </w:tcPr>
                <w:p w14:paraId="62B5DD5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131-140</w:t>
                  </w:r>
                </w:p>
              </w:tc>
              <w:tc>
                <w:tcPr>
                  <w:tcW w:w="2017" w:type="dxa"/>
                  <w:tcBorders>
                    <w:top w:val="single" w:sz="4" w:space="0" w:color="FFFFFF"/>
                    <w:left w:val="single" w:sz="4" w:space="0" w:color="FFFFFF"/>
                    <w:bottom w:val="single" w:sz="4" w:space="0" w:color="FFFFFF"/>
                  </w:tcBorders>
                  <w:shd w:val="clear" w:color="auto" w:fill="DBE5F1"/>
                  <w:vAlign w:val="bottom"/>
                </w:tcPr>
                <w:p w14:paraId="75F8A96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9.029</w:t>
                  </w:r>
                </w:p>
              </w:tc>
              <w:tc>
                <w:tcPr>
                  <w:tcW w:w="1767" w:type="dxa"/>
                  <w:tcBorders>
                    <w:top w:val="single" w:sz="4" w:space="0" w:color="FFFFFF"/>
                    <w:left w:val="single" w:sz="4" w:space="0" w:color="FFFFFF"/>
                    <w:bottom w:val="single" w:sz="4" w:space="0" w:color="FFFFFF"/>
                  </w:tcBorders>
                  <w:shd w:val="clear" w:color="auto" w:fill="DBE5F1"/>
                  <w:vAlign w:val="bottom"/>
                </w:tcPr>
                <w:p w14:paraId="5F87654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0.204</w:t>
                  </w:r>
                </w:p>
              </w:tc>
            </w:tr>
          </w:tbl>
          <w:p w14:paraId="369CC6E8" w14:textId="77777777" w:rsidR="00173EC8" w:rsidRPr="0045151D" w:rsidRDefault="00173EC8">
            <w:pPr>
              <w:pBdr>
                <w:top w:val="nil"/>
                <w:left w:val="nil"/>
                <w:bottom w:val="nil"/>
                <w:right w:val="nil"/>
                <w:between w:val="nil"/>
              </w:pBdr>
              <w:spacing w:before="120"/>
              <w:jc w:val="both"/>
              <w:rPr>
                <w:rFonts w:ascii="Calibri" w:eastAsia="Calibri" w:hAnsi="Calibri" w:cs="Calibri"/>
                <w:b/>
                <w:i/>
                <w:color w:val="000000"/>
                <w:sz w:val="20"/>
                <w:szCs w:val="20"/>
                <w:lang w:val="en-GB"/>
              </w:rPr>
            </w:pPr>
          </w:p>
          <w:p w14:paraId="41A1ADB9" w14:textId="77777777" w:rsidR="00173EC8" w:rsidRPr="0045151D" w:rsidRDefault="00173EC8">
            <w:pPr>
              <w:pBdr>
                <w:top w:val="nil"/>
                <w:left w:val="nil"/>
                <w:bottom w:val="nil"/>
                <w:right w:val="nil"/>
                <w:between w:val="nil"/>
              </w:pBdr>
              <w:spacing w:before="120"/>
              <w:jc w:val="both"/>
              <w:rPr>
                <w:rFonts w:ascii="Calibri" w:eastAsia="Calibri" w:hAnsi="Calibri" w:cs="Calibri"/>
                <w:b/>
                <w:i/>
                <w:color w:val="000000"/>
                <w:sz w:val="20"/>
                <w:szCs w:val="20"/>
                <w:lang w:val="en-GB"/>
              </w:rPr>
            </w:pPr>
          </w:p>
          <w:p w14:paraId="76283B73" w14:textId="77777777" w:rsidR="00173EC8" w:rsidRPr="0045151D" w:rsidRDefault="00173EC8">
            <w:pPr>
              <w:pBdr>
                <w:top w:val="nil"/>
                <w:left w:val="nil"/>
                <w:bottom w:val="nil"/>
                <w:right w:val="nil"/>
                <w:between w:val="nil"/>
              </w:pBdr>
              <w:spacing w:before="120"/>
              <w:jc w:val="both"/>
              <w:rPr>
                <w:rFonts w:ascii="Calibri" w:eastAsia="Calibri" w:hAnsi="Calibri" w:cs="Calibri"/>
                <w:b/>
                <w:i/>
                <w:color w:val="000000"/>
                <w:sz w:val="20"/>
                <w:szCs w:val="20"/>
                <w:lang w:val="en-GB"/>
              </w:rPr>
            </w:pPr>
          </w:p>
          <w:p w14:paraId="7112258C" w14:textId="77777777" w:rsidR="00173EC8" w:rsidRPr="0045151D" w:rsidRDefault="00173EC8">
            <w:pPr>
              <w:pBdr>
                <w:top w:val="nil"/>
                <w:left w:val="nil"/>
                <w:bottom w:val="nil"/>
                <w:right w:val="nil"/>
                <w:between w:val="nil"/>
              </w:pBdr>
              <w:spacing w:before="120"/>
              <w:jc w:val="both"/>
              <w:rPr>
                <w:rFonts w:ascii="Calibri" w:eastAsia="Calibri" w:hAnsi="Calibri" w:cs="Calibri"/>
                <w:b/>
                <w:i/>
                <w:color w:val="000000"/>
                <w:sz w:val="20"/>
                <w:szCs w:val="20"/>
                <w:lang w:val="en-GB"/>
              </w:rPr>
            </w:pPr>
          </w:p>
          <w:p w14:paraId="4798B1C7" w14:textId="77777777" w:rsidR="00173EC8" w:rsidRPr="0045151D" w:rsidRDefault="00173EC8">
            <w:pPr>
              <w:pBdr>
                <w:top w:val="nil"/>
                <w:left w:val="nil"/>
                <w:bottom w:val="nil"/>
                <w:right w:val="nil"/>
                <w:between w:val="nil"/>
              </w:pBdr>
              <w:spacing w:before="120"/>
              <w:jc w:val="both"/>
              <w:rPr>
                <w:rFonts w:ascii="Calibri" w:eastAsia="Calibri" w:hAnsi="Calibri" w:cs="Calibri"/>
                <w:b/>
                <w:i/>
                <w:color w:val="000000"/>
                <w:sz w:val="20"/>
                <w:szCs w:val="20"/>
                <w:lang w:val="en-GB"/>
              </w:rPr>
            </w:pPr>
          </w:p>
          <w:p w14:paraId="4D011DAC" w14:textId="77777777" w:rsidR="00173EC8" w:rsidRPr="0045151D" w:rsidRDefault="00173EC8">
            <w:pPr>
              <w:pBdr>
                <w:top w:val="nil"/>
                <w:left w:val="nil"/>
                <w:bottom w:val="nil"/>
                <w:right w:val="nil"/>
                <w:between w:val="nil"/>
              </w:pBdr>
              <w:spacing w:before="120"/>
              <w:jc w:val="both"/>
              <w:rPr>
                <w:rFonts w:ascii="Calibri" w:eastAsia="Calibri" w:hAnsi="Calibri" w:cs="Calibri"/>
                <w:b/>
                <w:i/>
                <w:color w:val="000000"/>
                <w:sz w:val="20"/>
                <w:szCs w:val="20"/>
                <w:lang w:val="en-GB"/>
              </w:rPr>
            </w:pPr>
          </w:p>
          <w:p w14:paraId="21BC6936" w14:textId="77777777" w:rsidR="00173EC8" w:rsidRPr="0045151D" w:rsidRDefault="00173EC8">
            <w:pPr>
              <w:pBdr>
                <w:top w:val="nil"/>
                <w:left w:val="nil"/>
                <w:bottom w:val="nil"/>
                <w:right w:val="nil"/>
                <w:between w:val="nil"/>
              </w:pBdr>
              <w:spacing w:before="120"/>
              <w:jc w:val="both"/>
              <w:rPr>
                <w:rFonts w:ascii="Calibri" w:eastAsia="Calibri" w:hAnsi="Calibri" w:cs="Calibri"/>
                <w:b/>
                <w:i/>
                <w:color w:val="000000"/>
                <w:sz w:val="20"/>
                <w:szCs w:val="20"/>
                <w:lang w:val="en-GB"/>
              </w:rPr>
            </w:pPr>
          </w:p>
          <w:p w14:paraId="03E2F5A4" w14:textId="25C7A224" w:rsidR="009C6422" w:rsidRPr="00880D09" w:rsidRDefault="00641FB5" w:rsidP="009C6422">
            <w:pPr>
              <w:pBdr>
                <w:top w:val="nil"/>
                <w:left w:val="nil"/>
                <w:bottom w:val="nil"/>
                <w:right w:val="nil"/>
                <w:between w:val="nil"/>
              </w:pBdr>
              <w:spacing w:before="120" w:after="240"/>
              <w:jc w:val="both"/>
              <w:rPr>
                <w:rFonts w:ascii="Calibri" w:eastAsia="Calibri" w:hAnsi="Calibri" w:cs="Calibri"/>
                <w:b/>
                <w:color w:val="000000"/>
                <w:sz w:val="20"/>
                <w:szCs w:val="20"/>
                <w:lang w:val="en-GB"/>
              </w:rPr>
            </w:pPr>
            <w:r w:rsidRPr="00880D09">
              <w:rPr>
                <w:rFonts w:ascii="Calibri" w:eastAsia="Calibri" w:hAnsi="Calibri" w:cs="Calibri"/>
                <w:b/>
                <w:color w:val="000000"/>
                <w:sz w:val="20"/>
                <w:szCs w:val="20"/>
                <w:lang w:val="en-GB"/>
              </w:rPr>
              <w:t xml:space="preserve">Combustion motor Heavy Goods Vehicle </w:t>
            </w:r>
            <w:r w:rsidR="009C6422" w:rsidRPr="00880D09">
              <w:rPr>
                <w:rFonts w:ascii="Calibri" w:eastAsia="Calibri" w:hAnsi="Calibri" w:cs="Calibri"/>
                <w:b/>
                <w:color w:val="000000"/>
                <w:sz w:val="20"/>
                <w:szCs w:val="20"/>
                <w:lang w:val="en-GB"/>
              </w:rPr>
              <w:t>–</w:t>
            </w:r>
            <w:r w:rsidRPr="00880D09">
              <w:rPr>
                <w:rFonts w:ascii="Calibri" w:eastAsia="Calibri" w:hAnsi="Calibri" w:cs="Calibri"/>
                <w:b/>
                <w:color w:val="000000"/>
                <w:sz w:val="20"/>
                <w:szCs w:val="20"/>
                <w:lang w:val="en-GB"/>
              </w:rPr>
              <w:t xml:space="preserve"> HGV</w:t>
            </w:r>
          </w:p>
          <w:p w14:paraId="4E4A7749" w14:textId="6DEA384D"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costs are based on the equation provided in</w:t>
            </w:r>
            <w:r w:rsidRPr="0045151D">
              <w:rPr>
                <w:rFonts w:ascii="Arial" w:eastAsia="Arial" w:hAnsi="Arial" w:cs="Arial"/>
                <w:color w:val="000000"/>
                <w:sz w:val="20"/>
                <w:szCs w:val="20"/>
                <w:lang w:val="en-GB"/>
              </w:rPr>
              <w:t xml:space="preserve"> “</w:t>
            </w:r>
            <w:r w:rsidRPr="0045151D">
              <w:rPr>
                <w:rFonts w:ascii="Calibri" w:eastAsia="Calibri" w:hAnsi="Calibri" w:cs="Calibri"/>
                <w:color w:val="000000"/>
                <w:sz w:val="20"/>
                <w:szCs w:val="20"/>
                <w:lang w:val="en-GB"/>
              </w:rPr>
              <w:t>EMEP/EEA air pollutant emission inventory guidebook, 2019, 1.A.3.b.i-iv Road Transport Appendix 4 Emission Factors 2019 (Sept. 2020)” and follow equivalent assumptions as these described above for LV. The same reference as for LV is used regarding Polish current HGV fleet composition. The average fuel consumption costs for HGV are presented below</w:t>
            </w:r>
            <w:r w:rsidR="00C65DA8">
              <w:rPr>
                <w:rFonts w:ascii="Calibri" w:eastAsia="Calibri" w:hAnsi="Calibri" w:cs="Calibri"/>
                <w:color w:val="000000"/>
                <w:sz w:val="20"/>
                <w:szCs w:val="20"/>
                <w:lang w:val="en-GB"/>
              </w:rPr>
              <w:t xml:space="preserve"> </w:t>
            </w:r>
            <w:r w:rsidR="00C65DA8" w:rsidRPr="00C65DA8">
              <w:rPr>
                <w:rFonts w:ascii="Calibri" w:eastAsia="Calibri" w:hAnsi="Calibri" w:cs="Calibri"/>
                <w:color w:val="000000"/>
                <w:sz w:val="20"/>
                <w:szCs w:val="20"/>
                <w:lang w:val="en-GB"/>
              </w:rPr>
              <w:t>in prices as at the beginning of 2020</w:t>
            </w:r>
            <w:r w:rsidRPr="0045151D">
              <w:rPr>
                <w:rFonts w:ascii="Calibri" w:eastAsia="Calibri" w:hAnsi="Calibri" w:cs="Calibri"/>
                <w:color w:val="000000"/>
                <w:sz w:val="20"/>
                <w:szCs w:val="20"/>
                <w:lang w:val="en-GB"/>
              </w:rPr>
              <w:t>:</w:t>
            </w:r>
          </w:p>
          <w:p w14:paraId="19CF0762"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tbl>
            <w:tblPr>
              <w:tblStyle w:val="affffffffffffffd"/>
              <w:tblW w:w="5809" w:type="dxa"/>
              <w:tblLayout w:type="fixed"/>
              <w:tblLook w:val="0000" w:firstRow="0" w:lastRow="0" w:firstColumn="0" w:lastColumn="0" w:noHBand="0" w:noVBand="0"/>
            </w:tblPr>
            <w:tblGrid>
              <w:gridCol w:w="2025"/>
              <w:gridCol w:w="2017"/>
              <w:gridCol w:w="1767"/>
            </w:tblGrid>
            <w:tr w:rsidR="00600DEE" w:rsidRPr="007463B9" w14:paraId="2748ABE0" w14:textId="77777777" w:rsidTr="00173EC8">
              <w:trPr>
                <w:trHeight w:hRule="exact" w:val="907"/>
              </w:trPr>
              <w:tc>
                <w:tcPr>
                  <w:tcW w:w="2025" w:type="dxa"/>
                  <w:vMerge w:val="restart"/>
                  <w:tcBorders>
                    <w:top w:val="single" w:sz="4" w:space="0" w:color="FFFFFF"/>
                    <w:left w:val="single" w:sz="4" w:space="0" w:color="FFFFFF"/>
                  </w:tcBorders>
                  <w:shd w:val="clear" w:color="auto" w:fill="A6A6A6"/>
                  <w:vAlign w:val="center"/>
                </w:tcPr>
                <w:p w14:paraId="365B089A"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Speed (km/h)</w:t>
                  </w:r>
                </w:p>
              </w:tc>
              <w:tc>
                <w:tcPr>
                  <w:tcW w:w="3784" w:type="dxa"/>
                  <w:gridSpan w:val="2"/>
                  <w:tcBorders>
                    <w:top w:val="single" w:sz="4" w:space="0" w:color="FFFFFF"/>
                    <w:left w:val="single" w:sz="4" w:space="0" w:color="FFFFFF"/>
                    <w:bottom w:val="single" w:sz="4" w:space="0" w:color="FFFFFF"/>
                  </w:tcBorders>
                  <w:shd w:val="clear" w:color="auto" w:fill="A6A6A6"/>
                  <w:vAlign w:val="center"/>
                </w:tcPr>
                <w:p w14:paraId="5D65D928"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HGV Fuel consumption– flat terrain (pavement after construction/rehabilitation)</w:t>
                  </w:r>
                </w:p>
              </w:tc>
            </w:tr>
            <w:tr w:rsidR="00600DEE" w:rsidRPr="007463B9" w14:paraId="2F3A3EE1" w14:textId="77777777">
              <w:trPr>
                <w:trHeight w:val="284"/>
              </w:trPr>
              <w:tc>
                <w:tcPr>
                  <w:tcW w:w="2025" w:type="dxa"/>
                  <w:vMerge/>
                  <w:tcBorders>
                    <w:top w:val="single" w:sz="4" w:space="0" w:color="FFFFFF"/>
                    <w:left w:val="single" w:sz="4" w:space="0" w:color="FFFFFF"/>
                  </w:tcBorders>
                  <w:shd w:val="clear" w:color="auto" w:fill="A6A6A6"/>
                  <w:vAlign w:val="center"/>
                </w:tcPr>
                <w:p w14:paraId="29F669C6"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8"/>
                      <w:szCs w:val="18"/>
                      <w:lang w:val="en-GB"/>
                    </w:rPr>
                  </w:pPr>
                </w:p>
              </w:tc>
              <w:tc>
                <w:tcPr>
                  <w:tcW w:w="2017" w:type="dxa"/>
                  <w:tcBorders>
                    <w:top w:val="single" w:sz="4" w:space="0" w:color="FFFFFF"/>
                    <w:left w:val="single" w:sz="4" w:space="0" w:color="FFFFFF"/>
                    <w:bottom w:val="single" w:sz="4" w:space="0" w:color="FFFFFF"/>
                  </w:tcBorders>
                  <w:shd w:val="clear" w:color="auto" w:fill="A6A6A6"/>
                  <w:vAlign w:val="center"/>
                </w:tcPr>
                <w:p w14:paraId="6D4489A6"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l/100 km</w:t>
                  </w:r>
                </w:p>
              </w:tc>
              <w:tc>
                <w:tcPr>
                  <w:tcW w:w="1767" w:type="dxa"/>
                  <w:tcBorders>
                    <w:top w:val="single" w:sz="4" w:space="0" w:color="FFFFFF"/>
                    <w:left w:val="single" w:sz="4" w:space="0" w:color="FFFFFF"/>
                    <w:bottom w:val="single" w:sz="4" w:space="0" w:color="FFFFFF"/>
                  </w:tcBorders>
                  <w:shd w:val="clear" w:color="auto" w:fill="A6A6A6"/>
                  <w:vAlign w:val="center"/>
                </w:tcPr>
                <w:p w14:paraId="79619266" w14:textId="1C70C3CE"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PLN/veh</w:t>
                  </w:r>
                  <w:r w:rsidR="00C65DA8">
                    <w:rPr>
                      <w:rFonts w:ascii="Calibri" w:eastAsia="Calibri" w:hAnsi="Calibri" w:cs="Calibri"/>
                      <w:b/>
                      <w:color w:val="FFFFFF"/>
                      <w:sz w:val="18"/>
                      <w:szCs w:val="18"/>
                      <w:lang w:val="en-GB"/>
                    </w:rPr>
                    <w:t>-</w:t>
                  </w:r>
                  <w:r w:rsidRPr="0045151D">
                    <w:rPr>
                      <w:rFonts w:ascii="Calibri" w:eastAsia="Calibri" w:hAnsi="Calibri" w:cs="Calibri"/>
                      <w:b/>
                      <w:color w:val="FFFFFF"/>
                      <w:sz w:val="18"/>
                      <w:szCs w:val="18"/>
                      <w:lang w:val="en-GB"/>
                    </w:rPr>
                    <w:t>km</w:t>
                  </w:r>
                </w:p>
              </w:tc>
            </w:tr>
            <w:tr w:rsidR="00600DEE" w:rsidRPr="007463B9" w14:paraId="5819516A"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688AFFE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w:t>
                  </w:r>
                </w:p>
              </w:tc>
              <w:tc>
                <w:tcPr>
                  <w:tcW w:w="2017" w:type="dxa"/>
                  <w:tcBorders>
                    <w:top w:val="single" w:sz="4" w:space="0" w:color="FFFFFF"/>
                    <w:left w:val="single" w:sz="4" w:space="0" w:color="FFFFFF"/>
                    <w:bottom w:val="single" w:sz="4" w:space="0" w:color="FFFFFF"/>
                  </w:tcBorders>
                  <w:shd w:val="clear" w:color="auto" w:fill="DBE5F1"/>
                  <w:vAlign w:val="bottom"/>
                </w:tcPr>
                <w:p w14:paraId="3788034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61.594</w:t>
                  </w:r>
                </w:p>
              </w:tc>
              <w:tc>
                <w:tcPr>
                  <w:tcW w:w="1767" w:type="dxa"/>
                  <w:tcBorders>
                    <w:top w:val="single" w:sz="4" w:space="0" w:color="FFFFFF"/>
                    <w:left w:val="single" w:sz="4" w:space="0" w:color="FFFFFF"/>
                    <w:bottom w:val="single" w:sz="4" w:space="0" w:color="FFFFFF"/>
                  </w:tcBorders>
                  <w:shd w:val="clear" w:color="auto" w:fill="DBE5F1"/>
                  <w:vAlign w:val="bottom"/>
                </w:tcPr>
                <w:p w14:paraId="77F39EA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1.524</w:t>
                  </w:r>
                </w:p>
              </w:tc>
            </w:tr>
            <w:tr w:rsidR="00600DEE" w:rsidRPr="007463B9" w14:paraId="304654D9"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5E5541E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11-20</w:t>
                  </w:r>
                </w:p>
              </w:tc>
              <w:tc>
                <w:tcPr>
                  <w:tcW w:w="2017" w:type="dxa"/>
                  <w:tcBorders>
                    <w:top w:val="single" w:sz="4" w:space="0" w:color="FFFFFF"/>
                    <w:left w:val="single" w:sz="4" w:space="0" w:color="FFFFFF"/>
                    <w:bottom w:val="single" w:sz="4" w:space="0" w:color="FFFFFF"/>
                  </w:tcBorders>
                  <w:shd w:val="clear" w:color="auto" w:fill="DBE5F1"/>
                  <w:vAlign w:val="bottom"/>
                </w:tcPr>
                <w:p w14:paraId="07CEE29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34.305</w:t>
                  </w:r>
                </w:p>
              </w:tc>
              <w:tc>
                <w:tcPr>
                  <w:tcW w:w="1767" w:type="dxa"/>
                  <w:tcBorders>
                    <w:top w:val="single" w:sz="4" w:space="0" w:color="FFFFFF"/>
                    <w:left w:val="single" w:sz="4" w:space="0" w:color="FFFFFF"/>
                    <w:bottom w:val="single" w:sz="4" w:space="0" w:color="FFFFFF"/>
                  </w:tcBorders>
                  <w:shd w:val="clear" w:color="auto" w:fill="DBE5F1"/>
                  <w:vAlign w:val="bottom"/>
                </w:tcPr>
                <w:p w14:paraId="26D764E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0.849</w:t>
                  </w:r>
                </w:p>
              </w:tc>
            </w:tr>
            <w:tr w:rsidR="00600DEE" w:rsidRPr="007463B9" w14:paraId="7844977B"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1531D06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21-30</w:t>
                  </w:r>
                </w:p>
              </w:tc>
              <w:tc>
                <w:tcPr>
                  <w:tcW w:w="2017" w:type="dxa"/>
                  <w:tcBorders>
                    <w:top w:val="single" w:sz="4" w:space="0" w:color="FFFFFF"/>
                    <w:left w:val="single" w:sz="4" w:space="0" w:color="FFFFFF"/>
                    <w:bottom w:val="single" w:sz="4" w:space="0" w:color="FFFFFF"/>
                  </w:tcBorders>
                  <w:shd w:val="clear" w:color="auto" w:fill="DBE5F1"/>
                  <w:vAlign w:val="bottom"/>
                </w:tcPr>
                <w:p w14:paraId="331451B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26.090</w:t>
                  </w:r>
                </w:p>
              </w:tc>
              <w:tc>
                <w:tcPr>
                  <w:tcW w:w="1767" w:type="dxa"/>
                  <w:tcBorders>
                    <w:top w:val="single" w:sz="4" w:space="0" w:color="FFFFFF"/>
                    <w:left w:val="single" w:sz="4" w:space="0" w:color="FFFFFF"/>
                    <w:bottom w:val="single" w:sz="4" w:space="0" w:color="FFFFFF"/>
                  </w:tcBorders>
                  <w:shd w:val="clear" w:color="auto" w:fill="DBE5F1"/>
                  <w:vAlign w:val="bottom"/>
                </w:tcPr>
                <w:p w14:paraId="2D8F949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0.646</w:t>
                  </w:r>
                </w:p>
              </w:tc>
            </w:tr>
            <w:tr w:rsidR="00600DEE" w:rsidRPr="007463B9" w14:paraId="4153520A"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7A744B1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31-40</w:t>
                  </w:r>
                </w:p>
              </w:tc>
              <w:tc>
                <w:tcPr>
                  <w:tcW w:w="2017" w:type="dxa"/>
                  <w:tcBorders>
                    <w:top w:val="single" w:sz="4" w:space="0" w:color="FFFFFF"/>
                    <w:left w:val="single" w:sz="4" w:space="0" w:color="FFFFFF"/>
                    <w:bottom w:val="single" w:sz="4" w:space="0" w:color="FFFFFF"/>
                  </w:tcBorders>
                  <w:shd w:val="clear" w:color="auto" w:fill="DBE5F1"/>
                  <w:vAlign w:val="bottom"/>
                </w:tcPr>
                <w:p w14:paraId="5A71592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21.921</w:t>
                  </w:r>
                </w:p>
              </w:tc>
              <w:tc>
                <w:tcPr>
                  <w:tcW w:w="1767" w:type="dxa"/>
                  <w:tcBorders>
                    <w:top w:val="single" w:sz="4" w:space="0" w:color="FFFFFF"/>
                    <w:left w:val="single" w:sz="4" w:space="0" w:color="FFFFFF"/>
                    <w:bottom w:val="single" w:sz="4" w:space="0" w:color="FFFFFF"/>
                  </w:tcBorders>
                  <w:shd w:val="clear" w:color="auto" w:fill="DBE5F1"/>
                  <w:vAlign w:val="bottom"/>
                </w:tcPr>
                <w:p w14:paraId="4975A54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0.542</w:t>
                  </w:r>
                </w:p>
              </w:tc>
            </w:tr>
            <w:tr w:rsidR="00600DEE" w:rsidRPr="007463B9" w14:paraId="093D1BDC"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347F260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41-50</w:t>
                  </w:r>
                </w:p>
              </w:tc>
              <w:tc>
                <w:tcPr>
                  <w:tcW w:w="2017" w:type="dxa"/>
                  <w:tcBorders>
                    <w:top w:val="single" w:sz="4" w:space="0" w:color="FFFFFF"/>
                    <w:left w:val="single" w:sz="4" w:space="0" w:color="FFFFFF"/>
                    <w:bottom w:val="single" w:sz="4" w:space="0" w:color="FFFFFF"/>
                  </w:tcBorders>
                  <w:shd w:val="clear" w:color="auto" w:fill="DBE5F1"/>
                  <w:vAlign w:val="bottom"/>
                </w:tcPr>
                <w:p w14:paraId="0CE2663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19.632</w:t>
                  </w:r>
                </w:p>
              </w:tc>
              <w:tc>
                <w:tcPr>
                  <w:tcW w:w="1767" w:type="dxa"/>
                  <w:tcBorders>
                    <w:top w:val="single" w:sz="4" w:space="0" w:color="FFFFFF"/>
                    <w:left w:val="single" w:sz="4" w:space="0" w:color="FFFFFF"/>
                    <w:bottom w:val="single" w:sz="4" w:space="0" w:color="FFFFFF"/>
                  </w:tcBorders>
                  <w:shd w:val="clear" w:color="auto" w:fill="DBE5F1"/>
                  <w:vAlign w:val="bottom"/>
                </w:tcPr>
                <w:p w14:paraId="6478CC2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0.486</w:t>
                  </w:r>
                </w:p>
              </w:tc>
            </w:tr>
            <w:tr w:rsidR="00600DEE" w:rsidRPr="007463B9" w14:paraId="79E564B7"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08628E0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51-60</w:t>
                  </w:r>
                </w:p>
              </w:tc>
              <w:tc>
                <w:tcPr>
                  <w:tcW w:w="2017" w:type="dxa"/>
                  <w:tcBorders>
                    <w:top w:val="single" w:sz="4" w:space="0" w:color="FFFFFF"/>
                    <w:left w:val="single" w:sz="4" w:space="0" w:color="FFFFFF"/>
                    <w:bottom w:val="single" w:sz="4" w:space="0" w:color="FFFFFF"/>
                  </w:tcBorders>
                  <w:shd w:val="clear" w:color="auto" w:fill="DBE5F1"/>
                  <w:vAlign w:val="bottom"/>
                </w:tcPr>
                <w:p w14:paraId="47EF8AD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18.414</w:t>
                  </w:r>
                </w:p>
              </w:tc>
              <w:tc>
                <w:tcPr>
                  <w:tcW w:w="1767" w:type="dxa"/>
                  <w:tcBorders>
                    <w:top w:val="single" w:sz="4" w:space="0" w:color="FFFFFF"/>
                    <w:left w:val="single" w:sz="4" w:space="0" w:color="FFFFFF"/>
                    <w:bottom w:val="single" w:sz="4" w:space="0" w:color="FFFFFF"/>
                  </w:tcBorders>
                  <w:shd w:val="clear" w:color="auto" w:fill="DBE5F1"/>
                  <w:vAlign w:val="bottom"/>
                </w:tcPr>
                <w:p w14:paraId="4BAE545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0.456</w:t>
                  </w:r>
                </w:p>
              </w:tc>
            </w:tr>
            <w:tr w:rsidR="00600DEE" w:rsidRPr="007463B9" w14:paraId="371DF563"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7055B0A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61-70</w:t>
                  </w:r>
                </w:p>
              </w:tc>
              <w:tc>
                <w:tcPr>
                  <w:tcW w:w="2017" w:type="dxa"/>
                  <w:tcBorders>
                    <w:top w:val="single" w:sz="4" w:space="0" w:color="FFFFFF"/>
                    <w:left w:val="single" w:sz="4" w:space="0" w:color="FFFFFF"/>
                    <w:bottom w:val="single" w:sz="4" w:space="0" w:color="FFFFFF"/>
                  </w:tcBorders>
                  <w:shd w:val="clear" w:color="auto" w:fill="DBE5F1"/>
                  <w:vAlign w:val="bottom"/>
                </w:tcPr>
                <w:p w14:paraId="2266A70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17.843</w:t>
                  </w:r>
                </w:p>
              </w:tc>
              <w:tc>
                <w:tcPr>
                  <w:tcW w:w="1767" w:type="dxa"/>
                  <w:tcBorders>
                    <w:top w:val="single" w:sz="4" w:space="0" w:color="FFFFFF"/>
                    <w:left w:val="single" w:sz="4" w:space="0" w:color="FFFFFF"/>
                    <w:bottom w:val="single" w:sz="4" w:space="0" w:color="FFFFFF"/>
                  </w:tcBorders>
                  <w:shd w:val="clear" w:color="auto" w:fill="DBE5F1"/>
                  <w:vAlign w:val="bottom"/>
                </w:tcPr>
                <w:p w14:paraId="5721649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0.441</w:t>
                  </w:r>
                </w:p>
              </w:tc>
            </w:tr>
            <w:tr w:rsidR="00600DEE" w:rsidRPr="007463B9" w14:paraId="6A4F7247"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135BB7B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71-80</w:t>
                  </w:r>
                </w:p>
              </w:tc>
              <w:tc>
                <w:tcPr>
                  <w:tcW w:w="2017" w:type="dxa"/>
                  <w:tcBorders>
                    <w:top w:val="single" w:sz="4" w:space="0" w:color="FFFFFF"/>
                    <w:left w:val="single" w:sz="4" w:space="0" w:color="FFFFFF"/>
                    <w:bottom w:val="single" w:sz="4" w:space="0" w:color="FFFFFF"/>
                  </w:tcBorders>
                  <w:shd w:val="clear" w:color="auto" w:fill="DBE5F1"/>
                  <w:vAlign w:val="bottom"/>
                </w:tcPr>
                <w:p w14:paraId="40A3149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17.687</w:t>
                  </w:r>
                </w:p>
              </w:tc>
              <w:tc>
                <w:tcPr>
                  <w:tcW w:w="1767" w:type="dxa"/>
                  <w:tcBorders>
                    <w:top w:val="single" w:sz="4" w:space="0" w:color="FFFFFF"/>
                    <w:left w:val="single" w:sz="4" w:space="0" w:color="FFFFFF"/>
                    <w:bottom w:val="single" w:sz="4" w:space="0" w:color="FFFFFF"/>
                  </w:tcBorders>
                  <w:shd w:val="clear" w:color="auto" w:fill="DBE5F1"/>
                  <w:vAlign w:val="bottom"/>
                </w:tcPr>
                <w:p w14:paraId="4B5A828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0.438</w:t>
                  </w:r>
                </w:p>
              </w:tc>
            </w:tr>
            <w:tr w:rsidR="00600DEE" w:rsidRPr="007463B9" w14:paraId="1AA7653B"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04DFEED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81-90</w:t>
                  </w:r>
                </w:p>
              </w:tc>
              <w:tc>
                <w:tcPr>
                  <w:tcW w:w="2017" w:type="dxa"/>
                  <w:tcBorders>
                    <w:top w:val="single" w:sz="4" w:space="0" w:color="FFFFFF"/>
                    <w:left w:val="single" w:sz="4" w:space="0" w:color="FFFFFF"/>
                    <w:bottom w:val="single" w:sz="4" w:space="0" w:color="FFFFFF"/>
                  </w:tcBorders>
                  <w:shd w:val="clear" w:color="auto" w:fill="DBE5F1"/>
                  <w:vAlign w:val="bottom"/>
                </w:tcPr>
                <w:p w14:paraId="1DD9F71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17.861</w:t>
                  </w:r>
                </w:p>
              </w:tc>
              <w:tc>
                <w:tcPr>
                  <w:tcW w:w="1767" w:type="dxa"/>
                  <w:tcBorders>
                    <w:top w:val="single" w:sz="4" w:space="0" w:color="FFFFFF"/>
                    <w:left w:val="single" w:sz="4" w:space="0" w:color="FFFFFF"/>
                    <w:bottom w:val="single" w:sz="4" w:space="0" w:color="FFFFFF"/>
                  </w:tcBorders>
                  <w:shd w:val="clear" w:color="auto" w:fill="DBE5F1"/>
                  <w:vAlign w:val="bottom"/>
                </w:tcPr>
                <w:p w14:paraId="4DE9BA9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0.442</w:t>
                  </w:r>
                </w:p>
              </w:tc>
            </w:tr>
            <w:tr w:rsidR="00600DEE" w:rsidRPr="007463B9" w14:paraId="41AA0450"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22E35B6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91-100</w:t>
                  </w:r>
                </w:p>
              </w:tc>
              <w:tc>
                <w:tcPr>
                  <w:tcW w:w="2017" w:type="dxa"/>
                  <w:tcBorders>
                    <w:top w:val="single" w:sz="4" w:space="0" w:color="FFFFFF"/>
                    <w:left w:val="single" w:sz="4" w:space="0" w:color="FFFFFF"/>
                    <w:bottom w:val="single" w:sz="4" w:space="0" w:color="FFFFFF"/>
                  </w:tcBorders>
                  <w:shd w:val="clear" w:color="auto" w:fill="DBE5F1"/>
                  <w:vAlign w:val="bottom"/>
                </w:tcPr>
                <w:p w14:paraId="0735750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18.524</w:t>
                  </w:r>
                </w:p>
              </w:tc>
              <w:tc>
                <w:tcPr>
                  <w:tcW w:w="1767" w:type="dxa"/>
                  <w:tcBorders>
                    <w:top w:val="single" w:sz="4" w:space="0" w:color="FFFFFF"/>
                    <w:left w:val="single" w:sz="4" w:space="0" w:color="FFFFFF"/>
                    <w:bottom w:val="single" w:sz="4" w:space="0" w:color="FFFFFF"/>
                  </w:tcBorders>
                  <w:shd w:val="clear" w:color="auto" w:fill="DBE5F1"/>
                  <w:vAlign w:val="bottom"/>
                </w:tcPr>
                <w:p w14:paraId="28D655E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0.458</w:t>
                  </w:r>
                </w:p>
              </w:tc>
            </w:tr>
            <w:tr w:rsidR="00600DEE" w:rsidRPr="007463B9" w14:paraId="4148B239"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32744DE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101-110</w:t>
                  </w:r>
                </w:p>
              </w:tc>
              <w:tc>
                <w:tcPr>
                  <w:tcW w:w="2017" w:type="dxa"/>
                  <w:tcBorders>
                    <w:top w:val="single" w:sz="4" w:space="0" w:color="FFFFFF"/>
                    <w:left w:val="single" w:sz="4" w:space="0" w:color="FFFFFF"/>
                    <w:bottom w:val="single" w:sz="4" w:space="0" w:color="FFFFFF"/>
                  </w:tcBorders>
                  <w:shd w:val="clear" w:color="auto" w:fill="DBE5F1"/>
                  <w:vAlign w:val="bottom"/>
                </w:tcPr>
                <w:p w14:paraId="32DD4C6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21.322</w:t>
                  </w:r>
                </w:p>
              </w:tc>
              <w:tc>
                <w:tcPr>
                  <w:tcW w:w="1767" w:type="dxa"/>
                  <w:tcBorders>
                    <w:top w:val="single" w:sz="4" w:space="0" w:color="FFFFFF"/>
                    <w:left w:val="single" w:sz="4" w:space="0" w:color="FFFFFF"/>
                    <w:bottom w:val="single" w:sz="4" w:space="0" w:color="FFFFFF"/>
                  </w:tcBorders>
                  <w:shd w:val="clear" w:color="auto" w:fill="DBE5F1"/>
                  <w:vAlign w:val="bottom"/>
                </w:tcPr>
                <w:p w14:paraId="6EC972D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0.528</w:t>
                  </w:r>
                </w:p>
              </w:tc>
            </w:tr>
            <w:tr w:rsidR="00600DEE" w:rsidRPr="007463B9" w14:paraId="0D8AA048"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1CEA0D0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111-120</w:t>
                  </w:r>
                </w:p>
              </w:tc>
              <w:tc>
                <w:tcPr>
                  <w:tcW w:w="2017" w:type="dxa"/>
                  <w:tcBorders>
                    <w:top w:val="single" w:sz="4" w:space="0" w:color="FFFFFF"/>
                    <w:left w:val="single" w:sz="4" w:space="0" w:color="FFFFFF"/>
                    <w:bottom w:val="single" w:sz="4" w:space="0" w:color="FFFFFF"/>
                  </w:tcBorders>
                  <w:shd w:val="clear" w:color="auto" w:fill="DBE5F1"/>
                  <w:vAlign w:val="bottom"/>
                </w:tcPr>
                <w:p w14:paraId="5A03651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24.121</w:t>
                  </w:r>
                </w:p>
              </w:tc>
              <w:tc>
                <w:tcPr>
                  <w:tcW w:w="1767" w:type="dxa"/>
                  <w:tcBorders>
                    <w:top w:val="single" w:sz="4" w:space="0" w:color="FFFFFF"/>
                    <w:left w:val="single" w:sz="4" w:space="0" w:color="FFFFFF"/>
                    <w:bottom w:val="single" w:sz="4" w:space="0" w:color="FFFFFF"/>
                  </w:tcBorders>
                  <w:shd w:val="clear" w:color="auto" w:fill="DBE5F1"/>
                  <w:vAlign w:val="bottom"/>
                </w:tcPr>
                <w:p w14:paraId="4F4B0EF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0.597</w:t>
                  </w:r>
                </w:p>
              </w:tc>
            </w:tr>
            <w:tr w:rsidR="00600DEE" w:rsidRPr="007463B9" w14:paraId="4867106E"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1A33AF9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121-130</w:t>
                  </w:r>
                </w:p>
              </w:tc>
              <w:tc>
                <w:tcPr>
                  <w:tcW w:w="2017" w:type="dxa"/>
                  <w:tcBorders>
                    <w:top w:val="single" w:sz="4" w:space="0" w:color="FFFFFF"/>
                    <w:left w:val="single" w:sz="4" w:space="0" w:color="FFFFFF"/>
                    <w:bottom w:val="single" w:sz="4" w:space="0" w:color="FFFFFF"/>
                  </w:tcBorders>
                  <w:shd w:val="clear" w:color="auto" w:fill="DBE5F1"/>
                  <w:vAlign w:val="bottom"/>
                </w:tcPr>
                <w:p w14:paraId="4BE5027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26.919</w:t>
                  </w:r>
                </w:p>
              </w:tc>
              <w:tc>
                <w:tcPr>
                  <w:tcW w:w="1767" w:type="dxa"/>
                  <w:tcBorders>
                    <w:top w:val="single" w:sz="4" w:space="0" w:color="FFFFFF"/>
                    <w:left w:val="single" w:sz="4" w:space="0" w:color="FFFFFF"/>
                    <w:bottom w:val="single" w:sz="4" w:space="0" w:color="FFFFFF"/>
                  </w:tcBorders>
                  <w:shd w:val="clear" w:color="auto" w:fill="DBE5F1"/>
                  <w:vAlign w:val="bottom"/>
                </w:tcPr>
                <w:p w14:paraId="2B9D30D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0.666</w:t>
                  </w:r>
                </w:p>
              </w:tc>
            </w:tr>
            <w:tr w:rsidR="00600DEE" w:rsidRPr="007463B9" w14:paraId="0F83373E" w14:textId="77777777">
              <w:trPr>
                <w:trHeight w:val="237"/>
              </w:trPr>
              <w:tc>
                <w:tcPr>
                  <w:tcW w:w="2025" w:type="dxa"/>
                  <w:tcBorders>
                    <w:top w:val="single" w:sz="4" w:space="0" w:color="FFFFFF"/>
                    <w:left w:val="single" w:sz="4" w:space="0" w:color="FFFFFF"/>
                    <w:bottom w:val="single" w:sz="4" w:space="0" w:color="FFFFFF"/>
                  </w:tcBorders>
                  <w:shd w:val="clear" w:color="auto" w:fill="DBE5F1"/>
                  <w:vAlign w:val="center"/>
                </w:tcPr>
                <w:p w14:paraId="34EE168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131-140</w:t>
                  </w:r>
                </w:p>
              </w:tc>
              <w:tc>
                <w:tcPr>
                  <w:tcW w:w="2017" w:type="dxa"/>
                  <w:tcBorders>
                    <w:top w:val="single" w:sz="4" w:space="0" w:color="FFFFFF"/>
                    <w:left w:val="single" w:sz="4" w:space="0" w:color="FFFFFF"/>
                    <w:bottom w:val="single" w:sz="4" w:space="0" w:color="FFFFFF"/>
                  </w:tcBorders>
                  <w:shd w:val="clear" w:color="auto" w:fill="DBE5F1"/>
                  <w:vAlign w:val="bottom"/>
                </w:tcPr>
                <w:p w14:paraId="2CE2958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29.718</w:t>
                  </w:r>
                </w:p>
              </w:tc>
              <w:tc>
                <w:tcPr>
                  <w:tcW w:w="1767" w:type="dxa"/>
                  <w:tcBorders>
                    <w:top w:val="single" w:sz="4" w:space="0" w:color="FFFFFF"/>
                    <w:left w:val="single" w:sz="4" w:space="0" w:color="FFFFFF"/>
                    <w:bottom w:val="single" w:sz="4" w:space="0" w:color="FFFFFF"/>
                  </w:tcBorders>
                  <w:shd w:val="clear" w:color="auto" w:fill="DBE5F1"/>
                  <w:vAlign w:val="bottom"/>
                </w:tcPr>
                <w:p w14:paraId="0B8F322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0.735</w:t>
                  </w:r>
                </w:p>
              </w:tc>
            </w:tr>
          </w:tbl>
          <w:p w14:paraId="37EB06C9" w14:textId="77777777" w:rsidR="00600DEE" w:rsidRPr="0045151D" w:rsidRDefault="00600DEE">
            <w:pPr>
              <w:pBdr>
                <w:top w:val="nil"/>
                <w:left w:val="nil"/>
                <w:bottom w:val="nil"/>
                <w:right w:val="nil"/>
                <w:between w:val="nil"/>
              </w:pBdr>
              <w:spacing w:before="120"/>
              <w:jc w:val="both"/>
              <w:rPr>
                <w:rFonts w:ascii="Calibri" w:eastAsia="Calibri" w:hAnsi="Calibri" w:cs="Calibri"/>
                <w:color w:val="000000"/>
                <w:sz w:val="20"/>
                <w:szCs w:val="20"/>
                <w:lang w:val="en-GB"/>
              </w:rPr>
            </w:pPr>
          </w:p>
          <w:p w14:paraId="4E702EE0"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u w:val="single"/>
                <w:lang w:val="en-GB"/>
              </w:rPr>
            </w:pPr>
            <w:r w:rsidRPr="0045151D">
              <w:rPr>
                <w:rFonts w:ascii="Calibri" w:eastAsia="Calibri" w:hAnsi="Calibri" w:cs="Calibri"/>
                <w:color w:val="000000"/>
                <w:sz w:val="20"/>
                <w:szCs w:val="20"/>
                <w:u w:val="single"/>
                <w:lang w:val="en-GB"/>
              </w:rPr>
              <w:t>Other costs:</w:t>
            </w:r>
          </w:p>
          <w:p w14:paraId="40C329C2" w14:textId="107317F6"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Additionally, the next cost component (also named ownership cost) is calculated considering vehicle depreciation and other costs (e.g. tyres wear, oil consumption, vehicle registration, etc.). Data used to estimate these costs is based on the relevant sources for current Polish vehicle fleet referred below.</w:t>
            </w:r>
          </w:p>
          <w:p w14:paraId="2A6B046C" w14:textId="77777777" w:rsidR="00173EC8" w:rsidRPr="0045151D" w:rsidRDefault="00173EC8">
            <w:pPr>
              <w:pBdr>
                <w:top w:val="nil"/>
                <w:left w:val="nil"/>
                <w:bottom w:val="nil"/>
                <w:right w:val="nil"/>
                <w:between w:val="nil"/>
              </w:pBdr>
              <w:spacing w:before="120"/>
              <w:jc w:val="both"/>
              <w:rPr>
                <w:rFonts w:ascii="Calibri" w:eastAsia="Calibri" w:hAnsi="Calibri" w:cs="Calibri"/>
                <w:color w:val="000000"/>
                <w:sz w:val="20"/>
                <w:szCs w:val="20"/>
                <w:lang w:val="en-GB"/>
              </w:rPr>
            </w:pPr>
          </w:p>
          <w:p w14:paraId="34F36398" w14:textId="78DB6E16"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Calculation results for combustion motor LV </w:t>
            </w:r>
            <w:r w:rsidR="00C65DA8" w:rsidRPr="00C65DA8">
              <w:rPr>
                <w:rFonts w:ascii="Calibri" w:eastAsia="Calibri" w:hAnsi="Calibri" w:cs="Calibri"/>
                <w:color w:val="000000"/>
                <w:sz w:val="20"/>
                <w:szCs w:val="20"/>
                <w:lang w:val="en-GB"/>
              </w:rPr>
              <w:t>in prices as at the beginning of 2020 are</w:t>
            </w:r>
            <w:r w:rsidRPr="0045151D">
              <w:rPr>
                <w:rFonts w:ascii="Calibri" w:eastAsia="Calibri" w:hAnsi="Calibri" w:cs="Calibri"/>
                <w:color w:val="000000"/>
                <w:sz w:val="20"/>
                <w:szCs w:val="20"/>
                <w:lang w:val="en-GB"/>
              </w:rPr>
              <w:t xml:space="preserve"> as follows:</w:t>
            </w:r>
          </w:p>
          <w:p w14:paraId="6D0D1096" w14:textId="77777777" w:rsidR="00A3175F" w:rsidRPr="0045151D" w:rsidRDefault="00A3175F">
            <w:pPr>
              <w:pBdr>
                <w:top w:val="nil"/>
                <w:left w:val="nil"/>
                <w:bottom w:val="nil"/>
                <w:right w:val="nil"/>
                <w:between w:val="nil"/>
              </w:pBdr>
              <w:spacing w:before="120" w:after="120"/>
              <w:jc w:val="both"/>
              <w:rPr>
                <w:rFonts w:ascii="Calibri" w:eastAsia="Calibri" w:hAnsi="Calibri" w:cs="Calibri"/>
                <w:color w:val="000000"/>
                <w:sz w:val="20"/>
                <w:szCs w:val="20"/>
                <w:lang w:val="en-GB"/>
              </w:rPr>
            </w:pPr>
          </w:p>
          <w:tbl>
            <w:tblPr>
              <w:tblStyle w:val="affffffffffffffe"/>
              <w:tblW w:w="6967" w:type="dxa"/>
              <w:tblLayout w:type="fixed"/>
              <w:tblLook w:val="0000" w:firstRow="0" w:lastRow="0" w:firstColumn="0" w:lastColumn="0" w:noHBand="0" w:noVBand="0"/>
            </w:tblPr>
            <w:tblGrid>
              <w:gridCol w:w="2990"/>
              <w:gridCol w:w="2089"/>
              <w:gridCol w:w="1888"/>
            </w:tblGrid>
            <w:tr w:rsidR="00600DEE" w:rsidRPr="007463B9" w14:paraId="26F34B0B" w14:textId="77777777" w:rsidTr="0093229F">
              <w:trPr>
                <w:trHeight w:hRule="exact" w:val="794"/>
              </w:trPr>
              <w:tc>
                <w:tcPr>
                  <w:tcW w:w="2990" w:type="dxa"/>
                  <w:tcBorders>
                    <w:top w:val="single" w:sz="4" w:space="0" w:color="FFFFFF"/>
                    <w:left w:val="single" w:sz="4" w:space="0" w:color="FFFFFF"/>
                    <w:bottom w:val="single" w:sz="4" w:space="0" w:color="FFFFFF"/>
                  </w:tcBorders>
                  <w:shd w:val="clear" w:color="auto" w:fill="A6A6A6"/>
                  <w:vAlign w:val="center"/>
                </w:tcPr>
                <w:p w14:paraId="784090C9" w14:textId="77777777" w:rsidR="00600DEE" w:rsidRDefault="00641FB5">
                  <w:pPr>
                    <w:rPr>
                      <w:rFonts w:ascii="Calibri" w:eastAsia="Calibri" w:hAnsi="Calibri" w:cs="Calibri"/>
                      <w:b/>
                      <w:color w:val="FFFFFF"/>
                      <w:sz w:val="18"/>
                      <w:szCs w:val="18"/>
                    </w:rPr>
                  </w:pPr>
                  <w:r>
                    <w:rPr>
                      <w:rFonts w:ascii="Calibri" w:eastAsia="Calibri" w:hAnsi="Calibri" w:cs="Calibri"/>
                      <w:b/>
                      <w:color w:val="FFFFFF"/>
                      <w:sz w:val="18"/>
                      <w:szCs w:val="18"/>
                    </w:rPr>
                    <w:t>Other total yearly costs</w:t>
                  </w:r>
                </w:p>
              </w:tc>
              <w:tc>
                <w:tcPr>
                  <w:tcW w:w="2089" w:type="dxa"/>
                  <w:tcBorders>
                    <w:top w:val="single" w:sz="4" w:space="0" w:color="FFFFFF"/>
                    <w:left w:val="single" w:sz="4" w:space="0" w:color="FFFFFF"/>
                    <w:bottom w:val="single" w:sz="4" w:space="0" w:color="FFFFFF"/>
                  </w:tcBorders>
                  <w:shd w:val="clear" w:color="auto" w:fill="A6A6A6"/>
                  <w:vAlign w:val="center"/>
                </w:tcPr>
                <w:p w14:paraId="5FFF75AA"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PLN, Including taxes, fees and customs duties</w:t>
                  </w:r>
                </w:p>
              </w:tc>
              <w:tc>
                <w:tcPr>
                  <w:tcW w:w="1888" w:type="dxa"/>
                  <w:tcBorders>
                    <w:top w:val="single" w:sz="4" w:space="0" w:color="FFFFFF"/>
                    <w:left w:val="single" w:sz="4" w:space="0" w:color="FFFFFF"/>
                    <w:bottom w:val="single" w:sz="4" w:space="0" w:color="FFFFFF"/>
                  </w:tcBorders>
                  <w:shd w:val="clear" w:color="auto" w:fill="A6A6A6"/>
                  <w:vAlign w:val="center"/>
                </w:tcPr>
                <w:p w14:paraId="6651E454"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PLN, Net of taxes,</w:t>
                  </w:r>
                </w:p>
                <w:p w14:paraId="6EB16818"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fees and customs duties</w:t>
                  </w:r>
                </w:p>
              </w:tc>
            </w:tr>
            <w:tr w:rsidR="00600DEE" w:rsidRPr="007463B9" w14:paraId="005C0BD4" w14:textId="77777777" w:rsidTr="00C65DA8">
              <w:trPr>
                <w:trHeight w:hRule="exact" w:val="454"/>
              </w:trPr>
              <w:tc>
                <w:tcPr>
                  <w:tcW w:w="2990" w:type="dxa"/>
                  <w:tcBorders>
                    <w:top w:val="single" w:sz="4" w:space="0" w:color="FFFFFF"/>
                    <w:left w:val="single" w:sz="4" w:space="0" w:color="FFFFFF"/>
                    <w:bottom w:val="single" w:sz="4" w:space="0" w:color="FFFFFF"/>
                  </w:tcBorders>
                  <w:shd w:val="clear" w:color="auto" w:fill="DBE5F1"/>
                  <w:vAlign w:val="center"/>
                </w:tcPr>
                <w:p w14:paraId="5E92B53E"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 Mandatory Driver's Liability insurance</w:t>
                  </w:r>
                </w:p>
              </w:tc>
              <w:tc>
                <w:tcPr>
                  <w:tcW w:w="2089" w:type="dxa"/>
                  <w:tcBorders>
                    <w:top w:val="single" w:sz="4" w:space="0" w:color="FFFFFF"/>
                    <w:left w:val="single" w:sz="4" w:space="0" w:color="FFFFFF"/>
                    <w:bottom w:val="single" w:sz="4" w:space="0" w:color="FFFFFF"/>
                  </w:tcBorders>
                  <w:shd w:val="clear" w:color="auto" w:fill="DBE5F1"/>
                  <w:vAlign w:val="center"/>
                </w:tcPr>
                <w:p w14:paraId="3D3FF9F8"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681</w:t>
                  </w:r>
                </w:p>
              </w:tc>
              <w:tc>
                <w:tcPr>
                  <w:tcW w:w="1888" w:type="dxa"/>
                  <w:tcBorders>
                    <w:top w:val="single" w:sz="4" w:space="0" w:color="FFFFFF"/>
                    <w:left w:val="single" w:sz="4" w:space="0" w:color="FFFFFF"/>
                    <w:bottom w:val="single" w:sz="4" w:space="0" w:color="FFFFFF"/>
                  </w:tcBorders>
                  <w:shd w:val="clear" w:color="auto" w:fill="DBE5F1"/>
                  <w:vAlign w:val="center"/>
                </w:tcPr>
                <w:p w14:paraId="5A656EE4"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681</w:t>
                  </w:r>
                </w:p>
              </w:tc>
            </w:tr>
            <w:tr w:rsidR="00600DEE" w:rsidRPr="007463B9" w14:paraId="102F4FFA" w14:textId="77777777" w:rsidTr="0093229F">
              <w:trPr>
                <w:trHeight w:hRule="exact" w:val="340"/>
              </w:trPr>
              <w:tc>
                <w:tcPr>
                  <w:tcW w:w="2990" w:type="dxa"/>
                  <w:tcBorders>
                    <w:top w:val="single" w:sz="4" w:space="0" w:color="FFFFFF"/>
                    <w:left w:val="single" w:sz="4" w:space="0" w:color="FFFFFF"/>
                    <w:bottom w:val="single" w:sz="4" w:space="0" w:color="FFFFFF"/>
                  </w:tcBorders>
                  <w:shd w:val="clear" w:color="auto" w:fill="DBE5F1"/>
                  <w:vAlign w:val="center"/>
                </w:tcPr>
                <w:p w14:paraId="663E862D"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 Tires changes</w:t>
                  </w:r>
                </w:p>
              </w:tc>
              <w:tc>
                <w:tcPr>
                  <w:tcW w:w="2089" w:type="dxa"/>
                  <w:tcBorders>
                    <w:top w:val="single" w:sz="4" w:space="0" w:color="FFFFFF"/>
                    <w:left w:val="single" w:sz="4" w:space="0" w:color="FFFFFF"/>
                    <w:bottom w:val="single" w:sz="4" w:space="0" w:color="FFFFFF"/>
                  </w:tcBorders>
                  <w:shd w:val="clear" w:color="auto" w:fill="DBE5F1"/>
                  <w:vAlign w:val="center"/>
                </w:tcPr>
                <w:p w14:paraId="07AE551A"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216</w:t>
                  </w:r>
                </w:p>
              </w:tc>
              <w:tc>
                <w:tcPr>
                  <w:tcW w:w="1888" w:type="dxa"/>
                  <w:tcBorders>
                    <w:top w:val="single" w:sz="4" w:space="0" w:color="FFFFFF"/>
                    <w:left w:val="single" w:sz="4" w:space="0" w:color="FFFFFF"/>
                    <w:bottom w:val="single" w:sz="4" w:space="0" w:color="FFFFFF"/>
                  </w:tcBorders>
                  <w:shd w:val="clear" w:color="auto" w:fill="DBE5F1"/>
                  <w:vAlign w:val="center"/>
                </w:tcPr>
                <w:p w14:paraId="460385C2"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176</w:t>
                  </w:r>
                </w:p>
              </w:tc>
            </w:tr>
            <w:tr w:rsidR="00600DEE" w:rsidRPr="007463B9" w14:paraId="35A286B5" w14:textId="77777777" w:rsidTr="0093229F">
              <w:trPr>
                <w:trHeight w:hRule="exact" w:val="454"/>
              </w:trPr>
              <w:tc>
                <w:tcPr>
                  <w:tcW w:w="2990" w:type="dxa"/>
                  <w:tcBorders>
                    <w:top w:val="single" w:sz="4" w:space="0" w:color="FFFFFF"/>
                    <w:left w:val="single" w:sz="4" w:space="0" w:color="FFFFFF"/>
                    <w:bottom w:val="single" w:sz="4" w:space="0" w:color="FFFFFF"/>
                  </w:tcBorders>
                  <w:shd w:val="clear" w:color="auto" w:fill="DBE5F1"/>
                  <w:vAlign w:val="center"/>
                </w:tcPr>
                <w:p w14:paraId="021BDDE6"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 Mandatory technical examination &amp; fee</w:t>
                  </w:r>
                </w:p>
              </w:tc>
              <w:tc>
                <w:tcPr>
                  <w:tcW w:w="2089" w:type="dxa"/>
                  <w:tcBorders>
                    <w:top w:val="single" w:sz="4" w:space="0" w:color="FFFFFF"/>
                    <w:left w:val="single" w:sz="4" w:space="0" w:color="FFFFFF"/>
                    <w:bottom w:val="single" w:sz="4" w:space="0" w:color="FFFFFF"/>
                  </w:tcBorders>
                  <w:shd w:val="clear" w:color="auto" w:fill="DBE5F1"/>
                  <w:vAlign w:val="center"/>
                </w:tcPr>
                <w:p w14:paraId="021C7D40"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100</w:t>
                  </w:r>
                </w:p>
              </w:tc>
              <w:tc>
                <w:tcPr>
                  <w:tcW w:w="1888" w:type="dxa"/>
                  <w:tcBorders>
                    <w:top w:val="single" w:sz="4" w:space="0" w:color="FFFFFF"/>
                    <w:left w:val="single" w:sz="4" w:space="0" w:color="FFFFFF"/>
                    <w:bottom w:val="single" w:sz="4" w:space="0" w:color="FFFFFF"/>
                  </w:tcBorders>
                  <w:shd w:val="clear" w:color="auto" w:fill="DBE5F1"/>
                  <w:vAlign w:val="center"/>
                </w:tcPr>
                <w:p w14:paraId="19FDB8AD"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100</w:t>
                  </w:r>
                </w:p>
              </w:tc>
            </w:tr>
            <w:tr w:rsidR="00600DEE" w:rsidRPr="007463B9" w14:paraId="591C9376" w14:textId="77777777" w:rsidTr="0093229F">
              <w:trPr>
                <w:trHeight w:hRule="exact" w:val="340"/>
              </w:trPr>
              <w:tc>
                <w:tcPr>
                  <w:tcW w:w="2990" w:type="dxa"/>
                  <w:tcBorders>
                    <w:top w:val="single" w:sz="4" w:space="0" w:color="FFFFFF"/>
                    <w:left w:val="single" w:sz="4" w:space="0" w:color="FFFFFF"/>
                    <w:bottom w:val="single" w:sz="4" w:space="0" w:color="FFFFFF"/>
                  </w:tcBorders>
                  <w:shd w:val="clear" w:color="auto" w:fill="DBE5F1"/>
                  <w:vAlign w:val="center"/>
                </w:tcPr>
                <w:p w14:paraId="37169302"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4 Oil, filters and fluids</w:t>
                  </w:r>
                </w:p>
              </w:tc>
              <w:tc>
                <w:tcPr>
                  <w:tcW w:w="2089" w:type="dxa"/>
                  <w:tcBorders>
                    <w:top w:val="single" w:sz="4" w:space="0" w:color="FFFFFF"/>
                    <w:left w:val="single" w:sz="4" w:space="0" w:color="FFFFFF"/>
                    <w:bottom w:val="single" w:sz="4" w:space="0" w:color="FFFFFF"/>
                  </w:tcBorders>
                  <w:shd w:val="clear" w:color="auto" w:fill="DBE5F1"/>
                  <w:vAlign w:val="center"/>
                </w:tcPr>
                <w:p w14:paraId="78127F67"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250</w:t>
                  </w:r>
                </w:p>
              </w:tc>
              <w:tc>
                <w:tcPr>
                  <w:tcW w:w="1888" w:type="dxa"/>
                  <w:tcBorders>
                    <w:top w:val="single" w:sz="4" w:space="0" w:color="FFFFFF"/>
                    <w:left w:val="single" w:sz="4" w:space="0" w:color="FFFFFF"/>
                    <w:bottom w:val="single" w:sz="4" w:space="0" w:color="FFFFFF"/>
                  </w:tcBorders>
                  <w:shd w:val="clear" w:color="auto" w:fill="DBE5F1"/>
                  <w:vAlign w:val="center"/>
                </w:tcPr>
                <w:p w14:paraId="78AE7DC9"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203</w:t>
                  </w:r>
                </w:p>
              </w:tc>
            </w:tr>
            <w:tr w:rsidR="00600DEE" w:rsidRPr="007463B9" w14:paraId="3C98F5C9" w14:textId="77777777" w:rsidTr="0093229F">
              <w:trPr>
                <w:trHeight w:hRule="exact" w:val="340"/>
              </w:trPr>
              <w:tc>
                <w:tcPr>
                  <w:tcW w:w="2990" w:type="dxa"/>
                  <w:tcBorders>
                    <w:top w:val="single" w:sz="4" w:space="0" w:color="FFFFFF"/>
                    <w:left w:val="single" w:sz="4" w:space="0" w:color="FFFFFF"/>
                    <w:bottom w:val="single" w:sz="4" w:space="0" w:color="FFFFFF"/>
                  </w:tcBorders>
                  <w:shd w:val="clear" w:color="auto" w:fill="DBE5F1"/>
                  <w:vAlign w:val="center"/>
                </w:tcPr>
                <w:p w14:paraId="3851F10E"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Other</w:t>
                  </w:r>
                </w:p>
              </w:tc>
              <w:tc>
                <w:tcPr>
                  <w:tcW w:w="2089" w:type="dxa"/>
                  <w:tcBorders>
                    <w:top w:val="single" w:sz="4" w:space="0" w:color="FFFFFF"/>
                    <w:left w:val="single" w:sz="4" w:space="0" w:color="FFFFFF"/>
                    <w:bottom w:val="single" w:sz="4" w:space="0" w:color="FFFFFF"/>
                  </w:tcBorders>
                  <w:shd w:val="clear" w:color="auto" w:fill="DBE5F1"/>
                  <w:vAlign w:val="center"/>
                </w:tcPr>
                <w:p w14:paraId="3A998219"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2,000</w:t>
                  </w:r>
                </w:p>
              </w:tc>
              <w:tc>
                <w:tcPr>
                  <w:tcW w:w="1888" w:type="dxa"/>
                  <w:tcBorders>
                    <w:top w:val="single" w:sz="4" w:space="0" w:color="FFFFFF"/>
                    <w:left w:val="single" w:sz="4" w:space="0" w:color="FFFFFF"/>
                    <w:bottom w:val="single" w:sz="4" w:space="0" w:color="FFFFFF"/>
                  </w:tcBorders>
                  <w:shd w:val="clear" w:color="auto" w:fill="DBE5F1"/>
                  <w:vAlign w:val="center"/>
                </w:tcPr>
                <w:p w14:paraId="2E20D505"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1,626</w:t>
                  </w:r>
                </w:p>
              </w:tc>
            </w:tr>
            <w:tr w:rsidR="00600DEE" w:rsidRPr="007463B9" w14:paraId="603BDADE" w14:textId="77777777" w:rsidTr="0093229F">
              <w:trPr>
                <w:trHeight w:hRule="exact" w:val="340"/>
              </w:trPr>
              <w:tc>
                <w:tcPr>
                  <w:tcW w:w="2990" w:type="dxa"/>
                  <w:tcBorders>
                    <w:top w:val="single" w:sz="4" w:space="0" w:color="FFFFFF"/>
                    <w:left w:val="single" w:sz="4" w:space="0" w:color="FFFFFF"/>
                    <w:bottom w:val="single" w:sz="4" w:space="0" w:color="FFFFFF"/>
                  </w:tcBorders>
                  <w:shd w:val="clear" w:color="auto" w:fill="DBE5F1"/>
                  <w:vAlign w:val="center"/>
                </w:tcPr>
                <w:p w14:paraId="5319F91C" w14:textId="77777777" w:rsidR="00600DEE" w:rsidRPr="0045151D" w:rsidRDefault="00600DEE">
                  <w:pPr>
                    <w:spacing w:before="20"/>
                    <w:rPr>
                      <w:rFonts w:ascii="Calibri" w:eastAsia="Calibri" w:hAnsi="Calibri" w:cs="Calibri"/>
                      <w:color w:val="4F81BD"/>
                      <w:sz w:val="18"/>
                      <w:szCs w:val="18"/>
                      <w:lang w:val="en-GB"/>
                    </w:rPr>
                  </w:pPr>
                </w:p>
              </w:tc>
              <w:tc>
                <w:tcPr>
                  <w:tcW w:w="2089" w:type="dxa"/>
                  <w:tcBorders>
                    <w:top w:val="single" w:sz="4" w:space="0" w:color="FFFFFF"/>
                    <w:left w:val="single" w:sz="4" w:space="0" w:color="FFFFFF"/>
                    <w:bottom w:val="single" w:sz="4" w:space="0" w:color="FFFFFF"/>
                  </w:tcBorders>
                  <w:shd w:val="clear" w:color="auto" w:fill="DBE5F1"/>
                  <w:vAlign w:val="center"/>
                </w:tcPr>
                <w:p w14:paraId="26767FE4" w14:textId="77777777" w:rsidR="00600DEE" w:rsidRPr="0045151D" w:rsidRDefault="00600DEE">
                  <w:pPr>
                    <w:jc w:val="center"/>
                    <w:rPr>
                      <w:rFonts w:ascii="Calibri" w:eastAsia="Calibri" w:hAnsi="Calibri" w:cs="Calibri"/>
                      <w:i/>
                      <w:color w:val="4F81BD"/>
                      <w:sz w:val="18"/>
                      <w:szCs w:val="18"/>
                      <w:lang w:val="en-GB"/>
                    </w:rPr>
                  </w:pPr>
                </w:p>
              </w:tc>
              <w:tc>
                <w:tcPr>
                  <w:tcW w:w="1888" w:type="dxa"/>
                  <w:tcBorders>
                    <w:top w:val="single" w:sz="4" w:space="0" w:color="FFFFFF"/>
                    <w:left w:val="single" w:sz="4" w:space="0" w:color="FFFFFF"/>
                    <w:bottom w:val="single" w:sz="4" w:space="0" w:color="FFFFFF"/>
                  </w:tcBorders>
                  <w:shd w:val="clear" w:color="auto" w:fill="DBE5F1"/>
                  <w:vAlign w:val="center"/>
                </w:tcPr>
                <w:p w14:paraId="2B1503B4" w14:textId="77777777" w:rsidR="00600DEE" w:rsidRPr="0045151D" w:rsidRDefault="00600DEE">
                  <w:pPr>
                    <w:jc w:val="center"/>
                    <w:rPr>
                      <w:rFonts w:ascii="Calibri" w:eastAsia="Calibri" w:hAnsi="Calibri" w:cs="Calibri"/>
                      <w:i/>
                      <w:color w:val="4F81BD"/>
                      <w:sz w:val="18"/>
                      <w:szCs w:val="18"/>
                      <w:lang w:val="en-GB"/>
                    </w:rPr>
                  </w:pPr>
                </w:p>
              </w:tc>
            </w:tr>
            <w:tr w:rsidR="00600DEE" w:rsidRPr="007463B9" w14:paraId="6A8FCF38" w14:textId="77777777" w:rsidTr="0093229F">
              <w:trPr>
                <w:trHeight w:hRule="exact" w:val="340"/>
              </w:trPr>
              <w:tc>
                <w:tcPr>
                  <w:tcW w:w="2990" w:type="dxa"/>
                  <w:tcBorders>
                    <w:top w:val="single" w:sz="4" w:space="0" w:color="FFFFFF"/>
                    <w:left w:val="single" w:sz="4" w:space="0" w:color="FFFFFF"/>
                    <w:bottom w:val="single" w:sz="4" w:space="0" w:color="FFFFFF"/>
                  </w:tcBorders>
                  <w:shd w:val="clear" w:color="auto" w:fill="DBE5F1"/>
                  <w:vAlign w:val="center"/>
                </w:tcPr>
                <w:p w14:paraId="7348659D"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Sub-total  (PLN/km) (*)</w:t>
                  </w:r>
                </w:p>
              </w:tc>
              <w:tc>
                <w:tcPr>
                  <w:tcW w:w="2089" w:type="dxa"/>
                  <w:tcBorders>
                    <w:top w:val="single" w:sz="4" w:space="0" w:color="FFFFFF"/>
                    <w:left w:val="single" w:sz="4" w:space="0" w:color="FFFFFF"/>
                    <w:bottom w:val="single" w:sz="4" w:space="0" w:color="FFFFFF"/>
                  </w:tcBorders>
                  <w:shd w:val="clear" w:color="auto" w:fill="DBE5F1"/>
                  <w:vAlign w:val="center"/>
                </w:tcPr>
                <w:p w14:paraId="3B6F389D"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0.374</w:t>
                  </w:r>
                </w:p>
              </w:tc>
              <w:tc>
                <w:tcPr>
                  <w:tcW w:w="1888" w:type="dxa"/>
                  <w:tcBorders>
                    <w:top w:val="single" w:sz="4" w:space="0" w:color="FFFFFF"/>
                    <w:left w:val="single" w:sz="4" w:space="0" w:color="FFFFFF"/>
                    <w:bottom w:val="single" w:sz="4" w:space="0" w:color="FFFFFF"/>
                  </w:tcBorders>
                  <w:shd w:val="clear" w:color="auto" w:fill="DBE5F1"/>
                  <w:vAlign w:val="center"/>
                </w:tcPr>
                <w:p w14:paraId="34DBAD30"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0.321</w:t>
                  </w:r>
                </w:p>
              </w:tc>
            </w:tr>
            <w:tr w:rsidR="00600DEE" w:rsidRPr="007463B9" w14:paraId="1279D6FA" w14:textId="77777777" w:rsidTr="0093229F">
              <w:trPr>
                <w:trHeight w:hRule="exact" w:val="340"/>
              </w:trPr>
              <w:tc>
                <w:tcPr>
                  <w:tcW w:w="2990" w:type="dxa"/>
                  <w:tcBorders>
                    <w:top w:val="single" w:sz="4" w:space="0" w:color="FFFFFF"/>
                    <w:left w:val="single" w:sz="4" w:space="0" w:color="FFFFFF"/>
                    <w:bottom w:val="single" w:sz="4" w:space="0" w:color="FFFFFF"/>
                  </w:tcBorders>
                  <w:shd w:val="clear" w:color="auto" w:fill="DBE5F1"/>
                  <w:vAlign w:val="center"/>
                </w:tcPr>
                <w:p w14:paraId="2A0D8DCF" w14:textId="77777777" w:rsidR="00600DEE" w:rsidRPr="0045151D" w:rsidRDefault="00600DEE">
                  <w:pPr>
                    <w:rPr>
                      <w:rFonts w:ascii="Calibri" w:eastAsia="Calibri" w:hAnsi="Calibri" w:cs="Calibri"/>
                      <w:color w:val="4F81BD"/>
                      <w:sz w:val="18"/>
                      <w:szCs w:val="18"/>
                      <w:lang w:val="en-GB"/>
                    </w:rPr>
                  </w:pPr>
                </w:p>
              </w:tc>
              <w:tc>
                <w:tcPr>
                  <w:tcW w:w="2089" w:type="dxa"/>
                  <w:tcBorders>
                    <w:top w:val="single" w:sz="4" w:space="0" w:color="FFFFFF"/>
                    <w:left w:val="single" w:sz="4" w:space="0" w:color="FFFFFF"/>
                    <w:bottom w:val="single" w:sz="4" w:space="0" w:color="FFFFFF"/>
                  </w:tcBorders>
                  <w:shd w:val="clear" w:color="auto" w:fill="DBE5F1"/>
                  <w:vAlign w:val="center"/>
                </w:tcPr>
                <w:p w14:paraId="6505F857" w14:textId="77777777" w:rsidR="00600DEE" w:rsidRPr="0045151D" w:rsidRDefault="00600DEE">
                  <w:pPr>
                    <w:jc w:val="center"/>
                    <w:rPr>
                      <w:rFonts w:ascii="Calibri" w:eastAsia="Calibri" w:hAnsi="Calibri" w:cs="Calibri"/>
                      <w:i/>
                      <w:color w:val="4F81BD"/>
                      <w:sz w:val="18"/>
                      <w:szCs w:val="18"/>
                      <w:lang w:val="en-GB"/>
                    </w:rPr>
                  </w:pPr>
                </w:p>
              </w:tc>
              <w:tc>
                <w:tcPr>
                  <w:tcW w:w="1888" w:type="dxa"/>
                  <w:tcBorders>
                    <w:top w:val="single" w:sz="4" w:space="0" w:color="FFFFFF"/>
                    <w:left w:val="single" w:sz="4" w:space="0" w:color="FFFFFF"/>
                    <w:bottom w:val="single" w:sz="4" w:space="0" w:color="FFFFFF"/>
                  </w:tcBorders>
                  <w:shd w:val="clear" w:color="auto" w:fill="DBE5F1"/>
                  <w:vAlign w:val="center"/>
                </w:tcPr>
                <w:p w14:paraId="31152003" w14:textId="77777777" w:rsidR="00600DEE" w:rsidRPr="0045151D" w:rsidRDefault="00600DEE">
                  <w:pPr>
                    <w:jc w:val="center"/>
                    <w:rPr>
                      <w:rFonts w:ascii="Calibri" w:eastAsia="Calibri" w:hAnsi="Calibri" w:cs="Calibri"/>
                      <w:i/>
                      <w:color w:val="4F81BD"/>
                      <w:sz w:val="18"/>
                      <w:szCs w:val="18"/>
                      <w:lang w:val="en-GB"/>
                    </w:rPr>
                  </w:pPr>
                </w:p>
              </w:tc>
            </w:tr>
            <w:tr w:rsidR="00600DEE" w:rsidRPr="007463B9" w14:paraId="12DBFFE4" w14:textId="77777777" w:rsidTr="0093229F">
              <w:trPr>
                <w:trHeight w:hRule="exact" w:val="340"/>
              </w:trPr>
              <w:tc>
                <w:tcPr>
                  <w:tcW w:w="2990" w:type="dxa"/>
                  <w:tcBorders>
                    <w:top w:val="single" w:sz="4" w:space="0" w:color="FFFFFF"/>
                    <w:left w:val="single" w:sz="4" w:space="0" w:color="FFFFFF"/>
                    <w:bottom w:val="single" w:sz="4" w:space="0" w:color="FFFFFF"/>
                  </w:tcBorders>
                  <w:shd w:val="clear" w:color="auto" w:fill="DBE5F1"/>
                  <w:vAlign w:val="center"/>
                </w:tcPr>
                <w:p w14:paraId="6738FE06"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Depreciation (PLN/km) (**)</w:t>
                  </w:r>
                </w:p>
              </w:tc>
              <w:tc>
                <w:tcPr>
                  <w:tcW w:w="2089" w:type="dxa"/>
                  <w:tcBorders>
                    <w:top w:val="single" w:sz="4" w:space="0" w:color="FFFFFF"/>
                    <w:left w:val="single" w:sz="4" w:space="0" w:color="FFFFFF"/>
                    <w:bottom w:val="single" w:sz="4" w:space="0" w:color="FFFFFF"/>
                  </w:tcBorders>
                  <w:shd w:val="clear" w:color="auto" w:fill="DBE5F1"/>
                  <w:vAlign w:val="center"/>
                </w:tcPr>
                <w:p w14:paraId="107617C8"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0.64</w:t>
                  </w:r>
                </w:p>
              </w:tc>
              <w:tc>
                <w:tcPr>
                  <w:tcW w:w="1888" w:type="dxa"/>
                  <w:tcBorders>
                    <w:top w:val="single" w:sz="4" w:space="0" w:color="FFFFFF"/>
                    <w:left w:val="single" w:sz="4" w:space="0" w:color="FFFFFF"/>
                    <w:bottom w:val="single" w:sz="4" w:space="0" w:color="FFFFFF"/>
                  </w:tcBorders>
                  <w:shd w:val="clear" w:color="auto" w:fill="DBE5F1"/>
                  <w:vAlign w:val="center"/>
                </w:tcPr>
                <w:p w14:paraId="1D7B00D7"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0.49</w:t>
                  </w:r>
                </w:p>
              </w:tc>
            </w:tr>
            <w:tr w:rsidR="00600DEE" w:rsidRPr="007463B9" w14:paraId="3B0C936A" w14:textId="77777777" w:rsidTr="0093229F">
              <w:trPr>
                <w:trHeight w:hRule="exact" w:val="284"/>
              </w:trPr>
              <w:tc>
                <w:tcPr>
                  <w:tcW w:w="2990" w:type="dxa"/>
                  <w:tcBorders>
                    <w:top w:val="single" w:sz="4" w:space="0" w:color="FFFFFF"/>
                    <w:left w:val="single" w:sz="4" w:space="0" w:color="FFFFFF"/>
                    <w:bottom w:val="single" w:sz="4" w:space="0" w:color="FFFFFF"/>
                  </w:tcBorders>
                  <w:shd w:val="clear" w:color="auto" w:fill="95B3D7"/>
                  <w:vAlign w:val="center"/>
                </w:tcPr>
                <w:p w14:paraId="1CF481C2" w14:textId="77777777" w:rsidR="00600DEE" w:rsidRPr="0045151D" w:rsidRDefault="00641FB5">
                  <w:pP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TOTAL OTHERS (PLN/km)</w:t>
                  </w:r>
                </w:p>
              </w:tc>
              <w:tc>
                <w:tcPr>
                  <w:tcW w:w="2089" w:type="dxa"/>
                  <w:tcBorders>
                    <w:top w:val="single" w:sz="4" w:space="0" w:color="FFFFFF"/>
                    <w:left w:val="single" w:sz="4" w:space="0" w:color="FFFFFF"/>
                    <w:bottom w:val="single" w:sz="4" w:space="0" w:color="FFFFFF"/>
                  </w:tcBorders>
                  <w:shd w:val="clear" w:color="auto" w:fill="95B3D7"/>
                  <w:vAlign w:val="center"/>
                </w:tcPr>
                <w:p w14:paraId="6B229E3B"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1.017</w:t>
                  </w:r>
                </w:p>
              </w:tc>
              <w:tc>
                <w:tcPr>
                  <w:tcW w:w="1888" w:type="dxa"/>
                  <w:tcBorders>
                    <w:top w:val="single" w:sz="4" w:space="0" w:color="FFFFFF"/>
                    <w:left w:val="single" w:sz="4" w:space="0" w:color="FFFFFF"/>
                    <w:bottom w:val="single" w:sz="4" w:space="0" w:color="FFFFFF"/>
                  </w:tcBorders>
                  <w:shd w:val="clear" w:color="auto" w:fill="95B3D7"/>
                  <w:vAlign w:val="center"/>
                </w:tcPr>
                <w:p w14:paraId="2A1D2476"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0.811</w:t>
                  </w:r>
                </w:p>
              </w:tc>
            </w:tr>
          </w:tbl>
          <w:p w14:paraId="20E34910" w14:textId="77777777" w:rsidR="00A3175F" w:rsidRPr="0045151D" w:rsidRDefault="00A3175F">
            <w:pPr>
              <w:ind w:right="170"/>
              <w:jc w:val="both"/>
              <w:rPr>
                <w:rFonts w:ascii="Calibri" w:eastAsia="Calibri" w:hAnsi="Calibri" w:cs="Calibri"/>
                <w:b/>
                <w:i/>
                <w:sz w:val="16"/>
                <w:szCs w:val="16"/>
                <w:lang w:val="en-GB"/>
              </w:rPr>
            </w:pPr>
          </w:p>
          <w:p w14:paraId="2D768825" w14:textId="77777777" w:rsidR="0093229F" w:rsidRPr="0045151D" w:rsidRDefault="00641FB5">
            <w:pPr>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 xml:space="preserve">Sources: </w:t>
            </w:r>
          </w:p>
          <w:p w14:paraId="2FAC7D02" w14:textId="77777777" w:rsidR="0093229F" w:rsidRPr="0045151D" w:rsidRDefault="0093229F" w:rsidP="00D5736B">
            <w:pPr>
              <w:pStyle w:val="Akapitzlist"/>
              <w:numPr>
                <w:ilvl w:val="0"/>
                <w:numId w:val="85"/>
              </w:numPr>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https://rankomat.pl/samochod/ile-kosztu</w:t>
            </w:r>
            <w:hyperlink r:id="rId160">
              <w:r w:rsidRPr="0045151D">
                <w:rPr>
                  <w:rFonts w:ascii="Calibri" w:eastAsia="Calibri" w:hAnsi="Calibri" w:cs="Calibri"/>
                  <w:b/>
                  <w:sz w:val="16"/>
                  <w:szCs w:val="16"/>
                  <w:lang w:val="en-GB"/>
                </w:rPr>
                <w:t>je-ubezpieczenie-samochodu-1</w:t>
              </w:r>
            </w:hyperlink>
            <w:r w:rsidRPr="0045151D">
              <w:rPr>
                <w:rFonts w:ascii="Calibri" w:eastAsia="Calibri" w:hAnsi="Calibri" w:cs="Calibri"/>
                <w:b/>
                <w:i/>
                <w:sz w:val="16"/>
                <w:szCs w:val="16"/>
                <w:lang w:val="en-GB"/>
              </w:rPr>
              <w:t>;</w:t>
            </w:r>
          </w:p>
          <w:p w14:paraId="07446F80" w14:textId="77777777" w:rsidR="0093229F" w:rsidRPr="0045151D" w:rsidRDefault="0093229F" w:rsidP="00D5736B">
            <w:pPr>
              <w:pStyle w:val="Akapitzlist"/>
              <w:numPr>
                <w:ilvl w:val="0"/>
                <w:numId w:val="85"/>
              </w:numPr>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 xml:space="preserve"> </w:t>
            </w:r>
            <w:hyperlink r:id="rId161">
              <w:r w:rsidRPr="0045151D">
                <w:rPr>
                  <w:rFonts w:ascii="Calibri" w:eastAsia="Calibri" w:hAnsi="Calibri" w:cs="Calibri"/>
                  <w:b/>
                  <w:i/>
                  <w:sz w:val="16"/>
                  <w:szCs w:val="16"/>
                  <w:lang w:val="en-GB"/>
                </w:rPr>
                <w:t>https://www.oponeo.pl/artykul/ile-kosztuje-wymiana-opon</w:t>
              </w:r>
            </w:hyperlink>
            <w:r w:rsidRPr="0045151D">
              <w:rPr>
                <w:rFonts w:ascii="Calibri" w:eastAsia="Calibri" w:hAnsi="Calibri" w:cs="Calibri"/>
                <w:b/>
                <w:i/>
                <w:sz w:val="16"/>
                <w:szCs w:val="16"/>
                <w:lang w:val="en-GB"/>
              </w:rPr>
              <w:t>;</w:t>
            </w:r>
          </w:p>
          <w:p w14:paraId="677636B2" w14:textId="77777777" w:rsidR="0093229F" w:rsidRPr="0045151D" w:rsidRDefault="0093229F" w:rsidP="00D5736B">
            <w:pPr>
              <w:pStyle w:val="Akapitzlist"/>
              <w:numPr>
                <w:ilvl w:val="0"/>
                <w:numId w:val="85"/>
              </w:numPr>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 xml:space="preserve"> </w:t>
            </w:r>
            <w:hyperlink r:id="rId162">
              <w:r w:rsidRPr="0045151D">
                <w:rPr>
                  <w:rFonts w:ascii="Calibri" w:eastAsia="Calibri" w:hAnsi="Calibri" w:cs="Calibri"/>
                  <w:b/>
                  <w:i/>
                  <w:sz w:val="16"/>
                  <w:szCs w:val="16"/>
                  <w:lang w:val="en-GB"/>
                </w:rPr>
                <w:t>https://kb.pl/porady/ile-kosztuje-przeglad-samochodu-sprawdz-aktualne-ceny-_mot/</w:t>
              </w:r>
            </w:hyperlink>
            <w:r w:rsidRPr="0045151D">
              <w:rPr>
                <w:rFonts w:ascii="Calibri" w:eastAsia="Calibri" w:hAnsi="Calibri" w:cs="Calibri"/>
                <w:b/>
                <w:i/>
                <w:sz w:val="16"/>
                <w:szCs w:val="16"/>
                <w:lang w:val="en-GB"/>
              </w:rPr>
              <w:t>;</w:t>
            </w:r>
          </w:p>
          <w:p w14:paraId="3D1D4985" w14:textId="77777777" w:rsidR="0093229F" w:rsidRPr="0045151D" w:rsidRDefault="0093229F" w:rsidP="00D5736B">
            <w:pPr>
              <w:pStyle w:val="Akapitzlist"/>
              <w:numPr>
                <w:ilvl w:val="0"/>
                <w:numId w:val="85"/>
              </w:numPr>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 xml:space="preserve"> </w:t>
            </w:r>
            <w:hyperlink r:id="rId163">
              <w:r w:rsidRPr="0045151D">
                <w:rPr>
                  <w:rFonts w:ascii="Calibri" w:eastAsia="Calibri" w:hAnsi="Calibri" w:cs="Calibri"/>
                  <w:b/>
                  <w:i/>
                  <w:sz w:val="16"/>
                  <w:szCs w:val="16"/>
                  <w:lang w:val="en-GB"/>
                </w:rPr>
                <w:t>https://www.motofakty.pl/artykul/ile-kosztuje-wymiana-oleju-w-samochodzie.html</w:t>
              </w:r>
            </w:hyperlink>
            <w:r w:rsidRPr="0045151D">
              <w:rPr>
                <w:rFonts w:ascii="Calibri" w:eastAsia="Calibri" w:hAnsi="Calibri" w:cs="Calibri"/>
                <w:b/>
                <w:i/>
                <w:sz w:val="16"/>
                <w:szCs w:val="16"/>
                <w:lang w:val="en-GB"/>
              </w:rPr>
              <w:t xml:space="preserve">; </w:t>
            </w:r>
          </w:p>
          <w:p w14:paraId="279A3AA6" w14:textId="77777777" w:rsidR="0093229F" w:rsidRPr="0093229F" w:rsidRDefault="0093229F" w:rsidP="00D5736B">
            <w:pPr>
              <w:pStyle w:val="Akapitzlist"/>
              <w:numPr>
                <w:ilvl w:val="0"/>
                <w:numId w:val="85"/>
              </w:numPr>
              <w:ind w:right="170"/>
              <w:jc w:val="both"/>
              <w:rPr>
                <w:rFonts w:ascii="Calibri" w:eastAsia="Calibri" w:hAnsi="Calibri" w:cs="Calibri"/>
                <w:b/>
                <w:i/>
                <w:sz w:val="16"/>
                <w:szCs w:val="16"/>
              </w:rPr>
            </w:pPr>
            <w:r w:rsidRPr="0093229F">
              <w:rPr>
                <w:rFonts w:ascii="Calibri" w:eastAsia="Calibri" w:hAnsi="Calibri" w:cs="Calibri"/>
                <w:b/>
                <w:i/>
                <w:sz w:val="16"/>
                <w:szCs w:val="16"/>
              </w:rPr>
              <w:t>https://www.bankier.pl/smart/koszty-eksploatacji-samochodu-ile-kosztuje-utrzymanie-samochodu, wiosna 2021</w:t>
            </w:r>
          </w:p>
          <w:p w14:paraId="0C5CED8C" w14:textId="77777777" w:rsidR="00600DEE" w:rsidRDefault="00641FB5">
            <w:pPr>
              <w:ind w:right="170"/>
              <w:jc w:val="both"/>
              <w:rPr>
                <w:rFonts w:ascii="Calibri" w:eastAsia="Calibri" w:hAnsi="Calibri" w:cs="Calibri"/>
                <w:b/>
                <w:i/>
                <w:sz w:val="16"/>
                <w:szCs w:val="16"/>
              </w:rPr>
            </w:pPr>
            <w:r>
              <w:rPr>
                <w:rFonts w:ascii="Calibri" w:eastAsia="Calibri" w:hAnsi="Calibri" w:cs="Calibri"/>
                <w:b/>
                <w:i/>
                <w:sz w:val="16"/>
                <w:szCs w:val="16"/>
              </w:rPr>
              <w:t>(*) Assuming average annual mileage for LV based on „Prognozy eksperckie zmian aktywności sektora transportu drogowego (w kontekście ustawy o systemie zarządzania emisjami gazów cieplarnianych i innych substancji)", ITS 2017).</w:t>
            </w:r>
            <w:r>
              <w:rPr>
                <w:rFonts w:ascii="Calibri" w:eastAsia="Calibri" w:hAnsi="Calibri" w:cs="Calibri"/>
                <w:b/>
                <w:i/>
                <w:sz w:val="16"/>
                <w:szCs w:val="16"/>
              </w:rPr>
              <w:tab/>
              <w:t xml:space="preserve"> </w:t>
            </w:r>
          </w:p>
          <w:p w14:paraId="6411DA11" w14:textId="1FBB494E" w:rsidR="00600DEE" w:rsidRPr="0045151D" w:rsidRDefault="00641FB5">
            <w:pPr>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 xml:space="preserve">(**) Depreciation: own calculations based on average price of passenger car net of taxes, fees and customs duties (SAMAR: </w:t>
            </w:r>
            <w:hyperlink r:id="rId164">
              <w:r w:rsidRPr="0045151D">
                <w:rPr>
                  <w:rFonts w:ascii="Calibri" w:eastAsia="Calibri" w:hAnsi="Calibri" w:cs="Calibri"/>
                  <w:b/>
                  <w:i/>
                  <w:color w:val="0000FF"/>
                  <w:sz w:val="16"/>
                  <w:szCs w:val="16"/>
                  <w:u w:val="single"/>
                  <w:lang w:val="en-GB"/>
                </w:rPr>
                <w:t>https://www.motofakty.pl/artykul/ceny-aut-w-2019-r-nowe-samochody-w-polsce-byly-drozsze-niz-w-2018.html</w:t>
              </w:r>
            </w:hyperlink>
            <w:r w:rsidRPr="0045151D">
              <w:rPr>
                <w:rFonts w:ascii="Calibri" w:eastAsia="Calibri" w:hAnsi="Calibri" w:cs="Calibri"/>
                <w:b/>
                <w:i/>
                <w:sz w:val="16"/>
                <w:szCs w:val="16"/>
                <w:lang w:val="en-GB"/>
              </w:rPr>
              <w:t>) and considering average LV life (</w:t>
            </w:r>
            <w:hyperlink r:id="rId165" w:anchor=":~:text=Key%20observations,the%20EU%20is%2011.6%20years">
              <w:r w:rsidRPr="0045151D">
                <w:rPr>
                  <w:rFonts w:ascii="Calibri" w:eastAsia="Calibri" w:hAnsi="Calibri" w:cs="Calibri"/>
                  <w:b/>
                  <w:i/>
                  <w:color w:val="0000FF"/>
                  <w:sz w:val="16"/>
                  <w:szCs w:val="16"/>
                  <w:u w:val="single"/>
                  <w:lang w:val="en-GB"/>
                </w:rPr>
                <w:t>https://www.acea.be/statistics/article/average-vehicleage#:~:text=Key%20observations,the%20EU%20is%2011.6%20years</w:t>
              </w:r>
            </w:hyperlink>
            <w:r w:rsidRPr="0045151D">
              <w:rPr>
                <w:rFonts w:ascii="Calibri" w:eastAsia="Calibri" w:hAnsi="Calibri" w:cs="Calibri"/>
                <w:b/>
                <w:i/>
                <w:sz w:val="16"/>
                <w:szCs w:val="16"/>
                <w:lang w:val="en-GB"/>
              </w:rPr>
              <w:t>) and average annual mileage referred above.</w:t>
            </w:r>
            <w:r w:rsidRPr="0045151D">
              <w:rPr>
                <w:rFonts w:ascii="Calibri" w:eastAsia="Calibri" w:hAnsi="Calibri" w:cs="Calibri"/>
                <w:b/>
                <w:i/>
                <w:sz w:val="16"/>
                <w:szCs w:val="16"/>
                <w:lang w:val="en-GB"/>
              </w:rPr>
              <w:tab/>
            </w:r>
          </w:p>
          <w:p w14:paraId="6EF7FA0B" w14:textId="3A40677D" w:rsidR="00A3175F" w:rsidRPr="0045151D" w:rsidRDefault="00A3175F">
            <w:pPr>
              <w:ind w:right="170"/>
              <w:jc w:val="both"/>
              <w:rPr>
                <w:rFonts w:ascii="Calibri" w:eastAsia="Calibri" w:hAnsi="Calibri" w:cs="Calibri"/>
                <w:b/>
                <w:i/>
                <w:sz w:val="16"/>
                <w:szCs w:val="16"/>
                <w:lang w:val="en-GB"/>
              </w:rPr>
            </w:pPr>
          </w:p>
          <w:p w14:paraId="1BE79F96" w14:textId="2D098E38" w:rsidR="00600DEE" w:rsidRPr="0045151D" w:rsidRDefault="00641FB5" w:rsidP="00701BA3">
            <w:pPr>
              <w:pBdr>
                <w:top w:val="nil"/>
                <w:left w:val="nil"/>
                <w:bottom w:val="nil"/>
                <w:right w:val="nil"/>
                <w:between w:val="nil"/>
              </w:pBdr>
              <w:spacing w:before="120" w:after="18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Calculation results for combustion motor HGV </w:t>
            </w:r>
            <w:r w:rsidR="00C65DA8" w:rsidRPr="00C65DA8">
              <w:rPr>
                <w:rFonts w:ascii="Calibri" w:eastAsia="Calibri" w:hAnsi="Calibri" w:cs="Calibri"/>
                <w:color w:val="000000"/>
                <w:sz w:val="20"/>
                <w:szCs w:val="20"/>
                <w:lang w:val="en-GB"/>
              </w:rPr>
              <w:t xml:space="preserve">in prices as at the beginning of 2020 </w:t>
            </w:r>
            <w:r w:rsidRPr="0045151D">
              <w:rPr>
                <w:rFonts w:ascii="Calibri" w:eastAsia="Calibri" w:hAnsi="Calibri" w:cs="Calibri"/>
                <w:color w:val="000000"/>
                <w:sz w:val="20"/>
                <w:szCs w:val="20"/>
                <w:lang w:val="en-GB"/>
              </w:rPr>
              <w:t>are as follows:</w:t>
            </w:r>
          </w:p>
          <w:tbl>
            <w:tblPr>
              <w:tblStyle w:val="afffffffffffffff"/>
              <w:tblW w:w="6050" w:type="dxa"/>
              <w:tblLayout w:type="fixed"/>
              <w:tblLook w:val="0000" w:firstRow="0" w:lastRow="0" w:firstColumn="0" w:lastColumn="0" w:noHBand="0" w:noVBand="0"/>
            </w:tblPr>
            <w:tblGrid>
              <w:gridCol w:w="2043"/>
              <w:gridCol w:w="1427"/>
              <w:gridCol w:w="1290"/>
              <w:gridCol w:w="1290"/>
            </w:tblGrid>
            <w:tr w:rsidR="00600DEE" w:rsidRPr="007463B9" w14:paraId="5F081AF7" w14:textId="77777777" w:rsidTr="00701BA3">
              <w:trPr>
                <w:trHeight w:hRule="exact" w:val="1021"/>
              </w:trPr>
              <w:tc>
                <w:tcPr>
                  <w:tcW w:w="2043" w:type="dxa"/>
                  <w:tcBorders>
                    <w:top w:val="single" w:sz="4" w:space="0" w:color="FFFFFF"/>
                    <w:left w:val="single" w:sz="4" w:space="0" w:color="FFFFFF"/>
                    <w:bottom w:val="single" w:sz="4" w:space="0" w:color="FFFFFF"/>
                  </w:tcBorders>
                  <w:shd w:val="clear" w:color="auto" w:fill="A6A6A6"/>
                  <w:vAlign w:val="center"/>
                </w:tcPr>
                <w:p w14:paraId="1FE1F611" w14:textId="77777777" w:rsidR="00600DEE" w:rsidRDefault="00641FB5">
                  <w:pPr>
                    <w:rPr>
                      <w:rFonts w:ascii="Calibri" w:eastAsia="Calibri" w:hAnsi="Calibri" w:cs="Calibri"/>
                      <w:b/>
                      <w:color w:val="FFFFFF"/>
                      <w:sz w:val="18"/>
                      <w:szCs w:val="18"/>
                    </w:rPr>
                  </w:pPr>
                  <w:r>
                    <w:rPr>
                      <w:rFonts w:ascii="Calibri" w:eastAsia="Calibri" w:hAnsi="Calibri" w:cs="Calibri"/>
                      <w:b/>
                      <w:color w:val="FFFFFF"/>
                      <w:sz w:val="18"/>
                      <w:szCs w:val="18"/>
                    </w:rPr>
                    <w:t>Other total yearly costs</w:t>
                  </w:r>
                </w:p>
              </w:tc>
              <w:tc>
                <w:tcPr>
                  <w:tcW w:w="1427" w:type="dxa"/>
                  <w:tcBorders>
                    <w:top w:val="single" w:sz="4" w:space="0" w:color="FFFFFF"/>
                    <w:left w:val="single" w:sz="4" w:space="0" w:color="FFFFFF"/>
                    <w:bottom w:val="single" w:sz="4" w:space="0" w:color="FFFFFF"/>
                  </w:tcBorders>
                  <w:shd w:val="clear" w:color="auto" w:fill="A6A6A6"/>
                  <w:vAlign w:val="center"/>
                </w:tcPr>
                <w:p w14:paraId="3AA9A2F9"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PLN, Including taxes, fees and customs duties</w:t>
                  </w:r>
                </w:p>
              </w:tc>
              <w:tc>
                <w:tcPr>
                  <w:tcW w:w="1290" w:type="dxa"/>
                  <w:tcBorders>
                    <w:top w:val="single" w:sz="4" w:space="0" w:color="FFFFFF"/>
                    <w:left w:val="single" w:sz="4" w:space="0" w:color="FFFFFF"/>
                    <w:bottom w:val="single" w:sz="4" w:space="0" w:color="FFFFFF"/>
                  </w:tcBorders>
                  <w:shd w:val="clear" w:color="auto" w:fill="A6A6A6"/>
                  <w:vAlign w:val="center"/>
                </w:tcPr>
                <w:p w14:paraId="18DDF829"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PLN, Net of taxes,</w:t>
                  </w:r>
                </w:p>
                <w:p w14:paraId="1685FE3C"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fees and customs duties</w:t>
                  </w:r>
                </w:p>
              </w:tc>
              <w:tc>
                <w:tcPr>
                  <w:tcW w:w="1290" w:type="dxa"/>
                  <w:tcBorders>
                    <w:top w:val="single" w:sz="4" w:space="0" w:color="FFFFFF"/>
                    <w:left w:val="single" w:sz="4" w:space="0" w:color="FFFFFF"/>
                    <w:bottom w:val="single" w:sz="4" w:space="0" w:color="FFFFFF"/>
                  </w:tcBorders>
                  <w:shd w:val="clear" w:color="auto" w:fill="A6A6A6"/>
                </w:tcPr>
                <w:p w14:paraId="2D770642"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PLN/vehkm, all taxes excluded</w:t>
                  </w:r>
                </w:p>
                <w:p w14:paraId="4A37F03C"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w:t>
                  </w:r>
                </w:p>
              </w:tc>
            </w:tr>
            <w:tr w:rsidR="00600DEE" w:rsidRPr="007463B9" w14:paraId="484028C5" w14:textId="77777777" w:rsidTr="00701BA3">
              <w:trPr>
                <w:trHeight w:hRule="exact" w:val="680"/>
              </w:trPr>
              <w:tc>
                <w:tcPr>
                  <w:tcW w:w="2043" w:type="dxa"/>
                  <w:tcBorders>
                    <w:top w:val="single" w:sz="4" w:space="0" w:color="FFFFFF"/>
                    <w:left w:val="single" w:sz="4" w:space="0" w:color="FFFFFF"/>
                    <w:bottom w:val="single" w:sz="4" w:space="0" w:color="FFFFFF"/>
                  </w:tcBorders>
                  <w:shd w:val="clear" w:color="auto" w:fill="DBE5F1"/>
                  <w:vAlign w:val="bottom"/>
                </w:tcPr>
                <w:p w14:paraId="54FF6885"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Depreciation or loss of market value of the vehicle stock </w:t>
                  </w:r>
                </w:p>
              </w:tc>
              <w:tc>
                <w:tcPr>
                  <w:tcW w:w="1427" w:type="dxa"/>
                  <w:tcBorders>
                    <w:top w:val="single" w:sz="4" w:space="0" w:color="FFFFFF"/>
                    <w:left w:val="single" w:sz="4" w:space="0" w:color="FFFFFF"/>
                    <w:bottom w:val="single" w:sz="4" w:space="0" w:color="FFFFFF"/>
                  </w:tcBorders>
                  <w:shd w:val="clear" w:color="auto" w:fill="DBE5F1"/>
                  <w:vAlign w:val="bottom"/>
                </w:tcPr>
                <w:p w14:paraId="65599AA5"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400,000</w:t>
                  </w:r>
                </w:p>
              </w:tc>
              <w:tc>
                <w:tcPr>
                  <w:tcW w:w="1290" w:type="dxa"/>
                  <w:tcBorders>
                    <w:top w:val="single" w:sz="4" w:space="0" w:color="FFFFFF"/>
                    <w:left w:val="single" w:sz="4" w:space="0" w:color="FFFFFF"/>
                    <w:bottom w:val="single" w:sz="4" w:space="0" w:color="FFFFFF"/>
                  </w:tcBorders>
                  <w:shd w:val="clear" w:color="auto" w:fill="DBE5F1"/>
                  <w:vAlign w:val="bottom"/>
                </w:tcPr>
                <w:p w14:paraId="398E8E19"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320,397</w:t>
                  </w:r>
                </w:p>
              </w:tc>
              <w:tc>
                <w:tcPr>
                  <w:tcW w:w="1290" w:type="dxa"/>
                  <w:tcBorders>
                    <w:top w:val="single" w:sz="4" w:space="0" w:color="FFFFFF"/>
                    <w:left w:val="single" w:sz="4" w:space="0" w:color="FFFFFF"/>
                    <w:bottom w:val="single" w:sz="4" w:space="0" w:color="FFFFFF"/>
                  </w:tcBorders>
                  <w:shd w:val="clear" w:color="auto" w:fill="DBE5F1"/>
                  <w:vAlign w:val="bottom"/>
                </w:tcPr>
                <w:p w14:paraId="2CEE2CF9"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0.986</w:t>
                  </w:r>
                </w:p>
              </w:tc>
            </w:tr>
            <w:tr w:rsidR="00600DEE" w:rsidRPr="007463B9" w14:paraId="05B5D948" w14:textId="77777777" w:rsidTr="00701BA3">
              <w:trPr>
                <w:trHeight w:hRule="exact" w:val="454"/>
              </w:trPr>
              <w:tc>
                <w:tcPr>
                  <w:tcW w:w="2043" w:type="dxa"/>
                  <w:tcBorders>
                    <w:top w:val="single" w:sz="4" w:space="0" w:color="FFFFFF"/>
                    <w:left w:val="single" w:sz="4" w:space="0" w:color="FFFFFF"/>
                    <w:bottom w:val="single" w:sz="4" w:space="0" w:color="FFFFFF"/>
                  </w:tcBorders>
                  <w:shd w:val="clear" w:color="auto" w:fill="DBE5F1"/>
                  <w:vAlign w:val="bottom"/>
                </w:tcPr>
                <w:p w14:paraId="6068DF03"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Operating materials</w:t>
                  </w:r>
                </w:p>
              </w:tc>
              <w:tc>
                <w:tcPr>
                  <w:tcW w:w="1427" w:type="dxa"/>
                  <w:tcBorders>
                    <w:top w:val="single" w:sz="4" w:space="0" w:color="FFFFFF"/>
                    <w:left w:val="single" w:sz="4" w:space="0" w:color="FFFFFF"/>
                    <w:bottom w:val="single" w:sz="4" w:space="0" w:color="FFFFFF"/>
                  </w:tcBorders>
                  <w:shd w:val="clear" w:color="auto" w:fill="DBE5F1"/>
                  <w:vAlign w:val="bottom"/>
                </w:tcPr>
                <w:p w14:paraId="324060F0"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3,000</w:t>
                  </w:r>
                </w:p>
              </w:tc>
              <w:tc>
                <w:tcPr>
                  <w:tcW w:w="1290" w:type="dxa"/>
                  <w:tcBorders>
                    <w:top w:val="single" w:sz="4" w:space="0" w:color="FFFFFF"/>
                    <w:left w:val="single" w:sz="4" w:space="0" w:color="FFFFFF"/>
                    <w:bottom w:val="single" w:sz="4" w:space="0" w:color="FFFFFF"/>
                  </w:tcBorders>
                  <w:shd w:val="clear" w:color="auto" w:fill="DBE5F1"/>
                  <w:vAlign w:val="bottom"/>
                </w:tcPr>
                <w:p w14:paraId="6AD3B1C6"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2,439</w:t>
                  </w:r>
                </w:p>
              </w:tc>
              <w:tc>
                <w:tcPr>
                  <w:tcW w:w="1290" w:type="dxa"/>
                  <w:tcBorders>
                    <w:top w:val="single" w:sz="4" w:space="0" w:color="FFFFFF"/>
                    <w:left w:val="single" w:sz="4" w:space="0" w:color="FFFFFF"/>
                    <w:bottom w:val="single" w:sz="4" w:space="0" w:color="FFFFFF"/>
                  </w:tcBorders>
                  <w:shd w:val="clear" w:color="auto" w:fill="DBE5F1"/>
                  <w:vAlign w:val="bottom"/>
                </w:tcPr>
                <w:p w14:paraId="5657E9EC"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0.075</w:t>
                  </w:r>
                </w:p>
              </w:tc>
            </w:tr>
            <w:tr w:rsidR="00600DEE" w:rsidRPr="007463B9" w14:paraId="020B9D37" w14:textId="77777777" w:rsidTr="00701BA3">
              <w:trPr>
                <w:trHeight w:hRule="exact" w:val="454"/>
              </w:trPr>
              <w:tc>
                <w:tcPr>
                  <w:tcW w:w="2043" w:type="dxa"/>
                  <w:tcBorders>
                    <w:top w:val="single" w:sz="4" w:space="0" w:color="FFFFFF"/>
                    <w:left w:val="single" w:sz="4" w:space="0" w:color="FFFFFF"/>
                    <w:bottom w:val="single" w:sz="4" w:space="0" w:color="FFFFFF"/>
                  </w:tcBorders>
                  <w:shd w:val="clear" w:color="auto" w:fill="DBE5F1"/>
                  <w:vAlign w:val="bottom"/>
                </w:tcPr>
                <w:p w14:paraId="2C5D4AC4" w14:textId="77777777" w:rsidR="00600DEE" w:rsidRPr="0045151D" w:rsidRDefault="00641FB5">
                  <w:pP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Tires </w:t>
                  </w:r>
                </w:p>
              </w:tc>
              <w:tc>
                <w:tcPr>
                  <w:tcW w:w="1427" w:type="dxa"/>
                  <w:tcBorders>
                    <w:top w:val="single" w:sz="4" w:space="0" w:color="FFFFFF"/>
                    <w:left w:val="single" w:sz="4" w:space="0" w:color="FFFFFF"/>
                    <w:bottom w:val="single" w:sz="4" w:space="0" w:color="FFFFFF"/>
                  </w:tcBorders>
                  <w:shd w:val="clear" w:color="auto" w:fill="DBE5F1"/>
                  <w:vAlign w:val="bottom"/>
                </w:tcPr>
                <w:p w14:paraId="120A101B"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 </w:t>
                  </w:r>
                </w:p>
              </w:tc>
              <w:tc>
                <w:tcPr>
                  <w:tcW w:w="1290" w:type="dxa"/>
                  <w:tcBorders>
                    <w:top w:val="single" w:sz="4" w:space="0" w:color="FFFFFF"/>
                    <w:left w:val="single" w:sz="4" w:space="0" w:color="FFFFFF"/>
                    <w:bottom w:val="single" w:sz="4" w:space="0" w:color="FFFFFF"/>
                  </w:tcBorders>
                  <w:shd w:val="clear" w:color="auto" w:fill="DBE5F1"/>
                  <w:vAlign w:val="bottom"/>
                </w:tcPr>
                <w:p w14:paraId="2718998D"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 </w:t>
                  </w:r>
                </w:p>
              </w:tc>
              <w:tc>
                <w:tcPr>
                  <w:tcW w:w="1290" w:type="dxa"/>
                  <w:tcBorders>
                    <w:top w:val="single" w:sz="4" w:space="0" w:color="FFFFFF"/>
                    <w:left w:val="single" w:sz="4" w:space="0" w:color="FFFFFF"/>
                    <w:bottom w:val="single" w:sz="4" w:space="0" w:color="FFFFFF"/>
                  </w:tcBorders>
                  <w:shd w:val="clear" w:color="auto" w:fill="DBE5F1"/>
                  <w:vAlign w:val="bottom"/>
                </w:tcPr>
                <w:p w14:paraId="75C78379"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0.147</w:t>
                  </w:r>
                </w:p>
              </w:tc>
            </w:tr>
            <w:tr w:rsidR="00600DEE" w:rsidRPr="007463B9" w14:paraId="73CB27D9" w14:textId="77777777" w:rsidTr="00701BA3">
              <w:trPr>
                <w:trHeight w:hRule="exact" w:val="680"/>
              </w:trPr>
              <w:tc>
                <w:tcPr>
                  <w:tcW w:w="2043" w:type="dxa"/>
                  <w:tcBorders>
                    <w:top w:val="single" w:sz="4" w:space="0" w:color="FFFFFF"/>
                    <w:left w:val="single" w:sz="4" w:space="0" w:color="FFFFFF"/>
                    <w:bottom w:val="single" w:sz="4" w:space="0" w:color="FFFFFF"/>
                  </w:tcBorders>
                  <w:shd w:val="clear" w:color="auto" w:fill="DBE5F1"/>
                  <w:vAlign w:val="bottom"/>
                </w:tcPr>
                <w:p w14:paraId="129AFBF5" w14:textId="77777777" w:rsidR="00600DEE" w:rsidRPr="0045151D" w:rsidRDefault="00641FB5">
                  <w:pPr>
                    <w:spacing w:before="20"/>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Vehicle insurance (OCP, OC, AC) </w:t>
                  </w:r>
                </w:p>
                <w:p w14:paraId="5EC0A997" w14:textId="77777777" w:rsidR="00600DEE" w:rsidRPr="0045151D" w:rsidRDefault="00600DEE">
                  <w:pPr>
                    <w:rPr>
                      <w:rFonts w:ascii="Calibri" w:eastAsia="Calibri" w:hAnsi="Calibri" w:cs="Calibri"/>
                      <w:color w:val="4F81BD"/>
                      <w:sz w:val="18"/>
                      <w:szCs w:val="18"/>
                      <w:lang w:val="en-GB"/>
                    </w:rPr>
                  </w:pPr>
                </w:p>
              </w:tc>
              <w:tc>
                <w:tcPr>
                  <w:tcW w:w="1427" w:type="dxa"/>
                  <w:tcBorders>
                    <w:top w:val="single" w:sz="4" w:space="0" w:color="FFFFFF"/>
                    <w:left w:val="single" w:sz="4" w:space="0" w:color="FFFFFF"/>
                    <w:bottom w:val="single" w:sz="4" w:space="0" w:color="FFFFFF"/>
                  </w:tcBorders>
                  <w:shd w:val="clear" w:color="auto" w:fill="DBE5F1"/>
                  <w:vAlign w:val="bottom"/>
                </w:tcPr>
                <w:p w14:paraId="2036F08E"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8,000</w:t>
                  </w:r>
                </w:p>
              </w:tc>
              <w:tc>
                <w:tcPr>
                  <w:tcW w:w="1290" w:type="dxa"/>
                  <w:tcBorders>
                    <w:top w:val="single" w:sz="4" w:space="0" w:color="FFFFFF"/>
                    <w:left w:val="single" w:sz="4" w:space="0" w:color="FFFFFF"/>
                    <w:bottom w:val="single" w:sz="4" w:space="0" w:color="FFFFFF"/>
                  </w:tcBorders>
                  <w:shd w:val="clear" w:color="auto" w:fill="DBE5F1"/>
                  <w:vAlign w:val="bottom"/>
                </w:tcPr>
                <w:p w14:paraId="76B7443C"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8,000</w:t>
                  </w:r>
                </w:p>
              </w:tc>
              <w:tc>
                <w:tcPr>
                  <w:tcW w:w="1290" w:type="dxa"/>
                  <w:tcBorders>
                    <w:top w:val="single" w:sz="4" w:space="0" w:color="FFFFFF"/>
                    <w:left w:val="single" w:sz="4" w:space="0" w:color="FFFFFF"/>
                    <w:bottom w:val="single" w:sz="4" w:space="0" w:color="FFFFFF"/>
                  </w:tcBorders>
                  <w:shd w:val="clear" w:color="auto" w:fill="DBE5F1"/>
                  <w:vAlign w:val="bottom"/>
                </w:tcPr>
                <w:p w14:paraId="6FC1AB07" w14:textId="77777777" w:rsidR="00600DEE" w:rsidRPr="0045151D" w:rsidRDefault="00641FB5">
                  <w:pPr>
                    <w:jc w:val="center"/>
                    <w:rPr>
                      <w:rFonts w:ascii="Calibri" w:eastAsia="Calibri" w:hAnsi="Calibri" w:cs="Calibri"/>
                      <w:i/>
                      <w:color w:val="4F81BD"/>
                      <w:sz w:val="18"/>
                      <w:szCs w:val="18"/>
                      <w:lang w:val="en-GB"/>
                    </w:rPr>
                  </w:pPr>
                  <w:r w:rsidRPr="0045151D">
                    <w:rPr>
                      <w:rFonts w:ascii="Calibri" w:eastAsia="Calibri" w:hAnsi="Calibri" w:cs="Calibri"/>
                      <w:i/>
                      <w:color w:val="4F81BD"/>
                      <w:sz w:val="18"/>
                      <w:szCs w:val="18"/>
                      <w:lang w:val="en-GB"/>
                    </w:rPr>
                    <w:t>0.246</w:t>
                  </w:r>
                </w:p>
              </w:tc>
            </w:tr>
            <w:tr w:rsidR="00600DEE" w:rsidRPr="007463B9" w14:paraId="7DB12720" w14:textId="77777777" w:rsidTr="00701BA3">
              <w:trPr>
                <w:trHeight w:hRule="exact" w:val="567"/>
              </w:trPr>
              <w:tc>
                <w:tcPr>
                  <w:tcW w:w="2043" w:type="dxa"/>
                  <w:tcBorders>
                    <w:top w:val="single" w:sz="4" w:space="0" w:color="FFFFFF"/>
                    <w:left w:val="single" w:sz="4" w:space="0" w:color="FFFFFF"/>
                    <w:bottom w:val="single" w:sz="4" w:space="0" w:color="FFFFFF"/>
                  </w:tcBorders>
                  <w:shd w:val="clear" w:color="auto" w:fill="95B3D7"/>
                  <w:vAlign w:val="center"/>
                </w:tcPr>
                <w:p w14:paraId="4B409024" w14:textId="77777777" w:rsidR="00600DEE" w:rsidRPr="0045151D" w:rsidRDefault="00641FB5">
                  <w:pP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TOTAL OTHERS (PLN/km)</w:t>
                  </w:r>
                </w:p>
              </w:tc>
              <w:tc>
                <w:tcPr>
                  <w:tcW w:w="1427" w:type="dxa"/>
                  <w:tcBorders>
                    <w:top w:val="single" w:sz="4" w:space="0" w:color="FFFFFF"/>
                    <w:left w:val="single" w:sz="4" w:space="0" w:color="FFFFFF"/>
                    <w:bottom w:val="single" w:sz="4" w:space="0" w:color="FFFFFF"/>
                  </w:tcBorders>
                  <w:shd w:val="clear" w:color="auto" w:fill="95B3D7"/>
                  <w:vAlign w:val="bottom"/>
                </w:tcPr>
                <w:p w14:paraId="06E69823" w14:textId="77777777" w:rsidR="00600DEE" w:rsidRPr="0045151D" w:rsidRDefault="00600DEE">
                  <w:pPr>
                    <w:jc w:val="center"/>
                    <w:rPr>
                      <w:rFonts w:ascii="Calibri" w:eastAsia="Calibri" w:hAnsi="Calibri" w:cs="Calibri"/>
                      <w:b/>
                      <w:color w:val="FFFFFF"/>
                      <w:sz w:val="18"/>
                      <w:szCs w:val="18"/>
                      <w:lang w:val="en-GB"/>
                    </w:rPr>
                  </w:pPr>
                </w:p>
              </w:tc>
              <w:tc>
                <w:tcPr>
                  <w:tcW w:w="1290" w:type="dxa"/>
                  <w:tcBorders>
                    <w:top w:val="single" w:sz="4" w:space="0" w:color="FFFFFF"/>
                    <w:left w:val="single" w:sz="4" w:space="0" w:color="FFFFFF"/>
                    <w:bottom w:val="single" w:sz="4" w:space="0" w:color="FFFFFF"/>
                  </w:tcBorders>
                  <w:shd w:val="clear" w:color="auto" w:fill="95B3D7"/>
                  <w:vAlign w:val="bottom"/>
                </w:tcPr>
                <w:p w14:paraId="57672F22" w14:textId="77777777" w:rsidR="00600DEE" w:rsidRPr="0045151D" w:rsidRDefault="00600DEE">
                  <w:pPr>
                    <w:jc w:val="center"/>
                    <w:rPr>
                      <w:rFonts w:ascii="Calibri" w:eastAsia="Calibri" w:hAnsi="Calibri" w:cs="Calibri"/>
                      <w:b/>
                      <w:color w:val="FFFFFF"/>
                      <w:sz w:val="18"/>
                      <w:szCs w:val="18"/>
                      <w:lang w:val="en-GB"/>
                    </w:rPr>
                  </w:pPr>
                </w:p>
              </w:tc>
              <w:tc>
                <w:tcPr>
                  <w:tcW w:w="1290" w:type="dxa"/>
                  <w:tcBorders>
                    <w:top w:val="single" w:sz="4" w:space="0" w:color="FFFFFF"/>
                    <w:left w:val="single" w:sz="4" w:space="0" w:color="FFFFFF"/>
                    <w:bottom w:val="single" w:sz="4" w:space="0" w:color="FFFFFF"/>
                  </w:tcBorders>
                  <w:shd w:val="clear" w:color="auto" w:fill="95B3D7"/>
                  <w:vAlign w:val="bottom"/>
                </w:tcPr>
                <w:p w14:paraId="2C8822F0"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1.454</w:t>
                  </w:r>
                </w:p>
              </w:tc>
            </w:tr>
          </w:tbl>
          <w:p w14:paraId="103703F1" w14:textId="77777777" w:rsidR="00600DEE" w:rsidRPr="0045151D" w:rsidRDefault="00641FB5">
            <w:pPr>
              <w:ind w:right="170"/>
              <w:jc w:val="both"/>
              <w:rPr>
                <w:rFonts w:ascii="Calibri" w:eastAsia="Calibri" w:hAnsi="Calibri" w:cs="Calibri"/>
                <w:b/>
                <w:i/>
                <w:sz w:val="10"/>
                <w:szCs w:val="10"/>
                <w:lang w:val="en-GB"/>
              </w:rPr>
            </w:pPr>
            <w:r w:rsidRPr="0045151D">
              <w:rPr>
                <w:rFonts w:ascii="Calibri" w:eastAsia="Calibri" w:hAnsi="Calibri" w:cs="Calibri"/>
                <w:b/>
                <w:i/>
                <w:sz w:val="16"/>
                <w:szCs w:val="16"/>
                <w:lang w:val="en-GB"/>
              </w:rPr>
              <w:t>Sources:</w:t>
            </w:r>
            <w:r w:rsidRPr="0045151D">
              <w:rPr>
                <w:lang w:val="en-GB"/>
              </w:rPr>
              <w:t xml:space="preserve"> </w:t>
            </w:r>
            <w:hyperlink r:id="rId166">
              <w:r w:rsidRPr="0045151D">
                <w:rPr>
                  <w:rFonts w:ascii="Calibri" w:eastAsia="Calibri" w:hAnsi="Calibri" w:cs="Calibri"/>
                  <w:b/>
                  <w:i/>
                  <w:color w:val="0000FF"/>
                  <w:sz w:val="16"/>
                  <w:szCs w:val="16"/>
                  <w:u w:val="single"/>
                  <w:lang w:val="en-GB"/>
                </w:rPr>
                <w:t>Jak wyznaczyć stawkę za km zlecenia transportowego? - FireTMS</w:t>
              </w:r>
            </w:hyperlink>
            <w:r w:rsidRPr="0045151D">
              <w:rPr>
                <w:rFonts w:ascii="Calibri" w:eastAsia="Calibri" w:hAnsi="Calibri" w:cs="Calibri"/>
                <w:b/>
                <w:i/>
                <w:sz w:val="8"/>
                <w:szCs w:val="8"/>
                <w:lang w:val="en-GB"/>
              </w:rPr>
              <w:t xml:space="preserve"> </w:t>
            </w:r>
            <w:r w:rsidRPr="0045151D">
              <w:rPr>
                <w:rFonts w:ascii="Calibri" w:eastAsia="Calibri" w:hAnsi="Calibri" w:cs="Calibri"/>
                <w:b/>
                <w:i/>
                <w:sz w:val="10"/>
                <w:szCs w:val="10"/>
                <w:lang w:val="en-GB"/>
              </w:rPr>
              <w:t xml:space="preserve"> </w:t>
            </w:r>
          </w:p>
          <w:p w14:paraId="299EFE35" w14:textId="4AB51219" w:rsidR="00600DEE" w:rsidRDefault="00641FB5">
            <w:pPr>
              <w:ind w:right="170"/>
              <w:jc w:val="both"/>
              <w:rPr>
                <w:rFonts w:ascii="Calibri" w:eastAsia="Calibri" w:hAnsi="Calibri" w:cs="Calibri"/>
                <w:b/>
                <w:i/>
                <w:sz w:val="16"/>
                <w:szCs w:val="16"/>
              </w:rPr>
            </w:pPr>
            <w:r>
              <w:rPr>
                <w:rFonts w:ascii="Calibri" w:eastAsia="Calibri" w:hAnsi="Calibri" w:cs="Calibri"/>
                <w:b/>
                <w:i/>
                <w:sz w:val="16"/>
                <w:szCs w:val="16"/>
              </w:rPr>
              <w:t xml:space="preserve">(*) Assuming average annual mileage for HGV based on „Prognozy eksperckie zmian aktywności sektora transportu drogowego (w kontekście ustawy o systemie zarządzania emisjami gazów cieplarnianych </w:t>
            </w:r>
            <w:r w:rsidR="00C65DA8">
              <w:rPr>
                <w:rFonts w:ascii="Calibri" w:eastAsia="Calibri" w:hAnsi="Calibri" w:cs="Calibri"/>
                <w:b/>
                <w:i/>
                <w:sz w:val="16"/>
                <w:szCs w:val="16"/>
              </w:rPr>
              <w:t>i innych substancji)", ITS 2017</w:t>
            </w:r>
            <w:r>
              <w:rPr>
                <w:rFonts w:ascii="Calibri" w:eastAsia="Calibri" w:hAnsi="Calibri" w:cs="Calibri"/>
                <w:b/>
                <w:i/>
                <w:sz w:val="16"/>
                <w:szCs w:val="16"/>
              </w:rPr>
              <w:t>.</w:t>
            </w:r>
            <w:r>
              <w:rPr>
                <w:rFonts w:ascii="Calibri" w:eastAsia="Calibri" w:hAnsi="Calibri" w:cs="Calibri"/>
                <w:b/>
                <w:i/>
                <w:sz w:val="16"/>
                <w:szCs w:val="16"/>
              </w:rPr>
              <w:tab/>
              <w:t xml:space="preserve"> </w:t>
            </w:r>
          </w:p>
          <w:p w14:paraId="3FC06EB1" w14:textId="77777777" w:rsidR="00701BA3" w:rsidRDefault="00701BA3">
            <w:pPr>
              <w:pBdr>
                <w:top w:val="nil"/>
                <w:left w:val="nil"/>
                <w:bottom w:val="nil"/>
                <w:right w:val="nil"/>
                <w:between w:val="nil"/>
              </w:pBdr>
              <w:spacing w:before="120"/>
              <w:jc w:val="both"/>
              <w:rPr>
                <w:rFonts w:ascii="Calibri" w:eastAsia="Calibri" w:hAnsi="Calibri" w:cs="Calibri"/>
                <w:color w:val="000000"/>
                <w:sz w:val="20"/>
                <w:szCs w:val="20"/>
                <w:u w:val="single"/>
              </w:rPr>
            </w:pPr>
          </w:p>
          <w:p w14:paraId="538AFFEF" w14:textId="08C9C613"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u w:val="single"/>
                <w:lang w:val="en-GB"/>
              </w:rPr>
            </w:pPr>
            <w:r w:rsidRPr="0045151D">
              <w:rPr>
                <w:rFonts w:ascii="Calibri" w:eastAsia="Calibri" w:hAnsi="Calibri" w:cs="Calibri"/>
                <w:color w:val="000000"/>
                <w:sz w:val="20"/>
                <w:szCs w:val="20"/>
                <w:u w:val="single"/>
                <w:lang w:val="en-GB"/>
              </w:rPr>
              <w:t>VOC assumptions for combustion motor LVs and HGVs</w:t>
            </w:r>
          </w:p>
          <w:p w14:paraId="16895502" w14:textId="77777777" w:rsidR="00600DEE" w:rsidRPr="0045151D" w:rsidRDefault="00641FB5">
            <w:p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Finally, </w:t>
            </w:r>
            <w:r w:rsidRPr="0045151D">
              <w:rPr>
                <w:rFonts w:ascii="Calibri" w:eastAsia="Calibri" w:hAnsi="Calibri" w:cs="Calibri"/>
                <w:b/>
                <w:color w:val="000000"/>
                <w:sz w:val="20"/>
                <w:szCs w:val="20"/>
                <w:lang w:val="en-GB"/>
              </w:rPr>
              <w:t>total VOCs for LV and HGV</w:t>
            </w:r>
            <w:r w:rsidRPr="0045151D">
              <w:rPr>
                <w:rFonts w:ascii="Calibri" w:eastAsia="Calibri" w:hAnsi="Calibri" w:cs="Calibri"/>
                <w:color w:val="000000"/>
                <w:sz w:val="20"/>
                <w:szCs w:val="20"/>
                <w:lang w:val="en-GB"/>
              </w:rPr>
              <w:t xml:space="preserve"> (unit costs in Appendix A) are estimated as the sum of fuel consumption costs (as a function of travel speed) plus other costs (both net of any taxes, customs duties and public fees), both components as presented above. Those correspond to a road under good conditions (i.e. pavement after construction/rehabilitation) and on flat terrain. </w:t>
            </w:r>
          </w:p>
          <w:p w14:paraId="2D8EF7C2" w14:textId="77777777" w:rsidR="00600DEE" w:rsidRPr="0045151D" w:rsidRDefault="00600DEE">
            <w:pPr>
              <w:pBdr>
                <w:top w:val="nil"/>
                <w:left w:val="nil"/>
                <w:bottom w:val="nil"/>
                <w:right w:val="nil"/>
                <w:between w:val="nil"/>
              </w:pBdr>
              <w:spacing w:before="60"/>
              <w:jc w:val="both"/>
              <w:rPr>
                <w:rFonts w:ascii="Calibri" w:eastAsia="Calibri" w:hAnsi="Calibri" w:cs="Calibri"/>
                <w:color w:val="000000"/>
                <w:sz w:val="20"/>
                <w:szCs w:val="20"/>
                <w:lang w:val="en-GB"/>
              </w:rPr>
            </w:pPr>
          </w:p>
          <w:p w14:paraId="76C1A27B" w14:textId="77777777" w:rsidR="00701BA3" w:rsidRPr="0045151D" w:rsidRDefault="00701BA3">
            <w:pPr>
              <w:pBdr>
                <w:top w:val="nil"/>
                <w:left w:val="nil"/>
                <w:bottom w:val="nil"/>
                <w:right w:val="nil"/>
                <w:between w:val="nil"/>
              </w:pBdr>
              <w:spacing w:before="60"/>
              <w:jc w:val="both"/>
              <w:rPr>
                <w:rFonts w:ascii="Calibri" w:eastAsia="Calibri" w:hAnsi="Calibri" w:cs="Calibri"/>
                <w:color w:val="000000"/>
                <w:sz w:val="20"/>
                <w:szCs w:val="20"/>
                <w:lang w:val="en-GB"/>
              </w:rPr>
            </w:pPr>
          </w:p>
          <w:p w14:paraId="3025A313" w14:textId="77777777" w:rsidR="00701BA3" w:rsidRPr="0045151D" w:rsidRDefault="00701BA3">
            <w:pPr>
              <w:pBdr>
                <w:top w:val="nil"/>
                <w:left w:val="nil"/>
                <w:bottom w:val="nil"/>
                <w:right w:val="nil"/>
                <w:between w:val="nil"/>
              </w:pBdr>
              <w:spacing w:before="60"/>
              <w:jc w:val="both"/>
              <w:rPr>
                <w:rFonts w:ascii="Calibri" w:eastAsia="Calibri" w:hAnsi="Calibri" w:cs="Calibri"/>
                <w:color w:val="000000"/>
                <w:sz w:val="20"/>
                <w:szCs w:val="20"/>
                <w:lang w:val="en-GB"/>
              </w:rPr>
            </w:pPr>
          </w:p>
          <w:p w14:paraId="74501C2E" w14:textId="77777777" w:rsidR="00701BA3" w:rsidRPr="0045151D" w:rsidRDefault="00701BA3">
            <w:pPr>
              <w:pBdr>
                <w:top w:val="nil"/>
                <w:left w:val="nil"/>
                <w:bottom w:val="nil"/>
                <w:right w:val="nil"/>
                <w:between w:val="nil"/>
              </w:pBdr>
              <w:spacing w:before="60"/>
              <w:jc w:val="both"/>
              <w:rPr>
                <w:rFonts w:ascii="Calibri" w:eastAsia="Calibri" w:hAnsi="Calibri" w:cs="Calibri"/>
                <w:color w:val="000000"/>
                <w:sz w:val="20"/>
                <w:szCs w:val="20"/>
                <w:lang w:val="en-GB"/>
              </w:rPr>
            </w:pPr>
          </w:p>
          <w:p w14:paraId="4C130604" w14:textId="77777777" w:rsidR="00C25D65" w:rsidRDefault="00C25D65">
            <w:pPr>
              <w:pBdr>
                <w:top w:val="nil"/>
                <w:left w:val="nil"/>
                <w:bottom w:val="nil"/>
                <w:right w:val="nil"/>
                <w:between w:val="nil"/>
              </w:pBdr>
              <w:spacing w:before="60"/>
              <w:jc w:val="both"/>
              <w:rPr>
                <w:rFonts w:ascii="Calibri" w:eastAsia="Calibri" w:hAnsi="Calibri" w:cs="Calibri"/>
                <w:color w:val="000000"/>
                <w:sz w:val="20"/>
                <w:szCs w:val="20"/>
                <w:lang w:val="en-GB"/>
              </w:rPr>
            </w:pPr>
          </w:p>
          <w:p w14:paraId="60C392A2" w14:textId="1FBDB69A" w:rsidR="00600DEE" w:rsidRPr="0045151D" w:rsidRDefault="00641FB5">
            <w:p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Therefore, the relevant factors related to other road conditions and types of terrain were estimated as presented below:</w:t>
            </w:r>
          </w:p>
          <w:p w14:paraId="28520154" w14:textId="77777777" w:rsidR="00701BA3" w:rsidRPr="0045151D" w:rsidRDefault="00701BA3">
            <w:pPr>
              <w:pBdr>
                <w:top w:val="nil"/>
                <w:left w:val="nil"/>
                <w:bottom w:val="nil"/>
                <w:right w:val="nil"/>
                <w:between w:val="nil"/>
              </w:pBdr>
              <w:spacing w:before="120"/>
              <w:jc w:val="both"/>
              <w:rPr>
                <w:rFonts w:ascii="Calibri" w:eastAsia="Calibri" w:hAnsi="Calibri" w:cs="Calibri"/>
                <w:color w:val="000000"/>
                <w:sz w:val="20"/>
                <w:szCs w:val="20"/>
                <w:u w:val="single"/>
                <w:lang w:val="en-GB"/>
              </w:rPr>
            </w:pPr>
          </w:p>
          <w:p w14:paraId="49DD43CB" w14:textId="6D09B766"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u w:val="single"/>
                <w:lang w:val="en-GB"/>
              </w:rPr>
            </w:pPr>
            <w:r w:rsidRPr="0045151D">
              <w:rPr>
                <w:rFonts w:ascii="Calibri" w:eastAsia="Calibri" w:hAnsi="Calibri" w:cs="Calibri"/>
                <w:color w:val="000000"/>
                <w:sz w:val="20"/>
                <w:szCs w:val="20"/>
                <w:u w:val="single"/>
                <w:lang w:val="en-GB"/>
              </w:rPr>
              <w:t>Road gradient:</w:t>
            </w:r>
          </w:p>
          <w:p w14:paraId="487E8EA6" w14:textId="50047DC4" w:rsidR="00600DEE" w:rsidRPr="0045151D" w:rsidRDefault="00641FB5">
            <w:p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It is considered that a hilly terrain increases fuel consumption by 15% for LV. For HGV, the related factor is obtained based on the fuel consumptions equations. </w:t>
            </w:r>
          </w:p>
          <w:p w14:paraId="5759A2DE" w14:textId="1CE9464F" w:rsidR="00701BA3" w:rsidRDefault="00701BA3" w:rsidP="00701BA3">
            <w:pPr>
              <w:pBdr>
                <w:top w:val="nil"/>
                <w:left w:val="nil"/>
                <w:bottom w:val="nil"/>
                <w:right w:val="nil"/>
                <w:between w:val="nil"/>
              </w:pBdr>
              <w:spacing w:before="60" w:after="120"/>
              <w:jc w:val="both"/>
              <w:rPr>
                <w:rFonts w:ascii="Calibri" w:eastAsia="Calibri" w:hAnsi="Calibri" w:cs="Calibri"/>
                <w:color w:val="000000"/>
                <w:sz w:val="20"/>
                <w:szCs w:val="20"/>
                <w:lang w:val="en-GB"/>
              </w:rPr>
            </w:pPr>
          </w:p>
          <w:p w14:paraId="3C3B1300" w14:textId="77777777" w:rsidR="00C25D65" w:rsidRPr="0045151D" w:rsidRDefault="00C25D65" w:rsidP="00701BA3">
            <w:pPr>
              <w:pBdr>
                <w:top w:val="nil"/>
                <w:left w:val="nil"/>
                <w:bottom w:val="nil"/>
                <w:right w:val="nil"/>
                <w:between w:val="nil"/>
              </w:pBdr>
              <w:spacing w:before="60" w:after="120"/>
              <w:jc w:val="both"/>
              <w:rPr>
                <w:rFonts w:ascii="Calibri" w:eastAsia="Calibri" w:hAnsi="Calibri" w:cs="Calibri"/>
                <w:color w:val="000000"/>
                <w:sz w:val="20"/>
                <w:szCs w:val="20"/>
                <w:lang w:val="en-GB"/>
              </w:rPr>
            </w:pPr>
          </w:p>
          <w:p w14:paraId="3A335038" w14:textId="72B127E9" w:rsidR="00600DEE" w:rsidRPr="0045151D" w:rsidRDefault="00641FB5">
            <w:p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respective multiplying factors to be applied to overall VOC are presented below:</w:t>
            </w:r>
          </w:p>
          <w:p w14:paraId="1154F901" w14:textId="77777777" w:rsidR="00701BA3" w:rsidRPr="0045151D" w:rsidRDefault="00701BA3">
            <w:pPr>
              <w:pBdr>
                <w:top w:val="nil"/>
                <w:left w:val="nil"/>
                <w:bottom w:val="nil"/>
                <w:right w:val="nil"/>
                <w:between w:val="nil"/>
              </w:pBdr>
              <w:spacing w:before="60"/>
              <w:jc w:val="both"/>
              <w:rPr>
                <w:rFonts w:ascii="Calibri" w:eastAsia="Calibri" w:hAnsi="Calibri" w:cs="Calibri"/>
                <w:color w:val="000000"/>
                <w:sz w:val="20"/>
                <w:szCs w:val="20"/>
                <w:lang w:val="en-GB"/>
              </w:rPr>
            </w:pPr>
          </w:p>
          <w:tbl>
            <w:tblPr>
              <w:tblStyle w:val="afffffffffffffff0"/>
              <w:tblW w:w="3395" w:type="dxa"/>
              <w:tblLayout w:type="fixed"/>
              <w:tblLook w:val="0400" w:firstRow="0" w:lastRow="0" w:firstColumn="0" w:lastColumn="0" w:noHBand="0" w:noVBand="1"/>
            </w:tblPr>
            <w:tblGrid>
              <w:gridCol w:w="1694"/>
              <w:gridCol w:w="850"/>
              <w:gridCol w:w="851"/>
            </w:tblGrid>
            <w:tr w:rsidR="00600DEE" w:rsidRPr="007463B9" w14:paraId="5F387746" w14:textId="77777777" w:rsidTr="00701BA3">
              <w:trPr>
                <w:trHeight w:val="454"/>
              </w:trPr>
              <w:tc>
                <w:tcPr>
                  <w:tcW w:w="1694" w:type="dxa"/>
                  <w:tcBorders>
                    <w:top w:val="single" w:sz="4" w:space="0" w:color="FFFFFF"/>
                    <w:left w:val="single" w:sz="4" w:space="0" w:color="FFFFFF"/>
                    <w:bottom w:val="single" w:sz="4" w:space="0" w:color="FFFFFF"/>
                    <w:right w:val="nil"/>
                  </w:tcBorders>
                  <w:shd w:val="clear" w:color="auto" w:fill="A6A6A6"/>
                  <w:vAlign w:val="center"/>
                </w:tcPr>
                <w:p w14:paraId="5D994CFC"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Type of terrain</w:t>
                  </w:r>
                </w:p>
              </w:tc>
              <w:tc>
                <w:tcPr>
                  <w:tcW w:w="850" w:type="dxa"/>
                  <w:tcBorders>
                    <w:top w:val="single" w:sz="4" w:space="0" w:color="FFFFFF"/>
                    <w:left w:val="single" w:sz="4" w:space="0" w:color="FFFFFF"/>
                    <w:bottom w:val="single" w:sz="4" w:space="0" w:color="FFFFFF"/>
                    <w:right w:val="nil"/>
                  </w:tcBorders>
                  <w:shd w:val="clear" w:color="auto" w:fill="A6A6A6"/>
                  <w:vAlign w:val="center"/>
                </w:tcPr>
                <w:p w14:paraId="5D2B34D0"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LV</w:t>
                  </w:r>
                </w:p>
              </w:tc>
              <w:tc>
                <w:tcPr>
                  <w:tcW w:w="851" w:type="dxa"/>
                  <w:tcBorders>
                    <w:top w:val="single" w:sz="4" w:space="0" w:color="FFFFFF"/>
                    <w:left w:val="single" w:sz="4" w:space="0" w:color="FFFFFF"/>
                    <w:bottom w:val="single" w:sz="4" w:space="0" w:color="FFFFFF"/>
                    <w:right w:val="nil"/>
                  </w:tcBorders>
                  <w:shd w:val="clear" w:color="auto" w:fill="A6A6A6"/>
                  <w:vAlign w:val="center"/>
                </w:tcPr>
                <w:p w14:paraId="5D960486"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HGV</w:t>
                  </w:r>
                </w:p>
              </w:tc>
            </w:tr>
            <w:tr w:rsidR="00600DEE" w:rsidRPr="007463B9" w14:paraId="4429497E" w14:textId="77777777" w:rsidTr="00701BA3">
              <w:trPr>
                <w:trHeight w:val="454"/>
              </w:trPr>
              <w:tc>
                <w:tcPr>
                  <w:tcW w:w="1694" w:type="dxa"/>
                  <w:tcBorders>
                    <w:top w:val="single" w:sz="4" w:space="0" w:color="FFFFFF"/>
                    <w:left w:val="single" w:sz="4" w:space="0" w:color="FFFFFF"/>
                    <w:bottom w:val="single" w:sz="4" w:space="0" w:color="FFFFFF"/>
                    <w:right w:val="nil"/>
                  </w:tcBorders>
                  <w:shd w:val="clear" w:color="auto" w:fill="DBE5F1"/>
                  <w:vAlign w:val="center"/>
                </w:tcPr>
                <w:p w14:paraId="1444962B"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Flat</w:t>
                  </w:r>
                </w:p>
              </w:tc>
              <w:tc>
                <w:tcPr>
                  <w:tcW w:w="850" w:type="dxa"/>
                  <w:tcBorders>
                    <w:top w:val="single" w:sz="4" w:space="0" w:color="FFFFFF"/>
                    <w:left w:val="single" w:sz="4" w:space="0" w:color="FFFFFF"/>
                    <w:bottom w:val="single" w:sz="4" w:space="0" w:color="FFFFFF"/>
                    <w:right w:val="nil"/>
                  </w:tcBorders>
                  <w:shd w:val="clear" w:color="auto" w:fill="DBE5F1"/>
                  <w:vAlign w:val="center"/>
                </w:tcPr>
                <w:p w14:paraId="2641AC0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1.000</w:t>
                  </w:r>
                </w:p>
              </w:tc>
              <w:tc>
                <w:tcPr>
                  <w:tcW w:w="851" w:type="dxa"/>
                  <w:tcBorders>
                    <w:top w:val="single" w:sz="4" w:space="0" w:color="FFFFFF"/>
                    <w:left w:val="single" w:sz="4" w:space="0" w:color="FFFFFF"/>
                    <w:bottom w:val="single" w:sz="4" w:space="0" w:color="FFFFFF"/>
                    <w:right w:val="nil"/>
                  </w:tcBorders>
                  <w:shd w:val="clear" w:color="auto" w:fill="DBE5F1"/>
                  <w:vAlign w:val="center"/>
                </w:tcPr>
                <w:p w14:paraId="4070D85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1.000</w:t>
                  </w:r>
                </w:p>
              </w:tc>
            </w:tr>
            <w:tr w:rsidR="00600DEE" w:rsidRPr="007463B9" w14:paraId="1B6857D0" w14:textId="77777777" w:rsidTr="00701BA3">
              <w:trPr>
                <w:trHeight w:val="454"/>
              </w:trPr>
              <w:tc>
                <w:tcPr>
                  <w:tcW w:w="1694" w:type="dxa"/>
                  <w:tcBorders>
                    <w:top w:val="single" w:sz="4" w:space="0" w:color="FFFFFF"/>
                    <w:left w:val="single" w:sz="4" w:space="0" w:color="FFFFFF"/>
                    <w:bottom w:val="single" w:sz="4" w:space="0" w:color="FFFFFF"/>
                    <w:right w:val="nil"/>
                  </w:tcBorders>
                  <w:shd w:val="clear" w:color="auto" w:fill="DBE5F1"/>
                  <w:vAlign w:val="center"/>
                </w:tcPr>
                <w:p w14:paraId="7EF53B37" w14:textId="77777777" w:rsidR="00600DEE" w:rsidRPr="0045151D" w:rsidRDefault="00641FB5" w:rsidP="008A523C">
                  <w:pPr>
                    <w:spacing w:before="100" w:beforeAutospacing="1"/>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Rolling</w:t>
                  </w:r>
                </w:p>
              </w:tc>
              <w:tc>
                <w:tcPr>
                  <w:tcW w:w="850" w:type="dxa"/>
                  <w:tcBorders>
                    <w:top w:val="single" w:sz="4" w:space="0" w:color="FFFFFF"/>
                    <w:left w:val="single" w:sz="4" w:space="0" w:color="FFFFFF"/>
                    <w:bottom w:val="single" w:sz="4" w:space="0" w:color="FFFFFF"/>
                    <w:right w:val="nil"/>
                  </w:tcBorders>
                  <w:shd w:val="clear" w:color="auto" w:fill="DBE5F1"/>
                  <w:vAlign w:val="center"/>
                </w:tcPr>
                <w:p w14:paraId="20EDA20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1.032</w:t>
                  </w:r>
                </w:p>
              </w:tc>
              <w:tc>
                <w:tcPr>
                  <w:tcW w:w="851" w:type="dxa"/>
                  <w:tcBorders>
                    <w:top w:val="single" w:sz="4" w:space="0" w:color="FFFFFF"/>
                    <w:left w:val="single" w:sz="4" w:space="0" w:color="FFFFFF"/>
                    <w:bottom w:val="single" w:sz="4" w:space="0" w:color="FFFFFF"/>
                    <w:right w:val="nil"/>
                  </w:tcBorders>
                  <w:shd w:val="clear" w:color="auto" w:fill="DBE5F1"/>
                  <w:vAlign w:val="center"/>
                </w:tcPr>
                <w:p w14:paraId="576D692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1.200</w:t>
                  </w:r>
                </w:p>
              </w:tc>
            </w:tr>
          </w:tbl>
          <w:p w14:paraId="0CFD7B17" w14:textId="1938CD08" w:rsidR="00600DEE" w:rsidRPr="0045151D" w:rsidRDefault="00641FB5" w:rsidP="008A523C">
            <w:pPr>
              <w:pBdr>
                <w:top w:val="nil"/>
                <w:left w:val="nil"/>
                <w:bottom w:val="nil"/>
                <w:right w:val="nil"/>
                <w:between w:val="nil"/>
              </w:pBdr>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 xml:space="preserve">Sources: own work based mainly on </w:t>
            </w:r>
            <w:hyperlink r:id="rId167" w:anchor=":~:text=The%20fuel%20economy%20on%20flat,to%20that%20of%20hilly%20routes.&amp;text=The%20experimental%20results%20showed%20that,an%20increase%20in%20trip%20time.">
              <w:r w:rsidRPr="0045151D">
                <w:rPr>
                  <w:rFonts w:ascii="Calibri" w:eastAsia="Calibri" w:hAnsi="Calibri" w:cs="Calibri"/>
                  <w:b/>
                  <w:i/>
                  <w:color w:val="0000FF"/>
                  <w:sz w:val="16"/>
                  <w:szCs w:val="16"/>
                  <w:u w:val="single"/>
                  <w:lang w:val="en-GB"/>
                </w:rPr>
                <w:t>Minimizing vehicle fuel consumption on hilly roads based on dynamic programming - Min Zhou, Hui Jin, Feng Ding, 2017 (sagepub.com)</w:t>
              </w:r>
            </w:hyperlink>
            <w:r w:rsidRPr="0045151D">
              <w:rPr>
                <w:rFonts w:ascii="Calibri" w:eastAsia="Calibri" w:hAnsi="Calibri" w:cs="Calibri"/>
                <w:b/>
                <w:i/>
                <w:color w:val="0000FF"/>
                <w:sz w:val="16"/>
                <w:szCs w:val="16"/>
                <w:lang w:val="en-GB"/>
              </w:rPr>
              <w:t xml:space="preserve"> </w:t>
            </w:r>
            <w:r w:rsidRPr="0045151D">
              <w:rPr>
                <w:rFonts w:ascii="Calibri" w:eastAsia="Calibri" w:hAnsi="Calibri" w:cs="Calibri"/>
                <w:b/>
                <w:i/>
                <w:color w:val="000000"/>
                <w:sz w:val="16"/>
                <w:szCs w:val="16"/>
                <w:lang w:val="en-GB"/>
              </w:rPr>
              <w:t xml:space="preserve">for LV; and “EMEP/EEA air pollutant emission inventory guidebook, 2019, 1.A.3.b.i-iv Road Transport Appendix 4 Emission Factors 2019 (Sept. 2020)” for HGV. </w:t>
            </w:r>
          </w:p>
          <w:p w14:paraId="331E76E9" w14:textId="32C49BAB" w:rsidR="00701BA3" w:rsidRPr="0045151D" w:rsidRDefault="00701BA3">
            <w:pPr>
              <w:pBdr>
                <w:top w:val="nil"/>
                <w:left w:val="nil"/>
                <w:bottom w:val="nil"/>
                <w:right w:val="nil"/>
                <w:between w:val="nil"/>
              </w:pBdr>
              <w:spacing w:before="60"/>
              <w:jc w:val="both"/>
              <w:rPr>
                <w:rFonts w:ascii="Calibri" w:eastAsia="Calibri" w:hAnsi="Calibri" w:cs="Calibri"/>
                <w:b/>
                <w:i/>
                <w:color w:val="000000"/>
                <w:sz w:val="16"/>
                <w:szCs w:val="16"/>
                <w:lang w:val="en-GB"/>
              </w:rPr>
            </w:pPr>
          </w:p>
          <w:p w14:paraId="3B94AC7D" w14:textId="51AA082F" w:rsidR="00701BA3" w:rsidRPr="0045151D" w:rsidRDefault="00701BA3">
            <w:pPr>
              <w:pBdr>
                <w:top w:val="nil"/>
                <w:left w:val="nil"/>
                <w:bottom w:val="nil"/>
                <w:right w:val="nil"/>
                <w:between w:val="nil"/>
              </w:pBdr>
              <w:spacing w:before="60"/>
              <w:jc w:val="both"/>
              <w:rPr>
                <w:rFonts w:ascii="Calibri" w:eastAsia="Calibri" w:hAnsi="Calibri" w:cs="Calibri"/>
                <w:b/>
                <w:i/>
                <w:color w:val="000000"/>
                <w:sz w:val="16"/>
                <w:szCs w:val="16"/>
                <w:lang w:val="en-GB"/>
              </w:rPr>
            </w:pPr>
          </w:p>
          <w:p w14:paraId="0308C593" w14:textId="77777777" w:rsidR="00701BA3" w:rsidRPr="0045151D" w:rsidRDefault="00701BA3">
            <w:pPr>
              <w:pBdr>
                <w:top w:val="nil"/>
                <w:left w:val="nil"/>
                <w:bottom w:val="nil"/>
                <w:right w:val="nil"/>
                <w:between w:val="nil"/>
              </w:pBdr>
              <w:spacing w:before="60"/>
              <w:jc w:val="both"/>
              <w:rPr>
                <w:rFonts w:ascii="Calibri" w:eastAsia="Calibri" w:hAnsi="Calibri" w:cs="Calibri"/>
                <w:color w:val="000000"/>
                <w:sz w:val="20"/>
                <w:szCs w:val="20"/>
                <w:lang w:val="en-GB"/>
              </w:rPr>
            </w:pPr>
          </w:p>
          <w:p w14:paraId="7367E17E"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u w:val="single"/>
                <w:lang w:val="en-GB"/>
              </w:rPr>
            </w:pPr>
            <w:r w:rsidRPr="0045151D">
              <w:rPr>
                <w:rFonts w:ascii="Calibri" w:eastAsia="Calibri" w:hAnsi="Calibri" w:cs="Calibri"/>
                <w:color w:val="000000"/>
                <w:sz w:val="20"/>
                <w:szCs w:val="20"/>
                <w:u w:val="single"/>
                <w:lang w:val="en-GB"/>
              </w:rPr>
              <w:t>Road condition</w:t>
            </w:r>
          </w:p>
          <w:p w14:paraId="73428B31" w14:textId="40560EAA"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Based on "Optimisation of Maintenance", (OECD/ITF 2012, p. 12), the following factors were obtained. The multiplying factors presented below are to be applied to overall VOC:</w:t>
            </w:r>
          </w:p>
          <w:p w14:paraId="407D76A2" w14:textId="283D0DC1" w:rsidR="00701BA3" w:rsidRPr="0045151D" w:rsidRDefault="00701BA3">
            <w:pPr>
              <w:pBdr>
                <w:top w:val="nil"/>
                <w:left w:val="nil"/>
                <w:bottom w:val="nil"/>
                <w:right w:val="nil"/>
                <w:between w:val="nil"/>
              </w:pBdr>
              <w:spacing w:before="120"/>
              <w:jc w:val="both"/>
              <w:rPr>
                <w:rFonts w:ascii="Calibri" w:eastAsia="Calibri" w:hAnsi="Calibri" w:cs="Calibri"/>
                <w:color w:val="000000"/>
                <w:sz w:val="20"/>
                <w:szCs w:val="20"/>
                <w:lang w:val="en-GB"/>
              </w:rPr>
            </w:pPr>
          </w:p>
          <w:p w14:paraId="494563FA" w14:textId="061956E0" w:rsidR="00701BA3" w:rsidRPr="0045151D" w:rsidRDefault="00701BA3">
            <w:pPr>
              <w:pBdr>
                <w:top w:val="nil"/>
                <w:left w:val="nil"/>
                <w:bottom w:val="nil"/>
                <w:right w:val="nil"/>
                <w:between w:val="nil"/>
              </w:pBdr>
              <w:spacing w:before="120"/>
              <w:jc w:val="both"/>
              <w:rPr>
                <w:rFonts w:ascii="Calibri" w:eastAsia="Calibri" w:hAnsi="Calibri" w:cs="Calibri"/>
                <w:color w:val="000000"/>
                <w:sz w:val="20"/>
                <w:szCs w:val="20"/>
                <w:lang w:val="en-GB"/>
              </w:rPr>
            </w:pPr>
          </w:p>
          <w:p w14:paraId="152675D1" w14:textId="7F828D5E" w:rsidR="00701BA3" w:rsidRPr="0045151D" w:rsidRDefault="00701BA3">
            <w:pPr>
              <w:pBdr>
                <w:top w:val="nil"/>
                <w:left w:val="nil"/>
                <w:bottom w:val="nil"/>
                <w:right w:val="nil"/>
                <w:between w:val="nil"/>
              </w:pBdr>
              <w:spacing w:before="120"/>
              <w:jc w:val="both"/>
              <w:rPr>
                <w:rFonts w:ascii="Calibri" w:eastAsia="Calibri" w:hAnsi="Calibri" w:cs="Calibri"/>
                <w:color w:val="000000"/>
                <w:sz w:val="20"/>
                <w:szCs w:val="20"/>
                <w:lang w:val="en-GB"/>
              </w:rPr>
            </w:pPr>
          </w:p>
          <w:p w14:paraId="4E764310" w14:textId="29F796A7" w:rsidR="00701BA3" w:rsidRPr="0045151D" w:rsidRDefault="00701BA3">
            <w:pPr>
              <w:pBdr>
                <w:top w:val="nil"/>
                <w:left w:val="nil"/>
                <w:bottom w:val="nil"/>
                <w:right w:val="nil"/>
                <w:between w:val="nil"/>
              </w:pBdr>
              <w:spacing w:before="120"/>
              <w:jc w:val="both"/>
              <w:rPr>
                <w:rFonts w:ascii="Calibri" w:eastAsia="Calibri" w:hAnsi="Calibri" w:cs="Calibri"/>
                <w:color w:val="000000"/>
                <w:sz w:val="20"/>
                <w:szCs w:val="20"/>
                <w:lang w:val="en-GB"/>
              </w:rPr>
            </w:pPr>
          </w:p>
          <w:p w14:paraId="56B7119C" w14:textId="77777777" w:rsidR="00701BA3" w:rsidRPr="0045151D" w:rsidRDefault="00701BA3">
            <w:pPr>
              <w:pBdr>
                <w:top w:val="nil"/>
                <w:left w:val="nil"/>
                <w:bottom w:val="nil"/>
                <w:right w:val="nil"/>
                <w:between w:val="nil"/>
              </w:pBdr>
              <w:spacing w:before="120"/>
              <w:jc w:val="both"/>
              <w:rPr>
                <w:rFonts w:ascii="Calibri" w:eastAsia="Calibri" w:hAnsi="Calibri" w:cs="Calibri"/>
                <w:color w:val="000000"/>
                <w:sz w:val="20"/>
                <w:szCs w:val="20"/>
                <w:lang w:val="en-GB"/>
              </w:rPr>
            </w:pPr>
          </w:p>
          <w:p w14:paraId="5AE2D0B5" w14:textId="40237D21"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Road </w:t>
            </w:r>
            <w:r w:rsidR="00C65DA8">
              <w:rPr>
                <w:rFonts w:ascii="Calibri" w:eastAsia="Calibri" w:hAnsi="Calibri" w:cs="Calibri"/>
                <w:color w:val="000000"/>
                <w:sz w:val="20"/>
                <w:szCs w:val="20"/>
                <w:lang w:val="en-GB"/>
              </w:rPr>
              <w:t>condition</w:t>
            </w:r>
            <w:r w:rsidRPr="0045151D">
              <w:rPr>
                <w:rFonts w:ascii="Calibri" w:eastAsia="Calibri" w:hAnsi="Calibri" w:cs="Calibri"/>
                <w:color w:val="000000"/>
                <w:sz w:val="20"/>
                <w:szCs w:val="20"/>
                <w:lang w:val="en-GB"/>
              </w:rPr>
              <w:t xml:space="preserve"> costs multiplying factors for combustion motor vehicles (LV, HGV): </w:t>
            </w:r>
          </w:p>
          <w:p w14:paraId="3651E59E" w14:textId="77777777" w:rsidR="008A523C" w:rsidRPr="0045151D" w:rsidRDefault="008A523C">
            <w:pPr>
              <w:pBdr>
                <w:top w:val="nil"/>
                <w:left w:val="nil"/>
                <w:bottom w:val="nil"/>
                <w:right w:val="nil"/>
                <w:between w:val="nil"/>
              </w:pBdr>
              <w:spacing w:before="120"/>
              <w:jc w:val="both"/>
              <w:rPr>
                <w:rFonts w:ascii="Calibri" w:eastAsia="Calibri" w:hAnsi="Calibri" w:cs="Calibri"/>
                <w:color w:val="000000"/>
                <w:sz w:val="20"/>
                <w:szCs w:val="20"/>
                <w:lang w:val="en-GB"/>
              </w:rPr>
            </w:pPr>
          </w:p>
          <w:tbl>
            <w:tblPr>
              <w:tblStyle w:val="afffffffffffffff1"/>
              <w:tblW w:w="5605" w:type="dxa"/>
              <w:tblLayout w:type="fixed"/>
              <w:tblLook w:val="0400" w:firstRow="0" w:lastRow="0" w:firstColumn="0" w:lastColumn="0" w:noHBand="0" w:noVBand="1"/>
            </w:tblPr>
            <w:tblGrid>
              <w:gridCol w:w="2695"/>
              <w:gridCol w:w="1351"/>
              <w:gridCol w:w="1559"/>
            </w:tblGrid>
            <w:tr w:rsidR="00600DEE" w:rsidRPr="007463B9" w14:paraId="672CE2B8" w14:textId="77777777" w:rsidTr="00EB71BA">
              <w:trPr>
                <w:trHeight w:hRule="exact" w:val="454"/>
              </w:trPr>
              <w:tc>
                <w:tcPr>
                  <w:tcW w:w="2695" w:type="dxa"/>
                  <w:tcBorders>
                    <w:top w:val="single" w:sz="4" w:space="0" w:color="FFFFFF"/>
                    <w:left w:val="single" w:sz="4" w:space="0" w:color="FFFFFF"/>
                    <w:bottom w:val="single" w:sz="4" w:space="0" w:color="FFFFFF"/>
                    <w:right w:val="nil"/>
                  </w:tcBorders>
                  <w:shd w:val="clear" w:color="auto" w:fill="A6A6A6"/>
                  <w:vAlign w:val="center"/>
                </w:tcPr>
                <w:p w14:paraId="4A6D9DF9"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Road condition</w:t>
                  </w:r>
                </w:p>
              </w:tc>
              <w:tc>
                <w:tcPr>
                  <w:tcW w:w="1351" w:type="dxa"/>
                  <w:tcBorders>
                    <w:top w:val="single" w:sz="4" w:space="0" w:color="FFFFFF"/>
                    <w:left w:val="single" w:sz="4" w:space="0" w:color="FFFFFF"/>
                    <w:bottom w:val="single" w:sz="4" w:space="0" w:color="FFFFFF"/>
                    <w:right w:val="nil"/>
                  </w:tcBorders>
                  <w:shd w:val="clear" w:color="auto" w:fill="A6A6A6"/>
                  <w:vAlign w:val="center"/>
                </w:tcPr>
                <w:p w14:paraId="6A523AB6"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LV</w:t>
                  </w:r>
                </w:p>
              </w:tc>
              <w:tc>
                <w:tcPr>
                  <w:tcW w:w="1559" w:type="dxa"/>
                  <w:tcBorders>
                    <w:top w:val="single" w:sz="4" w:space="0" w:color="FFFFFF"/>
                    <w:left w:val="single" w:sz="4" w:space="0" w:color="FFFFFF"/>
                    <w:bottom w:val="single" w:sz="4" w:space="0" w:color="FFFFFF"/>
                    <w:right w:val="nil"/>
                  </w:tcBorders>
                  <w:shd w:val="clear" w:color="auto" w:fill="A6A6A6"/>
                  <w:vAlign w:val="center"/>
                </w:tcPr>
                <w:p w14:paraId="6FA34F7A"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HGV</w:t>
                  </w:r>
                </w:p>
              </w:tc>
            </w:tr>
            <w:tr w:rsidR="00600DEE" w:rsidRPr="007463B9" w14:paraId="270A19F6" w14:textId="77777777" w:rsidTr="00EB71BA">
              <w:trPr>
                <w:trHeight w:hRule="exact" w:val="454"/>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4002A029"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Good (after construction/rehabilitation)</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3FC70D4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1.000</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5255221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1.000</w:t>
                  </w:r>
                </w:p>
              </w:tc>
            </w:tr>
            <w:tr w:rsidR="00600DEE" w:rsidRPr="007463B9" w14:paraId="307D53BF" w14:textId="77777777" w:rsidTr="00EB71BA">
              <w:trPr>
                <w:trHeight w:hRule="exact" w:val="454"/>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4992B607"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Degraded, </w:t>
                  </w:r>
                </w:p>
                <w:p w14:paraId="1C5E0535"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Speed (km/h)</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5DFA93D9" w14:textId="77777777" w:rsidR="00600DEE" w:rsidRPr="0045151D" w:rsidRDefault="00600DEE">
                  <w:pPr>
                    <w:jc w:val="center"/>
                    <w:rPr>
                      <w:rFonts w:ascii="Calibri" w:eastAsia="Calibri" w:hAnsi="Calibri" w:cs="Calibri"/>
                      <w:color w:val="4F81BD"/>
                      <w:sz w:val="18"/>
                      <w:szCs w:val="18"/>
                      <w:lang w:val="en-GB"/>
                    </w:rPr>
                  </w:pP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7106E49D" w14:textId="77777777" w:rsidR="00600DEE" w:rsidRPr="0045151D" w:rsidRDefault="00600DEE">
                  <w:pPr>
                    <w:jc w:val="center"/>
                    <w:rPr>
                      <w:rFonts w:ascii="Calibri" w:eastAsia="Calibri" w:hAnsi="Calibri" w:cs="Calibri"/>
                      <w:color w:val="4F81BD"/>
                      <w:sz w:val="18"/>
                      <w:szCs w:val="18"/>
                      <w:lang w:val="en-GB"/>
                    </w:rPr>
                  </w:pPr>
                </w:p>
              </w:tc>
            </w:tr>
            <w:tr w:rsidR="00600DEE" w:rsidRPr="007463B9" w14:paraId="50F985CD"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530291D7"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24A1BB9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6BA5C16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1.125</w:t>
                  </w:r>
                </w:p>
              </w:tc>
            </w:tr>
            <w:tr w:rsidR="00600DEE" w:rsidRPr="007463B9" w14:paraId="13D78701"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0F8EED35"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11-20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792EB4A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0FD5B04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1.125</w:t>
                  </w:r>
                </w:p>
              </w:tc>
            </w:tr>
            <w:tr w:rsidR="00600DEE" w:rsidRPr="007463B9" w14:paraId="6B84842F"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4E62FF96"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21-30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46F40F9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1C079FA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1.125</w:t>
                  </w:r>
                </w:p>
              </w:tc>
            </w:tr>
            <w:tr w:rsidR="00600DEE" w:rsidRPr="007463B9" w14:paraId="54077197"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55CFF9F5"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31-40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26B501A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090D086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1.125</w:t>
                  </w:r>
                </w:p>
              </w:tc>
            </w:tr>
            <w:tr w:rsidR="00600DEE" w:rsidRPr="007463B9" w14:paraId="44EE11B1"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3C9D8D77"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41-50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0348DF6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1.113</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1DAE5B3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1.125</w:t>
                  </w:r>
                </w:p>
              </w:tc>
            </w:tr>
            <w:tr w:rsidR="00600DEE" w:rsidRPr="007463B9" w14:paraId="52FD2E13"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7C29936E"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51-60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6209E4E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1.131</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309EB11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1.146</w:t>
                  </w:r>
                </w:p>
              </w:tc>
            </w:tr>
            <w:tr w:rsidR="00600DEE" w:rsidRPr="007463B9" w14:paraId="63D820B6"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55DD83DD"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61-70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2E18A3E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1.150</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0253CC7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1.167</w:t>
                  </w:r>
                </w:p>
              </w:tc>
            </w:tr>
            <w:tr w:rsidR="00600DEE" w:rsidRPr="007463B9" w14:paraId="680AC975"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756BCF64"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71-80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4400280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1.169</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550CD31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1.188</w:t>
                  </w:r>
                </w:p>
              </w:tc>
            </w:tr>
            <w:tr w:rsidR="00600DEE" w:rsidRPr="007463B9" w14:paraId="3C696B7D"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00DF7EE0"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81-90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1913040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1.188</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098E8AA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1.208</w:t>
                  </w:r>
                </w:p>
              </w:tc>
            </w:tr>
            <w:tr w:rsidR="00600DEE" w:rsidRPr="007463B9" w14:paraId="62F64190"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334D7B8E"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91-100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3E89D05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1.206</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480AD76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1.229</w:t>
                  </w:r>
                </w:p>
              </w:tc>
            </w:tr>
            <w:tr w:rsidR="00600DEE" w:rsidRPr="007463B9" w14:paraId="6A2D32BC"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1C3E2587"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101-110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17327B5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1.225</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06B1B30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1.250</w:t>
                  </w:r>
                </w:p>
              </w:tc>
            </w:tr>
            <w:tr w:rsidR="00600DEE" w:rsidRPr="007463B9" w14:paraId="5885E589"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63003C6C"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111-120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1B1AEB2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1.225</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72BD056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1.250</w:t>
                  </w:r>
                </w:p>
              </w:tc>
            </w:tr>
            <w:tr w:rsidR="00600DEE" w:rsidRPr="007463B9" w14:paraId="4A59B4AA"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23C3A8CA"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121-130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242F161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1.225</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3D6E44F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1.250</w:t>
                  </w:r>
                </w:p>
              </w:tc>
            </w:tr>
            <w:tr w:rsidR="00600DEE" w:rsidRPr="007463B9" w14:paraId="375F092F"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6E74C947"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131-140</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115A9BB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1.225</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5C15475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1.250</w:t>
                  </w:r>
                </w:p>
              </w:tc>
            </w:tr>
          </w:tbl>
          <w:p w14:paraId="3E1A97FA" w14:textId="77777777" w:rsidR="00600DEE" w:rsidRPr="0045151D" w:rsidRDefault="00641FB5" w:rsidP="00EB71BA">
            <w:pPr>
              <w:pBdr>
                <w:top w:val="nil"/>
                <w:left w:val="nil"/>
                <w:bottom w:val="nil"/>
                <w:right w:val="nil"/>
                <w:between w:val="nil"/>
              </w:pBdr>
              <w:spacing w:before="120" w:after="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Electric LV:</w:t>
            </w:r>
          </w:p>
          <w:p w14:paraId="1D451961" w14:textId="77777777" w:rsidR="00600DEE" w:rsidRPr="0045151D" w:rsidRDefault="00641FB5">
            <w:p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Similarly as for combustion motor LV, the electric LV VOC are assumed to be constituted by: (i) electric energy consumption costs; and (ii) other costs.</w:t>
            </w:r>
          </w:p>
          <w:p w14:paraId="7EEB639E" w14:textId="6B80F6B3" w:rsidR="00600DEE" w:rsidRPr="0045151D" w:rsidRDefault="00641FB5">
            <w:p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part referring to other costs is assumed to be equivalent as for combustion motor LV (i.e. 0.811 PLN/km</w:t>
            </w:r>
            <w:r w:rsidR="005771F2" w:rsidRPr="005771F2">
              <w:rPr>
                <w:lang w:val="en-US"/>
              </w:rPr>
              <w:t xml:space="preserve"> </w:t>
            </w:r>
            <w:r w:rsidR="005771F2" w:rsidRPr="005771F2">
              <w:rPr>
                <w:rFonts w:ascii="Calibri" w:eastAsia="Calibri" w:hAnsi="Calibri" w:cs="Calibri"/>
                <w:color w:val="000000"/>
                <w:sz w:val="20"/>
                <w:szCs w:val="20"/>
                <w:lang w:val="en-GB"/>
              </w:rPr>
              <w:t>in prices as at the beginning of 2020</w:t>
            </w:r>
            <w:r w:rsidRPr="0045151D">
              <w:rPr>
                <w:rFonts w:ascii="Calibri" w:eastAsia="Calibri" w:hAnsi="Calibri" w:cs="Calibri"/>
                <w:color w:val="000000"/>
                <w:sz w:val="20"/>
                <w:szCs w:val="20"/>
                <w:lang w:val="en-GB"/>
              </w:rPr>
              <w:t>).</w:t>
            </w:r>
          </w:p>
          <w:p w14:paraId="2759AC3F" w14:textId="77777777" w:rsidR="00600DEE" w:rsidRPr="0045151D" w:rsidRDefault="00641FB5">
            <w:p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energy consumption costs for electric LV result from multiplying:</w:t>
            </w:r>
          </w:p>
          <w:p w14:paraId="3631AC80" w14:textId="77777777" w:rsidR="00600DEE" w:rsidRPr="0045151D" w:rsidRDefault="00641FB5" w:rsidP="00D5736B">
            <w:pPr>
              <w:numPr>
                <w:ilvl w:val="0"/>
                <w:numId w:val="26"/>
              </w:num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average consumption rate for an average LV of 0.233 kWh/vehkm (as provided in "EIB Project Carbon Footprint Methodologies", July 2020, Tables A1.7 Transport Emissions Factors - Road transport); by </w:t>
            </w:r>
          </w:p>
          <w:p w14:paraId="2AB38C82" w14:textId="6E4ED45D" w:rsidR="00600DEE" w:rsidRPr="0045151D" w:rsidRDefault="00641FB5" w:rsidP="00D5736B">
            <w:pPr>
              <w:numPr>
                <w:ilvl w:val="0"/>
                <w:numId w:val="26"/>
              </w:num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electricity cost (0.2044 PLN/kWh</w:t>
            </w:r>
            <w:r w:rsidR="005771F2">
              <w:rPr>
                <w:rFonts w:ascii="Calibri" w:eastAsia="Calibri" w:hAnsi="Calibri" w:cs="Calibri"/>
                <w:color w:val="000000"/>
                <w:sz w:val="20"/>
                <w:szCs w:val="20"/>
                <w:lang w:val="en-GB"/>
              </w:rPr>
              <w:t xml:space="preserve"> in 2019</w:t>
            </w:r>
            <w:r w:rsidRPr="0045151D">
              <w:rPr>
                <w:rFonts w:ascii="Calibri" w:eastAsia="Calibri" w:hAnsi="Calibri" w:cs="Calibri"/>
                <w:color w:val="000000"/>
                <w:sz w:val="20"/>
                <w:szCs w:val="20"/>
                <w:lang w:val="en-GB"/>
              </w:rPr>
              <w:t>). This is based on “Eurostat, Electricity prices components for non-household consumers - annual data (from 2007 onwards)”</w:t>
            </w:r>
            <w:r w:rsidRPr="0045151D">
              <w:rPr>
                <w:rFonts w:ascii="Arial" w:eastAsia="Arial" w:hAnsi="Arial" w:cs="Arial"/>
                <w:color w:val="000000"/>
                <w:sz w:val="20"/>
                <w:szCs w:val="20"/>
                <w:lang w:val="en-GB"/>
              </w:rPr>
              <w:t xml:space="preserve"> </w:t>
            </w:r>
            <w:r w:rsidRPr="0045151D">
              <w:rPr>
                <w:rFonts w:ascii="Calibri" w:eastAsia="Calibri" w:hAnsi="Calibri" w:cs="Calibri"/>
                <w:color w:val="000000"/>
                <w:sz w:val="20"/>
                <w:szCs w:val="20"/>
                <w:lang w:val="en-GB"/>
              </w:rPr>
              <w:t>https://ec.europa.eu/eurostat/databrowser/view/NRG_PC_205_C__custom_519166/default/table?lang=en</w:t>
            </w:r>
          </w:p>
          <w:p w14:paraId="42ECDAF5" w14:textId="77777777" w:rsidR="00C25D65" w:rsidRDefault="00C25D65">
            <w:pPr>
              <w:pBdr>
                <w:top w:val="nil"/>
                <w:left w:val="nil"/>
                <w:bottom w:val="nil"/>
                <w:right w:val="nil"/>
                <w:between w:val="nil"/>
              </w:pBdr>
              <w:spacing w:before="60"/>
              <w:jc w:val="both"/>
              <w:rPr>
                <w:rFonts w:ascii="Calibri" w:eastAsia="Calibri" w:hAnsi="Calibri" w:cs="Calibri"/>
                <w:color w:val="000000"/>
                <w:sz w:val="20"/>
                <w:szCs w:val="20"/>
                <w:lang w:val="en-GB"/>
              </w:rPr>
            </w:pPr>
          </w:p>
          <w:p w14:paraId="61244457" w14:textId="77777777" w:rsidR="00C25D65" w:rsidRDefault="00C25D65">
            <w:pPr>
              <w:pBdr>
                <w:top w:val="nil"/>
                <w:left w:val="nil"/>
                <w:bottom w:val="nil"/>
                <w:right w:val="nil"/>
                <w:between w:val="nil"/>
              </w:pBdr>
              <w:spacing w:before="60"/>
              <w:jc w:val="both"/>
              <w:rPr>
                <w:rFonts w:ascii="Calibri" w:eastAsia="Calibri" w:hAnsi="Calibri" w:cs="Calibri"/>
                <w:color w:val="000000"/>
                <w:sz w:val="20"/>
                <w:szCs w:val="20"/>
                <w:lang w:val="en-GB"/>
              </w:rPr>
            </w:pPr>
          </w:p>
          <w:p w14:paraId="4A8878D2" w14:textId="77777777" w:rsidR="00C25D65" w:rsidRDefault="00C25D65">
            <w:pPr>
              <w:pBdr>
                <w:top w:val="nil"/>
                <w:left w:val="nil"/>
                <w:bottom w:val="nil"/>
                <w:right w:val="nil"/>
                <w:between w:val="nil"/>
              </w:pBdr>
              <w:spacing w:before="60"/>
              <w:jc w:val="both"/>
              <w:rPr>
                <w:rFonts w:ascii="Calibri" w:eastAsia="Calibri" w:hAnsi="Calibri" w:cs="Calibri"/>
                <w:color w:val="000000"/>
                <w:sz w:val="20"/>
                <w:szCs w:val="20"/>
                <w:lang w:val="en-GB"/>
              </w:rPr>
            </w:pPr>
          </w:p>
          <w:p w14:paraId="5440147D" w14:textId="77777777" w:rsidR="00C25D65" w:rsidRDefault="00C25D65">
            <w:pPr>
              <w:pBdr>
                <w:top w:val="nil"/>
                <w:left w:val="nil"/>
                <w:bottom w:val="nil"/>
                <w:right w:val="nil"/>
                <w:between w:val="nil"/>
              </w:pBdr>
              <w:spacing w:before="60"/>
              <w:jc w:val="both"/>
              <w:rPr>
                <w:rFonts w:ascii="Calibri" w:eastAsia="Calibri" w:hAnsi="Calibri" w:cs="Calibri"/>
                <w:color w:val="000000"/>
                <w:sz w:val="20"/>
                <w:szCs w:val="20"/>
                <w:lang w:val="en-GB"/>
              </w:rPr>
            </w:pPr>
          </w:p>
          <w:p w14:paraId="4522212E" w14:textId="378A6B38" w:rsidR="00600DEE" w:rsidRPr="0045151D" w:rsidRDefault="00641FB5">
            <w:p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above referred "EIB Project Carbon Footprint Methodologies” provides references on average energy consumption rates for different types of electric vehicles (including buses) that might be of use for certain projects’ CBA.</w:t>
            </w:r>
          </w:p>
          <w:p w14:paraId="7A45EF66" w14:textId="395C47E3" w:rsidR="00600DEE" w:rsidRPr="0045151D" w:rsidRDefault="00641FB5">
            <w:pPr>
              <w:pBdr>
                <w:top w:val="nil"/>
                <w:left w:val="nil"/>
                <w:bottom w:val="nil"/>
                <w:right w:val="nil"/>
                <w:between w:val="nil"/>
              </w:pBdr>
              <w:spacing w:before="6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Similarly as for combustion motor LV, the road gradient and road condition impact the above referred costs as described below.</w:t>
            </w:r>
          </w:p>
          <w:p w14:paraId="67FE0DF2" w14:textId="2E135DFF"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Cost multiplying indicators depending on type of terrain for electric vehicles following same principles as described for combustion motor vehicles. These multiplying factors are to be applied to overall VOC:</w:t>
            </w:r>
          </w:p>
          <w:p w14:paraId="3809CD90" w14:textId="77777777" w:rsidR="00C25D65" w:rsidRPr="0045151D" w:rsidRDefault="00C25D65">
            <w:pPr>
              <w:pBdr>
                <w:top w:val="nil"/>
                <w:left w:val="nil"/>
                <w:bottom w:val="nil"/>
                <w:right w:val="nil"/>
                <w:between w:val="nil"/>
              </w:pBdr>
              <w:spacing w:before="120" w:after="120"/>
              <w:jc w:val="both"/>
              <w:rPr>
                <w:rFonts w:ascii="Calibri" w:eastAsia="Calibri" w:hAnsi="Calibri" w:cs="Calibri"/>
                <w:color w:val="000000"/>
                <w:sz w:val="20"/>
                <w:szCs w:val="20"/>
                <w:lang w:val="en-GB"/>
              </w:rPr>
            </w:pPr>
          </w:p>
          <w:tbl>
            <w:tblPr>
              <w:tblStyle w:val="afffffffffffffff2"/>
              <w:tblW w:w="3395" w:type="dxa"/>
              <w:tblLayout w:type="fixed"/>
              <w:tblLook w:val="0400" w:firstRow="0" w:lastRow="0" w:firstColumn="0" w:lastColumn="0" w:noHBand="0" w:noVBand="1"/>
            </w:tblPr>
            <w:tblGrid>
              <w:gridCol w:w="1694"/>
              <w:gridCol w:w="850"/>
              <w:gridCol w:w="851"/>
            </w:tblGrid>
            <w:tr w:rsidR="00600DEE" w:rsidRPr="007463B9" w14:paraId="2B673F1B" w14:textId="77777777">
              <w:trPr>
                <w:trHeight w:val="309"/>
              </w:trPr>
              <w:tc>
                <w:tcPr>
                  <w:tcW w:w="1694" w:type="dxa"/>
                  <w:tcBorders>
                    <w:top w:val="single" w:sz="4" w:space="0" w:color="FFFFFF"/>
                    <w:left w:val="single" w:sz="4" w:space="0" w:color="FFFFFF"/>
                    <w:bottom w:val="single" w:sz="4" w:space="0" w:color="FFFFFF"/>
                    <w:right w:val="nil"/>
                  </w:tcBorders>
                  <w:shd w:val="clear" w:color="auto" w:fill="A6A6A6"/>
                  <w:vAlign w:val="center"/>
                </w:tcPr>
                <w:p w14:paraId="1869DA5A"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Type of terrain</w:t>
                  </w:r>
                </w:p>
              </w:tc>
              <w:tc>
                <w:tcPr>
                  <w:tcW w:w="850" w:type="dxa"/>
                  <w:tcBorders>
                    <w:top w:val="single" w:sz="4" w:space="0" w:color="FFFFFF"/>
                    <w:left w:val="single" w:sz="4" w:space="0" w:color="FFFFFF"/>
                    <w:bottom w:val="single" w:sz="4" w:space="0" w:color="FFFFFF"/>
                    <w:right w:val="nil"/>
                  </w:tcBorders>
                  <w:shd w:val="clear" w:color="auto" w:fill="A6A6A6"/>
                  <w:vAlign w:val="center"/>
                </w:tcPr>
                <w:p w14:paraId="2FEA7594"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LV</w:t>
                  </w:r>
                </w:p>
              </w:tc>
              <w:tc>
                <w:tcPr>
                  <w:tcW w:w="851" w:type="dxa"/>
                  <w:tcBorders>
                    <w:top w:val="single" w:sz="4" w:space="0" w:color="FFFFFF"/>
                    <w:left w:val="single" w:sz="4" w:space="0" w:color="FFFFFF"/>
                    <w:bottom w:val="single" w:sz="4" w:space="0" w:color="FFFFFF"/>
                    <w:right w:val="nil"/>
                  </w:tcBorders>
                  <w:shd w:val="clear" w:color="auto" w:fill="A6A6A6"/>
                  <w:vAlign w:val="center"/>
                </w:tcPr>
                <w:p w14:paraId="50AD8229" w14:textId="77777777" w:rsidR="00600DEE" w:rsidRPr="0045151D" w:rsidRDefault="00641FB5">
                  <w:pPr>
                    <w:spacing w:before="20" w:after="20"/>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HGV</w:t>
                  </w:r>
                </w:p>
              </w:tc>
            </w:tr>
            <w:tr w:rsidR="00600DEE" w:rsidRPr="007463B9" w14:paraId="6054C68C" w14:textId="77777777">
              <w:trPr>
                <w:trHeight w:val="258"/>
              </w:trPr>
              <w:tc>
                <w:tcPr>
                  <w:tcW w:w="1694" w:type="dxa"/>
                  <w:tcBorders>
                    <w:top w:val="single" w:sz="4" w:space="0" w:color="FFFFFF"/>
                    <w:left w:val="single" w:sz="4" w:space="0" w:color="FFFFFF"/>
                    <w:bottom w:val="single" w:sz="4" w:space="0" w:color="FFFFFF"/>
                    <w:right w:val="nil"/>
                  </w:tcBorders>
                  <w:shd w:val="clear" w:color="auto" w:fill="DBE5F1"/>
                  <w:vAlign w:val="center"/>
                </w:tcPr>
                <w:p w14:paraId="32ECAAFA"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Flat</w:t>
                  </w:r>
                </w:p>
              </w:tc>
              <w:tc>
                <w:tcPr>
                  <w:tcW w:w="850" w:type="dxa"/>
                  <w:tcBorders>
                    <w:top w:val="single" w:sz="4" w:space="0" w:color="FFFFFF"/>
                    <w:left w:val="single" w:sz="4" w:space="0" w:color="FFFFFF"/>
                    <w:bottom w:val="single" w:sz="4" w:space="0" w:color="FFFFFF"/>
                    <w:right w:val="nil"/>
                  </w:tcBorders>
                  <w:shd w:val="clear" w:color="auto" w:fill="DBE5F1"/>
                  <w:vAlign w:val="bottom"/>
                </w:tcPr>
                <w:p w14:paraId="3C680D3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1.000</w:t>
                  </w:r>
                </w:p>
              </w:tc>
              <w:tc>
                <w:tcPr>
                  <w:tcW w:w="851" w:type="dxa"/>
                  <w:tcBorders>
                    <w:top w:val="single" w:sz="4" w:space="0" w:color="FFFFFF"/>
                    <w:left w:val="single" w:sz="4" w:space="0" w:color="FFFFFF"/>
                    <w:bottom w:val="single" w:sz="4" w:space="0" w:color="FFFFFF"/>
                    <w:right w:val="nil"/>
                  </w:tcBorders>
                  <w:shd w:val="clear" w:color="auto" w:fill="DBE5F1"/>
                  <w:vAlign w:val="bottom"/>
                </w:tcPr>
                <w:p w14:paraId="7ECED88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1.000</w:t>
                  </w:r>
                </w:p>
              </w:tc>
            </w:tr>
            <w:tr w:rsidR="00600DEE" w:rsidRPr="007463B9" w14:paraId="66085F8C" w14:textId="77777777">
              <w:trPr>
                <w:trHeight w:val="258"/>
              </w:trPr>
              <w:tc>
                <w:tcPr>
                  <w:tcW w:w="1694" w:type="dxa"/>
                  <w:tcBorders>
                    <w:top w:val="single" w:sz="4" w:space="0" w:color="FFFFFF"/>
                    <w:left w:val="single" w:sz="4" w:space="0" w:color="FFFFFF"/>
                    <w:bottom w:val="single" w:sz="4" w:space="0" w:color="FFFFFF"/>
                    <w:right w:val="nil"/>
                  </w:tcBorders>
                  <w:shd w:val="clear" w:color="auto" w:fill="DBE5F1"/>
                  <w:vAlign w:val="center"/>
                </w:tcPr>
                <w:p w14:paraId="2F51C21A" w14:textId="77777777" w:rsidR="00600DEE" w:rsidRPr="0045151D" w:rsidRDefault="00641FB5">
                  <w:pPr>
                    <w:spacing w:before="20"/>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Rolling</w:t>
                  </w:r>
                </w:p>
              </w:tc>
              <w:tc>
                <w:tcPr>
                  <w:tcW w:w="850" w:type="dxa"/>
                  <w:tcBorders>
                    <w:top w:val="single" w:sz="4" w:space="0" w:color="FFFFFF"/>
                    <w:left w:val="single" w:sz="4" w:space="0" w:color="FFFFFF"/>
                    <w:bottom w:val="single" w:sz="4" w:space="0" w:color="FFFFFF"/>
                    <w:right w:val="nil"/>
                  </w:tcBorders>
                  <w:shd w:val="clear" w:color="auto" w:fill="DBE5F1"/>
                  <w:vAlign w:val="bottom"/>
                </w:tcPr>
                <w:p w14:paraId="6E901FB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1.032</w:t>
                  </w:r>
                </w:p>
              </w:tc>
              <w:tc>
                <w:tcPr>
                  <w:tcW w:w="851" w:type="dxa"/>
                  <w:tcBorders>
                    <w:top w:val="single" w:sz="4" w:space="0" w:color="FFFFFF"/>
                    <w:left w:val="single" w:sz="4" w:space="0" w:color="FFFFFF"/>
                    <w:bottom w:val="single" w:sz="4" w:space="0" w:color="FFFFFF"/>
                    <w:right w:val="nil"/>
                  </w:tcBorders>
                  <w:shd w:val="clear" w:color="auto" w:fill="DBE5F1"/>
                  <w:vAlign w:val="bottom"/>
                </w:tcPr>
                <w:p w14:paraId="2A1E434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1.200</w:t>
                  </w:r>
                </w:p>
              </w:tc>
            </w:tr>
          </w:tbl>
          <w:p w14:paraId="4AB6A418" w14:textId="77777777" w:rsidR="00C25D65" w:rsidRDefault="00C25D65">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2AC6FB5C" w14:textId="560CF8EE"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Cost multiplying factors for road condition for electric and hybrid vehicles (LV, city buses) are applied to overall VOC and are based on the principles described for combustion motor LV. </w:t>
            </w:r>
          </w:p>
          <w:p w14:paraId="2EA5CAB2" w14:textId="77777777" w:rsidR="00600DEE" w:rsidRPr="0045151D" w:rsidRDefault="00600DEE">
            <w:pPr>
              <w:pBdr>
                <w:top w:val="nil"/>
                <w:left w:val="nil"/>
                <w:bottom w:val="nil"/>
                <w:right w:val="nil"/>
                <w:between w:val="nil"/>
              </w:pBdr>
              <w:spacing w:before="60"/>
              <w:jc w:val="both"/>
              <w:rPr>
                <w:rFonts w:ascii="Calibri" w:eastAsia="Calibri" w:hAnsi="Calibri" w:cs="Calibri"/>
                <w:color w:val="000000"/>
                <w:sz w:val="20"/>
                <w:szCs w:val="20"/>
                <w:lang w:val="en-GB"/>
              </w:rPr>
            </w:pPr>
          </w:p>
          <w:tbl>
            <w:tblPr>
              <w:tblStyle w:val="afffffffffffffff3"/>
              <w:tblW w:w="5605" w:type="dxa"/>
              <w:tblLayout w:type="fixed"/>
              <w:tblLook w:val="0400" w:firstRow="0" w:lastRow="0" w:firstColumn="0" w:lastColumn="0" w:noHBand="0" w:noVBand="1"/>
            </w:tblPr>
            <w:tblGrid>
              <w:gridCol w:w="2695"/>
              <w:gridCol w:w="1351"/>
              <w:gridCol w:w="1559"/>
            </w:tblGrid>
            <w:tr w:rsidR="00600DEE" w14:paraId="01B8F422" w14:textId="77777777">
              <w:trPr>
                <w:trHeight w:val="337"/>
              </w:trPr>
              <w:tc>
                <w:tcPr>
                  <w:tcW w:w="2695" w:type="dxa"/>
                  <w:tcBorders>
                    <w:top w:val="single" w:sz="4" w:space="0" w:color="FFFFFF"/>
                    <w:left w:val="single" w:sz="4" w:space="0" w:color="FFFFFF"/>
                    <w:bottom w:val="single" w:sz="4" w:space="0" w:color="FFFFFF"/>
                    <w:right w:val="nil"/>
                  </w:tcBorders>
                  <w:shd w:val="clear" w:color="auto" w:fill="A6A6A6"/>
                  <w:vAlign w:val="center"/>
                </w:tcPr>
                <w:p w14:paraId="295DD313"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Road condition</w:t>
                  </w:r>
                </w:p>
              </w:tc>
              <w:tc>
                <w:tcPr>
                  <w:tcW w:w="1351" w:type="dxa"/>
                  <w:tcBorders>
                    <w:top w:val="single" w:sz="4" w:space="0" w:color="FFFFFF"/>
                    <w:left w:val="single" w:sz="4" w:space="0" w:color="FFFFFF"/>
                    <w:bottom w:val="single" w:sz="4" w:space="0" w:color="FFFFFF"/>
                    <w:right w:val="nil"/>
                  </w:tcBorders>
                  <w:shd w:val="clear" w:color="auto" w:fill="A6A6A6"/>
                  <w:vAlign w:val="center"/>
                </w:tcPr>
                <w:p w14:paraId="0F775387"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LV</w:t>
                  </w:r>
                </w:p>
              </w:tc>
              <w:tc>
                <w:tcPr>
                  <w:tcW w:w="1559" w:type="dxa"/>
                  <w:tcBorders>
                    <w:top w:val="single" w:sz="4" w:space="0" w:color="FFFFFF"/>
                    <w:left w:val="single" w:sz="4" w:space="0" w:color="FFFFFF"/>
                    <w:bottom w:val="single" w:sz="4" w:space="0" w:color="FFFFFF"/>
                    <w:right w:val="nil"/>
                  </w:tcBorders>
                  <w:shd w:val="clear" w:color="auto" w:fill="A6A6A6"/>
                  <w:vAlign w:val="center"/>
                </w:tcPr>
                <w:p w14:paraId="6FCC0A6D" w14:textId="77777777" w:rsidR="00600DEE" w:rsidRDefault="00641FB5">
                  <w:pPr>
                    <w:spacing w:before="20" w:after="20"/>
                    <w:jc w:val="center"/>
                    <w:rPr>
                      <w:rFonts w:ascii="Calibri" w:eastAsia="Calibri" w:hAnsi="Calibri" w:cs="Calibri"/>
                      <w:b/>
                      <w:color w:val="FFFFFF"/>
                      <w:sz w:val="18"/>
                      <w:szCs w:val="18"/>
                    </w:rPr>
                  </w:pPr>
                  <w:r>
                    <w:rPr>
                      <w:rFonts w:ascii="Calibri" w:eastAsia="Calibri" w:hAnsi="Calibri" w:cs="Calibri"/>
                      <w:b/>
                      <w:color w:val="FFFFFF"/>
                      <w:sz w:val="18"/>
                      <w:szCs w:val="18"/>
                    </w:rPr>
                    <w:t>Electric bus</w:t>
                  </w:r>
                </w:p>
              </w:tc>
            </w:tr>
            <w:tr w:rsidR="00600DEE" w14:paraId="516BF7AF"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2F7A6BA2"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Good (after construction/rehabilitation)</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067FF0F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754ACB7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1.000</w:t>
                  </w:r>
                </w:p>
              </w:tc>
            </w:tr>
            <w:tr w:rsidR="00600DEE" w14:paraId="4FFE7E95" w14:textId="77777777">
              <w:trPr>
                <w:trHeight w:val="281"/>
              </w:trPr>
              <w:tc>
                <w:tcPr>
                  <w:tcW w:w="2695" w:type="dxa"/>
                  <w:tcBorders>
                    <w:top w:val="single" w:sz="4" w:space="0" w:color="FFFFFF"/>
                    <w:left w:val="single" w:sz="4" w:space="0" w:color="FFFFFF"/>
                    <w:bottom w:val="single" w:sz="4" w:space="0" w:color="FFFFFF"/>
                    <w:right w:val="nil"/>
                  </w:tcBorders>
                  <w:shd w:val="clear" w:color="auto" w:fill="DBE5F1"/>
                  <w:vAlign w:val="center"/>
                </w:tcPr>
                <w:p w14:paraId="3609C69F" w14:textId="77777777" w:rsidR="00600DEE" w:rsidRDefault="00641FB5">
                  <w:pPr>
                    <w:spacing w:before="20"/>
                    <w:jc w:val="center"/>
                    <w:rPr>
                      <w:rFonts w:ascii="Calibri" w:eastAsia="Calibri" w:hAnsi="Calibri" w:cs="Calibri"/>
                      <w:color w:val="4F81BD"/>
                      <w:sz w:val="18"/>
                      <w:szCs w:val="18"/>
                    </w:rPr>
                  </w:pPr>
                  <w:r>
                    <w:rPr>
                      <w:rFonts w:ascii="Calibri" w:eastAsia="Calibri" w:hAnsi="Calibri" w:cs="Calibri"/>
                      <w:color w:val="4F81BD"/>
                      <w:sz w:val="18"/>
                      <w:szCs w:val="18"/>
                    </w:rPr>
                    <w:t>Degraded</w:t>
                  </w:r>
                </w:p>
              </w:tc>
              <w:tc>
                <w:tcPr>
                  <w:tcW w:w="1351" w:type="dxa"/>
                  <w:tcBorders>
                    <w:top w:val="single" w:sz="4" w:space="0" w:color="FFFFFF"/>
                    <w:left w:val="single" w:sz="4" w:space="0" w:color="FFFFFF"/>
                    <w:bottom w:val="single" w:sz="4" w:space="0" w:color="FFFFFF"/>
                    <w:right w:val="nil"/>
                  </w:tcBorders>
                  <w:shd w:val="clear" w:color="auto" w:fill="DBE5F1"/>
                  <w:vAlign w:val="bottom"/>
                </w:tcPr>
                <w:p w14:paraId="301597A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1.169</w:t>
                  </w:r>
                </w:p>
              </w:tc>
              <w:tc>
                <w:tcPr>
                  <w:tcW w:w="1559" w:type="dxa"/>
                  <w:tcBorders>
                    <w:top w:val="single" w:sz="4" w:space="0" w:color="FFFFFF"/>
                    <w:left w:val="single" w:sz="4" w:space="0" w:color="FFFFFF"/>
                    <w:bottom w:val="single" w:sz="4" w:space="0" w:color="FFFFFF"/>
                    <w:right w:val="nil"/>
                  </w:tcBorders>
                  <w:shd w:val="clear" w:color="auto" w:fill="DBE5F1"/>
                  <w:vAlign w:val="bottom"/>
                </w:tcPr>
                <w:p w14:paraId="4766DB7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1.188</w:t>
                  </w:r>
                </w:p>
              </w:tc>
            </w:tr>
          </w:tbl>
          <w:p w14:paraId="714AFADC" w14:textId="77777777" w:rsidR="00600DEE" w:rsidRDefault="00600DEE">
            <w:pPr>
              <w:pBdr>
                <w:top w:val="nil"/>
                <w:left w:val="nil"/>
                <w:bottom w:val="nil"/>
                <w:right w:val="nil"/>
                <w:between w:val="nil"/>
              </w:pBdr>
              <w:spacing w:before="60"/>
              <w:jc w:val="both"/>
              <w:rPr>
                <w:rFonts w:ascii="Calibri" w:eastAsia="Calibri" w:hAnsi="Calibri" w:cs="Calibri"/>
                <w:color w:val="000000"/>
                <w:sz w:val="20"/>
                <w:szCs w:val="20"/>
              </w:rPr>
            </w:pPr>
          </w:p>
          <w:p w14:paraId="6486B6DE" w14:textId="77777777" w:rsidR="00600DEE" w:rsidRDefault="00600DEE">
            <w:pPr>
              <w:pBdr>
                <w:top w:val="nil"/>
                <w:left w:val="nil"/>
                <w:bottom w:val="nil"/>
                <w:right w:val="nil"/>
                <w:between w:val="nil"/>
              </w:pBdr>
              <w:spacing w:before="60"/>
              <w:jc w:val="both"/>
              <w:rPr>
                <w:rFonts w:ascii="Calibri" w:eastAsia="Calibri" w:hAnsi="Calibri" w:cs="Calibri"/>
                <w:color w:val="000000"/>
                <w:sz w:val="20"/>
                <w:szCs w:val="20"/>
              </w:rPr>
            </w:pPr>
          </w:p>
          <w:p w14:paraId="1F2240B0" w14:textId="77777777" w:rsidR="00600DEE" w:rsidRDefault="00600DEE">
            <w:pPr>
              <w:pBdr>
                <w:top w:val="nil"/>
                <w:left w:val="nil"/>
                <w:bottom w:val="nil"/>
                <w:right w:val="nil"/>
                <w:between w:val="nil"/>
              </w:pBdr>
              <w:spacing w:before="60"/>
              <w:jc w:val="both"/>
              <w:rPr>
                <w:rFonts w:ascii="Calibri" w:eastAsia="Calibri" w:hAnsi="Calibri" w:cs="Calibri"/>
                <w:color w:val="000000"/>
                <w:sz w:val="20"/>
                <w:szCs w:val="20"/>
              </w:rPr>
            </w:pPr>
          </w:p>
          <w:p w14:paraId="001851D8" w14:textId="77777777" w:rsidR="00600DEE" w:rsidRDefault="00600DEE">
            <w:pPr>
              <w:pBdr>
                <w:top w:val="nil"/>
                <w:left w:val="nil"/>
                <w:bottom w:val="nil"/>
                <w:right w:val="nil"/>
                <w:between w:val="nil"/>
              </w:pBdr>
              <w:spacing w:before="60"/>
              <w:jc w:val="both"/>
              <w:rPr>
                <w:rFonts w:ascii="Calibri" w:eastAsia="Calibri" w:hAnsi="Calibri" w:cs="Calibri"/>
                <w:b/>
                <w:color w:val="000000"/>
                <w:sz w:val="20"/>
                <w:szCs w:val="20"/>
              </w:rPr>
            </w:pPr>
          </w:p>
        </w:tc>
      </w:tr>
    </w:tbl>
    <w:p w14:paraId="20D29D66" w14:textId="77777777" w:rsidR="00600DEE" w:rsidRPr="0045151D" w:rsidRDefault="00641FB5">
      <w:pPr>
        <w:pStyle w:val="Nagwek1"/>
        <w:rPr>
          <w:rFonts w:ascii="Calibri" w:eastAsia="Calibri" w:hAnsi="Calibri" w:cs="Calibri"/>
          <w:color w:val="0070C0"/>
          <w:lang w:val="pl-PL"/>
        </w:rPr>
      </w:pPr>
      <w:bookmarkStart w:id="133" w:name="_Toc95378020"/>
      <w:r w:rsidRPr="0045151D">
        <w:rPr>
          <w:rFonts w:ascii="Calibri" w:eastAsia="Calibri" w:hAnsi="Calibri" w:cs="Calibri"/>
          <w:color w:val="0070C0"/>
          <w:lang w:val="pl-PL"/>
        </w:rPr>
        <w:t>Załącznik E: Metody obliczania kosztów wypadków drogowych</w:t>
      </w:r>
      <w:r w:rsidRPr="0045151D">
        <w:rPr>
          <w:rFonts w:ascii="Calibri" w:eastAsia="Calibri" w:hAnsi="Calibri" w:cs="Calibri"/>
          <w:color w:val="0070C0"/>
          <w:lang w:val="pl-PL"/>
        </w:rPr>
        <w:br/>
      </w:r>
      <w:r w:rsidRPr="0045151D">
        <w:rPr>
          <w:rFonts w:ascii="Calibri" w:eastAsia="Calibri" w:hAnsi="Calibri" w:cs="Calibri"/>
          <w:i/>
          <w:color w:val="0070C0"/>
          <w:lang w:val="pl-PL"/>
        </w:rPr>
        <w:t>Appendix E: Methods of accidents costs calculation</w:t>
      </w:r>
      <w:bookmarkEnd w:id="133"/>
    </w:p>
    <w:p w14:paraId="4AED260D" w14:textId="77777777" w:rsidR="00600DEE" w:rsidRDefault="00641FB5">
      <w:pPr>
        <w:rPr>
          <w:rFonts w:ascii="Calibri" w:eastAsia="Calibri" w:hAnsi="Calibri" w:cs="Calibri"/>
          <w:color w:val="4F81BD"/>
          <w:sz w:val="28"/>
          <w:szCs w:val="28"/>
        </w:rPr>
      </w:pPr>
      <w:r>
        <w:rPr>
          <w:rFonts w:ascii="Calibri" w:eastAsia="Calibri" w:hAnsi="Calibri" w:cs="Calibri"/>
          <w:b/>
          <w:color w:val="4F81BD"/>
          <w:sz w:val="28"/>
          <w:szCs w:val="28"/>
        </w:rPr>
        <w:t>Metoda I</w:t>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t xml:space="preserve">        </w:t>
      </w:r>
      <w:r>
        <w:rPr>
          <w:rFonts w:ascii="Calibri" w:eastAsia="Calibri" w:hAnsi="Calibri" w:cs="Calibri"/>
          <w:b/>
          <w:i/>
          <w:color w:val="4F81BD"/>
          <w:sz w:val="28"/>
          <w:szCs w:val="28"/>
        </w:rPr>
        <w:t xml:space="preserve"> Method I</w:t>
      </w:r>
    </w:p>
    <w:tbl>
      <w:tblPr>
        <w:tblStyle w:val="afffffffffffffff4"/>
        <w:tblW w:w="15036" w:type="dxa"/>
        <w:tblInd w:w="-465" w:type="dxa"/>
        <w:tblLayout w:type="fixed"/>
        <w:tblLook w:val="0400" w:firstRow="0" w:lastRow="0" w:firstColumn="0" w:lastColumn="0" w:noHBand="0" w:noVBand="1"/>
      </w:tblPr>
      <w:tblGrid>
        <w:gridCol w:w="8025"/>
        <w:gridCol w:w="7011"/>
      </w:tblGrid>
      <w:tr w:rsidR="00600DEE" w:rsidRPr="007463B9" w14:paraId="6C3CF6AC" w14:textId="77777777" w:rsidTr="00E7601A">
        <w:tc>
          <w:tcPr>
            <w:tcW w:w="8025" w:type="dxa"/>
            <w:tcBorders>
              <w:right w:val="single" w:sz="4" w:space="0" w:color="000000"/>
            </w:tcBorders>
            <w:tcMar>
              <w:left w:w="284" w:type="dxa"/>
              <w:right w:w="284" w:type="dxa"/>
            </w:tcMar>
          </w:tcPr>
          <w:p w14:paraId="06D98BF4" w14:textId="77777777" w:rsidR="00600DEE" w:rsidRDefault="00641FB5" w:rsidP="00D5736B">
            <w:pPr>
              <w:numPr>
                <w:ilvl w:val="0"/>
                <w:numId w:val="48"/>
              </w:numPr>
              <w:pBdr>
                <w:top w:val="nil"/>
                <w:left w:val="nil"/>
                <w:bottom w:val="nil"/>
                <w:right w:val="nil"/>
                <w:between w:val="nil"/>
              </w:pBdr>
              <w:spacing w:before="120" w:after="120"/>
              <w:ind w:left="284" w:hanging="284"/>
              <w:jc w:val="both"/>
              <w:rPr>
                <w:rFonts w:ascii="Calibri" w:eastAsia="Calibri" w:hAnsi="Calibri" w:cs="Calibri"/>
                <w:b/>
                <w:color w:val="4F81BD"/>
                <w:sz w:val="23"/>
                <w:szCs w:val="23"/>
              </w:rPr>
            </w:pPr>
            <w:r>
              <w:rPr>
                <w:rFonts w:ascii="Calibri" w:eastAsia="Calibri" w:hAnsi="Calibri" w:cs="Calibri"/>
                <w:b/>
                <w:color w:val="4F81BD"/>
                <w:sz w:val="23"/>
                <w:szCs w:val="23"/>
              </w:rPr>
              <w:t>Uwagi ogólne</w:t>
            </w:r>
          </w:p>
          <w:p w14:paraId="62DAD133"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 xml:space="preserve">Do oszacowania kosztów wypadków drogowych można zastosować metodykę opartą o prawdopodobieństwo wystąpienia wypadku w odniesieniu do pracy przewozowej (w poj-km oraz wskaźnik wypadkowości dla danej kategorii drogi dla pozostałych zdarzeń – ofiary śmiertelne, ranni, ciężko ranni, lekko ranni). Niniejszy załącznik zawiera tabele ze względnymi wskaźnikami wypadków </w:t>
            </w:r>
            <w:r>
              <w:rPr>
                <w:rFonts w:ascii="Calibri" w:eastAsia="Calibri" w:hAnsi="Calibri" w:cs="Calibri"/>
                <w:b/>
                <w:sz w:val="20"/>
                <w:szCs w:val="20"/>
              </w:rPr>
              <w:t xml:space="preserve">RAI </w:t>
            </w:r>
            <w:r>
              <w:rPr>
                <w:rFonts w:ascii="Calibri" w:eastAsia="Calibri" w:hAnsi="Calibri" w:cs="Calibri"/>
                <w:sz w:val="20"/>
                <w:szCs w:val="20"/>
              </w:rPr>
              <w:t xml:space="preserve">(ang. </w:t>
            </w:r>
            <w:r>
              <w:rPr>
                <w:rFonts w:ascii="Calibri" w:eastAsia="Calibri" w:hAnsi="Calibri" w:cs="Calibri"/>
                <w:i/>
                <w:sz w:val="20"/>
                <w:szCs w:val="20"/>
              </w:rPr>
              <w:t>Relative Accident Indicator</w:t>
            </w:r>
            <w:r>
              <w:rPr>
                <w:rFonts w:ascii="Calibri" w:eastAsia="Calibri" w:hAnsi="Calibri" w:cs="Calibri"/>
                <w:sz w:val="20"/>
                <w:szCs w:val="20"/>
              </w:rPr>
              <w:t>, przygotowane na podstawie metody wskaźników BRD przedstawionej w dalszej części załącznika) oraz wskaźniki dotkliwości wypadków :</w:t>
            </w:r>
          </w:p>
          <w:p w14:paraId="7F988F41" w14:textId="77777777" w:rsidR="00600DEE" w:rsidRDefault="00641FB5" w:rsidP="00D5736B">
            <w:pPr>
              <w:numPr>
                <w:ilvl w:val="0"/>
                <w:numId w:val="51"/>
              </w:numPr>
              <w:pBdr>
                <w:top w:val="nil"/>
                <w:left w:val="nil"/>
                <w:bottom w:val="nil"/>
                <w:right w:val="nil"/>
                <w:between w:val="nil"/>
              </w:pBdr>
              <w:spacing w:before="120"/>
              <w:ind w:left="851" w:hanging="851"/>
              <w:jc w:val="both"/>
              <w:rPr>
                <w:rFonts w:ascii="Calibri" w:eastAsia="Calibri" w:hAnsi="Calibri" w:cs="Calibri"/>
                <w:color w:val="000000"/>
                <w:sz w:val="20"/>
                <w:szCs w:val="20"/>
              </w:rPr>
            </w:pPr>
            <w:r>
              <w:rPr>
                <w:rFonts w:ascii="Calibri" w:eastAsia="Calibri" w:hAnsi="Calibri" w:cs="Calibri"/>
                <w:b/>
                <w:color w:val="000000"/>
                <w:sz w:val="20"/>
                <w:szCs w:val="20"/>
              </w:rPr>
              <w:t>WR</w:t>
            </w:r>
            <w:r>
              <w:rPr>
                <w:rFonts w:ascii="Calibri" w:eastAsia="Calibri" w:hAnsi="Calibri" w:cs="Calibri"/>
                <w:color w:val="000000"/>
                <w:sz w:val="20"/>
                <w:szCs w:val="20"/>
              </w:rPr>
              <w:t xml:space="preserve"> – średnia liczba rannych poszkodowanych w jednym wypadku drogowym,</w:t>
            </w:r>
          </w:p>
          <w:p w14:paraId="1ABCA8E0" w14:textId="77777777" w:rsidR="00600DEE" w:rsidRDefault="00641FB5" w:rsidP="00D5736B">
            <w:pPr>
              <w:numPr>
                <w:ilvl w:val="0"/>
                <w:numId w:val="51"/>
              </w:numPr>
              <w:pBdr>
                <w:top w:val="nil"/>
                <w:left w:val="nil"/>
                <w:bottom w:val="nil"/>
                <w:right w:val="nil"/>
                <w:between w:val="nil"/>
              </w:pBdr>
              <w:ind w:left="851" w:hanging="851"/>
              <w:jc w:val="both"/>
              <w:rPr>
                <w:rFonts w:ascii="Calibri" w:eastAsia="Calibri" w:hAnsi="Calibri" w:cs="Calibri"/>
                <w:color w:val="000000"/>
                <w:sz w:val="20"/>
                <w:szCs w:val="20"/>
              </w:rPr>
            </w:pPr>
            <w:r>
              <w:rPr>
                <w:rFonts w:ascii="Calibri" w:eastAsia="Calibri" w:hAnsi="Calibri" w:cs="Calibri"/>
                <w:b/>
                <w:color w:val="000000"/>
                <w:sz w:val="20"/>
                <w:szCs w:val="20"/>
              </w:rPr>
              <w:t>WCR</w:t>
            </w:r>
            <w:r>
              <w:rPr>
                <w:rFonts w:ascii="Calibri" w:eastAsia="Calibri" w:hAnsi="Calibri" w:cs="Calibri"/>
                <w:color w:val="000000"/>
                <w:sz w:val="20"/>
                <w:szCs w:val="20"/>
              </w:rPr>
              <w:t xml:space="preserve"> – średnia liczba ciężko rannych poszkodowanych w jednym wypadku drogowym,</w:t>
            </w:r>
          </w:p>
          <w:p w14:paraId="52A76161" w14:textId="77777777" w:rsidR="00600DEE" w:rsidRDefault="00641FB5" w:rsidP="00D5736B">
            <w:pPr>
              <w:numPr>
                <w:ilvl w:val="0"/>
                <w:numId w:val="51"/>
              </w:numPr>
              <w:pBdr>
                <w:top w:val="nil"/>
                <w:left w:val="nil"/>
                <w:bottom w:val="nil"/>
                <w:right w:val="nil"/>
                <w:between w:val="nil"/>
              </w:pBdr>
              <w:spacing w:after="120"/>
              <w:ind w:left="851" w:hanging="851"/>
              <w:jc w:val="both"/>
              <w:rPr>
                <w:rFonts w:ascii="Calibri" w:eastAsia="Calibri" w:hAnsi="Calibri" w:cs="Calibri"/>
                <w:color w:val="000000"/>
                <w:sz w:val="20"/>
                <w:szCs w:val="20"/>
              </w:rPr>
            </w:pPr>
            <w:r>
              <w:rPr>
                <w:rFonts w:ascii="Calibri" w:eastAsia="Calibri" w:hAnsi="Calibri" w:cs="Calibri"/>
                <w:b/>
                <w:color w:val="000000"/>
                <w:sz w:val="20"/>
                <w:szCs w:val="20"/>
              </w:rPr>
              <w:t xml:space="preserve">WZ </w:t>
            </w:r>
            <w:r>
              <w:rPr>
                <w:rFonts w:ascii="Calibri" w:eastAsia="Calibri" w:hAnsi="Calibri" w:cs="Calibri"/>
                <w:color w:val="000000"/>
                <w:sz w:val="20"/>
                <w:szCs w:val="20"/>
              </w:rPr>
              <w:t>– średnia liczba ofiar śmiertelnych w jednym wypadku drogowym.</w:t>
            </w:r>
          </w:p>
          <w:p w14:paraId="7A4FB56E"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Powyższe wskaźniki dotkliwości wypadków dotyczą sieci dróg krajowych i opierają się na badaniach ekspertów z Politechniki Gdańskiej przeprowadzonych w oparciu o dane z GDDKiA i Policji z lat 2011 – 2013.</w:t>
            </w:r>
          </w:p>
          <w:p w14:paraId="5EF02C14" w14:textId="71E7C04A"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Metoda została opracowana dla ciągów drogowych dwujezdniowych oraz jednojezdniowych (o długości ok. 10 km lub większej) dróg zamiejskich</w:t>
            </w:r>
            <w:r w:rsidR="00A85726">
              <w:rPr>
                <w:rStyle w:val="Odwoanieprzypisudolnego"/>
                <w:rFonts w:ascii="Calibri" w:eastAsia="Calibri" w:hAnsi="Calibri" w:cs="Calibri"/>
                <w:sz w:val="20"/>
                <w:szCs w:val="20"/>
              </w:rPr>
              <w:footnoteReference w:id="27"/>
            </w:r>
            <w:r>
              <w:rPr>
                <w:rFonts w:ascii="Calibri" w:eastAsia="Calibri" w:hAnsi="Calibri" w:cs="Calibri"/>
                <w:sz w:val="20"/>
                <w:szCs w:val="20"/>
              </w:rPr>
              <w:t xml:space="preserve">. </w:t>
            </w:r>
            <w:r w:rsidR="00A85726">
              <w:rPr>
                <w:rFonts w:ascii="Calibri" w:eastAsia="Calibri" w:hAnsi="Calibri" w:cs="Calibri"/>
                <w:sz w:val="20"/>
                <w:szCs w:val="20"/>
              </w:rPr>
              <w:t xml:space="preserve">W </w:t>
            </w:r>
            <w:r>
              <w:rPr>
                <w:rFonts w:ascii="Calibri" w:eastAsia="Calibri" w:hAnsi="Calibri" w:cs="Calibri"/>
                <w:sz w:val="20"/>
                <w:szCs w:val="20"/>
              </w:rPr>
              <w:t xml:space="preserve">analizie należy uwzględnić wpływ horyzontu prognozy </w:t>
            </w:r>
            <w:r>
              <w:rPr>
                <w:rFonts w:ascii="Calibri" w:eastAsia="Calibri" w:hAnsi="Calibri" w:cs="Calibri"/>
                <w:b/>
                <w:i/>
                <w:sz w:val="20"/>
                <w:szCs w:val="20"/>
              </w:rPr>
              <w:t>f</w:t>
            </w:r>
            <w:r>
              <w:rPr>
                <w:rFonts w:ascii="Calibri" w:eastAsia="Calibri" w:hAnsi="Calibri" w:cs="Calibri"/>
                <w:b/>
                <w:i/>
                <w:sz w:val="20"/>
                <w:szCs w:val="20"/>
                <w:vertAlign w:val="subscript"/>
              </w:rPr>
              <w:t>HP</w:t>
            </w:r>
            <w:r>
              <w:rPr>
                <w:rFonts w:ascii="Calibri" w:eastAsia="Calibri" w:hAnsi="Calibri" w:cs="Calibri"/>
                <w:sz w:val="20"/>
                <w:szCs w:val="20"/>
              </w:rPr>
              <w:t xml:space="preserve">, zgodnie z tabelą 1 oraz lokalizacji projektu </w:t>
            </w:r>
            <w:r w:rsidR="00A85726">
              <w:rPr>
                <w:rFonts w:ascii="Calibri" w:eastAsia="Calibri" w:hAnsi="Calibri" w:cs="Calibri"/>
                <w:b/>
                <w:i/>
                <w:sz w:val="20"/>
                <w:szCs w:val="20"/>
              </w:rPr>
              <w:t>f</w:t>
            </w:r>
            <w:r>
              <w:rPr>
                <w:rFonts w:ascii="Calibri" w:eastAsia="Calibri" w:hAnsi="Calibri" w:cs="Calibri"/>
                <w:b/>
                <w:sz w:val="20"/>
                <w:szCs w:val="20"/>
                <w:vertAlign w:val="subscript"/>
              </w:rPr>
              <w:t xml:space="preserve">LDW </w:t>
            </w:r>
            <w:r>
              <w:rPr>
                <w:rFonts w:ascii="Calibri" w:eastAsia="Calibri" w:hAnsi="Calibri" w:cs="Calibri"/>
                <w:sz w:val="20"/>
                <w:szCs w:val="20"/>
              </w:rPr>
              <w:t>(w przypadku ciągów jednojezdniowych) – tabela 4 poniżej.</w:t>
            </w:r>
          </w:p>
          <w:p w14:paraId="3ED7E37E" w14:textId="5177D0B2"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 xml:space="preserve">Dodatkowo w załączniku tym zamieszczono tabele zawierające </w:t>
            </w:r>
            <w:r w:rsidR="00A85726">
              <w:rPr>
                <w:rFonts w:ascii="Calibri" w:eastAsia="Calibri" w:hAnsi="Calibri" w:cs="Calibri"/>
                <w:sz w:val="20"/>
                <w:szCs w:val="20"/>
              </w:rPr>
              <w:t xml:space="preserve">wskaźniki dotkliwośći wypadków </w:t>
            </w:r>
            <w:r>
              <w:rPr>
                <w:rFonts w:ascii="Calibri" w:eastAsia="Calibri" w:hAnsi="Calibri" w:cs="Calibri"/>
                <w:sz w:val="20"/>
                <w:szCs w:val="20"/>
              </w:rPr>
              <w:t>dla dróg wojewódzkich, gminnych i powiatowych.</w:t>
            </w:r>
          </w:p>
          <w:p w14:paraId="31F0A217" w14:textId="77777777" w:rsidR="0090055C" w:rsidRDefault="0090055C">
            <w:pPr>
              <w:spacing w:before="120" w:after="120"/>
              <w:jc w:val="both"/>
              <w:rPr>
                <w:rFonts w:ascii="Calibri" w:eastAsia="Calibri" w:hAnsi="Calibri" w:cs="Calibri"/>
                <w:sz w:val="20"/>
                <w:szCs w:val="20"/>
              </w:rPr>
            </w:pPr>
          </w:p>
          <w:p w14:paraId="7B3F25A6" w14:textId="77777777" w:rsidR="00600DEE" w:rsidRDefault="00641FB5" w:rsidP="00D5736B">
            <w:pPr>
              <w:numPr>
                <w:ilvl w:val="0"/>
                <w:numId w:val="48"/>
              </w:numPr>
              <w:pBdr>
                <w:top w:val="nil"/>
                <w:left w:val="nil"/>
                <w:bottom w:val="nil"/>
                <w:right w:val="nil"/>
                <w:between w:val="nil"/>
              </w:pBdr>
              <w:spacing w:before="120" w:after="120"/>
              <w:ind w:left="284" w:hanging="284"/>
              <w:jc w:val="both"/>
              <w:rPr>
                <w:rFonts w:ascii="Calibri" w:eastAsia="Calibri" w:hAnsi="Calibri" w:cs="Calibri"/>
                <w:b/>
                <w:color w:val="4F81BD"/>
                <w:sz w:val="23"/>
                <w:szCs w:val="23"/>
              </w:rPr>
            </w:pPr>
            <w:r>
              <w:rPr>
                <w:rFonts w:ascii="Calibri" w:eastAsia="Calibri" w:hAnsi="Calibri" w:cs="Calibri"/>
                <w:b/>
                <w:color w:val="4F81BD"/>
                <w:sz w:val="23"/>
                <w:szCs w:val="23"/>
              </w:rPr>
              <w:t>Liczba wypadków</w:t>
            </w:r>
          </w:p>
          <w:p w14:paraId="40943915" w14:textId="19E1EBDF"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Liczbę wypadków (LW) należy obliczyć poprzez przyjęcie odpowiednich wartości wskaźnika RAI (względny wskaźnik wypadków, wypadki/</w:t>
            </w:r>
            <w:r>
              <w:rPr>
                <w:rFonts w:ascii="Calibri" w:eastAsia="Calibri" w:hAnsi="Calibri" w:cs="Calibri"/>
                <w:b/>
                <w:color w:val="222222"/>
                <w:sz w:val="20"/>
                <w:szCs w:val="20"/>
              </w:rPr>
              <w:t xml:space="preserve"> </w:t>
            </w:r>
            <w:r>
              <w:rPr>
                <w:rFonts w:ascii="Calibri" w:eastAsia="Calibri" w:hAnsi="Calibri" w:cs="Calibri"/>
                <w:color w:val="222222"/>
                <w:sz w:val="20"/>
                <w:szCs w:val="20"/>
              </w:rPr>
              <w:t>10</w:t>
            </w:r>
            <w:r>
              <w:rPr>
                <w:rFonts w:ascii="Calibri" w:eastAsia="Calibri" w:hAnsi="Calibri" w:cs="Calibri"/>
                <w:color w:val="222222"/>
                <w:sz w:val="20"/>
                <w:szCs w:val="20"/>
                <w:vertAlign w:val="superscript"/>
              </w:rPr>
              <w:t>6</w:t>
            </w:r>
            <w:r w:rsidR="00A85726">
              <w:rPr>
                <w:rFonts w:ascii="Calibri" w:eastAsia="Calibri" w:hAnsi="Calibri" w:cs="Calibri"/>
                <w:sz w:val="20"/>
                <w:szCs w:val="20"/>
              </w:rPr>
              <w:t xml:space="preserve"> poj-</w:t>
            </w:r>
            <w:r>
              <w:rPr>
                <w:rFonts w:ascii="Calibri" w:eastAsia="Calibri" w:hAnsi="Calibri" w:cs="Calibri"/>
                <w:sz w:val="20"/>
                <w:szCs w:val="20"/>
              </w:rPr>
              <w:t xml:space="preserve">km/dobę), a następnie przemnożenie go przez prace przewozowe wyrażone w poj-km oraz współczynniki </w:t>
            </w:r>
            <w:r>
              <w:rPr>
                <w:rFonts w:ascii="Calibri" w:eastAsia="Calibri" w:hAnsi="Calibri" w:cs="Calibri"/>
                <w:b/>
                <w:i/>
                <w:sz w:val="20"/>
                <w:szCs w:val="20"/>
              </w:rPr>
              <w:t>f</w:t>
            </w:r>
            <w:r>
              <w:rPr>
                <w:rFonts w:ascii="Calibri" w:eastAsia="Calibri" w:hAnsi="Calibri" w:cs="Calibri"/>
                <w:b/>
                <w:i/>
                <w:sz w:val="20"/>
                <w:szCs w:val="20"/>
                <w:vertAlign w:val="subscript"/>
              </w:rPr>
              <w:t>HP</w:t>
            </w:r>
            <w:r>
              <w:rPr>
                <w:rFonts w:ascii="Calibri" w:eastAsia="Calibri" w:hAnsi="Calibri" w:cs="Calibri"/>
                <w:sz w:val="20"/>
                <w:szCs w:val="20"/>
              </w:rPr>
              <w:t> i </w:t>
            </w:r>
            <w:r>
              <w:rPr>
                <w:rFonts w:ascii="Calibri" w:eastAsia="Calibri" w:hAnsi="Calibri" w:cs="Calibri"/>
                <w:b/>
                <w:i/>
                <w:sz w:val="20"/>
                <w:szCs w:val="20"/>
              </w:rPr>
              <w:t>f</w:t>
            </w:r>
            <w:r>
              <w:rPr>
                <w:rFonts w:ascii="Calibri" w:eastAsia="Calibri" w:hAnsi="Calibri" w:cs="Calibri"/>
                <w:b/>
                <w:i/>
                <w:sz w:val="20"/>
                <w:szCs w:val="20"/>
                <w:vertAlign w:val="superscript"/>
              </w:rPr>
              <w:t>(1)</w:t>
            </w:r>
            <w:r>
              <w:rPr>
                <w:rFonts w:ascii="Calibri" w:eastAsia="Calibri" w:hAnsi="Calibri" w:cs="Calibri"/>
                <w:b/>
                <w:i/>
                <w:sz w:val="20"/>
                <w:szCs w:val="20"/>
                <w:vertAlign w:val="subscript"/>
              </w:rPr>
              <w:t xml:space="preserve">LDW </w:t>
            </w:r>
            <w:r>
              <w:rPr>
                <w:rFonts w:ascii="Calibri" w:eastAsia="Calibri" w:hAnsi="Calibri" w:cs="Calibri"/>
                <w:sz w:val="20"/>
                <w:szCs w:val="20"/>
              </w:rPr>
              <w:t>(drugi współczynnik – tylko w przypadku ciągów jednojezdniowych).</w:t>
            </w:r>
          </w:p>
          <w:p w14:paraId="41F53643" w14:textId="77777777" w:rsidR="0090055C" w:rsidRDefault="0090055C" w:rsidP="0090055C">
            <w:pPr>
              <w:spacing w:before="120" w:after="240"/>
              <w:jc w:val="both"/>
              <w:rPr>
                <w:rFonts w:ascii="Calibri" w:eastAsia="Calibri" w:hAnsi="Calibri" w:cs="Calibri"/>
                <w:sz w:val="20"/>
                <w:szCs w:val="20"/>
              </w:rPr>
            </w:pPr>
          </w:p>
          <w:p w14:paraId="115EA423" w14:textId="77777777" w:rsidR="00600DEE" w:rsidRDefault="00600DEE" w:rsidP="00BE5902">
            <w:pPr>
              <w:spacing w:before="120"/>
              <w:jc w:val="both"/>
              <w:rPr>
                <w:rFonts w:ascii="Calibri" w:eastAsia="Calibri" w:hAnsi="Calibri" w:cs="Calibri"/>
                <w:sz w:val="20"/>
                <w:szCs w:val="20"/>
              </w:rPr>
            </w:pPr>
          </w:p>
          <w:p w14:paraId="76CB8D75" w14:textId="77777777" w:rsidR="00600DEE" w:rsidRDefault="00641FB5">
            <w:pPr>
              <w:pBdr>
                <w:top w:val="nil"/>
                <w:left w:val="nil"/>
                <w:bottom w:val="nil"/>
                <w:right w:val="nil"/>
                <w:between w:val="nil"/>
              </w:pBdr>
              <w:spacing w:after="120"/>
              <w:jc w:val="both"/>
              <w:rPr>
                <w:rFonts w:ascii="Calibri" w:eastAsia="Calibri" w:hAnsi="Calibri" w:cs="Calibri"/>
                <w:b/>
                <w:color w:val="4F81BD"/>
                <w:sz w:val="20"/>
                <w:szCs w:val="20"/>
              </w:rPr>
            </w:pPr>
            <w:r>
              <w:rPr>
                <w:rFonts w:ascii="Calibri" w:eastAsia="Calibri" w:hAnsi="Calibri" w:cs="Calibri"/>
                <w:b/>
                <w:color w:val="4F81BD"/>
                <w:sz w:val="20"/>
                <w:szCs w:val="20"/>
              </w:rPr>
              <w:t>Tabela 1. Współczynnik wpływu horyzontu czasowego prognozy f</w:t>
            </w:r>
            <w:r>
              <w:rPr>
                <w:rFonts w:ascii="Calibri" w:eastAsia="Calibri" w:hAnsi="Calibri" w:cs="Calibri"/>
                <w:b/>
                <w:color w:val="4F81BD"/>
                <w:sz w:val="20"/>
                <w:szCs w:val="20"/>
                <w:vertAlign w:val="subscript"/>
              </w:rPr>
              <w:t>HP</w:t>
            </w:r>
          </w:p>
          <w:tbl>
            <w:tblPr>
              <w:tblStyle w:val="afffffffffffffff5"/>
              <w:tblW w:w="629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933"/>
              <w:gridCol w:w="1275"/>
              <w:gridCol w:w="1794"/>
              <w:gridCol w:w="1293"/>
            </w:tblGrid>
            <w:tr w:rsidR="00600DEE" w14:paraId="54F34063" w14:textId="77777777" w:rsidTr="00BE5902">
              <w:trPr>
                <w:trHeight w:hRule="exact" w:val="284"/>
              </w:trPr>
              <w:tc>
                <w:tcPr>
                  <w:tcW w:w="1933" w:type="dxa"/>
                  <w:shd w:val="clear" w:color="auto" w:fill="A6A6A6"/>
                  <w:vAlign w:val="center"/>
                </w:tcPr>
                <w:p w14:paraId="79FEAAED"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Rok prognozy</w:t>
                  </w:r>
                </w:p>
              </w:tc>
              <w:tc>
                <w:tcPr>
                  <w:tcW w:w="1275" w:type="dxa"/>
                  <w:shd w:val="clear" w:color="auto" w:fill="A6A6A6"/>
                  <w:vAlign w:val="center"/>
                </w:tcPr>
                <w:p w14:paraId="39F035D1" w14:textId="77777777" w:rsidR="00600DEE" w:rsidRDefault="00641FB5">
                  <w:pPr>
                    <w:jc w:val="center"/>
                    <w:rPr>
                      <w:rFonts w:ascii="Calibri" w:eastAsia="Calibri" w:hAnsi="Calibri" w:cs="Calibri"/>
                      <w:b/>
                      <w:color w:val="FFFFFF"/>
                      <w:sz w:val="17"/>
                      <w:szCs w:val="17"/>
                    </w:rPr>
                  </w:pPr>
                  <w:r>
                    <w:rPr>
                      <w:rFonts w:ascii="Calibri" w:eastAsia="Calibri" w:hAnsi="Calibri" w:cs="Calibri"/>
                      <w:b/>
                      <w:i/>
                      <w:color w:val="FFFFFF"/>
                      <w:sz w:val="22"/>
                      <w:szCs w:val="22"/>
                    </w:rPr>
                    <w:t>f</w:t>
                  </w:r>
                  <w:r>
                    <w:rPr>
                      <w:rFonts w:ascii="Calibri" w:eastAsia="Calibri" w:hAnsi="Calibri" w:cs="Calibri"/>
                      <w:b/>
                      <w:i/>
                      <w:color w:val="FFFFFF"/>
                      <w:sz w:val="22"/>
                      <w:szCs w:val="22"/>
                      <w:vertAlign w:val="subscript"/>
                    </w:rPr>
                    <w:t>HP</w:t>
                  </w:r>
                </w:p>
              </w:tc>
              <w:tc>
                <w:tcPr>
                  <w:tcW w:w="1794" w:type="dxa"/>
                  <w:shd w:val="clear" w:color="auto" w:fill="A6A6A6"/>
                  <w:vAlign w:val="center"/>
                </w:tcPr>
                <w:p w14:paraId="4F4D662C"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Rok prognozy</w:t>
                  </w:r>
                </w:p>
              </w:tc>
              <w:tc>
                <w:tcPr>
                  <w:tcW w:w="1293" w:type="dxa"/>
                  <w:shd w:val="clear" w:color="auto" w:fill="A6A6A6"/>
                  <w:vAlign w:val="center"/>
                </w:tcPr>
                <w:p w14:paraId="67557841" w14:textId="77777777" w:rsidR="00600DEE" w:rsidRDefault="00641FB5">
                  <w:pPr>
                    <w:jc w:val="center"/>
                    <w:rPr>
                      <w:rFonts w:ascii="Calibri" w:eastAsia="Calibri" w:hAnsi="Calibri" w:cs="Calibri"/>
                      <w:b/>
                      <w:color w:val="FFFFFF"/>
                      <w:sz w:val="17"/>
                      <w:szCs w:val="17"/>
                    </w:rPr>
                  </w:pPr>
                  <w:r>
                    <w:rPr>
                      <w:rFonts w:ascii="Calibri" w:eastAsia="Calibri" w:hAnsi="Calibri" w:cs="Calibri"/>
                      <w:b/>
                      <w:i/>
                      <w:color w:val="FFFFFF"/>
                      <w:sz w:val="22"/>
                      <w:szCs w:val="22"/>
                    </w:rPr>
                    <w:t>f</w:t>
                  </w:r>
                  <w:r>
                    <w:rPr>
                      <w:rFonts w:ascii="Calibri" w:eastAsia="Calibri" w:hAnsi="Calibri" w:cs="Calibri"/>
                      <w:b/>
                      <w:i/>
                      <w:color w:val="FFFFFF"/>
                      <w:sz w:val="22"/>
                      <w:szCs w:val="22"/>
                      <w:vertAlign w:val="subscript"/>
                    </w:rPr>
                    <w:t>HP</w:t>
                  </w:r>
                </w:p>
              </w:tc>
            </w:tr>
            <w:tr w:rsidR="00600DEE" w14:paraId="38772454" w14:textId="77777777" w:rsidTr="00BE5902">
              <w:trPr>
                <w:trHeight w:hRule="exact" w:val="284"/>
              </w:trPr>
              <w:tc>
                <w:tcPr>
                  <w:tcW w:w="1933" w:type="dxa"/>
                  <w:shd w:val="clear" w:color="auto" w:fill="DBE5F1"/>
                  <w:vAlign w:val="center"/>
                </w:tcPr>
                <w:p w14:paraId="12F9E99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2009 - 2010</w:t>
                  </w:r>
                </w:p>
              </w:tc>
              <w:tc>
                <w:tcPr>
                  <w:tcW w:w="1275" w:type="dxa"/>
                  <w:shd w:val="clear" w:color="auto" w:fill="DBE5F1"/>
                  <w:vAlign w:val="center"/>
                </w:tcPr>
                <w:p w14:paraId="1882EE3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w:t>
                  </w:r>
                </w:p>
              </w:tc>
              <w:tc>
                <w:tcPr>
                  <w:tcW w:w="1794" w:type="dxa"/>
                  <w:shd w:val="clear" w:color="auto" w:fill="DBE5F1"/>
                  <w:vAlign w:val="center"/>
                </w:tcPr>
                <w:p w14:paraId="71FA96B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2030 - 2033</w:t>
                  </w:r>
                </w:p>
              </w:tc>
              <w:tc>
                <w:tcPr>
                  <w:tcW w:w="1293" w:type="dxa"/>
                  <w:shd w:val="clear" w:color="auto" w:fill="DBE5F1"/>
                  <w:vAlign w:val="center"/>
                </w:tcPr>
                <w:p w14:paraId="3573D9C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w:t>
                  </w:r>
                </w:p>
              </w:tc>
            </w:tr>
            <w:tr w:rsidR="00600DEE" w14:paraId="0707B3B7" w14:textId="77777777" w:rsidTr="00BE5902">
              <w:trPr>
                <w:trHeight w:hRule="exact" w:val="284"/>
              </w:trPr>
              <w:tc>
                <w:tcPr>
                  <w:tcW w:w="1933" w:type="dxa"/>
                  <w:shd w:val="clear" w:color="auto" w:fill="DBE5F1"/>
                  <w:vAlign w:val="center"/>
                </w:tcPr>
                <w:p w14:paraId="4DB96D5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 xml:space="preserve">2011 - 2016 </w:t>
                  </w:r>
                </w:p>
              </w:tc>
              <w:tc>
                <w:tcPr>
                  <w:tcW w:w="1275" w:type="dxa"/>
                  <w:shd w:val="clear" w:color="auto" w:fill="DBE5F1"/>
                  <w:vAlign w:val="center"/>
                </w:tcPr>
                <w:p w14:paraId="5DA4F06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0,9</w:t>
                  </w:r>
                </w:p>
              </w:tc>
              <w:tc>
                <w:tcPr>
                  <w:tcW w:w="1794" w:type="dxa"/>
                  <w:shd w:val="clear" w:color="auto" w:fill="DBE5F1"/>
                  <w:vAlign w:val="center"/>
                </w:tcPr>
                <w:p w14:paraId="1BA8AAE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2034 - 2039</w:t>
                  </w:r>
                </w:p>
              </w:tc>
              <w:tc>
                <w:tcPr>
                  <w:tcW w:w="1293" w:type="dxa"/>
                  <w:shd w:val="clear" w:color="auto" w:fill="DBE5F1"/>
                  <w:vAlign w:val="center"/>
                </w:tcPr>
                <w:p w14:paraId="30B0BB2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w:t>
                  </w:r>
                </w:p>
              </w:tc>
            </w:tr>
            <w:tr w:rsidR="00600DEE" w14:paraId="7EDCC728" w14:textId="77777777" w:rsidTr="00BE5902">
              <w:trPr>
                <w:trHeight w:hRule="exact" w:val="284"/>
              </w:trPr>
              <w:tc>
                <w:tcPr>
                  <w:tcW w:w="1933" w:type="dxa"/>
                  <w:shd w:val="clear" w:color="auto" w:fill="DBE5F1"/>
                  <w:vAlign w:val="center"/>
                </w:tcPr>
                <w:p w14:paraId="4D8614F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2017 - 2021</w:t>
                  </w:r>
                </w:p>
              </w:tc>
              <w:tc>
                <w:tcPr>
                  <w:tcW w:w="1275" w:type="dxa"/>
                  <w:shd w:val="clear" w:color="auto" w:fill="DBE5F1"/>
                  <w:vAlign w:val="center"/>
                </w:tcPr>
                <w:p w14:paraId="2BDF75B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w:t>
                  </w:r>
                </w:p>
              </w:tc>
              <w:tc>
                <w:tcPr>
                  <w:tcW w:w="1794" w:type="dxa"/>
                  <w:shd w:val="clear" w:color="auto" w:fill="DBE5F1"/>
                  <w:vAlign w:val="center"/>
                </w:tcPr>
                <w:p w14:paraId="36B3BE7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2040 - 2045</w:t>
                  </w:r>
                </w:p>
              </w:tc>
              <w:tc>
                <w:tcPr>
                  <w:tcW w:w="1293" w:type="dxa"/>
                  <w:shd w:val="clear" w:color="auto" w:fill="DBE5F1"/>
                  <w:vAlign w:val="center"/>
                </w:tcPr>
                <w:p w14:paraId="289F35B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w:t>
                  </w:r>
                </w:p>
              </w:tc>
            </w:tr>
            <w:tr w:rsidR="00600DEE" w14:paraId="77D72AA6" w14:textId="77777777" w:rsidTr="00BE5902">
              <w:trPr>
                <w:trHeight w:hRule="exact" w:val="284"/>
              </w:trPr>
              <w:tc>
                <w:tcPr>
                  <w:tcW w:w="1933" w:type="dxa"/>
                  <w:shd w:val="clear" w:color="auto" w:fill="DBE5F1"/>
                  <w:vAlign w:val="center"/>
                </w:tcPr>
                <w:p w14:paraId="76D1384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2022 - 2025</w:t>
                  </w:r>
                </w:p>
              </w:tc>
              <w:tc>
                <w:tcPr>
                  <w:tcW w:w="1275" w:type="dxa"/>
                  <w:shd w:val="clear" w:color="auto" w:fill="DBE5F1"/>
                  <w:vAlign w:val="center"/>
                </w:tcPr>
                <w:p w14:paraId="5368C14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w:t>
                  </w:r>
                </w:p>
              </w:tc>
              <w:tc>
                <w:tcPr>
                  <w:tcW w:w="1794" w:type="dxa"/>
                  <w:shd w:val="clear" w:color="auto" w:fill="DBE5F1"/>
                  <w:vAlign w:val="center"/>
                </w:tcPr>
                <w:p w14:paraId="74CA9CC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2046 - 2050</w:t>
                  </w:r>
                </w:p>
              </w:tc>
              <w:tc>
                <w:tcPr>
                  <w:tcW w:w="1293" w:type="dxa"/>
                  <w:shd w:val="clear" w:color="auto" w:fill="DBE5F1"/>
                  <w:vAlign w:val="center"/>
                </w:tcPr>
                <w:p w14:paraId="1BED40A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w:t>
                  </w:r>
                </w:p>
              </w:tc>
            </w:tr>
            <w:tr w:rsidR="00600DEE" w14:paraId="3A4C7971" w14:textId="77777777" w:rsidTr="00BE5902">
              <w:trPr>
                <w:trHeight w:hRule="exact" w:val="284"/>
              </w:trPr>
              <w:tc>
                <w:tcPr>
                  <w:tcW w:w="1933" w:type="dxa"/>
                  <w:shd w:val="clear" w:color="auto" w:fill="DBE5F1"/>
                  <w:vAlign w:val="center"/>
                </w:tcPr>
                <w:p w14:paraId="148C218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2026 - 2029</w:t>
                  </w:r>
                </w:p>
              </w:tc>
              <w:tc>
                <w:tcPr>
                  <w:tcW w:w="1275" w:type="dxa"/>
                  <w:shd w:val="clear" w:color="auto" w:fill="DBE5F1"/>
                  <w:vAlign w:val="center"/>
                </w:tcPr>
                <w:p w14:paraId="5EEF48B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w:t>
                  </w:r>
                </w:p>
              </w:tc>
              <w:tc>
                <w:tcPr>
                  <w:tcW w:w="1794" w:type="dxa"/>
                  <w:shd w:val="clear" w:color="auto" w:fill="DBE5F1"/>
                </w:tcPr>
                <w:p w14:paraId="1CC5FE1C" w14:textId="77777777" w:rsidR="00600DEE" w:rsidRDefault="00600DEE">
                  <w:pPr>
                    <w:jc w:val="both"/>
                    <w:rPr>
                      <w:rFonts w:ascii="Calibri" w:eastAsia="Calibri" w:hAnsi="Calibri" w:cs="Calibri"/>
                      <w:color w:val="4F81BD"/>
                      <w:sz w:val="18"/>
                      <w:szCs w:val="18"/>
                    </w:rPr>
                  </w:pPr>
                </w:p>
              </w:tc>
              <w:tc>
                <w:tcPr>
                  <w:tcW w:w="1293" w:type="dxa"/>
                  <w:shd w:val="clear" w:color="auto" w:fill="DBE5F1"/>
                </w:tcPr>
                <w:p w14:paraId="72B23948" w14:textId="77777777" w:rsidR="00600DEE" w:rsidRDefault="00600DEE">
                  <w:pPr>
                    <w:rPr>
                      <w:rFonts w:ascii="Calibri" w:eastAsia="Calibri" w:hAnsi="Calibri" w:cs="Calibri"/>
                      <w:color w:val="4F81BD"/>
                      <w:sz w:val="18"/>
                      <w:szCs w:val="18"/>
                    </w:rPr>
                  </w:pPr>
                </w:p>
              </w:tc>
            </w:tr>
          </w:tbl>
          <w:p w14:paraId="22DBA850" w14:textId="77777777" w:rsidR="00600DEE" w:rsidRDefault="00641FB5">
            <w:pPr>
              <w:spacing w:before="60" w:after="6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5FD4CABF"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Poniższe tabele zawierają wartości RAI dla ciągów jednojezdniowych i dwujezdniowych oraz przy pomocy następujących danych wejściowych:</w:t>
            </w:r>
          </w:p>
          <w:p w14:paraId="0172D862" w14:textId="77777777" w:rsidR="00600DEE" w:rsidRDefault="00641FB5" w:rsidP="00D5736B">
            <w:pPr>
              <w:numPr>
                <w:ilvl w:val="0"/>
                <w:numId w:val="76"/>
              </w:numPr>
              <w:pBdr>
                <w:top w:val="nil"/>
                <w:left w:val="nil"/>
                <w:bottom w:val="nil"/>
                <w:right w:val="nil"/>
                <w:between w:val="nil"/>
              </w:pBdr>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liczba jezdni (dwujezdniowe, jednojezdniowe),</w:t>
            </w:r>
          </w:p>
          <w:p w14:paraId="2DE3D6A8" w14:textId="5F0E5AAF" w:rsidR="00600DEE" w:rsidRDefault="00641FB5" w:rsidP="00A85726">
            <w:pPr>
              <w:numPr>
                <w:ilvl w:val="0"/>
                <w:numId w:val="76"/>
              </w:numPr>
              <w:pBdr>
                <w:top w:val="nil"/>
                <w:left w:val="nil"/>
                <w:bottom w:val="nil"/>
                <w:right w:val="nil"/>
                <w:between w:val="nil"/>
              </w:pBdr>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klasa drogi (</w:t>
            </w:r>
            <w:r w:rsidR="00A85726" w:rsidRPr="00A85726">
              <w:rPr>
                <w:rFonts w:ascii="Calibri" w:eastAsia="Calibri" w:hAnsi="Calibri" w:cs="Calibri"/>
                <w:color w:val="000000"/>
                <w:sz w:val="20"/>
                <w:szCs w:val="20"/>
              </w:rPr>
              <w:t>uwzględniono</w:t>
            </w:r>
            <w:r>
              <w:rPr>
                <w:rFonts w:ascii="Calibri" w:eastAsia="Calibri" w:hAnsi="Calibri" w:cs="Calibri"/>
                <w:color w:val="000000"/>
                <w:sz w:val="20"/>
                <w:szCs w:val="20"/>
              </w:rPr>
              <w:t xml:space="preserve"> następujące klasy: A, S</w:t>
            </w:r>
            <w:r w:rsidR="00A85726">
              <w:rPr>
                <w:rFonts w:ascii="Calibri" w:eastAsia="Calibri" w:hAnsi="Calibri" w:cs="Calibri"/>
                <w:color w:val="000000"/>
                <w:sz w:val="20"/>
                <w:szCs w:val="20"/>
              </w:rPr>
              <w:t xml:space="preserve"> </w:t>
            </w:r>
            <w:r>
              <w:rPr>
                <w:rFonts w:ascii="Calibri" w:eastAsia="Calibri" w:hAnsi="Calibri" w:cs="Calibri"/>
                <w:color w:val="000000"/>
                <w:sz w:val="20"/>
                <w:szCs w:val="20"/>
              </w:rPr>
              <w:t>(i S2+1), GP, G),</w:t>
            </w:r>
          </w:p>
          <w:p w14:paraId="18AEC792" w14:textId="77777777" w:rsidR="00600DEE" w:rsidRDefault="00641FB5" w:rsidP="00D5736B">
            <w:pPr>
              <w:numPr>
                <w:ilvl w:val="0"/>
                <w:numId w:val="76"/>
              </w:numPr>
              <w:pBdr>
                <w:top w:val="nil"/>
                <w:left w:val="nil"/>
                <w:bottom w:val="nil"/>
                <w:right w:val="nil"/>
                <w:between w:val="nil"/>
              </w:pBdr>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prognoza ruchu, średnioroczny Średni Dobowy Ruch (SDR),</w:t>
            </w:r>
          </w:p>
          <w:p w14:paraId="042AF789" w14:textId="77777777" w:rsidR="00600DEE" w:rsidRDefault="00641FB5" w:rsidP="00D5736B">
            <w:pPr>
              <w:numPr>
                <w:ilvl w:val="0"/>
                <w:numId w:val="76"/>
              </w:numPr>
              <w:pBdr>
                <w:top w:val="nil"/>
                <w:left w:val="nil"/>
                <w:bottom w:val="nil"/>
                <w:right w:val="nil"/>
                <w:between w:val="nil"/>
              </w:pBdr>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lokalizacja (województwo), dotyczy ciągów jednojezdniowych,</w:t>
            </w:r>
          </w:p>
          <w:p w14:paraId="7F66E32C" w14:textId="77777777" w:rsidR="00600DEE" w:rsidRDefault="00641FB5" w:rsidP="00D5736B">
            <w:pPr>
              <w:numPr>
                <w:ilvl w:val="0"/>
                <w:numId w:val="76"/>
              </w:numPr>
              <w:pBdr>
                <w:top w:val="nil"/>
                <w:left w:val="nil"/>
                <w:bottom w:val="nil"/>
                <w:right w:val="nil"/>
                <w:between w:val="nil"/>
              </w:pBdr>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 xml:space="preserve">obszar zabudowany </w:t>
            </w:r>
            <w:r>
              <w:rPr>
                <w:rFonts w:ascii="Calibri" w:eastAsia="Calibri" w:hAnsi="Calibri" w:cs="Calibri"/>
                <w:b/>
                <w:color w:val="000000"/>
                <w:sz w:val="20"/>
                <w:szCs w:val="20"/>
              </w:rPr>
              <w:t>(z)</w:t>
            </w:r>
            <w:r>
              <w:rPr>
                <w:rFonts w:ascii="Calibri" w:eastAsia="Calibri" w:hAnsi="Calibri" w:cs="Calibri"/>
                <w:color w:val="000000"/>
                <w:sz w:val="20"/>
                <w:szCs w:val="20"/>
              </w:rPr>
              <w:t xml:space="preserve"> / obszar niezabudowany </w:t>
            </w:r>
            <w:r>
              <w:rPr>
                <w:rFonts w:ascii="Calibri" w:eastAsia="Calibri" w:hAnsi="Calibri" w:cs="Calibri"/>
                <w:b/>
                <w:color w:val="000000"/>
                <w:sz w:val="20"/>
                <w:szCs w:val="20"/>
              </w:rPr>
              <w:t>(n)</w:t>
            </w:r>
            <w:r>
              <w:rPr>
                <w:rFonts w:ascii="Calibri" w:eastAsia="Calibri" w:hAnsi="Calibri" w:cs="Calibri"/>
                <w:color w:val="000000"/>
                <w:sz w:val="20"/>
                <w:szCs w:val="20"/>
              </w:rPr>
              <w:t>.</w:t>
            </w:r>
            <w:bookmarkStart w:id="134" w:name="_Ref91590422"/>
            <w:r>
              <w:rPr>
                <w:rFonts w:ascii="Calibri" w:eastAsia="Calibri" w:hAnsi="Calibri" w:cs="Calibri"/>
                <w:color w:val="000000"/>
                <w:sz w:val="20"/>
                <w:szCs w:val="20"/>
                <w:vertAlign w:val="superscript"/>
              </w:rPr>
              <w:footnoteReference w:id="28"/>
            </w:r>
            <w:bookmarkEnd w:id="134"/>
            <w:r>
              <w:rPr>
                <w:rFonts w:ascii="Calibri" w:eastAsia="Calibri" w:hAnsi="Calibri" w:cs="Calibri"/>
                <w:color w:val="000000"/>
                <w:sz w:val="20"/>
                <w:szCs w:val="20"/>
                <w:vertAlign w:val="superscript"/>
              </w:rPr>
              <w:t xml:space="preserve"> </w:t>
            </w:r>
          </w:p>
          <w:p w14:paraId="29261179" w14:textId="77777777" w:rsidR="00600DEE" w:rsidRDefault="00600DEE">
            <w:pPr>
              <w:pBdr>
                <w:top w:val="nil"/>
                <w:left w:val="nil"/>
                <w:bottom w:val="nil"/>
                <w:right w:val="nil"/>
                <w:between w:val="nil"/>
              </w:pBdr>
              <w:ind w:left="567"/>
              <w:jc w:val="both"/>
              <w:rPr>
                <w:rFonts w:ascii="Calibri" w:eastAsia="Calibri" w:hAnsi="Calibri" w:cs="Calibri"/>
                <w:color w:val="000000"/>
                <w:sz w:val="20"/>
                <w:szCs w:val="20"/>
                <w:vertAlign w:val="superscript"/>
              </w:rPr>
            </w:pPr>
          </w:p>
          <w:p w14:paraId="34792234" w14:textId="77777777" w:rsidR="00600DEE" w:rsidRDefault="00600DEE">
            <w:pPr>
              <w:pBdr>
                <w:top w:val="nil"/>
                <w:left w:val="nil"/>
                <w:bottom w:val="nil"/>
                <w:right w:val="nil"/>
                <w:between w:val="nil"/>
              </w:pBdr>
              <w:ind w:left="567"/>
              <w:jc w:val="both"/>
              <w:rPr>
                <w:rFonts w:ascii="Calibri" w:eastAsia="Calibri" w:hAnsi="Calibri" w:cs="Calibri"/>
                <w:color w:val="000000"/>
                <w:sz w:val="20"/>
                <w:szCs w:val="20"/>
                <w:vertAlign w:val="superscript"/>
              </w:rPr>
            </w:pPr>
          </w:p>
          <w:p w14:paraId="2621F72A" w14:textId="77777777" w:rsidR="00600DEE" w:rsidRDefault="00600DEE">
            <w:pPr>
              <w:pBdr>
                <w:top w:val="nil"/>
                <w:left w:val="nil"/>
                <w:bottom w:val="nil"/>
                <w:right w:val="nil"/>
                <w:between w:val="nil"/>
              </w:pBdr>
              <w:ind w:left="567"/>
              <w:jc w:val="both"/>
              <w:rPr>
                <w:rFonts w:ascii="Calibri" w:eastAsia="Calibri" w:hAnsi="Calibri" w:cs="Calibri"/>
                <w:color w:val="000000"/>
                <w:sz w:val="20"/>
                <w:szCs w:val="20"/>
                <w:vertAlign w:val="superscript"/>
              </w:rPr>
            </w:pPr>
          </w:p>
          <w:p w14:paraId="0013CAAC" w14:textId="77777777" w:rsidR="00600DEE" w:rsidRDefault="00600DEE">
            <w:pPr>
              <w:pBdr>
                <w:top w:val="nil"/>
                <w:left w:val="nil"/>
                <w:bottom w:val="nil"/>
                <w:right w:val="nil"/>
                <w:between w:val="nil"/>
              </w:pBdr>
              <w:ind w:left="567"/>
              <w:jc w:val="both"/>
              <w:rPr>
                <w:rFonts w:ascii="Calibri" w:eastAsia="Calibri" w:hAnsi="Calibri" w:cs="Calibri"/>
                <w:color w:val="000000"/>
                <w:sz w:val="20"/>
                <w:szCs w:val="20"/>
                <w:vertAlign w:val="superscript"/>
              </w:rPr>
            </w:pPr>
          </w:p>
          <w:p w14:paraId="1252D5BF" w14:textId="77777777" w:rsidR="00600DEE" w:rsidRDefault="00600DEE">
            <w:pPr>
              <w:pBdr>
                <w:top w:val="nil"/>
                <w:left w:val="nil"/>
                <w:bottom w:val="nil"/>
                <w:right w:val="nil"/>
                <w:between w:val="nil"/>
              </w:pBdr>
              <w:ind w:left="567"/>
              <w:jc w:val="both"/>
              <w:rPr>
                <w:rFonts w:ascii="Calibri" w:eastAsia="Calibri" w:hAnsi="Calibri" w:cs="Calibri"/>
                <w:color w:val="000000"/>
                <w:sz w:val="20"/>
                <w:szCs w:val="20"/>
                <w:vertAlign w:val="superscript"/>
              </w:rPr>
            </w:pPr>
          </w:p>
          <w:p w14:paraId="0EDEA8C7" w14:textId="77777777" w:rsidR="00600DEE" w:rsidRDefault="00600DEE">
            <w:pPr>
              <w:pBdr>
                <w:top w:val="nil"/>
                <w:left w:val="nil"/>
                <w:bottom w:val="nil"/>
                <w:right w:val="nil"/>
                <w:between w:val="nil"/>
              </w:pBdr>
              <w:ind w:left="567"/>
              <w:jc w:val="both"/>
              <w:rPr>
                <w:rFonts w:ascii="Calibri" w:eastAsia="Calibri" w:hAnsi="Calibri" w:cs="Calibri"/>
                <w:color w:val="000000"/>
                <w:sz w:val="20"/>
                <w:szCs w:val="20"/>
                <w:vertAlign w:val="superscript"/>
              </w:rPr>
            </w:pPr>
          </w:p>
          <w:p w14:paraId="0EFD97C2" w14:textId="77777777" w:rsidR="00600DEE" w:rsidRDefault="00600DEE">
            <w:pPr>
              <w:pBdr>
                <w:top w:val="nil"/>
                <w:left w:val="nil"/>
                <w:bottom w:val="nil"/>
                <w:right w:val="nil"/>
                <w:between w:val="nil"/>
              </w:pBdr>
              <w:ind w:left="567"/>
              <w:jc w:val="both"/>
              <w:rPr>
                <w:rFonts w:ascii="Calibri" w:eastAsia="Calibri" w:hAnsi="Calibri" w:cs="Calibri"/>
                <w:color w:val="000000"/>
                <w:sz w:val="20"/>
                <w:szCs w:val="20"/>
                <w:vertAlign w:val="superscript"/>
              </w:rPr>
            </w:pPr>
          </w:p>
          <w:p w14:paraId="24BAA773" w14:textId="198A4732" w:rsidR="00600DEE" w:rsidRDefault="00641FB5" w:rsidP="00E7601A">
            <w:pPr>
              <w:spacing w:after="240"/>
              <w:rPr>
                <w:rFonts w:ascii="Calibri" w:eastAsia="Calibri" w:hAnsi="Calibri" w:cs="Calibri"/>
                <w:b/>
                <w:color w:val="4F81BD"/>
                <w:sz w:val="20"/>
                <w:szCs w:val="20"/>
              </w:rPr>
            </w:pPr>
            <w:r>
              <w:rPr>
                <w:rFonts w:ascii="Calibri" w:eastAsia="Calibri" w:hAnsi="Calibri" w:cs="Calibri"/>
                <w:b/>
                <w:color w:val="4F81BD"/>
                <w:sz w:val="20"/>
                <w:szCs w:val="20"/>
              </w:rPr>
              <w:t>Tabela 2. Wskaźnik RAI dla ciągów drogowych dwujezdniowych (wypadki / 10</w:t>
            </w:r>
            <w:r>
              <w:rPr>
                <w:rFonts w:ascii="Calibri" w:eastAsia="Calibri" w:hAnsi="Calibri" w:cs="Calibri"/>
                <w:b/>
                <w:color w:val="4F81BD"/>
                <w:sz w:val="20"/>
                <w:szCs w:val="20"/>
                <w:vertAlign w:val="superscript"/>
              </w:rPr>
              <w:t>6</w:t>
            </w:r>
            <w:r>
              <w:rPr>
                <w:rFonts w:ascii="Calibri" w:eastAsia="Calibri" w:hAnsi="Calibri" w:cs="Calibri"/>
                <w:b/>
                <w:color w:val="4F81BD"/>
                <w:sz w:val="20"/>
                <w:szCs w:val="20"/>
              </w:rPr>
              <w:t xml:space="preserve"> poj-km/dobę)</w:t>
            </w:r>
          </w:p>
          <w:tbl>
            <w:tblPr>
              <w:tblStyle w:val="afffffffffffffff6"/>
              <w:tblW w:w="7085" w:type="dxa"/>
              <w:tblLayout w:type="fixed"/>
              <w:tblLook w:val="0400" w:firstRow="0" w:lastRow="0" w:firstColumn="0" w:lastColumn="0" w:noHBand="0" w:noVBand="1"/>
            </w:tblPr>
            <w:tblGrid>
              <w:gridCol w:w="1547"/>
              <w:gridCol w:w="616"/>
              <w:gridCol w:w="616"/>
              <w:gridCol w:w="616"/>
              <w:gridCol w:w="615"/>
              <w:gridCol w:w="615"/>
              <w:gridCol w:w="615"/>
              <w:gridCol w:w="615"/>
              <w:gridCol w:w="615"/>
              <w:gridCol w:w="615"/>
            </w:tblGrid>
            <w:tr w:rsidR="00600DEE" w14:paraId="49204D62" w14:textId="77777777" w:rsidTr="00E7601A">
              <w:trPr>
                <w:trHeight w:hRule="exact" w:val="454"/>
              </w:trPr>
              <w:tc>
                <w:tcPr>
                  <w:tcW w:w="1424"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27B6B17C"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RAI/  SDR</w:t>
                  </w:r>
                </w:p>
              </w:tc>
              <w:tc>
                <w:tcPr>
                  <w:tcW w:w="567" w:type="dxa"/>
                  <w:tcBorders>
                    <w:top w:val="single" w:sz="8" w:space="0" w:color="FFFFFF"/>
                    <w:left w:val="nil"/>
                    <w:bottom w:val="single" w:sz="4" w:space="0" w:color="FFFFFF"/>
                    <w:right w:val="nil"/>
                  </w:tcBorders>
                  <w:shd w:val="clear" w:color="auto" w:fill="A6A6A6"/>
                  <w:vAlign w:val="center"/>
                </w:tcPr>
                <w:p w14:paraId="26C39932"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A2x2</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38D8E104"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A2x3</w:t>
                  </w:r>
                </w:p>
              </w:tc>
              <w:tc>
                <w:tcPr>
                  <w:tcW w:w="567" w:type="dxa"/>
                  <w:tcBorders>
                    <w:top w:val="single" w:sz="8" w:space="0" w:color="FFFFFF"/>
                    <w:left w:val="nil"/>
                    <w:bottom w:val="single" w:sz="4" w:space="0" w:color="FFFFFF"/>
                    <w:right w:val="nil"/>
                  </w:tcBorders>
                  <w:shd w:val="clear" w:color="auto" w:fill="A6A6A6"/>
                  <w:vAlign w:val="center"/>
                </w:tcPr>
                <w:p w14:paraId="733D25B9"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S2+1</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0BDD3128"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S2x2</w:t>
                  </w:r>
                </w:p>
              </w:tc>
              <w:tc>
                <w:tcPr>
                  <w:tcW w:w="567" w:type="dxa"/>
                  <w:tcBorders>
                    <w:top w:val="single" w:sz="8" w:space="0" w:color="FFFFFF"/>
                    <w:left w:val="nil"/>
                    <w:bottom w:val="single" w:sz="4" w:space="0" w:color="FFFFFF"/>
                    <w:right w:val="single" w:sz="8" w:space="0" w:color="FFFFFF"/>
                  </w:tcBorders>
                  <w:shd w:val="clear" w:color="auto" w:fill="A6A6A6"/>
                  <w:vAlign w:val="center"/>
                </w:tcPr>
                <w:p w14:paraId="3FB38441"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S2x3</w:t>
                  </w:r>
                </w:p>
              </w:tc>
              <w:tc>
                <w:tcPr>
                  <w:tcW w:w="567" w:type="dxa"/>
                  <w:tcBorders>
                    <w:top w:val="single" w:sz="8" w:space="0" w:color="FFFFFF"/>
                    <w:left w:val="nil"/>
                    <w:bottom w:val="single" w:sz="4" w:space="0" w:color="FFFFFF"/>
                    <w:right w:val="single" w:sz="8" w:space="0" w:color="FFFFFF"/>
                  </w:tcBorders>
                  <w:shd w:val="clear" w:color="auto" w:fill="A6A6A6"/>
                  <w:vAlign w:val="center"/>
                </w:tcPr>
                <w:p w14:paraId="64E57858"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GP2x2n</w:t>
                  </w:r>
                </w:p>
              </w:tc>
              <w:tc>
                <w:tcPr>
                  <w:tcW w:w="567" w:type="dxa"/>
                  <w:tcBorders>
                    <w:top w:val="single" w:sz="8" w:space="0" w:color="FFFFFF"/>
                    <w:left w:val="nil"/>
                    <w:bottom w:val="single" w:sz="4" w:space="0" w:color="FFFFFF"/>
                    <w:right w:val="nil"/>
                  </w:tcBorders>
                  <w:shd w:val="clear" w:color="auto" w:fill="A6A6A6"/>
                  <w:vAlign w:val="center"/>
                </w:tcPr>
                <w:p w14:paraId="5246B3CA"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GP2x2z</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7D6C34D4"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GP2x3n</w:t>
                  </w:r>
                </w:p>
              </w:tc>
              <w:tc>
                <w:tcPr>
                  <w:tcW w:w="567" w:type="dxa"/>
                  <w:tcBorders>
                    <w:top w:val="single" w:sz="8" w:space="0" w:color="FFFFFF"/>
                    <w:left w:val="nil"/>
                    <w:bottom w:val="single" w:sz="4" w:space="0" w:color="FFFFFF"/>
                    <w:right w:val="single" w:sz="8" w:space="0" w:color="FFFFFF"/>
                  </w:tcBorders>
                  <w:shd w:val="clear" w:color="auto" w:fill="A6A6A6"/>
                  <w:vAlign w:val="center"/>
                </w:tcPr>
                <w:p w14:paraId="3B33B129" w14:textId="77777777" w:rsidR="00600DEE" w:rsidRDefault="00641FB5">
                  <w:pPr>
                    <w:jc w:val="center"/>
                    <w:rPr>
                      <w:rFonts w:ascii="Calibri" w:eastAsia="Calibri" w:hAnsi="Calibri" w:cs="Calibri"/>
                      <w:b/>
                      <w:color w:val="FFFFFF"/>
                      <w:sz w:val="15"/>
                      <w:szCs w:val="15"/>
                    </w:rPr>
                  </w:pPr>
                  <w:r>
                    <w:rPr>
                      <w:rFonts w:ascii="Calibri" w:eastAsia="Calibri" w:hAnsi="Calibri" w:cs="Calibri"/>
                      <w:b/>
                      <w:color w:val="FFFFFF"/>
                      <w:sz w:val="15"/>
                      <w:szCs w:val="15"/>
                    </w:rPr>
                    <w:t>GP2x3z</w:t>
                  </w:r>
                </w:p>
              </w:tc>
            </w:tr>
            <w:tr w:rsidR="00600DEE" w14:paraId="16285C4E" w14:textId="77777777" w:rsidTr="00E7601A">
              <w:trPr>
                <w:trHeight w:hRule="exact" w:val="284"/>
              </w:trPr>
              <w:tc>
                <w:tcPr>
                  <w:tcW w:w="1424" w:type="dxa"/>
                  <w:tcBorders>
                    <w:top w:val="single" w:sz="4" w:space="0" w:color="FFFFFF"/>
                    <w:left w:val="single" w:sz="8" w:space="0" w:color="FFFFFF"/>
                    <w:bottom w:val="single" w:sz="4" w:space="0" w:color="FFFFFF"/>
                    <w:right w:val="nil"/>
                  </w:tcBorders>
                  <w:shd w:val="clear" w:color="auto" w:fill="DBE5F1"/>
                  <w:vAlign w:val="center"/>
                </w:tcPr>
                <w:p w14:paraId="77457A1F"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0 - 5 000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F6AE914"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0,017</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37C7AD0"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0,018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980292B"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0,028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4B84BE3"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0,021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D440135"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0,023</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4EF1B81"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0,289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3FF081F"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0,556</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9E74217"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0,352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7DF2202"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0,641</w:t>
                  </w:r>
                </w:p>
              </w:tc>
            </w:tr>
            <w:tr w:rsidR="00600DEE" w14:paraId="0EDE382F" w14:textId="77777777" w:rsidTr="00E7601A">
              <w:trPr>
                <w:trHeight w:hRule="exact" w:val="284"/>
              </w:trPr>
              <w:tc>
                <w:tcPr>
                  <w:tcW w:w="1424" w:type="dxa"/>
                  <w:tcBorders>
                    <w:top w:val="single" w:sz="4" w:space="0" w:color="FFFFFF"/>
                    <w:left w:val="single" w:sz="8" w:space="0" w:color="FFFFFF"/>
                    <w:bottom w:val="single" w:sz="4" w:space="0" w:color="FFFFFF"/>
                    <w:right w:val="nil"/>
                  </w:tcBorders>
                  <w:shd w:val="clear" w:color="auto" w:fill="DBE5F1"/>
                  <w:vAlign w:val="center"/>
                </w:tcPr>
                <w:p w14:paraId="2569CAF1" w14:textId="54E8DFFC"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5 000 - 10 000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69B58A3"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0,024</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0A4644A"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0,025</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DA86D7B"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17CF899"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259FB98"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0,033</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115D35B"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0,166</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D5A1B6F"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0,307</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4DB2ED6"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0,200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7A0CCD1"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0,350</w:t>
                  </w:r>
                </w:p>
              </w:tc>
            </w:tr>
            <w:tr w:rsidR="00600DEE" w14:paraId="63115DF2" w14:textId="77777777" w:rsidTr="00E7601A">
              <w:trPr>
                <w:trHeight w:hRule="exact" w:val="284"/>
              </w:trPr>
              <w:tc>
                <w:tcPr>
                  <w:tcW w:w="1424" w:type="dxa"/>
                  <w:tcBorders>
                    <w:top w:val="single" w:sz="4" w:space="0" w:color="FFFFFF"/>
                    <w:left w:val="single" w:sz="8" w:space="0" w:color="FFFFFF"/>
                    <w:bottom w:val="single" w:sz="4" w:space="0" w:color="FFFFFF"/>
                    <w:right w:val="nil"/>
                  </w:tcBorders>
                  <w:shd w:val="clear" w:color="auto" w:fill="DBE5F1"/>
                  <w:vAlign w:val="center"/>
                </w:tcPr>
                <w:p w14:paraId="7E1E16C5"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10 000 - 20 000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35C9081"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1209853"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0,034</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A80A4D6"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0,052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44062D0"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0,041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51B7A76"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0,043</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A35E3D8"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0,105</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072D3A7"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0,178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02E5CA6"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0,124</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DA521E0"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0,198</w:t>
                  </w:r>
                </w:p>
              </w:tc>
            </w:tr>
            <w:tr w:rsidR="00600DEE" w14:paraId="32E2C3D6" w14:textId="77777777" w:rsidTr="00E7601A">
              <w:trPr>
                <w:trHeight w:hRule="exact" w:val="284"/>
              </w:trPr>
              <w:tc>
                <w:tcPr>
                  <w:tcW w:w="1424" w:type="dxa"/>
                  <w:tcBorders>
                    <w:top w:val="single" w:sz="4" w:space="0" w:color="FFFFFF"/>
                    <w:left w:val="single" w:sz="8" w:space="0" w:color="FFFFFF"/>
                    <w:bottom w:val="single" w:sz="4" w:space="0" w:color="FFFFFF"/>
                    <w:right w:val="nil"/>
                  </w:tcBorders>
                  <w:shd w:val="clear" w:color="auto" w:fill="DBE5F1"/>
                  <w:vAlign w:val="center"/>
                </w:tcPr>
                <w:p w14:paraId="2C4E095F" w14:textId="68A77FF8"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20</w:t>
                  </w:r>
                  <w:r w:rsidR="00E7601A">
                    <w:rPr>
                      <w:rFonts w:ascii="Calibri" w:eastAsia="Calibri" w:hAnsi="Calibri" w:cs="Calibri"/>
                      <w:color w:val="4F81BD"/>
                      <w:sz w:val="15"/>
                      <w:szCs w:val="15"/>
                    </w:rPr>
                    <w:t> </w:t>
                  </w:r>
                  <w:r>
                    <w:rPr>
                      <w:rFonts w:ascii="Calibri" w:eastAsia="Calibri" w:hAnsi="Calibri" w:cs="Calibri"/>
                      <w:color w:val="4F81BD"/>
                      <w:sz w:val="15"/>
                      <w:szCs w:val="15"/>
                    </w:rPr>
                    <w:t>000</w:t>
                  </w:r>
                  <w:r w:rsidR="00E7601A">
                    <w:rPr>
                      <w:rFonts w:ascii="Calibri" w:eastAsia="Calibri" w:hAnsi="Calibri" w:cs="Calibri"/>
                      <w:color w:val="4F81BD"/>
                      <w:sz w:val="15"/>
                      <w:szCs w:val="15"/>
                    </w:rPr>
                    <w:t xml:space="preserve"> </w:t>
                  </w:r>
                  <w:r>
                    <w:rPr>
                      <w:rFonts w:ascii="Calibri" w:eastAsia="Calibri" w:hAnsi="Calibri" w:cs="Calibri"/>
                      <w:color w:val="4F81BD"/>
                      <w:sz w:val="15"/>
                      <w:szCs w:val="15"/>
                    </w:rPr>
                    <w:t>-</w:t>
                  </w:r>
                  <w:r w:rsidR="00E7601A">
                    <w:rPr>
                      <w:rFonts w:ascii="Calibri" w:eastAsia="Calibri" w:hAnsi="Calibri" w:cs="Calibri"/>
                      <w:color w:val="4F81BD"/>
                      <w:sz w:val="15"/>
                      <w:szCs w:val="15"/>
                    </w:rPr>
                    <w:t xml:space="preserve"> </w:t>
                  </w:r>
                  <w:r>
                    <w:rPr>
                      <w:rFonts w:ascii="Calibri" w:eastAsia="Calibri" w:hAnsi="Calibri" w:cs="Calibri"/>
                      <w:color w:val="4F81BD"/>
                      <w:sz w:val="15"/>
                      <w:szCs w:val="15"/>
                    </w:rPr>
                    <w:t>30 000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8CA5009"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0,036</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46D50E6"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0C5430C"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0,060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AAA05BD"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0,047</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7AB1075"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0,050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8A32875"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0,084</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653BCB6"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0,125</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57B7267"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0,095</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BE09C8E"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0,134</w:t>
                  </w:r>
                </w:p>
              </w:tc>
            </w:tr>
            <w:tr w:rsidR="00600DEE" w14:paraId="57AC2291" w14:textId="77777777" w:rsidTr="00E7601A">
              <w:trPr>
                <w:trHeight w:hRule="exact" w:val="284"/>
              </w:trPr>
              <w:tc>
                <w:tcPr>
                  <w:tcW w:w="1424" w:type="dxa"/>
                  <w:tcBorders>
                    <w:top w:val="single" w:sz="4" w:space="0" w:color="FFFFFF"/>
                    <w:left w:val="single" w:sz="8" w:space="0" w:color="FFFFFF"/>
                    <w:bottom w:val="single" w:sz="4" w:space="0" w:color="FFFFFF"/>
                    <w:right w:val="nil"/>
                  </w:tcBorders>
                  <w:shd w:val="clear" w:color="auto" w:fill="DBE5F1"/>
                  <w:vAlign w:val="center"/>
                </w:tcPr>
                <w:p w14:paraId="407FB0D3" w14:textId="52E03123"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30</w:t>
                  </w:r>
                  <w:r w:rsidR="00E7601A">
                    <w:rPr>
                      <w:rFonts w:ascii="Calibri" w:eastAsia="Calibri" w:hAnsi="Calibri" w:cs="Calibri"/>
                      <w:color w:val="4F81BD"/>
                      <w:sz w:val="15"/>
                      <w:szCs w:val="15"/>
                    </w:rPr>
                    <w:t> </w:t>
                  </w:r>
                  <w:r>
                    <w:rPr>
                      <w:rFonts w:ascii="Calibri" w:eastAsia="Calibri" w:hAnsi="Calibri" w:cs="Calibri"/>
                      <w:color w:val="4F81BD"/>
                      <w:sz w:val="15"/>
                      <w:szCs w:val="15"/>
                    </w:rPr>
                    <w:t>000</w:t>
                  </w:r>
                  <w:r w:rsidR="00E7601A">
                    <w:rPr>
                      <w:rFonts w:ascii="Calibri" w:eastAsia="Calibri" w:hAnsi="Calibri" w:cs="Calibri"/>
                      <w:color w:val="4F81BD"/>
                      <w:sz w:val="15"/>
                      <w:szCs w:val="15"/>
                    </w:rPr>
                    <w:t xml:space="preserve"> </w:t>
                  </w:r>
                  <w:r>
                    <w:rPr>
                      <w:rFonts w:ascii="Calibri" w:eastAsia="Calibri" w:hAnsi="Calibri" w:cs="Calibri"/>
                      <w:color w:val="4F81BD"/>
                      <w:sz w:val="15"/>
                      <w:szCs w:val="15"/>
                    </w:rPr>
                    <w:t>-</w:t>
                  </w:r>
                  <w:r w:rsidR="00E7601A">
                    <w:rPr>
                      <w:rFonts w:ascii="Calibri" w:eastAsia="Calibri" w:hAnsi="Calibri" w:cs="Calibri"/>
                      <w:color w:val="4F81BD"/>
                      <w:sz w:val="15"/>
                      <w:szCs w:val="15"/>
                    </w:rPr>
                    <w:t xml:space="preserve"> </w:t>
                  </w:r>
                  <w:r>
                    <w:rPr>
                      <w:rFonts w:ascii="Calibri" w:eastAsia="Calibri" w:hAnsi="Calibri" w:cs="Calibri"/>
                      <w:color w:val="4F81BD"/>
                      <w:sz w:val="15"/>
                      <w:szCs w:val="15"/>
                    </w:rPr>
                    <w:t>40 000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DAF5E73"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BC74CC6"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0,040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7D93075"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0,063</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224BAE4"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0,049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622941E"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0,052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7993431"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0,076</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B7407DB"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0,101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D5E1E0B"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0,084</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EB382C2"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0,106</w:t>
                  </w:r>
                </w:p>
              </w:tc>
            </w:tr>
            <w:tr w:rsidR="00600DEE" w14:paraId="07E8FC54" w14:textId="77777777" w:rsidTr="00E7601A">
              <w:trPr>
                <w:trHeight w:hRule="exact" w:val="284"/>
              </w:trPr>
              <w:tc>
                <w:tcPr>
                  <w:tcW w:w="1424" w:type="dxa"/>
                  <w:tcBorders>
                    <w:top w:val="single" w:sz="4" w:space="0" w:color="FFFFFF"/>
                    <w:left w:val="single" w:sz="8" w:space="0" w:color="FFFFFF"/>
                    <w:bottom w:val="single" w:sz="4" w:space="0" w:color="FFFFFF"/>
                    <w:right w:val="nil"/>
                  </w:tcBorders>
                  <w:shd w:val="clear" w:color="auto" w:fill="DBE5F1"/>
                  <w:vAlign w:val="center"/>
                </w:tcPr>
                <w:p w14:paraId="01B70991"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powyżej 40 000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5F6C0F0"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654990C"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0,033</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6803461"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0,056</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F6650F7"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0,040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33D0ADE"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0,042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7D6B94C"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0,069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38F5980"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0,061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D694284"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0,058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A299293" w14:textId="77777777" w:rsidR="00600DEE" w:rsidRDefault="00641FB5">
                  <w:pPr>
                    <w:jc w:val="center"/>
                    <w:rPr>
                      <w:rFonts w:ascii="Calibri" w:eastAsia="Calibri" w:hAnsi="Calibri" w:cs="Calibri"/>
                      <w:color w:val="4F81BD"/>
                      <w:sz w:val="15"/>
                      <w:szCs w:val="15"/>
                    </w:rPr>
                  </w:pPr>
                  <w:r>
                    <w:rPr>
                      <w:rFonts w:ascii="Calibri" w:eastAsia="Calibri" w:hAnsi="Calibri" w:cs="Calibri"/>
                      <w:color w:val="4F81BD"/>
                      <w:sz w:val="15"/>
                      <w:szCs w:val="15"/>
                    </w:rPr>
                    <w:t>0,085</w:t>
                  </w:r>
                </w:p>
              </w:tc>
            </w:tr>
          </w:tbl>
          <w:p w14:paraId="1024DDB6" w14:textId="77777777" w:rsidR="00600DEE" w:rsidRDefault="00641FB5" w:rsidP="00E7601A">
            <w:pPr>
              <w:spacing w:before="120" w:after="120"/>
              <w:rPr>
                <w:rFonts w:ascii="Calibri" w:eastAsia="Calibri" w:hAnsi="Calibri" w:cs="Calibri"/>
                <w:sz w:val="20"/>
                <w:szCs w:val="20"/>
              </w:rPr>
            </w:pPr>
            <w:r>
              <w:rPr>
                <w:rFonts w:ascii="Calibri" w:eastAsia="Calibri" w:hAnsi="Calibri" w:cs="Calibri"/>
                <w:b/>
                <w:i/>
                <w:sz w:val="16"/>
                <w:szCs w:val="16"/>
              </w:rPr>
              <w:t>Źródło: Opracowanie własne na podstawie metody wskaźników BRD</w:t>
            </w:r>
          </w:p>
          <w:p w14:paraId="715A559F" w14:textId="77777777" w:rsidR="00600DEE" w:rsidRDefault="00641FB5">
            <w:pPr>
              <w:spacing w:after="120"/>
              <w:ind w:left="709" w:hanging="709"/>
              <w:rPr>
                <w:rFonts w:ascii="Calibri" w:eastAsia="Calibri" w:hAnsi="Calibri" w:cs="Calibri"/>
                <w:b/>
                <w:color w:val="4F81BD"/>
                <w:sz w:val="20"/>
                <w:szCs w:val="20"/>
              </w:rPr>
            </w:pPr>
            <w:r>
              <w:rPr>
                <w:rFonts w:ascii="Calibri" w:eastAsia="Calibri" w:hAnsi="Calibri" w:cs="Calibri"/>
                <w:b/>
                <w:color w:val="4F81BD"/>
                <w:sz w:val="20"/>
                <w:szCs w:val="20"/>
              </w:rPr>
              <w:t>Tabela 3. Wskaźnik RAI dla ciągów drogowych jednojezdniowych (wypadki /</w:t>
            </w:r>
            <w:r>
              <w:rPr>
                <w:rFonts w:ascii="Calibri" w:eastAsia="Calibri" w:hAnsi="Calibri" w:cs="Calibri"/>
                <w:b/>
                <w:color w:val="4F81BD"/>
                <w:sz w:val="20"/>
                <w:szCs w:val="20"/>
              </w:rPr>
              <w:br/>
              <w:t xml:space="preserve">  10</w:t>
            </w:r>
            <w:r>
              <w:rPr>
                <w:rFonts w:ascii="Calibri" w:eastAsia="Calibri" w:hAnsi="Calibri" w:cs="Calibri"/>
                <w:b/>
                <w:color w:val="4F81BD"/>
                <w:sz w:val="20"/>
                <w:szCs w:val="20"/>
                <w:vertAlign w:val="superscript"/>
              </w:rPr>
              <w:t>6</w:t>
            </w:r>
            <w:r>
              <w:rPr>
                <w:rFonts w:ascii="Calibri" w:eastAsia="Calibri" w:hAnsi="Calibri" w:cs="Calibri"/>
                <w:b/>
                <w:color w:val="4F81BD"/>
                <w:sz w:val="20"/>
                <w:szCs w:val="20"/>
              </w:rPr>
              <w:t xml:space="preserve"> poj-km/dobę) </w:t>
            </w:r>
          </w:p>
          <w:tbl>
            <w:tblPr>
              <w:tblStyle w:val="afffffffffffffff7"/>
              <w:tblW w:w="712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372"/>
              <w:gridCol w:w="792"/>
              <w:gridCol w:w="792"/>
              <w:gridCol w:w="791"/>
              <w:gridCol w:w="791"/>
              <w:gridCol w:w="791"/>
              <w:gridCol w:w="791"/>
            </w:tblGrid>
            <w:tr w:rsidR="00600DEE" w14:paraId="1B02E6D2" w14:textId="77777777" w:rsidTr="00E7601A">
              <w:trPr>
                <w:trHeight w:hRule="exact" w:val="284"/>
              </w:trPr>
              <w:tc>
                <w:tcPr>
                  <w:tcW w:w="1360" w:type="dxa"/>
                  <w:tcBorders>
                    <w:bottom w:val="single" w:sz="4" w:space="0" w:color="FFFFFF"/>
                  </w:tcBorders>
                  <w:shd w:val="clear" w:color="auto" w:fill="A6A6A6"/>
                  <w:vAlign w:val="center"/>
                </w:tcPr>
                <w:p w14:paraId="3193B20B"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RAI/ SDR</w:t>
                  </w:r>
                </w:p>
              </w:tc>
              <w:tc>
                <w:tcPr>
                  <w:tcW w:w="454" w:type="dxa"/>
                  <w:tcBorders>
                    <w:bottom w:val="single" w:sz="4" w:space="0" w:color="FFFFFF"/>
                  </w:tcBorders>
                  <w:shd w:val="clear" w:color="auto" w:fill="A6A6A6"/>
                  <w:vAlign w:val="center"/>
                </w:tcPr>
                <w:p w14:paraId="0A221E73"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S1x2n</w:t>
                  </w:r>
                </w:p>
              </w:tc>
              <w:tc>
                <w:tcPr>
                  <w:tcW w:w="454" w:type="dxa"/>
                  <w:tcBorders>
                    <w:bottom w:val="single" w:sz="4" w:space="0" w:color="FFFFFF"/>
                  </w:tcBorders>
                  <w:shd w:val="clear" w:color="auto" w:fill="A6A6A6"/>
                  <w:vAlign w:val="center"/>
                </w:tcPr>
                <w:p w14:paraId="59F6DC12"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S1x2z</w:t>
                  </w:r>
                </w:p>
              </w:tc>
              <w:tc>
                <w:tcPr>
                  <w:tcW w:w="454" w:type="dxa"/>
                  <w:tcBorders>
                    <w:bottom w:val="single" w:sz="4" w:space="0" w:color="FFFFFF"/>
                  </w:tcBorders>
                  <w:shd w:val="clear" w:color="auto" w:fill="A6A6A6"/>
                  <w:vAlign w:val="center"/>
                </w:tcPr>
                <w:p w14:paraId="6E658484"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GP1x2n</w:t>
                  </w:r>
                </w:p>
              </w:tc>
              <w:tc>
                <w:tcPr>
                  <w:tcW w:w="454" w:type="dxa"/>
                  <w:tcBorders>
                    <w:bottom w:val="single" w:sz="4" w:space="0" w:color="FFFFFF"/>
                  </w:tcBorders>
                  <w:shd w:val="clear" w:color="auto" w:fill="A6A6A6"/>
                  <w:vAlign w:val="center"/>
                </w:tcPr>
                <w:p w14:paraId="47999DF6"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GP1x2z</w:t>
                  </w:r>
                </w:p>
              </w:tc>
              <w:tc>
                <w:tcPr>
                  <w:tcW w:w="454" w:type="dxa"/>
                  <w:tcBorders>
                    <w:bottom w:val="single" w:sz="4" w:space="0" w:color="FFFFFF"/>
                  </w:tcBorders>
                  <w:shd w:val="clear" w:color="auto" w:fill="A6A6A6"/>
                  <w:vAlign w:val="center"/>
                </w:tcPr>
                <w:p w14:paraId="6B4DB052"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G1x2n</w:t>
                  </w:r>
                </w:p>
              </w:tc>
              <w:tc>
                <w:tcPr>
                  <w:tcW w:w="454" w:type="dxa"/>
                  <w:tcBorders>
                    <w:bottom w:val="single" w:sz="4" w:space="0" w:color="FFFFFF"/>
                  </w:tcBorders>
                  <w:shd w:val="clear" w:color="auto" w:fill="A6A6A6"/>
                  <w:vAlign w:val="center"/>
                </w:tcPr>
                <w:p w14:paraId="1E721E58"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G1x2z</w:t>
                  </w:r>
                </w:p>
              </w:tc>
            </w:tr>
            <w:tr w:rsidR="00600DEE" w14:paraId="6CF1D612"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595DB96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0 - 5 000</w:t>
                  </w:r>
                </w:p>
              </w:tc>
              <w:tc>
                <w:tcPr>
                  <w:tcW w:w="454" w:type="dxa"/>
                  <w:tcBorders>
                    <w:top w:val="single" w:sz="4" w:space="0" w:color="FFFFFF"/>
                    <w:bottom w:val="single" w:sz="4" w:space="0" w:color="FFFFFF"/>
                  </w:tcBorders>
                  <w:shd w:val="clear" w:color="auto" w:fill="DBE5F1"/>
                  <w:vAlign w:val="center"/>
                </w:tcPr>
                <w:p w14:paraId="7B9E068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0,065</w:t>
                  </w:r>
                </w:p>
              </w:tc>
              <w:tc>
                <w:tcPr>
                  <w:tcW w:w="454" w:type="dxa"/>
                  <w:tcBorders>
                    <w:top w:val="single" w:sz="4" w:space="0" w:color="FFFFFF"/>
                    <w:bottom w:val="single" w:sz="4" w:space="0" w:color="FFFFFF"/>
                  </w:tcBorders>
                  <w:shd w:val="clear" w:color="auto" w:fill="DBE5F1"/>
                  <w:vAlign w:val="center"/>
                </w:tcPr>
                <w:p w14:paraId="786D0A4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0,085</w:t>
                  </w:r>
                </w:p>
              </w:tc>
              <w:tc>
                <w:tcPr>
                  <w:tcW w:w="454" w:type="dxa"/>
                  <w:tcBorders>
                    <w:top w:val="single" w:sz="4" w:space="0" w:color="FFFFFF"/>
                    <w:bottom w:val="single" w:sz="4" w:space="0" w:color="FFFFFF"/>
                  </w:tcBorders>
                  <w:shd w:val="clear" w:color="auto" w:fill="DBE5F1"/>
                  <w:vAlign w:val="center"/>
                </w:tcPr>
                <w:p w14:paraId="0A316B6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0,119</w:t>
                  </w:r>
                </w:p>
              </w:tc>
              <w:tc>
                <w:tcPr>
                  <w:tcW w:w="454" w:type="dxa"/>
                  <w:tcBorders>
                    <w:top w:val="single" w:sz="4" w:space="0" w:color="FFFFFF"/>
                    <w:bottom w:val="single" w:sz="4" w:space="0" w:color="FFFFFF"/>
                  </w:tcBorders>
                  <w:shd w:val="clear" w:color="auto" w:fill="DBE5F1"/>
                  <w:vAlign w:val="center"/>
                </w:tcPr>
                <w:p w14:paraId="24F29EF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0,176</w:t>
                  </w:r>
                </w:p>
              </w:tc>
              <w:tc>
                <w:tcPr>
                  <w:tcW w:w="454" w:type="dxa"/>
                  <w:tcBorders>
                    <w:top w:val="single" w:sz="4" w:space="0" w:color="FFFFFF"/>
                    <w:bottom w:val="single" w:sz="4" w:space="0" w:color="FFFFFF"/>
                  </w:tcBorders>
                  <w:shd w:val="clear" w:color="auto" w:fill="DBE5F1"/>
                  <w:vAlign w:val="center"/>
                </w:tcPr>
                <w:p w14:paraId="0AC870C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0,097</w:t>
                  </w:r>
                </w:p>
              </w:tc>
              <w:tc>
                <w:tcPr>
                  <w:tcW w:w="454" w:type="dxa"/>
                  <w:tcBorders>
                    <w:top w:val="single" w:sz="4" w:space="0" w:color="FFFFFF"/>
                    <w:bottom w:val="single" w:sz="4" w:space="0" w:color="FFFFFF"/>
                  </w:tcBorders>
                  <w:shd w:val="clear" w:color="auto" w:fill="DBE5F1"/>
                  <w:vAlign w:val="center"/>
                </w:tcPr>
                <w:p w14:paraId="469C158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0,149</w:t>
                  </w:r>
                </w:p>
              </w:tc>
            </w:tr>
            <w:tr w:rsidR="00600DEE" w14:paraId="1A210057"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14AE531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5000 - 10 000</w:t>
                  </w:r>
                </w:p>
              </w:tc>
              <w:tc>
                <w:tcPr>
                  <w:tcW w:w="454" w:type="dxa"/>
                  <w:tcBorders>
                    <w:top w:val="single" w:sz="4" w:space="0" w:color="FFFFFF"/>
                    <w:bottom w:val="single" w:sz="4" w:space="0" w:color="FFFFFF"/>
                  </w:tcBorders>
                  <w:shd w:val="clear" w:color="auto" w:fill="DBE5F1"/>
                  <w:vAlign w:val="center"/>
                </w:tcPr>
                <w:p w14:paraId="7EB5ADF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0,055</w:t>
                  </w:r>
                </w:p>
              </w:tc>
              <w:tc>
                <w:tcPr>
                  <w:tcW w:w="454" w:type="dxa"/>
                  <w:tcBorders>
                    <w:top w:val="single" w:sz="4" w:space="0" w:color="FFFFFF"/>
                    <w:bottom w:val="single" w:sz="4" w:space="0" w:color="FFFFFF"/>
                  </w:tcBorders>
                  <w:shd w:val="clear" w:color="auto" w:fill="DBE5F1"/>
                  <w:vAlign w:val="center"/>
                </w:tcPr>
                <w:p w14:paraId="1AE06B3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0,071</w:t>
                  </w:r>
                </w:p>
              </w:tc>
              <w:tc>
                <w:tcPr>
                  <w:tcW w:w="454" w:type="dxa"/>
                  <w:tcBorders>
                    <w:top w:val="single" w:sz="4" w:space="0" w:color="FFFFFF"/>
                    <w:bottom w:val="single" w:sz="4" w:space="0" w:color="FFFFFF"/>
                  </w:tcBorders>
                  <w:shd w:val="clear" w:color="auto" w:fill="DBE5F1"/>
                  <w:vAlign w:val="center"/>
                </w:tcPr>
                <w:p w14:paraId="2E7E390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0,099</w:t>
                  </w:r>
                </w:p>
              </w:tc>
              <w:tc>
                <w:tcPr>
                  <w:tcW w:w="454" w:type="dxa"/>
                  <w:tcBorders>
                    <w:top w:val="single" w:sz="4" w:space="0" w:color="FFFFFF"/>
                    <w:bottom w:val="single" w:sz="4" w:space="0" w:color="FFFFFF"/>
                  </w:tcBorders>
                  <w:shd w:val="clear" w:color="auto" w:fill="DBE5F1"/>
                  <w:vAlign w:val="center"/>
                </w:tcPr>
                <w:p w14:paraId="3B5FB5A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0,147</w:t>
                  </w:r>
                </w:p>
              </w:tc>
              <w:tc>
                <w:tcPr>
                  <w:tcW w:w="454" w:type="dxa"/>
                  <w:tcBorders>
                    <w:top w:val="single" w:sz="4" w:space="0" w:color="FFFFFF"/>
                    <w:bottom w:val="single" w:sz="4" w:space="0" w:color="FFFFFF"/>
                  </w:tcBorders>
                  <w:shd w:val="clear" w:color="auto" w:fill="DBE5F1"/>
                  <w:vAlign w:val="center"/>
                </w:tcPr>
                <w:p w14:paraId="61C8091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0,081</w:t>
                  </w:r>
                </w:p>
              </w:tc>
              <w:tc>
                <w:tcPr>
                  <w:tcW w:w="454" w:type="dxa"/>
                  <w:tcBorders>
                    <w:top w:val="single" w:sz="4" w:space="0" w:color="FFFFFF"/>
                    <w:bottom w:val="single" w:sz="4" w:space="0" w:color="FFFFFF"/>
                  </w:tcBorders>
                  <w:shd w:val="clear" w:color="auto" w:fill="DBE5F1"/>
                  <w:vAlign w:val="center"/>
                </w:tcPr>
                <w:p w14:paraId="521210F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0,125</w:t>
                  </w:r>
                </w:p>
              </w:tc>
            </w:tr>
            <w:tr w:rsidR="00600DEE" w14:paraId="0ED90393"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7F16B6B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10 000 - 20 000</w:t>
                  </w:r>
                </w:p>
              </w:tc>
              <w:tc>
                <w:tcPr>
                  <w:tcW w:w="454" w:type="dxa"/>
                  <w:tcBorders>
                    <w:top w:val="single" w:sz="4" w:space="0" w:color="FFFFFF"/>
                    <w:bottom w:val="single" w:sz="4" w:space="0" w:color="FFFFFF"/>
                  </w:tcBorders>
                  <w:shd w:val="clear" w:color="auto" w:fill="DBE5F1"/>
                  <w:vAlign w:val="center"/>
                </w:tcPr>
                <w:p w14:paraId="256C4B4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0,048</w:t>
                  </w:r>
                </w:p>
              </w:tc>
              <w:tc>
                <w:tcPr>
                  <w:tcW w:w="454" w:type="dxa"/>
                  <w:tcBorders>
                    <w:top w:val="single" w:sz="4" w:space="0" w:color="FFFFFF"/>
                    <w:bottom w:val="single" w:sz="4" w:space="0" w:color="FFFFFF"/>
                  </w:tcBorders>
                  <w:shd w:val="clear" w:color="auto" w:fill="DBE5F1"/>
                  <w:vAlign w:val="center"/>
                </w:tcPr>
                <w:p w14:paraId="46915AB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0,063</w:t>
                  </w:r>
                </w:p>
              </w:tc>
              <w:tc>
                <w:tcPr>
                  <w:tcW w:w="454" w:type="dxa"/>
                  <w:tcBorders>
                    <w:top w:val="single" w:sz="4" w:space="0" w:color="FFFFFF"/>
                    <w:bottom w:val="single" w:sz="4" w:space="0" w:color="FFFFFF"/>
                  </w:tcBorders>
                  <w:shd w:val="clear" w:color="auto" w:fill="DBE5F1"/>
                  <w:vAlign w:val="center"/>
                </w:tcPr>
                <w:p w14:paraId="515293A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0.088</w:t>
                  </w:r>
                </w:p>
              </w:tc>
              <w:tc>
                <w:tcPr>
                  <w:tcW w:w="454" w:type="dxa"/>
                  <w:tcBorders>
                    <w:top w:val="single" w:sz="4" w:space="0" w:color="FFFFFF"/>
                    <w:bottom w:val="single" w:sz="4" w:space="0" w:color="FFFFFF"/>
                  </w:tcBorders>
                  <w:shd w:val="clear" w:color="auto" w:fill="DBE5F1"/>
                  <w:vAlign w:val="center"/>
                </w:tcPr>
                <w:p w14:paraId="67F7075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0,131</w:t>
                  </w:r>
                </w:p>
              </w:tc>
              <w:tc>
                <w:tcPr>
                  <w:tcW w:w="454" w:type="dxa"/>
                  <w:tcBorders>
                    <w:top w:val="single" w:sz="4" w:space="0" w:color="FFFFFF"/>
                    <w:bottom w:val="single" w:sz="4" w:space="0" w:color="FFFFFF"/>
                  </w:tcBorders>
                  <w:shd w:val="clear" w:color="auto" w:fill="DBE5F1"/>
                  <w:vAlign w:val="center"/>
                </w:tcPr>
                <w:p w14:paraId="0AE2869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0,072</w:t>
                  </w:r>
                </w:p>
              </w:tc>
              <w:tc>
                <w:tcPr>
                  <w:tcW w:w="454" w:type="dxa"/>
                  <w:tcBorders>
                    <w:top w:val="single" w:sz="4" w:space="0" w:color="FFFFFF"/>
                    <w:bottom w:val="single" w:sz="4" w:space="0" w:color="FFFFFF"/>
                  </w:tcBorders>
                  <w:shd w:val="clear" w:color="auto" w:fill="DBE5F1"/>
                  <w:vAlign w:val="center"/>
                </w:tcPr>
                <w:p w14:paraId="2F52998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0,111</w:t>
                  </w:r>
                </w:p>
              </w:tc>
            </w:tr>
            <w:tr w:rsidR="00600DEE" w14:paraId="6B94C78E"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366AD9F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20000 - 30 000</w:t>
                  </w:r>
                </w:p>
              </w:tc>
              <w:tc>
                <w:tcPr>
                  <w:tcW w:w="454" w:type="dxa"/>
                  <w:tcBorders>
                    <w:top w:val="single" w:sz="4" w:space="0" w:color="FFFFFF"/>
                    <w:bottom w:val="single" w:sz="4" w:space="0" w:color="FFFFFF"/>
                  </w:tcBorders>
                  <w:shd w:val="clear" w:color="auto" w:fill="DBE5F1"/>
                  <w:vAlign w:val="center"/>
                </w:tcPr>
                <w:p w14:paraId="3C38E87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0,044</w:t>
                  </w:r>
                </w:p>
              </w:tc>
              <w:tc>
                <w:tcPr>
                  <w:tcW w:w="454" w:type="dxa"/>
                  <w:tcBorders>
                    <w:top w:val="single" w:sz="4" w:space="0" w:color="FFFFFF"/>
                    <w:bottom w:val="single" w:sz="4" w:space="0" w:color="FFFFFF"/>
                  </w:tcBorders>
                  <w:shd w:val="clear" w:color="auto" w:fill="DBE5F1"/>
                  <w:vAlign w:val="center"/>
                </w:tcPr>
                <w:p w14:paraId="6E3A1FB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0,058</w:t>
                  </w:r>
                </w:p>
              </w:tc>
              <w:tc>
                <w:tcPr>
                  <w:tcW w:w="454" w:type="dxa"/>
                  <w:tcBorders>
                    <w:top w:val="single" w:sz="4" w:space="0" w:color="FFFFFF"/>
                    <w:bottom w:val="single" w:sz="4" w:space="0" w:color="FFFFFF"/>
                  </w:tcBorders>
                  <w:shd w:val="clear" w:color="auto" w:fill="DBE5F1"/>
                  <w:vAlign w:val="center"/>
                </w:tcPr>
                <w:p w14:paraId="46DFF2E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0,080</w:t>
                  </w:r>
                </w:p>
              </w:tc>
              <w:tc>
                <w:tcPr>
                  <w:tcW w:w="454" w:type="dxa"/>
                  <w:tcBorders>
                    <w:top w:val="single" w:sz="4" w:space="0" w:color="FFFFFF"/>
                    <w:bottom w:val="single" w:sz="4" w:space="0" w:color="FFFFFF"/>
                  </w:tcBorders>
                  <w:shd w:val="clear" w:color="auto" w:fill="DBE5F1"/>
                  <w:vAlign w:val="center"/>
                </w:tcPr>
                <w:p w14:paraId="18760A3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0,119</w:t>
                  </w:r>
                </w:p>
              </w:tc>
              <w:tc>
                <w:tcPr>
                  <w:tcW w:w="454" w:type="dxa"/>
                  <w:tcBorders>
                    <w:top w:val="single" w:sz="4" w:space="0" w:color="FFFFFF"/>
                    <w:bottom w:val="single" w:sz="4" w:space="0" w:color="FFFFFF"/>
                  </w:tcBorders>
                  <w:shd w:val="clear" w:color="auto" w:fill="DBE5F1"/>
                  <w:vAlign w:val="center"/>
                </w:tcPr>
                <w:p w14:paraId="0373B83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0,066</w:t>
                  </w:r>
                </w:p>
              </w:tc>
              <w:tc>
                <w:tcPr>
                  <w:tcW w:w="454" w:type="dxa"/>
                  <w:tcBorders>
                    <w:top w:val="single" w:sz="4" w:space="0" w:color="FFFFFF"/>
                    <w:bottom w:val="single" w:sz="4" w:space="0" w:color="FFFFFF"/>
                  </w:tcBorders>
                  <w:shd w:val="clear" w:color="auto" w:fill="DBE5F1"/>
                  <w:vAlign w:val="center"/>
                </w:tcPr>
                <w:p w14:paraId="096E67E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0,101</w:t>
                  </w:r>
                </w:p>
              </w:tc>
            </w:tr>
            <w:tr w:rsidR="00600DEE" w14:paraId="78CDF7F9"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45B88D1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30000 - 40 000</w:t>
                  </w:r>
                </w:p>
              </w:tc>
              <w:tc>
                <w:tcPr>
                  <w:tcW w:w="454" w:type="dxa"/>
                  <w:tcBorders>
                    <w:top w:val="single" w:sz="4" w:space="0" w:color="FFFFFF"/>
                    <w:bottom w:val="single" w:sz="4" w:space="0" w:color="FFFFFF"/>
                  </w:tcBorders>
                  <w:shd w:val="clear" w:color="auto" w:fill="DBE5F1"/>
                  <w:vAlign w:val="center"/>
                </w:tcPr>
                <w:p w14:paraId="5409AAF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0,042</w:t>
                  </w:r>
                </w:p>
              </w:tc>
              <w:tc>
                <w:tcPr>
                  <w:tcW w:w="454" w:type="dxa"/>
                  <w:tcBorders>
                    <w:top w:val="single" w:sz="4" w:space="0" w:color="FFFFFF"/>
                    <w:bottom w:val="single" w:sz="4" w:space="0" w:color="FFFFFF"/>
                  </w:tcBorders>
                  <w:shd w:val="clear" w:color="auto" w:fill="DBE5F1"/>
                  <w:vAlign w:val="center"/>
                </w:tcPr>
                <w:p w14:paraId="11F05FA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0,054</w:t>
                  </w:r>
                </w:p>
              </w:tc>
              <w:tc>
                <w:tcPr>
                  <w:tcW w:w="454" w:type="dxa"/>
                  <w:tcBorders>
                    <w:top w:val="single" w:sz="4" w:space="0" w:color="FFFFFF"/>
                    <w:bottom w:val="single" w:sz="4" w:space="0" w:color="FFFFFF"/>
                  </w:tcBorders>
                  <w:shd w:val="clear" w:color="auto" w:fill="DBE5F1"/>
                  <w:vAlign w:val="center"/>
                </w:tcPr>
                <w:p w14:paraId="4D92840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0,075</w:t>
                  </w:r>
                </w:p>
              </w:tc>
              <w:tc>
                <w:tcPr>
                  <w:tcW w:w="454" w:type="dxa"/>
                  <w:tcBorders>
                    <w:top w:val="single" w:sz="4" w:space="0" w:color="FFFFFF"/>
                    <w:bottom w:val="single" w:sz="4" w:space="0" w:color="FFFFFF"/>
                  </w:tcBorders>
                  <w:shd w:val="clear" w:color="auto" w:fill="DBE5F1"/>
                  <w:vAlign w:val="center"/>
                </w:tcPr>
                <w:p w14:paraId="08DFCBC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0,112</w:t>
                  </w:r>
                </w:p>
              </w:tc>
              <w:tc>
                <w:tcPr>
                  <w:tcW w:w="454" w:type="dxa"/>
                  <w:tcBorders>
                    <w:top w:val="single" w:sz="4" w:space="0" w:color="FFFFFF"/>
                    <w:bottom w:val="single" w:sz="4" w:space="0" w:color="FFFFFF"/>
                  </w:tcBorders>
                  <w:shd w:val="clear" w:color="auto" w:fill="DBE5F1"/>
                  <w:vAlign w:val="center"/>
                </w:tcPr>
                <w:p w14:paraId="0C992C7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0,062</w:t>
                  </w:r>
                </w:p>
              </w:tc>
              <w:tc>
                <w:tcPr>
                  <w:tcW w:w="454" w:type="dxa"/>
                  <w:tcBorders>
                    <w:top w:val="single" w:sz="4" w:space="0" w:color="FFFFFF"/>
                    <w:bottom w:val="single" w:sz="4" w:space="0" w:color="FFFFFF"/>
                  </w:tcBorders>
                  <w:shd w:val="clear" w:color="auto" w:fill="DBE5F1"/>
                  <w:vAlign w:val="center"/>
                </w:tcPr>
                <w:p w14:paraId="6B4CB52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0,094</w:t>
                  </w:r>
                </w:p>
              </w:tc>
            </w:tr>
            <w:tr w:rsidR="00600DEE" w14:paraId="54E745B9" w14:textId="77777777" w:rsidTr="00E7601A">
              <w:trPr>
                <w:trHeight w:hRule="exact" w:val="284"/>
              </w:trPr>
              <w:tc>
                <w:tcPr>
                  <w:tcW w:w="1360" w:type="dxa"/>
                  <w:tcBorders>
                    <w:top w:val="single" w:sz="4" w:space="0" w:color="FFFFFF"/>
                  </w:tcBorders>
                  <w:shd w:val="clear" w:color="auto" w:fill="DBE5F1"/>
                  <w:vAlign w:val="center"/>
                </w:tcPr>
                <w:p w14:paraId="10AEF9D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above 40 000</w:t>
                  </w:r>
                </w:p>
              </w:tc>
              <w:tc>
                <w:tcPr>
                  <w:tcW w:w="454" w:type="dxa"/>
                  <w:tcBorders>
                    <w:top w:val="single" w:sz="4" w:space="0" w:color="FFFFFF"/>
                  </w:tcBorders>
                  <w:shd w:val="clear" w:color="auto" w:fill="DBE5F1"/>
                  <w:vAlign w:val="center"/>
                </w:tcPr>
                <w:p w14:paraId="23B302E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0,040</w:t>
                  </w:r>
                </w:p>
              </w:tc>
              <w:tc>
                <w:tcPr>
                  <w:tcW w:w="454" w:type="dxa"/>
                  <w:tcBorders>
                    <w:top w:val="single" w:sz="4" w:space="0" w:color="FFFFFF"/>
                  </w:tcBorders>
                  <w:shd w:val="clear" w:color="auto" w:fill="DBE5F1"/>
                  <w:vAlign w:val="center"/>
                </w:tcPr>
                <w:p w14:paraId="2583E77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0,050</w:t>
                  </w:r>
                </w:p>
              </w:tc>
              <w:tc>
                <w:tcPr>
                  <w:tcW w:w="454" w:type="dxa"/>
                  <w:tcBorders>
                    <w:top w:val="single" w:sz="4" w:space="0" w:color="FFFFFF"/>
                  </w:tcBorders>
                  <w:shd w:val="clear" w:color="auto" w:fill="DBE5F1"/>
                  <w:vAlign w:val="center"/>
                </w:tcPr>
                <w:p w14:paraId="5053578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0,070</w:t>
                  </w:r>
                </w:p>
              </w:tc>
              <w:tc>
                <w:tcPr>
                  <w:tcW w:w="454" w:type="dxa"/>
                  <w:tcBorders>
                    <w:top w:val="single" w:sz="4" w:space="0" w:color="FFFFFF"/>
                  </w:tcBorders>
                  <w:shd w:val="clear" w:color="auto" w:fill="DBE5F1"/>
                  <w:vAlign w:val="center"/>
                </w:tcPr>
                <w:p w14:paraId="2851E90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0,100</w:t>
                  </w:r>
                </w:p>
              </w:tc>
              <w:tc>
                <w:tcPr>
                  <w:tcW w:w="454" w:type="dxa"/>
                  <w:tcBorders>
                    <w:top w:val="single" w:sz="4" w:space="0" w:color="FFFFFF"/>
                  </w:tcBorders>
                  <w:shd w:val="clear" w:color="auto" w:fill="DBE5F1"/>
                  <w:vAlign w:val="center"/>
                </w:tcPr>
                <w:p w14:paraId="6966801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0,060</w:t>
                  </w:r>
                </w:p>
              </w:tc>
              <w:tc>
                <w:tcPr>
                  <w:tcW w:w="454" w:type="dxa"/>
                  <w:tcBorders>
                    <w:top w:val="single" w:sz="4" w:space="0" w:color="FFFFFF"/>
                  </w:tcBorders>
                  <w:shd w:val="clear" w:color="auto" w:fill="DBE5F1"/>
                  <w:vAlign w:val="center"/>
                </w:tcPr>
                <w:p w14:paraId="1C4D19E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0,090</w:t>
                  </w:r>
                </w:p>
              </w:tc>
            </w:tr>
          </w:tbl>
          <w:p w14:paraId="476ABAC0"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b/>
                <w:i/>
                <w:sz w:val="16"/>
                <w:szCs w:val="16"/>
              </w:rPr>
              <w:t>Źródło: Opracowanie własne na podstawie metody wskaźników BRD</w:t>
            </w:r>
          </w:p>
          <w:p w14:paraId="648B2AD8" w14:textId="77777777" w:rsidR="00600DEE" w:rsidRDefault="00641FB5">
            <w:pPr>
              <w:pBdr>
                <w:top w:val="nil"/>
                <w:left w:val="nil"/>
                <w:bottom w:val="nil"/>
                <w:right w:val="nil"/>
                <w:between w:val="nil"/>
              </w:pBdr>
              <w:spacing w:before="120" w:after="120"/>
              <w:jc w:val="both"/>
              <w:rPr>
                <w:rFonts w:ascii="Calibri" w:eastAsia="Calibri" w:hAnsi="Calibri" w:cs="Calibri"/>
                <w:color w:val="4F81BD"/>
                <w:sz w:val="20"/>
                <w:szCs w:val="20"/>
              </w:rPr>
            </w:pPr>
            <w:r>
              <w:rPr>
                <w:rFonts w:ascii="Calibri" w:eastAsia="Calibri" w:hAnsi="Calibri" w:cs="Calibri"/>
                <w:b/>
                <w:color w:val="4F81BD"/>
                <w:sz w:val="20"/>
                <w:szCs w:val="20"/>
              </w:rPr>
              <w:t>Tabela 4. Współczynnik lokalizacji drogi f</w:t>
            </w:r>
            <w:r>
              <w:rPr>
                <w:rFonts w:ascii="Calibri" w:eastAsia="Calibri" w:hAnsi="Calibri" w:cs="Calibri"/>
                <w:b/>
                <w:color w:val="4F81BD"/>
                <w:sz w:val="20"/>
                <w:szCs w:val="20"/>
                <w:vertAlign w:val="superscript"/>
              </w:rPr>
              <w:t>(1)</w:t>
            </w:r>
            <w:r>
              <w:rPr>
                <w:rFonts w:ascii="Calibri" w:eastAsia="Calibri" w:hAnsi="Calibri" w:cs="Calibri"/>
                <w:b/>
                <w:color w:val="4F81BD"/>
                <w:sz w:val="20"/>
                <w:szCs w:val="20"/>
                <w:vertAlign w:val="subscript"/>
              </w:rPr>
              <w:t>LDW</w:t>
            </w:r>
            <w:r>
              <w:rPr>
                <w:rFonts w:ascii="Calibri" w:eastAsia="Calibri" w:hAnsi="Calibri" w:cs="Calibri"/>
                <w:b/>
                <w:color w:val="4F81BD"/>
                <w:sz w:val="20"/>
                <w:szCs w:val="20"/>
              </w:rPr>
              <w:t xml:space="preserve"> </w:t>
            </w:r>
            <w:r>
              <w:rPr>
                <w:rFonts w:ascii="Calibri" w:eastAsia="Calibri" w:hAnsi="Calibri" w:cs="Calibri"/>
                <w:color w:val="4F81BD"/>
                <w:sz w:val="20"/>
                <w:szCs w:val="20"/>
              </w:rPr>
              <w:t>(dotyczy tylko</w:t>
            </w:r>
            <w:r>
              <w:rPr>
                <w:rFonts w:ascii="Calibri" w:eastAsia="Calibri" w:hAnsi="Calibri" w:cs="Calibri"/>
                <w:b/>
                <w:color w:val="4F81BD"/>
                <w:sz w:val="20"/>
                <w:szCs w:val="20"/>
              </w:rPr>
              <w:t xml:space="preserve"> </w:t>
            </w:r>
            <w:r>
              <w:rPr>
                <w:rFonts w:ascii="Calibri" w:eastAsia="Calibri" w:hAnsi="Calibri" w:cs="Calibri"/>
                <w:color w:val="4F81BD"/>
                <w:sz w:val="20"/>
                <w:szCs w:val="20"/>
              </w:rPr>
              <w:t>dróg jednojezdniowych)</w:t>
            </w:r>
          </w:p>
          <w:tbl>
            <w:tblPr>
              <w:tblStyle w:val="afffffffffffffff8"/>
              <w:tblW w:w="708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144"/>
              <w:gridCol w:w="1134"/>
              <w:gridCol w:w="1910"/>
              <w:gridCol w:w="1895"/>
            </w:tblGrid>
            <w:tr w:rsidR="00600DEE" w14:paraId="42523C38" w14:textId="77777777" w:rsidTr="00E9546C">
              <w:trPr>
                <w:trHeight w:val="227"/>
              </w:trPr>
              <w:tc>
                <w:tcPr>
                  <w:tcW w:w="2144" w:type="dxa"/>
                  <w:shd w:val="clear" w:color="auto" w:fill="A6A6A6"/>
                  <w:vAlign w:val="center"/>
                </w:tcPr>
                <w:p w14:paraId="49F78B2B"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Województwo</w:t>
                  </w:r>
                </w:p>
              </w:tc>
              <w:tc>
                <w:tcPr>
                  <w:tcW w:w="1134" w:type="dxa"/>
                  <w:shd w:val="clear" w:color="auto" w:fill="A6A6A6"/>
                  <w:vAlign w:val="center"/>
                </w:tcPr>
                <w:p w14:paraId="38A2BD46" w14:textId="77777777" w:rsidR="00600DEE" w:rsidRDefault="00641FB5">
                  <w:pPr>
                    <w:jc w:val="center"/>
                    <w:rPr>
                      <w:rFonts w:ascii="Calibri" w:eastAsia="Calibri" w:hAnsi="Calibri" w:cs="Calibri"/>
                      <w:b/>
                      <w:color w:val="FFFFFF"/>
                      <w:sz w:val="18"/>
                      <w:szCs w:val="18"/>
                    </w:rPr>
                  </w:pPr>
                  <w:r>
                    <w:rPr>
                      <w:rFonts w:ascii="Calibri" w:eastAsia="Calibri" w:hAnsi="Calibri" w:cs="Calibri"/>
                      <w:b/>
                      <w:i/>
                      <w:color w:val="FFFFFF"/>
                      <w:sz w:val="20"/>
                      <w:szCs w:val="20"/>
                    </w:rPr>
                    <w:t>f</w:t>
                  </w:r>
                  <w:r>
                    <w:rPr>
                      <w:rFonts w:ascii="Calibri" w:eastAsia="Calibri" w:hAnsi="Calibri" w:cs="Calibri"/>
                      <w:b/>
                      <w:i/>
                      <w:color w:val="FFFFFF"/>
                      <w:sz w:val="20"/>
                      <w:szCs w:val="20"/>
                      <w:vertAlign w:val="superscript"/>
                    </w:rPr>
                    <w:t>(1)</w:t>
                  </w:r>
                  <w:r>
                    <w:rPr>
                      <w:rFonts w:ascii="Calibri" w:eastAsia="Calibri" w:hAnsi="Calibri" w:cs="Calibri"/>
                      <w:b/>
                      <w:i/>
                      <w:color w:val="FFFFFF"/>
                      <w:sz w:val="20"/>
                      <w:szCs w:val="20"/>
                      <w:vertAlign w:val="subscript"/>
                    </w:rPr>
                    <w:t>LDW</w:t>
                  </w:r>
                </w:p>
              </w:tc>
              <w:tc>
                <w:tcPr>
                  <w:tcW w:w="1910" w:type="dxa"/>
                  <w:shd w:val="clear" w:color="auto" w:fill="A6A6A6"/>
                  <w:vAlign w:val="center"/>
                </w:tcPr>
                <w:p w14:paraId="5643F94D"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Województwo</w:t>
                  </w:r>
                </w:p>
              </w:tc>
              <w:tc>
                <w:tcPr>
                  <w:tcW w:w="1895" w:type="dxa"/>
                  <w:shd w:val="clear" w:color="auto" w:fill="A6A6A6"/>
                  <w:vAlign w:val="center"/>
                </w:tcPr>
                <w:p w14:paraId="08BFD4C5" w14:textId="77777777" w:rsidR="00600DEE" w:rsidRDefault="00641FB5">
                  <w:pPr>
                    <w:jc w:val="center"/>
                    <w:rPr>
                      <w:rFonts w:ascii="Calibri" w:eastAsia="Calibri" w:hAnsi="Calibri" w:cs="Calibri"/>
                      <w:b/>
                      <w:color w:val="FFFFFF"/>
                      <w:sz w:val="18"/>
                      <w:szCs w:val="18"/>
                    </w:rPr>
                  </w:pPr>
                  <w:r>
                    <w:rPr>
                      <w:rFonts w:ascii="Calibri" w:eastAsia="Calibri" w:hAnsi="Calibri" w:cs="Calibri"/>
                      <w:b/>
                      <w:i/>
                      <w:color w:val="FFFFFF"/>
                      <w:sz w:val="20"/>
                      <w:szCs w:val="20"/>
                    </w:rPr>
                    <w:t>f</w:t>
                  </w:r>
                  <w:r>
                    <w:rPr>
                      <w:rFonts w:ascii="Calibri" w:eastAsia="Calibri" w:hAnsi="Calibri" w:cs="Calibri"/>
                      <w:b/>
                      <w:i/>
                      <w:color w:val="FFFFFF"/>
                      <w:sz w:val="20"/>
                      <w:szCs w:val="20"/>
                      <w:vertAlign w:val="superscript"/>
                    </w:rPr>
                    <w:t>(1)</w:t>
                  </w:r>
                  <w:r>
                    <w:rPr>
                      <w:rFonts w:ascii="Calibri" w:eastAsia="Calibri" w:hAnsi="Calibri" w:cs="Calibri"/>
                      <w:b/>
                      <w:i/>
                      <w:color w:val="FFFFFF"/>
                      <w:sz w:val="20"/>
                      <w:szCs w:val="20"/>
                      <w:vertAlign w:val="subscript"/>
                    </w:rPr>
                    <w:t>LDW</w:t>
                  </w:r>
                </w:p>
              </w:tc>
            </w:tr>
            <w:tr w:rsidR="00600DEE" w14:paraId="5467AC37" w14:textId="77777777" w:rsidTr="00E9546C">
              <w:trPr>
                <w:trHeight w:val="227"/>
              </w:trPr>
              <w:tc>
                <w:tcPr>
                  <w:tcW w:w="2144" w:type="dxa"/>
                  <w:shd w:val="clear" w:color="auto" w:fill="DBE5F1"/>
                  <w:vAlign w:val="center"/>
                </w:tcPr>
                <w:p w14:paraId="67DD021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dolnośląskie</w:t>
                  </w:r>
                </w:p>
              </w:tc>
              <w:tc>
                <w:tcPr>
                  <w:tcW w:w="1134" w:type="dxa"/>
                  <w:shd w:val="clear" w:color="auto" w:fill="DBE5F1"/>
                  <w:vAlign w:val="center"/>
                </w:tcPr>
                <w:p w14:paraId="24A60CB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2,342</w:t>
                  </w:r>
                </w:p>
              </w:tc>
              <w:tc>
                <w:tcPr>
                  <w:tcW w:w="1910" w:type="dxa"/>
                  <w:shd w:val="clear" w:color="auto" w:fill="DBE5F1"/>
                  <w:vAlign w:val="center"/>
                </w:tcPr>
                <w:p w14:paraId="1142929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podkarpackie</w:t>
                  </w:r>
                </w:p>
              </w:tc>
              <w:tc>
                <w:tcPr>
                  <w:tcW w:w="1895" w:type="dxa"/>
                  <w:shd w:val="clear" w:color="auto" w:fill="DBE5F1"/>
                  <w:vAlign w:val="center"/>
                </w:tcPr>
                <w:p w14:paraId="41FE509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2,430</w:t>
                  </w:r>
                </w:p>
              </w:tc>
            </w:tr>
            <w:tr w:rsidR="00600DEE" w14:paraId="0CA2F249" w14:textId="77777777" w:rsidTr="00E9546C">
              <w:trPr>
                <w:trHeight w:val="227"/>
              </w:trPr>
              <w:tc>
                <w:tcPr>
                  <w:tcW w:w="2144" w:type="dxa"/>
                  <w:shd w:val="clear" w:color="auto" w:fill="DBE5F1"/>
                  <w:vAlign w:val="center"/>
                </w:tcPr>
                <w:p w14:paraId="2846AC9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kujawsko-pomorskie</w:t>
                  </w:r>
                </w:p>
              </w:tc>
              <w:tc>
                <w:tcPr>
                  <w:tcW w:w="1134" w:type="dxa"/>
                  <w:shd w:val="clear" w:color="auto" w:fill="DBE5F1"/>
                  <w:vAlign w:val="center"/>
                </w:tcPr>
                <w:p w14:paraId="3A59262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1,696</w:t>
                  </w:r>
                </w:p>
              </w:tc>
              <w:tc>
                <w:tcPr>
                  <w:tcW w:w="1910" w:type="dxa"/>
                  <w:shd w:val="clear" w:color="auto" w:fill="DBE5F1"/>
                  <w:vAlign w:val="center"/>
                </w:tcPr>
                <w:p w14:paraId="0919909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podlaskie</w:t>
                  </w:r>
                </w:p>
              </w:tc>
              <w:tc>
                <w:tcPr>
                  <w:tcW w:w="1895" w:type="dxa"/>
                  <w:shd w:val="clear" w:color="auto" w:fill="DBE5F1"/>
                  <w:vAlign w:val="center"/>
                </w:tcPr>
                <w:p w14:paraId="34CBE1D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1,760</w:t>
                  </w:r>
                </w:p>
              </w:tc>
            </w:tr>
            <w:tr w:rsidR="00600DEE" w14:paraId="17109394" w14:textId="77777777" w:rsidTr="00E9546C">
              <w:trPr>
                <w:trHeight w:val="227"/>
              </w:trPr>
              <w:tc>
                <w:tcPr>
                  <w:tcW w:w="2144" w:type="dxa"/>
                  <w:shd w:val="clear" w:color="auto" w:fill="DBE5F1"/>
                  <w:vAlign w:val="center"/>
                </w:tcPr>
                <w:p w14:paraId="6235887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lubelskie</w:t>
                  </w:r>
                </w:p>
              </w:tc>
              <w:tc>
                <w:tcPr>
                  <w:tcW w:w="1134" w:type="dxa"/>
                  <w:shd w:val="clear" w:color="auto" w:fill="DBE5F1"/>
                  <w:vAlign w:val="center"/>
                </w:tcPr>
                <w:p w14:paraId="3AC08AE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2,405</w:t>
                  </w:r>
                </w:p>
              </w:tc>
              <w:tc>
                <w:tcPr>
                  <w:tcW w:w="1910" w:type="dxa"/>
                  <w:shd w:val="clear" w:color="auto" w:fill="DBE5F1"/>
                  <w:vAlign w:val="center"/>
                </w:tcPr>
                <w:p w14:paraId="079CB12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pomorskie</w:t>
                  </w:r>
                </w:p>
              </w:tc>
              <w:tc>
                <w:tcPr>
                  <w:tcW w:w="1895" w:type="dxa"/>
                  <w:shd w:val="clear" w:color="auto" w:fill="DBE5F1"/>
                  <w:vAlign w:val="center"/>
                </w:tcPr>
                <w:p w14:paraId="21460A9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2,317</w:t>
                  </w:r>
                </w:p>
              </w:tc>
            </w:tr>
            <w:tr w:rsidR="00600DEE" w14:paraId="5F8660E5" w14:textId="77777777" w:rsidTr="00E9546C">
              <w:trPr>
                <w:trHeight w:val="227"/>
              </w:trPr>
              <w:tc>
                <w:tcPr>
                  <w:tcW w:w="2144" w:type="dxa"/>
                  <w:shd w:val="clear" w:color="auto" w:fill="DBE5F1"/>
                  <w:vAlign w:val="center"/>
                </w:tcPr>
                <w:p w14:paraId="71FA570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lubuskie</w:t>
                  </w:r>
                </w:p>
              </w:tc>
              <w:tc>
                <w:tcPr>
                  <w:tcW w:w="1134" w:type="dxa"/>
                  <w:shd w:val="clear" w:color="auto" w:fill="DBE5F1"/>
                  <w:vAlign w:val="center"/>
                </w:tcPr>
                <w:p w14:paraId="2BE88AB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1,742</w:t>
                  </w:r>
                </w:p>
              </w:tc>
              <w:tc>
                <w:tcPr>
                  <w:tcW w:w="1910" w:type="dxa"/>
                  <w:shd w:val="clear" w:color="auto" w:fill="DBE5F1"/>
                  <w:vAlign w:val="center"/>
                </w:tcPr>
                <w:p w14:paraId="131E881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śląskie</w:t>
                  </w:r>
                </w:p>
              </w:tc>
              <w:tc>
                <w:tcPr>
                  <w:tcW w:w="1895" w:type="dxa"/>
                  <w:shd w:val="clear" w:color="auto" w:fill="DBE5F1"/>
                  <w:vAlign w:val="center"/>
                </w:tcPr>
                <w:p w14:paraId="1557ACA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2,833</w:t>
                  </w:r>
                </w:p>
              </w:tc>
            </w:tr>
            <w:tr w:rsidR="00600DEE" w14:paraId="6A967187" w14:textId="77777777" w:rsidTr="00E9546C">
              <w:trPr>
                <w:trHeight w:val="227"/>
              </w:trPr>
              <w:tc>
                <w:tcPr>
                  <w:tcW w:w="2144" w:type="dxa"/>
                  <w:shd w:val="clear" w:color="auto" w:fill="DBE5F1"/>
                  <w:vAlign w:val="center"/>
                </w:tcPr>
                <w:p w14:paraId="41402B2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łódzkie</w:t>
                  </w:r>
                </w:p>
              </w:tc>
              <w:tc>
                <w:tcPr>
                  <w:tcW w:w="1134" w:type="dxa"/>
                  <w:shd w:val="clear" w:color="auto" w:fill="DBE5F1"/>
                  <w:vAlign w:val="center"/>
                </w:tcPr>
                <w:p w14:paraId="55C52C1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2,701</w:t>
                  </w:r>
                </w:p>
              </w:tc>
              <w:tc>
                <w:tcPr>
                  <w:tcW w:w="1910" w:type="dxa"/>
                  <w:shd w:val="clear" w:color="auto" w:fill="DBE5F1"/>
                  <w:vAlign w:val="center"/>
                </w:tcPr>
                <w:p w14:paraId="0839914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świętokrzyskie</w:t>
                  </w:r>
                </w:p>
              </w:tc>
              <w:tc>
                <w:tcPr>
                  <w:tcW w:w="1895" w:type="dxa"/>
                  <w:shd w:val="clear" w:color="auto" w:fill="DBE5F1"/>
                  <w:vAlign w:val="center"/>
                </w:tcPr>
                <w:p w14:paraId="238619B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2,430</w:t>
                  </w:r>
                </w:p>
              </w:tc>
            </w:tr>
            <w:tr w:rsidR="00600DEE" w14:paraId="2FA0FF68" w14:textId="77777777" w:rsidTr="00E9546C">
              <w:trPr>
                <w:trHeight w:val="227"/>
              </w:trPr>
              <w:tc>
                <w:tcPr>
                  <w:tcW w:w="2144" w:type="dxa"/>
                  <w:shd w:val="clear" w:color="auto" w:fill="DBE5F1"/>
                  <w:vAlign w:val="center"/>
                </w:tcPr>
                <w:p w14:paraId="288E2A4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małopolskie</w:t>
                  </w:r>
                </w:p>
              </w:tc>
              <w:tc>
                <w:tcPr>
                  <w:tcW w:w="1134" w:type="dxa"/>
                  <w:shd w:val="clear" w:color="auto" w:fill="DBE5F1"/>
                  <w:vAlign w:val="center"/>
                </w:tcPr>
                <w:p w14:paraId="70F89E4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2,788</w:t>
                  </w:r>
                </w:p>
              </w:tc>
              <w:tc>
                <w:tcPr>
                  <w:tcW w:w="1910" w:type="dxa"/>
                  <w:shd w:val="clear" w:color="auto" w:fill="DBE5F1"/>
                  <w:vAlign w:val="center"/>
                </w:tcPr>
                <w:p w14:paraId="0CDD551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warmińsko-mazurskie</w:t>
                  </w:r>
                </w:p>
              </w:tc>
              <w:tc>
                <w:tcPr>
                  <w:tcW w:w="1895" w:type="dxa"/>
                  <w:shd w:val="clear" w:color="auto" w:fill="DBE5F1"/>
                  <w:vAlign w:val="center"/>
                </w:tcPr>
                <w:p w14:paraId="22158BC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2,617</w:t>
                  </w:r>
                </w:p>
              </w:tc>
            </w:tr>
            <w:tr w:rsidR="00600DEE" w14:paraId="3B17456E" w14:textId="77777777" w:rsidTr="00E9546C">
              <w:trPr>
                <w:trHeight w:val="227"/>
              </w:trPr>
              <w:tc>
                <w:tcPr>
                  <w:tcW w:w="2144" w:type="dxa"/>
                  <w:shd w:val="clear" w:color="auto" w:fill="DBE5F1"/>
                  <w:vAlign w:val="center"/>
                </w:tcPr>
                <w:p w14:paraId="4E72FAA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mazowieckie</w:t>
                  </w:r>
                </w:p>
              </w:tc>
              <w:tc>
                <w:tcPr>
                  <w:tcW w:w="1134" w:type="dxa"/>
                  <w:shd w:val="clear" w:color="auto" w:fill="DBE5F1"/>
                  <w:vAlign w:val="center"/>
                </w:tcPr>
                <w:p w14:paraId="2C0658D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2,096</w:t>
                  </w:r>
                </w:p>
              </w:tc>
              <w:tc>
                <w:tcPr>
                  <w:tcW w:w="1910" w:type="dxa"/>
                  <w:shd w:val="clear" w:color="auto" w:fill="DBE5F1"/>
                  <w:vAlign w:val="center"/>
                </w:tcPr>
                <w:p w14:paraId="0A8A31B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wielkopolskie</w:t>
                  </w:r>
                </w:p>
              </w:tc>
              <w:tc>
                <w:tcPr>
                  <w:tcW w:w="1895" w:type="dxa"/>
                  <w:shd w:val="clear" w:color="auto" w:fill="DBE5F1"/>
                  <w:vAlign w:val="center"/>
                </w:tcPr>
                <w:p w14:paraId="72A18FD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1,936</w:t>
                  </w:r>
                </w:p>
              </w:tc>
            </w:tr>
            <w:tr w:rsidR="00600DEE" w14:paraId="2E53138D" w14:textId="77777777" w:rsidTr="00E9546C">
              <w:trPr>
                <w:trHeight w:val="227"/>
              </w:trPr>
              <w:tc>
                <w:tcPr>
                  <w:tcW w:w="2144" w:type="dxa"/>
                  <w:shd w:val="clear" w:color="auto" w:fill="DBE5F1"/>
                  <w:vAlign w:val="center"/>
                </w:tcPr>
                <w:p w14:paraId="06CF543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opolskie</w:t>
                  </w:r>
                </w:p>
              </w:tc>
              <w:tc>
                <w:tcPr>
                  <w:tcW w:w="1134" w:type="dxa"/>
                  <w:shd w:val="clear" w:color="auto" w:fill="DBE5F1"/>
                  <w:vAlign w:val="center"/>
                </w:tcPr>
                <w:p w14:paraId="5ADEB83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2,063</w:t>
                  </w:r>
                </w:p>
              </w:tc>
              <w:tc>
                <w:tcPr>
                  <w:tcW w:w="1910" w:type="dxa"/>
                  <w:shd w:val="clear" w:color="auto" w:fill="DBE5F1"/>
                  <w:vAlign w:val="center"/>
                </w:tcPr>
                <w:p w14:paraId="2D4E07F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zachodniopomorskie</w:t>
                  </w:r>
                </w:p>
              </w:tc>
              <w:tc>
                <w:tcPr>
                  <w:tcW w:w="1895" w:type="dxa"/>
                  <w:shd w:val="clear" w:color="auto" w:fill="DBE5F1"/>
                  <w:vAlign w:val="center"/>
                </w:tcPr>
                <w:p w14:paraId="2593B35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1,886</w:t>
                  </w:r>
                </w:p>
              </w:tc>
            </w:tr>
          </w:tbl>
          <w:p w14:paraId="4421DBFE"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b/>
                <w:i/>
                <w:sz w:val="16"/>
                <w:szCs w:val="16"/>
              </w:rPr>
              <w:t>Źródło: Metoda wskaźników BRD</w:t>
            </w:r>
            <w:r>
              <w:rPr>
                <w:rFonts w:ascii="Calibri" w:eastAsia="Calibri" w:hAnsi="Calibri" w:cs="Calibri"/>
                <w:sz w:val="20"/>
                <w:szCs w:val="20"/>
              </w:rPr>
              <w:t xml:space="preserve"> </w:t>
            </w:r>
          </w:p>
          <w:p w14:paraId="62017BF5" w14:textId="6EC65499"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 przypadku, jeśli inwestycja nie obejmuje budowy/przebu</w:t>
            </w:r>
            <w:r w:rsidR="00B57CEF">
              <w:rPr>
                <w:rFonts w:ascii="Calibri" w:eastAsia="Calibri" w:hAnsi="Calibri" w:cs="Calibri"/>
                <w:sz w:val="20"/>
                <w:szCs w:val="20"/>
              </w:rPr>
              <w:t xml:space="preserve">dowy drogi jednojezdniowej, to </w:t>
            </w:r>
            <w:r>
              <w:rPr>
                <w:rFonts w:ascii="Calibri" w:eastAsia="Calibri" w:hAnsi="Calibri" w:cs="Calibri"/>
                <w:sz w:val="20"/>
                <w:szCs w:val="20"/>
              </w:rPr>
              <w:t>dla celów obliczeń sieciowych można zastosować u</w:t>
            </w:r>
            <w:r w:rsidR="00B57CEF">
              <w:rPr>
                <w:rFonts w:ascii="Calibri" w:eastAsia="Calibri" w:hAnsi="Calibri" w:cs="Calibri"/>
                <w:sz w:val="20"/>
                <w:szCs w:val="20"/>
              </w:rPr>
              <w:t>średnioną wartość współczynnika</w:t>
            </w:r>
            <w:r>
              <w:rPr>
                <w:rFonts w:ascii="Calibri" w:eastAsia="Calibri" w:hAnsi="Calibri" w:cs="Calibri"/>
                <w:sz w:val="20"/>
                <w:szCs w:val="20"/>
              </w:rPr>
              <w:t xml:space="preserve"> </w:t>
            </w:r>
            <w:r>
              <w:rPr>
                <w:rFonts w:ascii="Calibri" w:eastAsia="Calibri" w:hAnsi="Calibri" w:cs="Calibri"/>
                <w:b/>
                <w:i/>
                <w:sz w:val="20"/>
                <w:szCs w:val="20"/>
              </w:rPr>
              <w:t>f</w:t>
            </w:r>
            <w:r>
              <w:rPr>
                <w:rFonts w:ascii="Calibri" w:eastAsia="Calibri" w:hAnsi="Calibri" w:cs="Calibri"/>
                <w:b/>
                <w:i/>
                <w:sz w:val="20"/>
                <w:szCs w:val="20"/>
                <w:vertAlign w:val="superscript"/>
              </w:rPr>
              <w:t>(1)</w:t>
            </w:r>
            <w:r>
              <w:rPr>
                <w:rFonts w:ascii="Calibri" w:eastAsia="Calibri" w:hAnsi="Calibri" w:cs="Calibri"/>
                <w:b/>
                <w:i/>
                <w:sz w:val="20"/>
                <w:szCs w:val="20"/>
                <w:vertAlign w:val="subscript"/>
              </w:rPr>
              <w:t xml:space="preserve">LDW </w:t>
            </w:r>
            <w:r>
              <w:rPr>
                <w:rFonts w:ascii="Calibri" w:eastAsia="Calibri" w:hAnsi="Calibri" w:cs="Calibri"/>
                <w:b/>
                <w:sz w:val="20"/>
                <w:szCs w:val="20"/>
              </w:rPr>
              <w:t>= 2,253</w:t>
            </w:r>
            <w:r>
              <w:rPr>
                <w:rFonts w:ascii="Calibri" w:eastAsia="Calibri" w:hAnsi="Calibri" w:cs="Calibri"/>
                <w:b/>
              </w:rPr>
              <w:t xml:space="preserve"> </w:t>
            </w:r>
            <w:r>
              <w:rPr>
                <w:rFonts w:ascii="Calibri" w:eastAsia="Calibri" w:hAnsi="Calibri" w:cs="Calibri"/>
              </w:rPr>
              <w:t>i</w:t>
            </w:r>
            <w:r>
              <w:rPr>
                <w:rFonts w:ascii="Calibri" w:eastAsia="Calibri" w:hAnsi="Calibri" w:cs="Calibri"/>
                <w:b/>
              </w:rPr>
              <w:t> </w:t>
            </w:r>
            <w:r>
              <w:rPr>
                <w:rFonts w:ascii="Calibri" w:eastAsia="Calibri" w:hAnsi="Calibri" w:cs="Calibri"/>
                <w:sz w:val="20"/>
                <w:szCs w:val="20"/>
              </w:rPr>
              <w:t>przyjąć wartości wskaźnika RAI dla dróg jednojezdniowych zgodnie z poniższą tabelą.</w:t>
            </w:r>
          </w:p>
          <w:p w14:paraId="6DFD5A4A" w14:textId="33CA9A8B" w:rsidR="00600DEE" w:rsidRDefault="00641FB5">
            <w:pPr>
              <w:spacing w:before="120" w:after="120"/>
              <w:ind w:left="709" w:hanging="709"/>
              <w:rPr>
                <w:rFonts w:ascii="Calibri" w:eastAsia="Calibri" w:hAnsi="Calibri" w:cs="Calibri"/>
                <w:b/>
                <w:color w:val="4F81BD"/>
                <w:sz w:val="20"/>
                <w:szCs w:val="20"/>
              </w:rPr>
            </w:pPr>
            <w:r>
              <w:rPr>
                <w:rFonts w:ascii="Calibri" w:eastAsia="Calibri" w:hAnsi="Calibri" w:cs="Calibri"/>
                <w:b/>
                <w:color w:val="4F81BD"/>
                <w:sz w:val="20"/>
                <w:szCs w:val="20"/>
              </w:rPr>
              <w:t xml:space="preserve">Tabela 5. Wskaźnik RAI dla ciągów drogowych jednojezdniowych z uwzględnieniem średniego </w:t>
            </w:r>
            <w:r>
              <w:rPr>
                <w:rFonts w:ascii="Calibri" w:eastAsia="Calibri" w:hAnsi="Calibri" w:cs="Calibri"/>
                <w:b/>
                <w:color w:val="4F81BD"/>
              </w:rPr>
              <w:t>f</w:t>
            </w:r>
            <w:r>
              <w:rPr>
                <w:rFonts w:ascii="Calibri" w:eastAsia="Calibri" w:hAnsi="Calibri" w:cs="Calibri"/>
                <w:b/>
                <w:color w:val="4F81BD"/>
                <w:vertAlign w:val="superscript"/>
              </w:rPr>
              <w:t>(1)</w:t>
            </w:r>
            <w:r>
              <w:rPr>
                <w:rFonts w:ascii="Calibri" w:eastAsia="Calibri" w:hAnsi="Calibri" w:cs="Calibri"/>
                <w:b/>
                <w:color w:val="4F81BD"/>
                <w:vertAlign w:val="subscript"/>
              </w:rPr>
              <w:t xml:space="preserve">LDW </w:t>
            </w:r>
            <w:r>
              <w:rPr>
                <w:rFonts w:ascii="Calibri" w:eastAsia="Calibri" w:hAnsi="Calibri" w:cs="Calibri"/>
                <w:b/>
                <w:color w:val="4F81BD"/>
                <w:sz w:val="20"/>
                <w:szCs w:val="20"/>
              </w:rPr>
              <w:t xml:space="preserve"> (wypadki / 10</w:t>
            </w:r>
            <w:r>
              <w:rPr>
                <w:rFonts w:ascii="Calibri" w:eastAsia="Calibri" w:hAnsi="Calibri" w:cs="Calibri"/>
                <w:b/>
                <w:color w:val="4F81BD"/>
                <w:sz w:val="20"/>
                <w:szCs w:val="20"/>
                <w:vertAlign w:val="superscript"/>
              </w:rPr>
              <w:t>6</w:t>
            </w:r>
            <w:r>
              <w:rPr>
                <w:rFonts w:ascii="Calibri" w:eastAsia="Calibri" w:hAnsi="Calibri" w:cs="Calibri"/>
                <w:b/>
                <w:color w:val="4F81BD"/>
                <w:sz w:val="20"/>
                <w:szCs w:val="20"/>
              </w:rPr>
              <w:t xml:space="preserve"> poj-km/dobę) </w:t>
            </w:r>
          </w:p>
          <w:tbl>
            <w:tblPr>
              <w:tblStyle w:val="afffffffffffffff9"/>
              <w:tblW w:w="7078" w:type="dxa"/>
              <w:tblLayout w:type="fixed"/>
              <w:tblLook w:val="0400" w:firstRow="0" w:lastRow="0" w:firstColumn="0" w:lastColumn="0" w:noHBand="0" w:noVBand="1"/>
            </w:tblPr>
            <w:tblGrid>
              <w:gridCol w:w="2020"/>
              <w:gridCol w:w="843"/>
              <w:gridCol w:w="843"/>
              <w:gridCol w:w="843"/>
              <w:gridCol w:w="843"/>
              <w:gridCol w:w="843"/>
              <w:gridCol w:w="843"/>
            </w:tblGrid>
            <w:tr w:rsidR="00600DEE" w14:paraId="3573CA0F" w14:textId="77777777" w:rsidTr="001147E5">
              <w:trPr>
                <w:trHeight w:hRule="exact" w:val="340"/>
              </w:trPr>
              <w:tc>
                <w:tcPr>
                  <w:tcW w:w="1360"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2B7DC57D" w14:textId="77777777" w:rsidR="00600DEE" w:rsidRDefault="00641FB5">
                  <w:pPr>
                    <w:jc w:val="center"/>
                    <w:rPr>
                      <w:rFonts w:ascii="Calibri" w:eastAsia="Calibri" w:hAnsi="Calibri" w:cs="Calibri"/>
                      <w:b/>
                      <w:color w:val="FFFFFF"/>
                      <w:sz w:val="18"/>
                      <w:szCs w:val="18"/>
                    </w:rPr>
                  </w:pPr>
                  <w:r>
                    <w:rPr>
                      <w:rFonts w:ascii="Calibri" w:eastAsia="Calibri" w:hAnsi="Calibri" w:cs="Calibri"/>
                      <w:b/>
                      <w:color w:val="FFFFFF"/>
                      <w:sz w:val="18"/>
                      <w:szCs w:val="18"/>
                    </w:rPr>
                    <w:t>RAI(LDW)/ SDR</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130E28F3"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S1x2n</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2145B245"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S1x2z</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09D4B931"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GP1x2n</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40D14226"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GP1x2n</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36E3923C"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G1x2n</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536DC6E3"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G1x2z</w:t>
                  </w:r>
                </w:p>
              </w:tc>
            </w:tr>
            <w:tr w:rsidR="00600DEE" w14:paraId="1CEC1FFB" w14:textId="77777777" w:rsidTr="001147E5">
              <w:trPr>
                <w:trHeight w:hRule="exact" w:val="340"/>
              </w:trPr>
              <w:tc>
                <w:tcPr>
                  <w:tcW w:w="1360" w:type="dxa"/>
                  <w:tcBorders>
                    <w:top w:val="single" w:sz="4" w:space="0" w:color="FFFFFF"/>
                    <w:left w:val="single" w:sz="8" w:space="0" w:color="FFFFFF"/>
                    <w:bottom w:val="single" w:sz="4" w:space="0" w:color="FFFFFF"/>
                    <w:right w:val="nil"/>
                  </w:tcBorders>
                  <w:shd w:val="clear" w:color="auto" w:fill="DBE5F1"/>
                  <w:vAlign w:val="center"/>
                </w:tcPr>
                <w:p w14:paraId="361B61E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0 - 5 000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387236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0,194</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265C30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0,192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4F83F5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0,268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2A18A0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0,397</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A38EE3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0,219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518366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0,336</w:t>
                  </w:r>
                </w:p>
              </w:tc>
            </w:tr>
            <w:tr w:rsidR="00600DEE" w14:paraId="0672D3C8" w14:textId="77777777" w:rsidTr="001147E5">
              <w:trPr>
                <w:trHeight w:hRule="exact" w:val="340"/>
              </w:trPr>
              <w:tc>
                <w:tcPr>
                  <w:tcW w:w="1360" w:type="dxa"/>
                  <w:tcBorders>
                    <w:top w:val="single" w:sz="4" w:space="0" w:color="FFFFFF"/>
                    <w:left w:val="single" w:sz="8" w:space="0" w:color="FFFFFF"/>
                    <w:bottom w:val="single" w:sz="4" w:space="0" w:color="FFFFFF"/>
                    <w:right w:val="nil"/>
                  </w:tcBorders>
                  <w:shd w:val="clear" w:color="auto" w:fill="DBE5F1"/>
                  <w:vAlign w:val="center"/>
                </w:tcPr>
                <w:p w14:paraId="29939EC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5000 - 10 000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F3DF8E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0,124</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783796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0,160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9D483E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0,223</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8D55D4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0,331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C6872B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0,182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E04BA7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0,282</w:t>
                  </w:r>
                </w:p>
              </w:tc>
            </w:tr>
            <w:tr w:rsidR="00600DEE" w14:paraId="55935C34" w14:textId="77777777" w:rsidTr="001147E5">
              <w:trPr>
                <w:trHeight w:hRule="exact" w:val="340"/>
              </w:trPr>
              <w:tc>
                <w:tcPr>
                  <w:tcW w:w="1360" w:type="dxa"/>
                  <w:tcBorders>
                    <w:top w:val="single" w:sz="4" w:space="0" w:color="FFFFFF"/>
                    <w:left w:val="single" w:sz="8" w:space="0" w:color="FFFFFF"/>
                    <w:bottom w:val="single" w:sz="4" w:space="0" w:color="FFFFFF"/>
                    <w:right w:val="nil"/>
                  </w:tcBorders>
                  <w:shd w:val="clear" w:color="auto" w:fill="DBE5F1"/>
                  <w:vAlign w:val="center"/>
                </w:tcPr>
                <w:p w14:paraId="7E3363F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10 000 - 20 000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48FD3E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CC1FE0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93BC8C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0,198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5918F8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0,295</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C3BC16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0,162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B76547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0,250</w:t>
                  </w:r>
                </w:p>
              </w:tc>
            </w:tr>
            <w:tr w:rsidR="00600DEE" w14:paraId="212FE1D4" w14:textId="77777777" w:rsidTr="001147E5">
              <w:trPr>
                <w:trHeight w:hRule="exact" w:val="340"/>
              </w:trPr>
              <w:tc>
                <w:tcPr>
                  <w:tcW w:w="1360" w:type="dxa"/>
                  <w:tcBorders>
                    <w:top w:val="single" w:sz="4" w:space="0" w:color="FFFFFF"/>
                    <w:left w:val="single" w:sz="8" w:space="0" w:color="FFFFFF"/>
                    <w:bottom w:val="single" w:sz="4" w:space="0" w:color="FFFFFF"/>
                    <w:right w:val="nil"/>
                  </w:tcBorders>
                  <w:shd w:val="clear" w:color="auto" w:fill="DBE5F1"/>
                  <w:vAlign w:val="center"/>
                </w:tcPr>
                <w:p w14:paraId="1145243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20000 - 30 000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48B05F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4714A4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0,131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93B1BF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0,180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BACF04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0,268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48BB9C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F63C2A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0,228</w:t>
                  </w:r>
                </w:p>
              </w:tc>
            </w:tr>
            <w:tr w:rsidR="00600DEE" w14:paraId="590BD743" w14:textId="77777777" w:rsidTr="001147E5">
              <w:trPr>
                <w:trHeight w:hRule="exact" w:val="340"/>
              </w:trPr>
              <w:tc>
                <w:tcPr>
                  <w:tcW w:w="1360" w:type="dxa"/>
                  <w:tcBorders>
                    <w:top w:val="single" w:sz="4" w:space="0" w:color="FFFFFF"/>
                    <w:left w:val="single" w:sz="8" w:space="0" w:color="FFFFFF"/>
                    <w:bottom w:val="single" w:sz="4" w:space="0" w:color="FFFFFF"/>
                    <w:right w:val="nil"/>
                  </w:tcBorders>
                  <w:shd w:val="clear" w:color="auto" w:fill="DBE5F1"/>
                  <w:vAlign w:val="center"/>
                </w:tcPr>
                <w:p w14:paraId="44F7555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30000 - 40 000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F919D7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0,095</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0535E5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0,122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956DD3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0,169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472387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0,252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4CECF5C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99D0D1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0,212</w:t>
                  </w:r>
                </w:p>
              </w:tc>
            </w:tr>
            <w:tr w:rsidR="00600DEE" w14:paraId="1F8FAE0B" w14:textId="77777777" w:rsidTr="001147E5">
              <w:trPr>
                <w:trHeight w:hRule="exact" w:val="340"/>
              </w:trPr>
              <w:tc>
                <w:tcPr>
                  <w:tcW w:w="1360" w:type="dxa"/>
                  <w:tcBorders>
                    <w:top w:val="single" w:sz="4" w:space="0" w:color="FFFFFF"/>
                    <w:left w:val="single" w:sz="8" w:space="0" w:color="FFFFFF"/>
                    <w:bottom w:val="single" w:sz="8" w:space="0" w:color="FFFFFF"/>
                    <w:right w:val="nil"/>
                  </w:tcBorders>
                  <w:shd w:val="clear" w:color="auto" w:fill="DBE5F1"/>
                  <w:vAlign w:val="center"/>
                </w:tcPr>
                <w:p w14:paraId="364E101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above 40 000</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6BCCFC2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0,090</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31F2594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0,113</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3957F56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0,158</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7E6E268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0,225</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62C8755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0,135</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3F4A46E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0,203</w:t>
                  </w:r>
                </w:p>
              </w:tc>
            </w:tr>
          </w:tbl>
          <w:p w14:paraId="66149B75"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b/>
                <w:i/>
                <w:sz w:val="16"/>
                <w:szCs w:val="16"/>
              </w:rPr>
              <w:t>Źródło: Opracowanie własne na podstawie metody wskaźników BRD</w:t>
            </w:r>
          </w:p>
          <w:p w14:paraId="3F9CD1F0" w14:textId="77777777" w:rsidR="00600DEE" w:rsidRDefault="00641FB5" w:rsidP="00D5736B">
            <w:pPr>
              <w:numPr>
                <w:ilvl w:val="0"/>
                <w:numId w:val="48"/>
              </w:numPr>
              <w:pBdr>
                <w:top w:val="nil"/>
                <w:left w:val="nil"/>
                <w:bottom w:val="nil"/>
                <w:right w:val="nil"/>
                <w:between w:val="nil"/>
              </w:pBdr>
              <w:spacing w:before="120" w:after="120"/>
              <w:ind w:left="284" w:hanging="284"/>
              <w:jc w:val="both"/>
              <w:rPr>
                <w:rFonts w:ascii="Calibri" w:eastAsia="Calibri" w:hAnsi="Calibri" w:cs="Calibri"/>
                <w:b/>
                <w:color w:val="4F81BD"/>
                <w:sz w:val="23"/>
                <w:szCs w:val="23"/>
              </w:rPr>
            </w:pPr>
            <w:r>
              <w:rPr>
                <w:rFonts w:ascii="Calibri" w:eastAsia="Calibri" w:hAnsi="Calibri" w:cs="Calibri"/>
                <w:b/>
                <w:color w:val="4F81BD"/>
                <w:sz w:val="23"/>
                <w:szCs w:val="23"/>
              </w:rPr>
              <w:t xml:space="preserve">Liczba poszkodowanych w wypadku </w:t>
            </w:r>
          </w:p>
          <w:p w14:paraId="7E2EB661"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Tabele ze wskaźnikami WR, WCR oraz WZ dla poszczególnych kategorii dróg, zawierają wskaźniki dotyczące średniej liczby osób poszkodowanych w 1 wypadku (rannych, ciężko rannych oraz ofiar śmiertelnych), wyliczone dla sieci dróg krajowych na podstawie danych o sieci i wypadkach z lat 2011 – 2013. Na ich podstawie można obliczać liczbę rannych (LR), ciężko rannych (LCR) oraz ofiar śmiertelnych (LZ), przemnażając przez liczbę wypadków dla danej kategorii drogi.</w:t>
            </w:r>
          </w:p>
          <w:p w14:paraId="6117B168"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 xml:space="preserve">W celu określenia liczby lekko rannych (LLR), należy obliczyć różnicę: LR-LCR. </w:t>
            </w:r>
          </w:p>
          <w:p w14:paraId="64FDBA85"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Tabele 6,7 zawierają wartości wskaźników dotkliwości wypadków wyliczone dla dróg krajowych, natomiast tabela 8 dotyczy dróg wojewódzkich, powiatowych i gminnych.</w:t>
            </w:r>
          </w:p>
          <w:p w14:paraId="74E9750D" w14:textId="77777777" w:rsidR="00600DEE" w:rsidRDefault="00600DEE">
            <w:pPr>
              <w:spacing w:before="120" w:after="120"/>
              <w:jc w:val="both"/>
              <w:rPr>
                <w:rFonts w:ascii="Calibri" w:eastAsia="Calibri" w:hAnsi="Calibri" w:cs="Calibri"/>
                <w:sz w:val="20"/>
                <w:szCs w:val="20"/>
              </w:rPr>
            </w:pPr>
          </w:p>
          <w:p w14:paraId="3B3C73C7" w14:textId="77777777" w:rsidR="00600DEE" w:rsidRDefault="00600DEE">
            <w:pPr>
              <w:spacing w:before="120" w:after="120"/>
              <w:jc w:val="both"/>
              <w:rPr>
                <w:rFonts w:ascii="Calibri" w:eastAsia="Calibri" w:hAnsi="Calibri" w:cs="Calibri"/>
                <w:sz w:val="20"/>
                <w:szCs w:val="20"/>
              </w:rPr>
            </w:pPr>
          </w:p>
          <w:p w14:paraId="19325D1B" w14:textId="77777777" w:rsidR="00600DEE" w:rsidRDefault="00600DEE">
            <w:pPr>
              <w:spacing w:before="120" w:after="120"/>
              <w:jc w:val="both"/>
              <w:rPr>
                <w:rFonts w:ascii="Calibri" w:eastAsia="Calibri" w:hAnsi="Calibri" w:cs="Calibri"/>
                <w:sz w:val="20"/>
                <w:szCs w:val="20"/>
              </w:rPr>
            </w:pPr>
          </w:p>
          <w:p w14:paraId="3C2A970C" w14:textId="62A7E53D" w:rsidR="00600DEE" w:rsidRDefault="00600DEE">
            <w:pPr>
              <w:spacing w:before="120" w:after="120"/>
              <w:jc w:val="both"/>
              <w:rPr>
                <w:rFonts w:ascii="Calibri" w:eastAsia="Calibri" w:hAnsi="Calibri" w:cs="Calibri"/>
                <w:sz w:val="20"/>
                <w:szCs w:val="20"/>
              </w:rPr>
            </w:pPr>
          </w:p>
          <w:p w14:paraId="5E1245C7" w14:textId="77777777" w:rsidR="00B57CEF" w:rsidRDefault="00B57CEF">
            <w:pPr>
              <w:spacing w:before="120" w:after="120"/>
              <w:jc w:val="both"/>
              <w:rPr>
                <w:rFonts w:ascii="Calibri" w:eastAsia="Calibri" w:hAnsi="Calibri" w:cs="Calibri"/>
                <w:sz w:val="20"/>
                <w:szCs w:val="20"/>
              </w:rPr>
            </w:pPr>
          </w:p>
          <w:p w14:paraId="48F170B7" w14:textId="3BFD3E47" w:rsidR="00600DEE" w:rsidRDefault="00641FB5">
            <w:pPr>
              <w:spacing w:before="120" w:after="120"/>
              <w:ind w:left="709" w:hanging="709"/>
              <w:rPr>
                <w:rFonts w:ascii="Calibri" w:eastAsia="Calibri" w:hAnsi="Calibri" w:cs="Calibri"/>
                <w:b/>
                <w:color w:val="4F81BD"/>
                <w:sz w:val="20"/>
                <w:szCs w:val="20"/>
              </w:rPr>
            </w:pPr>
            <w:r>
              <w:rPr>
                <w:rFonts w:ascii="Calibri" w:eastAsia="Calibri" w:hAnsi="Calibri" w:cs="Calibri"/>
                <w:b/>
                <w:color w:val="4F81BD"/>
                <w:sz w:val="20"/>
                <w:szCs w:val="20"/>
              </w:rPr>
              <w:t>Tabela 6. Wskaźniki dotkliwości wypadków dla ciągów drogowych dwujezdniowych (liczba osób / wypadek)</w:t>
            </w:r>
          </w:p>
          <w:tbl>
            <w:tblPr>
              <w:tblStyle w:val="afffffffffffffffa"/>
              <w:tblW w:w="7220" w:type="dxa"/>
              <w:tblLayout w:type="fixed"/>
              <w:tblLook w:val="0400" w:firstRow="0" w:lastRow="0" w:firstColumn="0" w:lastColumn="0" w:noHBand="0" w:noVBand="1"/>
            </w:tblPr>
            <w:tblGrid>
              <w:gridCol w:w="557"/>
              <w:gridCol w:w="709"/>
              <w:gridCol w:w="709"/>
              <w:gridCol w:w="709"/>
              <w:gridCol w:w="708"/>
              <w:gridCol w:w="709"/>
              <w:gridCol w:w="709"/>
              <w:gridCol w:w="850"/>
              <w:gridCol w:w="709"/>
              <w:gridCol w:w="851"/>
            </w:tblGrid>
            <w:tr w:rsidR="00600DEE" w14:paraId="505033B9" w14:textId="77777777">
              <w:trPr>
                <w:trHeight w:val="315"/>
              </w:trPr>
              <w:tc>
                <w:tcPr>
                  <w:tcW w:w="557" w:type="dxa"/>
                  <w:tcBorders>
                    <w:top w:val="single" w:sz="8" w:space="0" w:color="FFFFFF"/>
                    <w:left w:val="single" w:sz="8" w:space="0" w:color="FFFFFF"/>
                    <w:bottom w:val="nil"/>
                    <w:right w:val="nil"/>
                  </w:tcBorders>
                  <w:shd w:val="clear" w:color="auto" w:fill="A6A6A6"/>
                  <w:vAlign w:val="center"/>
                </w:tcPr>
                <w:p w14:paraId="717DEFA6" w14:textId="77777777" w:rsidR="00600DEE" w:rsidRDefault="00600DEE">
                  <w:pPr>
                    <w:jc w:val="center"/>
                    <w:rPr>
                      <w:rFonts w:ascii="Calibri" w:eastAsia="Calibri" w:hAnsi="Calibri" w:cs="Calibri"/>
                      <w:b/>
                      <w:color w:val="FFFFFF"/>
                      <w:sz w:val="16"/>
                      <w:szCs w:val="16"/>
                    </w:rPr>
                  </w:pPr>
                </w:p>
              </w:tc>
              <w:tc>
                <w:tcPr>
                  <w:tcW w:w="709" w:type="dxa"/>
                  <w:tcBorders>
                    <w:top w:val="single" w:sz="8" w:space="0" w:color="FFFFFF"/>
                    <w:left w:val="nil"/>
                    <w:bottom w:val="nil"/>
                    <w:right w:val="nil"/>
                  </w:tcBorders>
                  <w:shd w:val="clear" w:color="auto" w:fill="A6A6A6"/>
                  <w:vAlign w:val="center"/>
                </w:tcPr>
                <w:p w14:paraId="075FA4FA"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A2x2</w:t>
                  </w:r>
                </w:p>
              </w:tc>
              <w:tc>
                <w:tcPr>
                  <w:tcW w:w="709" w:type="dxa"/>
                  <w:tcBorders>
                    <w:top w:val="single" w:sz="8" w:space="0" w:color="FFFFFF"/>
                    <w:left w:val="single" w:sz="8" w:space="0" w:color="FFFFFF"/>
                    <w:bottom w:val="single" w:sz="8" w:space="0" w:color="FFFFFF"/>
                    <w:right w:val="single" w:sz="8" w:space="0" w:color="FFFFFF"/>
                  </w:tcBorders>
                  <w:shd w:val="clear" w:color="auto" w:fill="A6A6A6"/>
                  <w:vAlign w:val="center"/>
                </w:tcPr>
                <w:p w14:paraId="7B48AD0F"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A2x3</w:t>
                  </w:r>
                </w:p>
              </w:tc>
              <w:tc>
                <w:tcPr>
                  <w:tcW w:w="709" w:type="dxa"/>
                  <w:tcBorders>
                    <w:top w:val="single" w:sz="8" w:space="0" w:color="FFFFFF"/>
                    <w:left w:val="nil"/>
                    <w:bottom w:val="single" w:sz="8" w:space="0" w:color="FFFFFF"/>
                    <w:right w:val="nil"/>
                  </w:tcBorders>
                  <w:shd w:val="clear" w:color="auto" w:fill="A6A6A6"/>
                  <w:vAlign w:val="center"/>
                </w:tcPr>
                <w:p w14:paraId="2E241907"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S2+1</w:t>
                  </w:r>
                </w:p>
              </w:tc>
              <w:tc>
                <w:tcPr>
                  <w:tcW w:w="708" w:type="dxa"/>
                  <w:tcBorders>
                    <w:top w:val="single" w:sz="8" w:space="0" w:color="FFFFFF"/>
                    <w:left w:val="single" w:sz="8" w:space="0" w:color="FFFFFF"/>
                    <w:bottom w:val="single" w:sz="8" w:space="0" w:color="FFFFFF"/>
                    <w:right w:val="single" w:sz="8" w:space="0" w:color="FFFFFF"/>
                  </w:tcBorders>
                  <w:shd w:val="clear" w:color="auto" w:fill="A6A6A6"/>
                  <w:vAlign w:val="center"/>
                </w:tcPr>
                <w:p w14:paraId="39E0EFB2"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S2x2</w:t>
                  </w:r>
                </w:p>
              </w:tc>
              <w:tc>
                <w:tcPr>
                  <w:tcW w:w="709" w:type="dxa"/>
                  <w:tcBorders>
                    <w:top w:val="single" w:sz="8" w:space="0" w:color="FFFFFF"/>
                    <w:left w:val="nil"/>
                    <w:bottom w:val="single" w:sz="8" w:space="0" w:color="FFFFFF"/>
                    <w:right w:val="single" w:sz="8" w:space="0" w:color="FFFFFF"/>
                  </w:tcBorders>
                  <w:shd w:val="clear" w:color="auto" w:fill="A6A6A6"/>
                  <w:vAlign w:val="center"/>
                </w:tcPr>
                <w:p w14:paraId="05584474"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S2x3</w:t>
                  </w:r>
                </w:p>
              </w:tc>
              <w:tc>
                <w:tcPr>
                  <w:tcW w:w="709" w:type="dxa"/>
                  <w:tcBorders>
                    <w:top w:val="single" w:sz="8" w:space="0" w:color="FFFFFF"/>
                    <w:left w:val="nil"/>
                    <w:bottom w:val="single" w:sz="8" w:space="0" w:color="FFFFFF"/>
                    <w:right w:val="single" w:sz="8" w:space="0" w:color="FFFFFF"/>
                  </w:tcBorders>
                  <w:shd w:val="clear" w:color="auto" w:fill="A6A6A6"/>
                  <w:vAlign w:val="center"/>
                </w:tcPr>
                <w:p w14:paraId="2646BFE1"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GP2x2n</w:t>
                  </w:r>
                </w:p>
              </w:tc>
              <w:tc>
                <w:tcPr>
                  <w:tcW w:w="850" w:type="dxa"/>
                  <w:tcBorders>
                    <w:top w:val="single" w:sz="8" w:space="0" w:color="FFFFFF"/>
                    <w:left w:val="nil"/>
                    <w:bottom w:val="single" w:sz="8" w:space="0" w:color="FFFFFF"/>
                    <w:right w:val="nil"/>
                  </w:tcBorders>
                  <w:shd w:val="clear" w:color="auto" w:fill="A6A6A6"/>
                  <w:vAlign w:val="center"/>
                </w:tcPr>
                <w:p w14:paraId="033BD4E3"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GP2x2z</w:t>
                  </w:r>
                </w:p>
              </w:tc>
              <w:tc>
                <w:tcPr>
                  <w:tcW w:w="709" w:type="dxa"/>
                  <w:tcBorders>
                    <w:top w:val="single" w:sz="8" w:space="0" w:color="FFFFFF"/>
                    <w:left w:val="single" w:sz="8" w:space="0" w:color="FFFFFF"/>
                    <w:bottom w:val="single" w:sz="8" w:space="0" w:color="FFFFFF"/>
                    <w:right w:val="single" w:sz="8" w:space="0" w:color="FFFFFF"/>
                  </w:tcBorders>
                  <w:shd w:val="clear" w:color="auto" w:fill="A6A6A6"/>
                  <w:vAlign w:val="center"/>
                </w:tcPr>
                <w:p w14:paraId="2962BA25"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GP2x3n</w:t>
                  </w:r>
                </w:p>
              </w:tc>
              <w:tc>
                <w:tcPr>
                  <w:tcW w:w="851" w:type="dxa"/>
                  <w:tcBorders>
                    <w:top w:val="single" w:sz="8" w:space="0" w:color="FFFFFF"/>
                    <w:left w:val="nil"/>
                    <w:bottom w:val="single" w:sz="8" w:space="0" w:color="FFFFFF"/>
                    <w:right w:val="single" w:sz="8" w:space="0" w:color="FFFFFF"/>
                  </w:tcBorders>
                  <w:shd w:val="clear" w:color="auto" w:fill="A6A6A6"/>
                  <w:vAlign w:val="center"/>
                </w:tcPr>
                <w:p w14:paraId="4B8BE154"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GP2x3z</w:t>
                  </w:r>
                </w:p>
              </w:tc>
            </w:tr>
            <w:tr w:rsidR="00600DEE" w14:paraId="2C739258" w14:textId="77777777">
              <w:trPr>
                <w:trHeight w:val="315"/>
              </w:trPr>
              <w:tc>
                <w:tcPr>
                  <w:tcW w:w="557" w:type="dxa"/>
                  <w:tcBorders>
                    <w:top w:val="single" w:sz="8" w:space="0" w:color="FFFFFF"/>
                    <w:left w:val="single" w:sz="8" w:space="0" w:color="FFFFFF"/>
                    <w:bottom w:val="nil"/>
                    <w:right w:val="nil"/>
                  </w:tcBorders>
                  <w:shd w:val="clear" w:color="auto" w:fill="A6A6A6"/>
                  <w:vAlign w:val="center"/>
                </w:tcPr>
                <w:p w14:paraId="2FDD22BD"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WR</w:t>
                  </w:r>
                </w:p>
              </w:tc>
              <w:tc>
                <w:tcPr>
                  <w:tcW w:w="709" w:type="dxa"/>
                  <w:tcBorders>
                    <w:top w:val="single" w:sz="8" w:space="0" w:color="FFFFFF"/>
                    <w:left w:val="single" w:sz="8" w:space="0" w:color="FFFFFF"/>
                    <w:bottom w:val="single" w:sz="8" w:space="0" w:color="FFFFFF"/>
                    <w:right w:val="nil"/>
                  </w:tcBorders>
                  <w:shd w:val="clear" w:color="auto" w:fill="DBE5F1"/>
                  <w:vAlign w:val="center"/>
                </w:tcPr>
                <w:p w14:paraId="518A8107"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1,531</w:t>
                  </w:r>
                </w:p>
              </w:tc>
              <w:tc>
                <w:tcPr>
                  <w:tcW w:w="709" w:type="dxa"/>
                  <w:tcBorders>
                    <w:top w:val="single" w:sz="8" w:space="0" w:color="FFFFFF"/>
                    <w:left w:val="single" w:sz="8" w:space="0" w:color="FFFFFF"/>
                    <w:bottom w:val="single" w:sz="8" w:space="0" w:color="FFFFFF"/>
                    <w:right w:val="nil"/>
                  </w:tcBorders>
                  <w:shd w:val="clear" w:color="auto" w:fill="DBE5F1"/>
                  <w:vAlign w:val="center"/>
                </w:tcPr>
                <w:p w14:paraId="4984D79D"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1,537</w:t>
                  </w:r>
                </w:p>
              </w:tc>
              <w:tc>
                <w:tcPr>
                  <w:tcW w:w="709" w:type="dxa"/>
                  <w:tcBorders>
                    <w:top w:val="single" w:sz="8" w:space="0" w:color="FFFFFF"/>
                    <w:left w:val="single" w:sz="8" w:space="0" w:color="FFFFFF"/>
                    <w:bottom w:val="single" w:sz="8" w:space="0" w:color="FFFFFF"/>
                    <w:right w:val="nil"/>
                  </w:tcBorders>
                  <w:shd w:val="clear" w:color="auto" w:fill="DBE5F1"/>
                  <w:vAlign w:val="center"/>
                </w:tcPr>
                <w:p w14:paraId="0850755C"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2,032</w:t>
                  </w:r>
                </w:p>
              </w:tc>
              <w:tc>
                <w:tcPr>
                  <w:tcW w:w="708" w:type="dxa"/>
                  <w:tcBorders>
                    <w:top w:val="single" w:sz="8" w:space="0" w:color="FFFFFF"/>
                    <w:left w:val="single" w:sz="8" w:space="0" w:color="FFFFFF"/>
                    <w:bottom w:val="single" w:sz="8" w:space="0" w:color="FFFFFF"/>
                    <w:right w:val="nil"/>
                  </w:tcBorders>
                  <w:shd w:val="clear" w:color="auto" w:fill="DBE5F1"/>
                  <w:vAlign w:val="center"/>
                </w:tcPr>
                <w:p w14:paraId="11B2FD4D"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1,332</w:t>
                  </w:r>
                </w:p>
              </w:tc>
              <w:tc>
                <w:tcPr>
                  <w:tcW w:w="709" w:type="dxa"/>
                  <w:tcBorders>
                    <w:top w:val="single" w:sz="8" w:space="0" w:color="FFFFFF"/>
                    <w:left w:val="single" w:sz="8" w:space="0" w:color="FFFFFF"/>
                    <w:bottom w:val="single" w:sz="8" w:space="0" w:color="FFFFFF"/>
                    <w:right w:val="nil"/>
                  </w:tcBorders>
                  <w:shd w:val="clear" w:color="auto" w:fill="DBE5F1"/>
                  <w:vAlign w:val="center"/>
                </w:tcPr>
                <w:p w14:paraId="1AAC3344"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1,333</w:t>
                  </w:r>
                </w:p>
              </w:tc>
              <w:tc>
                <w:tcPr>
                  <w:tcW w:w="709" w:type="dxa"/>
                  <w:tcBorders>
                    <w:top w:val="single" w:sz="8" w:space="0" w:color="FFFFFF"/>
                    <w:left w:val="single" w:sz="8" w:space="0" w:color="FFFFFF"/>
                    <w:bottom w:val="single" w:sz="8" w:space="0" w:color="FFFFFF"/>
                    <w:right w:val="nil"/>
                  </w:tcBorders>
                  <w:shd w:val="clear" w:color="auto" w:fill="DBE5F1"/>
                  <w:vAlign w:val="center"/>
                </w:tcPr>
                <w:p w14:paraId="5B376555"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1,343</w:t>
                  </w:r>
                </w:p>
              </w:tc>
              <w:tc>
                <w:tcPr>
                  <w:tcW w:w="850" w:type="dxa"/>
                  <w:tcBorders>
                    <w:top w:val="single" w:sz="8" w:space="0" w:color="FFFFFF"/>
                    <w:left w:val="single" w:sz="8" w:space="0" w:color="FFFFFF"/>
                    <w:bottom w:val="single" w:sz="8" w:space="0" w:color="FFFFFF"/>
                    <w:right w:val="nil"/>
                  </w:tcBorders>
                  <w:shd w:val="clear" w:color="auto" w:fill="DBE5F1"/>
                  <w:vAlign w:val="center"/>
                </w:tcPr>
                <w:p w14:paraId="77375F78"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1,311</w:t>
                  </w:r>
                </w:p>
              </w:tc>
              <w:tc>
                <w:tcPr>
                  <w:tcW w:w="709" w:type="dxa"/>
                  <w:tcBorders>
                    <w:top w:val="single" w:sz="8" w:space="0" w:color="FFFFFF"/>
                    <w:left w:val="single" w:sz="8" w:space="0" w:color="FFFFFF"/>
                    <w:bottom w:val="single" w:sz="8" w:space="0" w:color="FFFFFF"/>
                    <w:right w:val="nil"/>
                  </w:tcBorders>
                  <w:shd w:val="clear" w:color="auto" w:fill="DBE5F1"/>
                  <w:vAlign w:val="center"/>
                </w:tcPr>
                <w:p w14:paraId="22566685"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1,390</w:t>
                  </w:r>
                </w:p>
              </w:tc>
              <w:tc>
                <w:tcPr>
                  <w:tcW w:w="851" w:type="dxa"/>
                  <w:tcBorders>
                    <w:top w:val="single" w:sz="8" w:space="0" w:color="FFFFFF"/>
                    <w:left w:val="single" w:sz="8" w:space="0" w:color="FFFFFF"/>
                    <w:bottom w:val="single" w:sz="8" w:space="0" w:color="FFFFFF"/>
                    <w:right w:val="nil"/>
                  </w:tcBorders>
                  <w:shd w:val="clear" w:color="auto" w:fill="DBE5F1"/>
                  <w:vAlign w:val="center"/>
                </w:tcPr>
                <w:p w14:paraId="67A7D3C1"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1,227</w:t>
                  </w:r>
                </w:p>
              </w:tc>
            </w:tr>
            <w:tr w:rsidR="00600DEE" w14:paraId="7D50C6BE" w14:textId="77777777">
              <w:trPr>
                <w:trHeight w:val="315"/>
              </w:trPr>
              <w:tc>
                <w:tcPr>
                  <w:tcW w:w="557" w:type="dxa"/>
                  <w:tcBorders>
                    <w:top w:val="single" w:sz="8" w:space="0" w:color="FFFFFF"/>
                    <w:left w:val="single" w:sz="8" w:space="0" w:color="FFFFFF"/>
                    <w:bottom w:val="nil"/>
                    <w:right w:val="nil"/>
                  </w:tcBorders>
                  <w:shd w:val="clear" w:color="auto" w:fill="A6A6A6"/>
                  <w:vAlign w:val="center"/>
                </w:tcPr>
                <w:p w14:paraId="68C1FDC7"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WCR</w:t>
                  </w:r>
                </w:p>
              </w:tc>
              <w:tc>
                <w:tcPr>
                  <w:tcW w:w="709" w:type="dxa"/>
                  <w:tcBorders>
                    <w:top w:val="nil"/>
                    <w:left w:val="single" w:sz="8" w:space="0" w:color="FFFFFF"/>
                    <w:bottom w:val="single" w:sz="8" w:space="0" w:color="FFFFFF"/>
                    <w:right w:val="nil"/>
                  </w:tcBorders>
                  <w:shd w:val="clear" w:color="auto" w:fill="DBE5F1"/>
                  <w:vAlign w:val="center"/>
                </w:tcPr>
                <w:p w14:paraId="7531A3E4"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0,321</w:t>
                  </w:r>
                </w:p>
              </w:tc>
              <w:tc>
                <w:tcPr>
                  <w:tcW w:w="709" w:type="dxa"/>
                  <w:tcBorders>
                    <w:top w:val="nil"/>
                    <w:left w:val="single" w:sz="8" w:space="0" w:color="FFFFFF"/>
                    <w:bottom w:val="single" w:sz="8" w:space="0" w:color="FFFFFF"/>
                    <w:right w:val="nil"/>
                  </w:tcBorders>
                  <w:shd w:val="clear" w:color="auto" w:fill="DBE5F1"/>
                  <w:vAlign w:val="center"/>
                </w:tcPr>
                <w:p w14:paraId="0C69518D"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0,268</w:t>
                  </w:r>
                </w:p>
              </w:tc>
              <w:tc>
                <w:tcPr>
                  <w:tcW w:w="709" w:type="dxa"/>
                  <w:tcBorders>
                    <w:top w:val="nil"/>
                    <w:left w:val="single" w:sz="8" w:space="0" w:color="FFFFFF"/>
                    <w:bottom w:val="single" w:sz="8" w:space="0" w:color="FFFFFF"/>
                    <w:right w:val="nil"/>
                  </w:tcBorders>
                  <w:shd w:val="clear" w:color="auto" w:fill="DBE5F1"/>
                  <w:vAlign w:val="center"/>
                </w:tcPr>
                <w:p w14:paraId="3F6A3B1B"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1,079</w:t>
                  </w:r>
                </w:p>
              </w:tc>
              <w:tc>
                <w:tcPr>
                  <w:tcW w:w="708" w:type="dxa"/>
                  <w:tcBorders>
                    <w:top w:val="nil"/>
                    <w:left w:val="single" w:sz="8" w:space="0" w:color="FFFFFF"/>
                    <w:bottom w:val="single" w:sz="8" w:space="0" w:color="FFFFFF"/>
                    <w:right w:val="nil"/>
                  </w:tcBorders>
                  <w:shd w:val="clear" w:color="auto" w:fill="DBE5F1"/>
                  <w:vAlign w:val="center"/>
                </w:tcPr>
                <w:p w14:paraId="696A4D14"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0,314</w:t>
                  </w:r>
                </w:p>
              </w:tc>
              <w:tc>
                <w:tcPr>
                  <w:tcW w:w="709" w:type="dxa"/>
                  <w:tcBorders>
                    <w:top w:val="nil"/>
                    <w:left w:val="single" w:sz="8" w:space="0" w:color="FFFFFF"/>
                    <w:bottom w:val="single" w:sz="8" w:space="0" w:color="FFFFFF"/>
                    <w:right w:val="nil"/>
                  </w:tcBorders>
                  <w:shd w:val="clear" w:color="auto" w:fill="DBE5F1"/>
                  <w:vAlign w:val="center"/>
                </w:tcPr>
                <w:p w14:paraId="2E1BE30A"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0,212</w:t>
                  </w:r>
                </w:p>
              </w:tc>
              <w:tc>
                <w:tcPr>
                  <w:tcW w:w="709" w:type="dxa"/>
                  <w:tcBorders>
                    <w:top w:val="nil"/>
                    <w:left w:val="single" w:sz="8" w:space="0" w:color="FFFFFF"/>
                    <w:bottom w:val="single" w:sz="8" w:space="0" w:color="FFFFFF"/>
                    <w:right w:val="nil"/>
                  </w:tcBorders>
                  <w:shd w:val="clear" w:color="auto" w:fill="DBE5F1"/>
                  <w:vAlign w:val="center"/>
                </w:tcPr>
                <w:p w14:paraId="7EE1CA40"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0,259</w:t>
                  </w:r>
                </w:p>
              </w:tc>
              <w:tc>
                <w:tcPr>
                  <w:tcW w:w="850" w:type="dxa"/>
                  <w:tcBorders>
                    <w:top w:val="nil"/>
                    <w:left w:val="single" w:sz="8" w:space="0" w:color="FFFFFF"/>
                    <w:bottom w:val="single" w:sz="8" w:space="0" w:color="FFFFFF"/>
                    <w:right w:val="nil"/>
                  </w:tcBorders>
                  <w:shd w:val="clear" w:color="auto" w:fill="DBE5F1"/>
                  <w:vAlign w:val="center"/>
                </w:tcPr>
                <w:p w14:paraId="3718EE5D"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0,336</w:t>
                  </w:r>
                </w:p>
              </w:tc>
              <w:tc>
                <w:tcPr>
                  <w:tcW w:w="709" w:type="dxa"/>
                  <w:tcBorders>
                    <w:top w:val="nil"/>
                    <w:left w:val="single" w:sz="8" w:space="0" w:color="FFFFFF"/>
                    <w:bottom w:val="single" w:sz="8" w:space="0" w:color="FFFFFF"/>
                    <w:right w:val="nil"/>
                  </w:tcBorders>
                  <w:shd w:val="clear" w:color="auto" w:fill="DBE5F1"/>
                  <w:vAlign w:val="center"/>
                </w:tcPr>
                <w:p w14:paraId="527D3C07"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0,317</w:t>
                  </w:r>
                </w:p>
              </w:tc>
              <w:tc>
                <w:tcPr>
                  <w:tcW w:w="851" w:type="dxa"/>
                  <w:tcBorders>
                    <w:top w:val="nil"/>
                    <w:left w:val="single" w:sz="8" w:space="0" w:color="FFFFFF"/>
                    <w:bottom w:val="single" w:sz="8" w:space="0" w:color="FFFFFF"/>
                    <w:right w:val="nil"/>
                  </w:tcBorders>
                  <w:shd w:val="clear" w:color="auto" w:fill="DBE5F1"/>
                  <w:vAlign w:val="center"/>
                </w:tcPr>
                <w:p w14:paraId="2974B502"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0,136</w:t>
                  </w:r>
                </w:p>
              </w:tc>
            </w:tr>
            <w:tr w:rsidR="00600DEE" w14:paraId="02229D04" w14:textId="77777777">
              <w:trPr>
                <w:trHeight w:val="307"/>
              </w:trPr>
              <w:tc>
                <w:tcPr>
                  <w:tcW w:w="557" w:type="dxa"/>
                  <w:tcBorders>
                    <w:top w:val="single" w:sz="8" w:space="0" w:color="FFFFFF"/>
                    <w:left w:val="single" w:sz="8" w:space="0" w:color="FFFFFF"/>
                    <w:bottom w:val="nil"/>
                    <w:right w:val="nil"/>
                  </w:tcBorders>
                  <w:shd w:val="clear" w:color="auto" w:fill="A6A6A6"/>
                  <w:vAlign w:val="center"/>
                </w:tcPr>
                <w:p w14:paraId="1EE56FFF"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WZ</w:t>
                  </w:r>
                </w:p>
              </w:tc>
              <w:tc>
                <w:tcPr>
                  <w:tcW w:w="709" w:type="dxa"/>
                  <w:tcBorders>
                    <w:top w:val="nil"/>
                    <w:left w:val="single" w:sz="8" w:space="0" w:color="FFFFFF"/>
                    <w:bottom w:val="single" w:sz="8" w:space="0" w:color="FFFFFF"/>
                    <w:right w:val="nil"/>
                  </w:tcBorders>
                  <w:shd w:val="clear" w:color="auto" w:fill="DBE5F1"/>
                  <w:vAlign w:val="center"/>
                </w:tcPr>
                <w:p w14:paraId="63063E9C"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0,167</w:t>
                  </w:r>
                </w:p>
              </w:tc>
              <w:tc>
                <w:tcPr>
                  <w:tcW w:w="709" w:type="dxa"/>
                  <w:tcBorders>
                    <w:top w:val="nil"/>
                    <w:left w:val="single" w:sz="8" w:space="0" w:color="FFFFFF"/>
                    <w:bottom w:val="single" w:sz="8" w:space="0" w:color="FFFFFF"/>
                    <w:right w:val="nil"/>
                  </w:tcBorders>
                  <w:shd w:val="clear" w:color="auto" w:fill="DBE5F1"/>
                  <w:vAlign w:val="center"/>
                </w:tcPr>
                <w:p w14:paraId="019CD0A0"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0,073</w:t>
                  </w:r>
                </w:p>
              </w:tc>
              <w:tc>
                <w:tcPr>
                  <w:tcW w:w="709" w:type="dxa"/>
                  <w:tcBorders>
                    <w:top w:val="nil"/>
                    <w:left w:val="single" w:sz="8" w:space="0" w:color="FFFFFF"/>
                    <w:bottom w:val="single" w:sz="8" w:space="0" w:color="FFFFFF"/>
                    <w:right w:val="nil"/>
                  </w:tcBorders>
                  <w:shd w:val="clear" w:color="auto" w:fill="DBE5F1"/>
                  <w:vAlign w:val="center"/>
                </w:tcPr>
                <w:p w14:paraId="77FC3774"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0,270</w:t>
                  </w:r>
                </w:p>
              </w:tc>
              <w:tc>
                <w:tcPr>
                  <w:tcW w:w="708" w:type="dxa"/>
                  <w:tcBorders>
                    <w:top w:val="nil"/>
                    <w:left w:val="single" w:sz="8" w:space="0" w:color="FFFFFF"/>
                    <w:bottom w:val="single" w:sz="8" w:space="0" w:color="FFFFFF"/>
                    <w:right w:val="nil"/>
                  </w:tcBorders>
                  <w:shd w:val="clear" w:color="auto" w:fill="DBE5F1"/>
                  <w:vAlign w:val="center"/>
                </w:tcPr>
                <w:p w14:paraId="21E8593A"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0,182</w:t>
                  </w:r>
                </w:p>
              </w:tc>
              <w:tc>
                <w:tcPr>
                  <w:tcW w:w="709" w:type="dxa"/>
                  <w:tcBorders>
                    <w:top w:val="nil"/>
                    <w:left w:val="single" w:sz="8" w:space="0" w:color="FFFFFF"/>
                    <w:bottom w:val="single" w:sz="8" w:space="0" w:color="FFFFFF"/>
                    <w:right w:val="nil"/>
                  </w:tcBorders>
                  <w:shd w:val="clear" w:color="auto" w:fill="DBE5F1"/>
                  <w:vAlign w:val="center"/>
                </w:tcPr>
                <w:p w14:paraId="69B3BD4A"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0,061</w:t>
                  </w:r>
                </w:p>
              </w:tc>
              <w:tc>
                <w:tcPr>
                  <w:tcW w:w="709" w:type="dxa"/>
                  <w:tcBorders>
                    <w:top w:val="nil"/>
                    <w:left w:val="single" w:sz="8" w:space="0" w:color="FFFFFF"/>
                    <w:bottom w:val="single" w:sz="8" w:space="0" w:color="FFFFFF"/>
                    <w:right w:val="nil"/>
                  </w:tcBorders>
                  <w:shd w:val="clear" w:color="auto" w:fill="DBE5F1"/>
                  <w:vAlign w:val="center"/>
                </w:tcPr>
                <w:p w14:paraId="2F71BB11"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0,188</w:t>
                  </w:r>
                </w:p>
              </w:tc>
              <w:tc>
                <w:tcPr>
                  <w:tcW w:w="850" w:type="dxa"/>
                  <w:tcBorders>
                    <w:top w:val="nil"/>
                    <w:left w:val="single" w:sz="8" w:space="0" w:color="FFFFFF"/>
                    <w:bottom w:val="single" w:sz="8" w:space="0" w:color="FFFFFF"/>
                    <w:right w:val="nil"/>
                  </w:tcBorders>
                  <w:shd w:val="clear" w:color="auto" w:fill="DBE5F1"/>
                  <w:vAlign w:val="center"/>
                </w:tcPr>
                <w:p w14:paraId="39224654"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0,126</w:t>
                  </w:r>
                </w:p>
              </w:tc>
              <w:tc>
                <w:tcPr>
                  <w:tcW w:w="709" w:type="dxa"/>
                  <w:tcBorders>
                    <w:top w:val="nil"/>
                    <w:left w:val="single" w:sz="8" w:space="0" w:color="FFFFFF"/>
                    <w:bottom w:val="single" w:sz="8" w:space="0" w:color="FFFFFF"/>
                    <w:right w:val="nil"/>
                  </w:tcBorders>
                  <w:shd w:val="clear" w:color="auto" w:fill="DBE5F1"/>
                  <w:vAlign w:val="center"/>
                </w:tcPr>
                <w:p w14:paraId="72F0E578"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0,146</w:t>
                  </w:r>
                </w:p>
              </w:tc>
              <w:tc>
                <w:tcPr>
                  <w:tcW w:w="851" w:type="dxa"/>
                  <w:tcBorders>
                    <w:top w:val="nil"/>
                    <w:left w:val="single" w:sz="8" w:space="0" w:color="FFFFFF"/>
                    <w:bottom w:val="single" w:sz="8" w:space="0" w:color="FFFFFF"/>
                    <w:right w:val="nil"/>
                  </w:tcBorders>
                  <w:shd w:val="clear" w:color="auto" w:fill="DBE5F1"/>
                  <w:vAlign w:val="center"/>
                </w:tcPr>
                <w:p w14:paraId="1EA02E72"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0,045</w:t>
                  </w:r>
                </w:p>
              </w:tc>
            </w:tr>
          </w:tbl>
          <w:p w14:paraId="04EE4E84" w14:textId="77777777" w:rsidR="00600DEE" w:rsidRDefault="00641FB5">
            <w:pPr>
              <w:spacing w:before="120" w:after="120"/>
              <w:jc w:val="both"/>
              <w:rPr>
                <w:rFonts w:ascii="Calibri" w:eastAsia="Calibri" w:hAnsi="Calibri" w:cs="Calibri"/>
                <w:b/>
                <w:i/>
                <w:sz w:val="16"/>
                <w:szCs w:val="16"/>
              </w:rPr>
            </w:pPr>
            <w:r>
              <w:rPr>
                <w:rFonts w:ascii="Calibri" w:eastAsia="Calibri" w:hAnsi="Calibri" w:cs="Calibri"/>
                <w:b/>
                <w:i/>
                <w:sz w:val="16"/>
                <w:szCs w:val="16"/>
              </w:rPr>
              <w:t>Źródło: Opracowanie eksperckie</w:t>
            </w:r>
          </w:p>
          <w:p w14:paraId="4546C9F0" w14:textId="53D8F987" w:rsidR="00600DEE" w:rsidRDefault="00641FB5">
            <w:pPr>
              <w:spacing w:before="120" w:after="120"/>
              <w:ind w:left="709" w:hanging="709"/>
              <w:rPr>
                <w:rFonts w:ascii="Calibri" w:eastAsia="Calibri" w:hAnsi="Calibri" w:cs="Calibri"/>
                <w:b/>
                <w:color w:val="4F81BD"/>
                <w:sz w:val="20"/>
                <w:szCs w:val="20"/>
              </w:rPr>
            </w:pPr>
            <w:r>
              <w:rPr>
                <w:rFonts w:ascii="Calibri" w:eastAsia="Calibri" w:hAnsi="Calibri" w:cs="Calibri"/>
                <w:b/>
                <w:color w:val="4F81BD"/>
                <w:sz w:val="20"/>
                <w:szCs w:val="20"/>
              </w:rPr>
              <w:t>Tabela 7. Wskaźniki dotkliwości wypadków dla cią</w:t>
            </w:r>
            <w:r w:rsidR="00B57CEF">
              <w:rPr>
                <w:rFonts w:ascii="Calibri" w:eastAsia="Calibri" w:hAnsi="Calibri" w:cs="Calibri"/>
                <w:b/>
                <w:color w:val="4F81BD"/>
                <w:sz w:val="20"/>
                <w:szCs w:val="20"/>
              </w:rPr>
              <w:t xml:space="preserve">gów drogowych jednojezdniowych </w:t>
            </w:r>
            <w:r>
              <w:rPr>
                <w:rFonts w:ascii="Calibri" w:eastAsia="Calibri" w:hAnsi="Calibri" w:cs="Calibri"/>
                <w:b/>
                <w:color w:val="4F81BD"/>
                <w:sz w:val="20"/>
                <w:szCs w:val="20"/>
              </w:rPr>
              <w:t>(liczba osób / wypadek)</w:t>
            </w:r>
          </w:p>
          <w:tbl>
            <w:tblPr>
              <w:tblStyle w:val="afffffffffffffffb"/>
              <w:tblW w:w="5093" w:type="dxa"/>
              <w:tblLayout w:type="fixed"/>
              <w:tblLook w:val="0400" w:firstRow="0" w:lastRow="0" w:firstColumn="0" w:lastColumn="0" w:noHBand="0" w:noVBand="1"/>
            </w:tblPr>
            <w:tblGrid>
              <w:gridCol w:w="699"/>
              <w:gridCol w:w="709"/>
              <w:gridCol w:w="709"/>
              <w:gridCol w:w="708"/>
              <w:gridCol w:w="851"/>
              <w:gridCol w:w="709"/>
              <w:gridCol w:w="708"/>
            </w:tblGrid>
            <w:tr w:rsidR="00600DEE" w14:paraId="7980288A" w14:textId="77777777">
              <w:trPr>
                <w:trHeight w:val="340"/>
              </w:trPr>
              <w:tc>
                <w:tcPr>
                  <w:tcW w:w="699"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47BDDE8F"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 </w:t>
                  </w:r>
                </w:p>
              </w:tc>
              <w:tc>
                <w:tcPr>
                  <w:tcW w:w="709"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5A0FF175"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S1x2n</w:t>
                  </w:r>
                </w:p>
              </w:tc>
              <w:tc>
                <w:tcPr>
                  <w:tcW w:w="709"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30AF09B8"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S1x2z</w:t>
                  </w:r>
                </w:p>
              </w:tc>
              <w:tc>
                <w:tcPr>
                  <w:tcW w:w="708"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4614A71E"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GP1x2n</w:t>
                  </w:r>
                </w:p>
              </w:tc>
              <w:tc>
                <w:tcPr>
                  <w:tcW w:w="851"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215C0A7C"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GP1x2z</w:t>
                  </w:r>
                </w:p>
              </w:tc>
              <w:tc>
                <w:tcPr>
                  <w:tcW w:w="709"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630AEFB1"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G1x2n</w:t>
                  </w:r>
                </w:p>
              </w:tc>
              <w:tc>
                <w:tcPr>
                  <w:tcW w:w="708"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359A3F6E"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G1x2z</w:t>
                  </w:r>
                </w:p>
              </w:tc>
            </w:tr>
            <w:tr w:rsidR="00600DEE" w14:paraId="4AC33F28" w14:textId="77777777">
              <w:trPr>
                <w:trHeight w:val="276"/>
              </w:trPr>
              <w:tc>
                <w:tcPr>
                  <w:tcW w:w="699"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44A01E35"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709"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4DB3BCA2"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709"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0358637A"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708"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70ED03E1"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851"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4FBAB04B"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709"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480A1A44"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708"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469E878E"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r>
            <w:tr w:rsidR="00600DEE" w14:paraId="0FE5F64E" w14:textId="77777777">
              <w:trPr>
                <w:trHeight w:val="315"/>
              </w:trPr>
              <w:tc>
                <w:tcPr>
                  <w:tcW w:w="699" w:type="dxa"/>
                  <w:tcBorders>
                    <w:top w:val="nil"/>
                    <w:left w:val="single" w:sz="8" w:space="0" w:color="FFFFFF"/>
                    <w:bottom w:val="nil"/>
                    <w:right w:val="nil"/>
                  </w:tcBorders>
                  <w:shd w:val="clear" w:color="auto" w:fill="A6A6A6"/>
                  <w:vAlign w:val="center"/>
                </w:tcPr>
                <w:p w14:paraId="3F5AC2F0"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WR</w:t>
                  </w:r>
                </w:p>
              </w:tc>
              <w:tc>
                <w:tcPr>
                  <w:tcW w:w="709" w:type="dxa"/>
                  <w:tcBorders>
                    <w:top w:val="nil"/>
                    <w:left w:val="single" w:sz="8" w:space="0" w:color="FFFFFF"/>
                    <w:bottom w:val="single" w:sz="8" w:space="0" w:color="FFFFFF"/>
                    <w:right w:val="single" w:sz="8" w:space="0" w:color="FFFFFF"/>
                  </w:tcBorders>
                  <w:shd w:val="clear" w:color="auto" w:fill="DBE5F1"/>
                  <w:vAlign w:val="center"/>
                </w:tcPr>
                <w:p w14:paraId="17F55020"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1,242</w:t>
                  </w:r>
                </w:p>
              </w:tc>
              <w:tc>
                <w:tcPr>
                  <w:tcW w:w="709" w:type="dxa"/>
                  <w:tcBorders>
                    <w:top w:val="nil"/>
                    <w:left w:val="nil"/>
                    <w:bottom w:val="single" w:sz="8" w:space="0" w:color="FFFFFF"/>
                    <w:right w:val="nil"/>
                  </w:tcBorders>
                  <w:shd w:val="clear" w:color="auto" w:fill="DBE5F1"/>
                  <w:vAlign w:val="center"/>
                </w:tcPr>
                <w:p w14:paraId="390F946C"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1,627</w:t>
                  </w:r>
                </w:p>
              </w:tc>
              <w:tc>
                <w:tcPr>
                  <w:tcW w:w="708" w:type="dxa"/>
                  <w:tcBorders>
                    <w:top w:val="nil"/>
                    <w:left w:val="single" w:sz="8" w:space="0" w:color="FFFFFF"/>
                    <w:bottom w:val="single" w:sz="8" w:space="0" w:color="FFFFFF"/>
                    <w:right w:val="nil"/>
                  </w:tcBorders>
                  <w:shd w:val="clear" w:color="auto" w:fill="DBE5F1"/>
                  <w:vAlign w:val="center"/>
                </w:tcPr>
                <w:p w14:paraId="25BDC0F0"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1,424</w:t>
                  </w:r>
                </w:p>
              </w:tc>
              <w:tc>
                <w:tcPr>
                  <w:tcW w:w="851" w:type="dxa"/>
                  <w:tcBorders>
                    <w:top w:val="nil"/>
                    <w:left w:val="single" w:sz="8" w:space="0" w:color="FFFFFF"/>
                    <w:bottom w:val="single" w:sz="8" w:space="0" w:color="FFFFFF"/>
                    <w:right w:val="nil"/>
                  </w:tcBorders>
                  <w:shd w:val="clear" w:color="auto" w:fill="DBE5F1"/>
                  <w:vAlign w:val="center"/>
                </w:tcPr>
                <w:p w14:paraId="7B9F7886"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1,266</w:t>
                  </w:r>
                </w:p>
              </w:tc>
              <w:tc>
                <w:tcPr>
                  <w:tcW w:w="709" w:type="dxa"/>
                  <w:tcBorders>
                    <w:top w:val="nil"/>
                    <w:left w:val="single" w:sz="8" w:space="0" w:color="FFFFFF"/>
                    <w:bottom w:val="single" w:sz="8" w:space="0" w:color="FFFFFF"/>
                    <w:right w:val="nil"/>
                  </w:tcBorders>
                  <w:shd w:val="clear" w:color="auto" w:fill="DBE5F1"/>
                  <w:vAlign w:val="center"/>
                </w:tcPr>
                <w:p w14:paraId="2FDF9581"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1,381</w:t>
                  </w:r>
                </w:p>
              </w:tc>
              <w:tc>
                <w:tcPr>
                  <w:tcW w:w="708" w:type="dxa"/>
                  <w:tcBorders>
                    <w:top w:val="nil"/>
                    <w:left w:val="single" w:sz="8" w:space="0" w:color="FFFFFF"/>
                    <w:bottom w:val="single" w:sz="8" w:space="0" w:color="FFFFFF"/>
                    <w:right w:val="nil"/>
                  </w:tcBorders>
                  <w:shd w:val="clear" w:color="auto" w:fill="DBE5F1"/>
                  <w:vAlign w:val="center"/>
                </w:tcPr>
                <w:p w14:paraId="2F775433"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1,229</w:t>
                  </w:r>
                </w:p>
              </w:tc>
            </w:tr>
            <w:tr w:rsidR="00600DEE" w14:paraId="61F30C17" w14:textId="77777777">
              <w:trPr>
                <w:trHeight w:val="315"/>
              </w:trPr>
              <w:tc>
                <w:tcPr>
                  <w:tcW w:w="699" w:type="dxa"/>
                  <w:tcBorders>
                    <w:top w:val="single" w:sz="8" w:space="0" w:color="FFFFFF"/>
                    <w:left w:val="single" w:sz="8" w:space="0" w:color="FFFFFF"/>
                    <w:bottom w:val="nil"/>
                    <w:right w:val="nil"/>
                  </w:tcBorders>
                  <w:shd w:val="clear" w:color="auto" w:fill="A6A6A6"/>
                  <w:vAlign w:val="center"/>
                </w:tcPr>
                <w:p w14:paraId="0426D6A5"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WCR</w:t>
                  </w:r>
                </w:p>
              </w:tc>
              <w:tc>
                <w:tcPr>
                  <w:tcW w:w="709" w:type="dxa"/>
                  <w:tcBorders>
                    <w:top w:val="nil"/>
                    <w:left w:val="single" w:sz="8" w:space="0" w:color="FFFFFF"/>
                    <w:bottom w:val="single" w:sz="8" w:space="0" w:color="FFFFFF"/>
                    <w:right w:val="single" w:sz="8" w:space="0" w:color="FFFFFF"/>
                  </w:tcBorders>
                  <w:shd w:val="clear" w:color="auto" w:fill="DBE5F1"/>
                  <w:vAlign w:val="center"/>
                </w:tcPr>
                <w:p w14:paraId="61053648"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0,488</w:t>
                  </w:r>
                </w:p>
              </w:tc>
              <w:tc>
                <w:tcPr>
                  <w:tcW w:w="709" w:type="dxa"/>
                  <w:tcBorders>
                    <w:top w:val="nil"/>
                    <w:left w:val="nil"/>
                    <w:bottom w:val="single" w:sz="8" w:space="0" w:color="FFFFFF"/>
                    <w:right w:val="nil"/>
                  </w:tcBorders>
                  <w:shd w:val="clear" w:color="auto" w:fill="DBE5F1"/>
                  <w:vAlign w:val="center"/>
                </w:tcPr>
                <w:p w14:paraId="200046CB"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0,733</w:t>
                  </w:r>
                </w:p>
              </w:tc>
              <w:tc>
                <w:tcPr>
                  <w:tcW w:w="708" w:type="dxa"/>
                  <w:tcBorders>
                    <w:top w:val="nil"/>
                    <w:left w:val="single" w:sz="8" w:space="0" w:color="FFFFFF"/>
                    <w:bottom w:val="single" w:sz="8" w:space="0" w:color="FFFFFF"/>
                    <w:right w:val="nil"/>
                  </w:tcBorders>
                  <w:shd w:val="clear" w:color="auto" w:fill="DBE5F1"/>
                  <w:vAlign w:val="center"/>
                </w:tcPr>
                <w:p w14:paraId="45A89D08"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0,425</w:t>
                  </w:r>
                </w:p>
              </w:tc>
              <w:tc>
                <w:tcPr>
                  <w:tcW w:w="851" w:type="dxa"/>
                  <w:tcBorders>
                    <w:top w:val="nil"/>
                    <w:left w:val="single" w:sz="8" w:space="0" w:color="FFFFFF"/>
                    <w:bottom w:val="single" w:sz="8" w:space="0" w:color="FFFFFF"/>
                    <w:right w:val="nil"/>
                  </w:tcBorders>
                  <w:shd w:val="clear" w:color="auto" w:fill="DBE5F1"/>
                  <w:vAlign w:val="center"/>
                </w:tcPr>
                <w:p w14:paraId="709D1A17"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0,326</w:t>
                  </w:r>
                </w:p>
              </w:tc>
              <w:tc>
                <w:tcPr>
                  <w:tcW w:w="709" w:type="dxa"/>
                  <w:tcBorders>
                    <w:top w:val="nil"/>
                    <w:left w:val="single" w:sz="8" w:space="0" w:color="FFFFFF"/>
                    <w:bottom w:val="single" w:sz="8" w:space="0" w:color="FFFFFF"/>
                    <w:right w:val="nil"/>
                  </w:tcBorders>
                  <w:shd w:val="clear" w:color="auto" w:fill="DBE5F1"/>
                  <w:vAlign w:val="center"/>
                </w:tcPr>
                <w:p w14:paraId="55FECA8F"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0,362</w:t>
                  </w:r>
                </w:p>
              </w:tc>
              <w:tc>
                <w:tcPr>
                  <w:tcW w:w="708" w:type="dxa"/>
                  <w:tcBorders>
                    <w:top w:val="nil"/>
                    <w:left w:val="single" w:sz="8" w:space="0" w:color="FFFFFF"/>
                    <w:bottom w:val="single" w:sz="8" w:space="0" w:color="FFFFFF"/>
                    <w:right w:val="nil"/>
                  </w:tcBorders>
                  <w:shd w:val="clear" w:color="auto" w:fill="DBE5F1"/>
                  <w:vAlign w:val="center"/>
                </w:tcPr>
                <w:p w14:paraId="2AADA080"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0,285</w:t>
                  </w:r>
                </w:p>
              </w:tc>
            </w:tr>
            <w:tr w:rsidR="00600DEE" w14:paraId="60712CD2" w14:textId="77777777">
              <w:trPr>
                <w:trHeight w:val="315"/>
              </w:trPr>
              <w:tc>
                <w:tcPr>
                  <w:tcW w:w="699" w:type="dxa"/>
                  <w:tcBorders>
                    <w:top w:val="single" w:sz="8" w:space="0" w:color="FFFFFF"/>
                    <w:left w:val="single" w:sz="8" w:space="0" w:color="FFFFFF"/>
                    <w:bottom w:val="nil"/>
                    <w:right w:val="nil"/>
                  </w:tcBorders>
                  <w:shd w:val="clear" w:color="auto" w:fill="A6A6A6"/>
                  <w:vAlign w:val="center"/>
                </w:tcPr>
                <w:p w14:paraId="4423B409"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WZ</w:t>
                  </w:r>
                </w:p>
              </w:tc>
              <w:tc>
                <w:tcPr>
                  <w:tcW w:w="709" w:type="dxa"/>
                  <w:tcBorders>
                    <w:top w:val="nil"/>
                    <w:left w:val="single" w:sz="8" w:space="0" w:color="FFFFFF"/>
                    <w:bottom w:val="single" w:sz="8" w:space="0" w:color="FFFFFF"/>
                    <w:right w:val="single" w:sz="8" w:space="0" w:color="FFFFFF"/>
                  </w:tcBorders>
                  <w:shd w:val="clear" w:color="auto" w:fill="DBE5F1"/>
                  <w:vAlign w:val="center"/>
                </w:tcPr>
                <w:p w14:paraId="28BE8367"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0,403</w:t>
                  </w:r>
                </w:p>
              </w:tc>
              <w:tc>
                <w:tcPr>
                  <w:tcW w:w="709" w:type="dxa"/>
                  <w:tcBorders>
                    <w:top w:val="nil"/>
                    <w:left w:val="nil"/>
                    <w:bottom w:val="single" w:sz="8" w:space="0" w:color="FFFFFF"/>
                    <w:right w:val="nil"/>
                  </w:tcBorders>
                  <w:shd w:val="clear" w:color="auto" w:fill="DBE5F1"/>
                  <w:vAlign w:val="center"/>
                </w:tcPr>
                <w:p w14:paraId="2FC3E0DC"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0,453</w:t>
                  </w:r>
                </w:p>
              </w:tc>
              <w:tc>
                <w:tcPr>
                  <w:tcW w:w="708" w:type="dxa"/>
                  <w:tcBorders>
                    <w:top w:val="nil"/>
                    <w:left w:val="single" w:sz="8" w:space="0" w:color="FFFFFF"/>
                    <w:bottom w:val="single" w:sz="8" w:space="0" w:color="FFFFFF"/>
                    <w:right w:val="nil"/>
                  </w:tcBorders>
                  <w:shd w:val="clear" w:color="auto" w:fill="DBE5F1"/>
                  <w:vAlign w:val="center"/>
                </w:tcPr>
                <w:p w14:paraId="0896149E"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0,238</w:t>
                  </w:r>
                </w:p>
              </w:tc>
              <w:tc>
                <w:tcPr>
                  <w:tcW w:w="851" w:type="dxa"/>
                  <w:tcBorders>
                    <w:top w:val="nil"/>
                    <w:left w:val="single" w:sz="8" w:space="0" w:color="FFFFFF"/>
                    <w:bottom w:val="single" w:sz="8" w:space="0" w:color="FFFFFF"/>
                    <w:right w:val="nil"/>
                  </w:tcBorders>
                  <w:shd w:val="clear" w:color="auto" w:fill="DBE5F1"/>
                  <w:vAlign w:val="center"/>
                </w:tcPr>
                <w:p w14:paraId="00A1A9D3"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0,122</w:t>
                  </w:r>
                </w:p>
              </w:tc>
              <w:tc>
                <w:tcPr>
                  <w:tcW w:w="709" w:type="dxa"/>
                  <w:tcBorders>
                    <w:top w:val="nil"/>
                    <w:left w:val="single" w:sz="8" w:space="0" w:color="FFFFFF"/>
                    <w:bottom w:val="single" w:sz="8" w:space="0" w:color="FFFFFF"/>
                    <w:right w:val="nil"/>
                  </w:tcBorders>
                  <w:shd w:val="clear" w:color="auto" w:fill="DBE5F1"/>
                  <w:vAlign w:val="center"/>
                </w:tcPr>
                <w:p w14:paraId="54FCAE83"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0,217</w:t>
                  </w:r>
                </w:p>
              </w:tc>
              <w:tc>
                <w:tcPr>
                  <w:tcW w:w="708" w:type="dxa"/>
                  <w:tcBorders>
                    <w:top w:val="nil"/>
                    <w:left w:val="single" w:sz="8" w:space="0" w:color="FFFFFF"/>
                    <w:bottom w:val="single" w:sz="8" w:space="0" w:color="FFFFFF"/>
                    <w:right w:val="nil"/>
                  </w:tcBorders>
                  <w:shd w:val="clear" w:color="auto" w:fill="DBE5F1"/>
                  <w:vAlign w:val="center"/>
                </w:tcPr>
                <w:p w14:paraId="7CBFAD88"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0,107</w:t>
                  </w:r>
                </w:p>
              </w:tc>
            </w:tr>
          </w:tbl>
          <w:p w14:paraId="70D15C36" w14:textId="77777777" w:rsidR="00600DEE" w:rsidRDefault="00641FB5">
            <w:pPr>
              <w:spacing w:before="120" w:after="120"/>
              <w:jc w:val="both"/>
              <w:rPr>
                <w:rFonts w:ascii="Calibri" w:eastAsia="Calibri" w:hAnsi="Calibri" w:cs="Calibri"/>
                <w:b/>
                <w:i/>
                <w:sz w:val="16"/>
                <w:szCs w:val="16"/>
              </w:rPr>
            </w:pPr>
            <w:r>
              <w:rPr>
                <w:rFonts w:ascii="Calibri" w:eastAsia="Calibri" w:hAnsi="Calibri" w:cs="Calibri"/>
                <w:b/>
                <w:i/>
                <w:sz w:val="16"/>
                <w:szCs w:val="16"/>
              </w:rPr>
              <w:t>Źródło: Opracowanie eksperckie</w:t>
            </w:r>
          </w:p>
          <w:p w14:paraId="2ACB8159" w14:textId="6F82F824" w:rsidR="00600DEE" w:rsidRDefault="00641FB5">
            <w:pPr>
              <w:spacing w:before="120" w:after="120"/>
              <w:ind w:left="709" w:hanging="709"/>
              <w:rPr>
                <w:rFonts w:ascii="Calibri" w:eastAsia="Calibri" w:hAnsi="Calibri" w:cs="Calibri"/>
                <w:b/>
                <w:color w:val="4F81BD"/>
                <w:sz w:val="20"/>
                <w:szCs w:val="20"/>
              </w:rPr>
            </w:pPr>
            <w:r>
              <w:rPr>
                <w:rFonts w:ascii="Calibri" w:eastAsia="Calibri" w:hAnsi="Calibri" w:cs="Calibri"/>
                <w:b/>
                <w:color w:val="4F81BD"/>
                <w:sz w:val="20"/>
                <w:szCs w:val="20"/>
              </w:rPr>
              <w:t xml:space="preserve">Tabela 8. Wskaźniki dotkliwości wypadków </w:t>
            </w:r>
            <w:r w:rsidR="00B57CEF">
              <w:rPr>
                <w:rFonts w:ascii="Calibri" w:eastAsia="Calibri" w:hAnsi="Calibri" w:cs="Calibri"/>
                <w:b/>
                <w:color w:val="4F81BD"/>
                <w:sz w:val="20"/>
                <w:szCs w:val="20"/>
              </w:rPr>
              <w:t>dla dróg wojewódzkich oraz</w:t>
            </w:r>
            <w:r>
              <w:rPr>
                <w:rFonts w:ascii="Calibri" w:eastAsia="Calibri" w:hAnsi="Calibri" w:cs="Calibri"/>
                <w:b/>
                <w:color w:val="4F81BD"/>
                <w:sz w:val="20"/>
                <w:szCs w:val="20"/>
              </w:rPr>
              <w:t xml:space="preserve"> powiatowych i gminnych (liczba osób / wypadek)</w:t>
            </w:r>
          </w:p>
          <w:p w14:paraId="0A179757" w14:textId="77777777" w:rsidR="00EE29B5" w:rsidRDefault="00EE29B5">
            <w:pPr>
              <w:spacing w:before="120" w:after="120"/>
              <w:ind w:left="709" w:hanging="709"/>
              <w:rPr>
                <w:rFonts w:ascii="Calibri" w:eastAsia="Calibri" w:hAnsi="Calibri" w:cs="Calibri"/>
                <w:b/>
                <w:color w:val="4F81BD"/>
                <w:sz w:val="20"/>
                <w:szCs w:val="20"/>
              </w:rPr>
            </w:pPr>
          </w:p>
          <w:tbl>
            <w:tblPr>
              <w:tblStyle w:val="afffffffffffffffc"/>
              <w:tblW w:w="6511" w:type="dxa"/>
              <w:tblLayout w:type="fixed"/>
              <w:tblLook w:val="0400" w:firstRow="0" w:lastRow="0" w:firstColumn="0" w:lastColumn="0" w:noHBand="0" w:noVBand="1"/>
            </w:tblPr>
            <w:tblGrid>
              <w:gridCol w:w="569"/>
              <w:gridCol w:w="1406"/>
              <w:gridCol w:w="1134"/>
              <w:gridCol w:w="1701"/>
              <w:gridCol w:w="1701"/>
            </w:tblGrid>
            <w:tr w:rsidR="00600DEE" w14:paraId="2A4DB25D" w14:textId="77777777" w:rsidTr="00EE29B5">
              <w:trPr>
                <w:trHeight w:hRule="exact" w:val="680"/>
              </w:trPr>
              <w:tc>
                <w:tcPr>
                  <w:tcW w:w="569"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5C2E0561"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 </w:t>
                  </w:r>
                </w:p>
              </w:tc>
              <w:tc>
                <w:tcPr>
                  <w:tcW w:w="1406"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6C91301B"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Wojewódzkie niezabudowany (n)</w:t>
                  </w:r>
                </w:p>
              </w:tc>
              <w:tc>
                <w:tcPr>
                  <w:tcW w:w="1134"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18EF5BCB"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Wojewódzkie zabudowany (z)</w:t>
                  </w:r>
                </w:p>
              </w:tc>
              <w:tc>
                <w:tcPr>
                  <w:tcW w:w="1701"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31A14873"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Gminne, powiatowe niezabudowany (n)</w:t>
                  </w:r>
                </w:p>
              </w:tc>
              <w:tc>
                <w:tcPr>
                  <w:tcW w:w="1701"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1365251E"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Gminne, powiatowe zabudowany (z)</w:t>
                  </w:r>
                </w:p>
              </w:tc>
            </w:tr>
            <w:tr w:rsidR="00600DEE" w14:paraId="29AD17F2" w14:textId="77777777">
              <w:trPr>
                <w:trHeight w:val="276"/>
              </w:trPr>
              <w:tc>
                <w:tcPr>
                  <w:tcW w:w="569"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01C051B0"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1406"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4A0A6D62"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1134"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0D131509"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1701"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301AA8E0"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c>
                <w:tcPr>
                  <w:tcW w:w="1701"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09CD7278"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rPr>
                  </w:pPr>
                </w:p>
              </w:tc>
            </w:tr>
            <w:tr w:rsidR="00600DEE" w14:paraId="7F1AE2FB" w14:textId="77777777">
              <w:trPr>
                <w:trHeight w:val="315"/>
              </w:trPr>
              <w:tc>
                <w:tcPr>
                  <w:tcW w:w="569" w:type="dxa"/>
                  <w:tcBorders>
                    <w:top w:val="nil"/>
                    <w:left w:val="single" w:sz="8" w:space="0" w:color="FFFFFF"/>
                    <w:bottom w:val="nil"/>
                    <w:right w:val="nil"/>
                  </w:tcBorders>
                  <w:shd w:val="clear" w:color="auto" w:fill="A6A6A6"/>
                  <w:vAlign w:val="center"/>
                </w:tcPr>
                <w:p w14:paraId="707C7B26"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WR</w:t>
                  </w:r>
                </w:p>
              </w:tc>
              <w:tc>
                <w:tcPr>
                  <w:tcW w:w="1406" w:type="dxa"/>
                  <w:tcBorders>
                    <w:top w:val="nil"/>
                    <w:left w:val="single" w:sz="8" w:space="0" w:color="FFFFFF"/>
                    <w:bottom w:val="single" w:sz="8" w:space="0" w:color="FFFFFF"/>
                    <w:right w:val="single" w:sz="8" w:space="0" w:color="FFFFFF"/>
                  </w:tcBorders>
                  <w:shd w:val="clear" w:color="auto" w:fill="DBE5F1"/>
                  <w:vAlign w:val="center"/>
                </w:tcPr>
                <w:p w14:paraId="728D51A5"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1,322</w:t>
                  </w:r>
                </w:p>
              </w:tc>
              <w:tc>
                <w:tcPr>
                  <w:tcW w:w="1134" w:type="dxa"/>
                  <w:tcBorders>
                    <w:top w:val="nil"/>
                    <w:left w:val="nil"/>
                    <w:bottom w:val="single" w:sz="8" w:space="0" w:color="FFFFFF"/>
                    <w:right w:val="nil"/>
                  </w:tcBorders>
                  <w:shd w:val="clear" w:color="auto" w:fill="DBE5F1"/>
                  <w:vAlign w:val="center"/>
                </w:tcPr>
                <w:p w14:paraId="32821610"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1,226</w:t>
                  </w:r>
                </w:p>
              </w:tc>
              <w:tc>
                <w:tcPr>
                  <w:tcW w:w="1701" w:type="dxa"/>
                  <w:tcBorders>
                    <w:top w:val="nil"/>
                    <w:left w:val="single" w:sz="8" w:space="0" w:color="FFFFFF"/>
                    <w:bottom w:val="single" w:sz="8" w:space="0" w:color="FFFFFF"/>
                    <w:right w:val="nil"/>
                  </w:tcBorders>
                  <w:shd w:val="clear" w:color="auto" w:fill="DBE5F1"/>
                  <w:vAlign w:val="center"/>
                </w:tcPr>
                <w:p w14:paraId="439525AD"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1,334</w:t>
                  </w:r>
                </w:p>
              </w:tc>
              <w:tc>
                <w:tcPr>
                  <w:tcW w:w="1701" w:type="dxa"/>
                  <w:tcBorders>
                    <w:top w:val="nil"/>
                    <w:left w:val="single" w:sz="8" w:space="0" w:color="FFFFFF"/>
                    <w:bottom w:val="single" w:sz="8" w:space="0" w:color="FFFFFF"/>
                    <w:right w:val="nil"/>
                  </w:tcBorders>
                  <w:shd w:val="clear" w:color="auto" w:fill="DBE5F1"/>
                  <w:vAlign w:val="center"/>
                </w:tcPr>
                <w:p w14:paraId="4BD32AB9"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1,194</w:t>
                  </w:r>
                </w:p>
              </w:tc>
            </w:tr>
            <w:tr w:rsidR="00600DEE" w14:paraId="0EDB3326" w14:textId="77777777">
              <w:trPr>
                <w:trHeight w:val="315"/>
              </w:trPr>
              <w:tc>
                <w:tcPr>
                  <w:tcW w:w="569" w:type="dxa"/>
                  <w:tcBorders>
                    <w:top w:val="single" w:sz="8" w:space="0" w:color="FFFFFF"/>
                    <w:left w:val="single" w:sz="8" w:space="0" w:color="FFFFFF"/>
                    <w:bottom w:val="nil"/>
                    <w:right w:val="nil"/>
                  </w:tcBorders>
                  <w:shd w:val="clear" w:color="auto" w:fill="A6A6A6"/>
                  <w:vAlign w:val="center"/>
                </w:tcPr>
                <w:p w14:paraId="4582A6FA"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WCR</w:t>
                  </w:r>
                </w:p>
              </w:tc>
              <w:tc>
                <w:tcPr>
                  <w:tcW w:w="1406" w:type="dxa"/>
                  <w:tcBorders>
                    <w:top w:val="nil"/>
                    <w:left w:val="single" w:sz="8" w:space="0" w:color="FFFFFF"/>
                    <w:bottom w:val="single" w:sz="8" w:space="0" w:color="FFFFFF"/>
                    <w:right w:val="single" w:sz="8" w:space="0" w:color="FFFFFF"/>
                  </w:tcBorders>
                  <w:shd w:val="clear" w:color="auto" w:fill="DBE5F1"/>
                  <w:vAlign w:val="center"/>
                </w:tcPr>
                <w:p w14:paraId="404C9EF6"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0,381</w:t>
                  </w:r>
                </w:p>
              </w:tc>
              <w:tc>
                <w:tcPr>
                  <w:tcW w:w="1134" w:type="dxa"/>
                  <w:tcBorders>
                    <w:top w:val="nil"/>
                    <w:left w:val="nil"/>
                    <w:bottom w:val="single" w:sz="8" w:space="0" w:color="FFFFFF"/>
                    <w:right w:val="nil"/>
                  </w:tcBorders>
                  <w:shd w:val="clear" w:color="auto" w:fill="DBE5F1"/>
                  <w:vAlign w:val="center"/>
                </w:tcPr>
                <w:p w14:paraId="567B0A8C"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0,318</w:t>
                  </w:r>
                </w:p>
              </w:tc>
              <w:tc>
                <w:tcPr>
                  <w:tcW w:w="1701" w:type="dxa"/>
                  <w:tcBorders>
                    <w:top w:val="nil"/>
                    <w:left w:val="single" w:sz="8" w:space="0" w:color="FFFFFF"/>
                    <w:bottom w:val="single" w:sz="8" w:space="0" w:color="FFFFFF"/>
                    <w:right w:val="nil"/>
                  </w:tcBorders>
                  <w:shd w:val="clear" w:color="auto" w:fill="DBE5F1"/>
                  <w:vAlign w:val="center"/>
                </w:tcPr>
                <w:p w14:paraId="49508C21"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0,393</w:t>
                  </w:r>
                </w:p>
              </w:tc>
              <w:tc>
                <w:tcPr>
                  <w:tcW w:w="1701" w:type="dxa"/>
                  <w:tcBorders>
                    <w:top w:val="nil"/>
                    <w:left w:val="single" w:sz="8" w:space="0" w:color="FFFFFF"/>
                    <w:bottom w:val="single" w:sz="8" w:space="0" w:color="FFFFFF"/>
                    <w:right w:val="nil"/>
                  </w:tcBorders>
                  <w:shd w:val="clear" w:color="auto" w:fill="DBE5F1"/>
                  <w:vAlign w:val="center"/>
                </w:tcPr>
                <w:p w14:paraId="321C9DB7"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0,288</w:t>
                  </w:r>
                </w:p>
              </w:tc>
            </w:tr>
            <w:tr w:rsidR="00600DEE" w14:paraId="16D02D2E" w14:textId="77777777">
              <w:trPr>
                <w:trHeight w:val="315"/>
              </w:trPr>
              <w:tc>
                <w:tcPr>
                  <w:tcW w:w="569" w:type="dxa"/>
                  <w:tcBorders>
                    <w:top w:val="single" w:sz="8" w:space="0" w:color="FFFFFF"/>
                    <w:left w:val="single" w:sz="8" w:space="0" w:color="FFFFFF"/>
                    <w:bottom w:val="nil"/>
                    <w:right w:val="nil"/>
                  </w:tcBorders>
                  <w:shd w:val="clear" w:color="auto" w:fill="A6A6A6"/>
                  <w:vAlign w:val="center"/>
                </w:tcPr>
                <w:p w14:paraId="0A45FF17" w14:textId="77777777" w:rsidR="00600DEE" w:rsidRDefault="00641FB5">
                  <w:pPr>
                    <w:jc w:val="center"/>
                    <w:rPr>
                      <w:rFonts w:ascii="Calibri" w:eastAsia="Calibri" w:hAnsi="Calibri" w:cs="Calibri"/>
                      <w:b/>
                      <w:color w:val="FFFFFF"/>
                      <w:sz w:val="16"/>
                      <w:szCs w:val="16"/>
                    </w:rPr>
                  </w:pPr>
                  <w:r>
                    <w:rPr>
                      <w:rFonts w:ascii="Calibri" w:eastAsia="Calibri" w:hAnsi="Calibri" w:cs="Calibri"/>
                      <w:b/>
                      <w:color w:val="FFFFFF"/>
                      <w:sz w:val="16"/>
                      <w:szCs w:val="16"/>
                    </w:rPr>
                    <w:t>WZ</w:t>
                  </w:r>
                </w:p>
              </w:tc>
              <w:tc>
                <w:tcPr>
                  <w:tcW w:w="1406" w:type="dxa"/>
                  <w:tcBorders>
                    <w:top w:val="nil"/>
                    <w:left w:val="single" w:sz="8" w:space="0" w:color="FFFFFF"/>
                    <w:bottom w:val="single" w:sz="8" w:space="0" w:color="FFFFFF"/>
                    <w:right w:val="single" w:sz="8" w:space="0" w:color="FFFFFF"/>
                  </w:tcBorders>
                  <w:shd w:val="clear" w:color="auto" w:fill="DBE5F1"/>
                  <w:vAlign w:val="center"/>
                </w:tcPr>
                <w:p w14:paraId="3A57D75E"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0,178</w:t>
                  </w:r>
                </w:p>
              </w:tc>
              <w:tc>
                <w:tcPr>
                  <w:tcW w:w="1134" w:type="dxa"/>
                  <w:tcBorders>
                    <w:top w:val="nil"/>
                    <w:left w:val="nil"/>
                    <w:bottom w:val="single" w:sz="8" w:space="0" w:color="FFFFFF"/>
                    <w:right w:val="nil"/>
                  </w:tcBorders>
                  <w:shd w:val="clear" w:color="auto" w:fill="DBE5F1"/>
                  <w:vAlign w:val="center"/>
                </w:tcPr>
                <w:p w14:paraId="56EE0BF6"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0,100</w:t>
                  </w:r>
                </w:p>
              </w:tc>
              <w:tc>
                <w:tcPr>
                  <w:tcW w:w="1701" w:type="dxa"/>
                  <w:tcBorders>
                    <w:top w:val="nil"/>
                    <w:left w:val="single" w:sz="8" w:space="0" w:color="FFFFFF"/>
                    <w:bottom w:val="single" w:sz="8" w:space="0" w:color="FFFFFF"/>
                    <w:right w:val="nil"/>
                  </w:tcBorders>
                  <w:shd w:val="clear" w:color="auto" w:fill="DBE5F1"/>
                  <w:vAlign w:val="center"/>
                </w:tcPr>
                <w:p w14:paraId="054DBBE8"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0,143</w:t>
                  </w:r>
                </w:p>
              </w:tc>
              <w:tc>
                <w:tcPr>
                  <w:tcW w:w="1701" w:type="dxa"/>
                  <w:tcBorders>
                    <w:top w:val="nil"/>
                    <w:left w:val="single" w:sz="8" w:space="0" w:color="FFFFFF"/>
                    <w:bottom w:val="single" w:sz="8" w:space="0" w:color="FFFFFF"/>
                    <w:right w:val="nil"/>
                  </w:tcBorders>
                  <w:shd w:val="clear" w:color="auto" w:fill="DBE5F1"/>
                  <w:vAlign w:val="center"/>
                </w:tcPr>
                <w:p w14:paraId="122E571A" w14:textId="77777777" w:rsidR="00600DEE" w:rsidRDefault="00641FB5">
                  <w:pPr>
                    <w:jc w:val="center"/>
                    <w:rPr>
                      <w:rFonts w:ascii="Calibri" w:eastAsia="Calibri" w:hAnsi="Calibri" w:cs="Calibri"/>
                      <w:color w:val="4F81BD"/>
                      <w:sz w:val="16"/>
                      <w:szCs w:val="16"/>
                    </w:rPr>
                  </w:pPr>
                  <w:r>
                    <w:rPr>
                      <w:rFonts w:ascii="Calibri" w:eastAsia="Calibri" w:hAnsi="Calibri" w:cs="Calibri"/>
                      <w:color w:val="4F81BD"/>
                      <w:sz w:val="16"/>
                      <w:szCs w:val="16"/>
                    </w:rPr>
                    <w:t>0,087</w:t>
                  </w:r>
                </w:p>
              </w:tc>
            </w:tr>
          </w:tbl>
          <w:p w14:paraId="4B62020C" w14:textId="4D0D8524" w:rsidR="00600DEE" w:rsidRDefault="00641FB5">
            <w:pPr>
              <w:spacing w:before="120" w:after="120"/>
              <w:jc w:val="both"/>
              <w:rPr>
                <w:rFonts w:ascii="Calibri" w:eastAsia="Calibri" w:hAnsi="Calibri" w:cs="Calibri"/>
                <w:b/>
                <w:i/>
                <w:sz w:val="16"/>
                <w:szCs w:val="16"/>
              </w:rPr>
            </w:pPr>
            <w:r>
              <w:rPr>
                <w:rFonts w:ascii="Calibri" w:eastAsia="Calibri" w:hAnsi="Calibri" w:cs="Calibri"/>
                <w:b/>
                <w:i/>
                <w:sz w:val="16"/>
                <w:szCs w:val="16"/>
              </w:rPr>
              <w:t>Źródło: Opracowanie eksperckie</w:t>
            </w:r>
          </w:p>
          <w:p w14:paraId="1AB99829" w14:textId="5D0F2DD1" w:rsidR="00EE29B5" w:rsidRDefault="00EE29B5">
            <w:pPr>
              <w:spacing w:before="120" w:after="120"/>
              <w:jc w:val="both"/>
              <w:rPr>
                <w:rFonts w:ascii="Calibri" w:eastAsia="Calibri" w:hAnsi="Calibri" w:cs="Calibri"/>
                <w:b/>
                <w:i/>
                <w:sz w:val="16"/>
                <w:szCs w:val="16"/>
              </w:rPr>
            </w:pPr>
          </w:p>
          <w:p w14:paraId="2A5D8B5C" w14:textId="77777777" w:rsidR="00EE29B5" w:rsidRDefault="00EE29B5">
            <w:pPr>
              <w:spacing w:before="120" w:after="120"/>
              <w:jc w:val="both"/>
              <w:rPr>
                <w:rFonts w:ascii="Calibri" w:eastAsia="Calibri" w:hAnsi="Calibri" w:cs="Calibri"/>
                <w:b/>
                <w:i/>
                <w:sz w:val="16"/>
                <w:szCs w:val="16"/>
              </w:rPr>
            </w:pPr>
          </w:p>
          <w:p w14:paraId="09F55304" w14:textId="77777777" w:rsidR="00600DEE" w:rsidRDefault="00641FB5" w:rsidP="00D5736B">
            <w:pPr>
              <w:numPr>
                <w:ilvl w:val="0"/>
                <w:numId w:val="48"/>
              </w:numPr>
              <w:pBdr>
                <w:top w:val="nil"/>
                <w:left w:val="nil"/>
                <w:bottom w:val="nil"/>
                <w:right w:val="nil"/>
                <w:between w:val="nil"/>
              </w:pBdr>
              <w:spacing w:before="120" w:after="120"/>
              <w:ind w:left="284" w:hanging="284"/>
              <w:jc w:val="both"/>
              <w:rPr>
                <w:rFonts w:ascii="Calibri" w:eastAsia="Calibri" w:hAnsi="Calibri" w:cs="Calibri"/>
                <w:b/>
                <w:color w:val="4F81BD"/>
                <w:sz w:val="23"/>
                <w:szCs w:val="23"/>
              </w:rPr>
            </w:pPr>
            <w:r>
              <w:rPr>
                <w:rFonts w:ascii="Calibri" w:eastAsia="Calibri" w:hAnsi="Calibri" w:cs="Calibri"/>
                <w:b/>
                <w:color w:val="4F81BD"/>
                <w:sz w:val="23"/>
                <w:szCs w:val="23"/>
              </w:rPr>
              <w:t>Prognoza BRD</w:t>
            </w:r>
          </w:p>
          <w:p w14:paraId="237E6CF6" w14:textId="3478D65B"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W celu otrzymania prognozowanych wartości LR, LCR, LZ, LLR należy prognozowane wartości LW (z danego okresu referencyjnego) przemnożyć przez odpowiednie wartości WR, WCR, WZ w </w:t>
            </w:r>
            <w:r w:rsidR="00B57CEF">
              <w:rPr>
                <w:rFonts w:ascii="Calibri" w:eastAsia="Calibri" w:hAnsi="Calibri" w:cs="Calibri"/>
                <w:sz w:val="20"/>
                <w:szCs w:val="20"/>
              </w:rPr>
              <w:t xml:space="preserve">zależności od kategorii drogi. </w:t>
            </w:r>
            <w:r>
              <w:rPr>
                <w:rFonts w:ascii="Calibri" w:eastAsia="Calibri" w:hAnsi="Calibri" w:cs="Calibri"/>
                <w:sz w:val="20"/>
                <w:szCs w:val="20"/>
              </w:rPr>
              <w:t xml:space="preserve">Wartości WR, WCR, WZ, nie zmieniają się w czasie. </w:t>
            </w:r>
          </w:p>
          <w:p w14:paraId="4426EF29"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 xml:space="preserve">Liczbę lekko rannych (LLR), należy wyliczyć jako różnicę: LR-LCR. </w:t>
            </w:r>
          </w:p>
          <w:p w14:paraId="24B1D0E9" w14:textId="77777777" w:rsidR="00600DEE" w:rsidRDefault="00600DEE">
            <w:pPr>
              <w:spacing w:before="120" w:after="120"/>
              <w:jc w:val="both"/>
              <w:rPr>
                <w:rFonts w:ascii="Calibri" w:eastAsia="Calibri" w:hAnsi="Calibri" w:cs="Calibri"/>
                <w:sz w:val="20"/>
                <w:szCs w:val="20"/>
              </w:rPr>
            </w:pPr>
          </w:p>
          <w:p w14:paraId="54A84C64" w14:textId="77777777" w:rsidR="00600DEE" w:rsidRDefault="00641FB5" w:rsidP="00D5736B">
            <w:pPr>
              <w:numPr>
                <w:ilvl w:val="0"/>
                <w:numId w:val="48"/>
              </w:numPr>
              <w:pBdr>
                <w:top w:val="nil"/>
                <w:left w:val="nil"/>
                <w:bottom w:val="nil"/>
                <w:right w:val="nil"/>
                <w:between w:val="nil"/>
              </w:pBdr>
              <w:spacing w:before="360" w:after="120"/>
              <w:ind w:left="284" w:hanging="284"/>
              <w:jc w:val="both"/>
              <w:rPr>
                <w:rFonts w:ascii="Calibri" w:eastAsia="Calibri" w:hAnsi="Calibri" w:cs="Calibri"/>
                <w:b/>
                <w:color w:val="4F81BD"/>
                <w:sz w:val="23"/>
                <w:szCs w:val="23"/>
              </w:rPr>
            </w:pPr>
            <w:r>
              <w:rPr>
                <w:rFonts w:ascii="Calibri" w:eastAsia="Calibri" w:hAnsi="Calibri" w:cs="Calibri"/>
                <w:b/>
                <w:color w:val="4F81BD"/>
                <w:sz w:val="23"/>
                <w:szCs w:val="23"/>
              </w:rPr>
              <w:t>Koszty wypadków drogowych</w:t>
            </w:r>
          </w:p>
          <w:p w14:paraId="578778AF" w14:textId="77777777" w:rsidR="00600DEE" w:rsidRDefault="00641FB5">
            <w:pPr>
              <w:spacing w:before="120" w:after="120"/>
              <w:jc w:val="both"/>
              <w:rPr>
                <w:rFonts w:ascii="Calibri" w:eastAsia="Calibri" w:hAnsi="Calibri" w:cs="Calibri"/>
                <w:sz w:val="20"/>
                <w:szCs w:val="20"/>
              </w:rPr>
            </w:pPr>
            <w:r>
              <w:rPr>
                <w:rFonts w:ascii="Calibri" w:eastAsia="Calibri" w:hAnsi="Calibri" w:cs="Calibri"/>
                <w:sz w:val="20"/>
                <w:szCs w:val="20"/>
              </w:rPr>
              <w:t>Całkowite koszty wypadków drogowych wylicza się przy pomocy wzoru przedstawionego w tabeli 20 dokumentu głównego.</w:t>
            </w:r>
          </w:p>
        </w:tc>
        <w:tc>
          <w:tcPr>
            <w:tcW w:w="7011" w:type="dxa"/>
            <w:tcBorders>
              <w:left w:val="single" w:sz="4" w:space="0" w:color="000000"/>
            </w:tcBorders>
            <w:tcMar>
              <w:left w:w="284" w:type="dxa"/>
              <w:right w:w="284" w:type="dxa"/>
            </w:tcMar>
          </w:tcPr>
          <w:p w14:paraId="032DC20C"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3"/>
                <w:szCs w:val="23"/>
                <w:lang w:val="en-GB"/>
              </w:rPr>
            </w:pPr>
            <w:r w:rsidRPr="0045151D">
              <w:rPr>
                <w:rFonts w:ascii="Calibri" w:eastAsia="Calibri" w:hAnsi="Calibri" w:cs="Calibri"/>
                <w:b/>
                <w:color w:val="4F81BD"/>
                <w:sz w:val="23"/>
                <w:szCs w:val="23"/>
                <w:lang w:val="en-GB"/>
              </w:rPr>
              <w:t>1.   General considerations</w:t>
            </w:r>
          </w:p>
          <w:p w14:paraId="0D79EC20"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222222"/>
                <w:sz w:val="20"/>
                <w:szCs w:val="20"/>
                <w:lang w:val="en-GB"/>
              </w:rPr>
            </w:pPr>
            <w:r w:rsidRPr="0045151D">
              <w:rPr>
                <w:rFonts w:ascii="Calibri" w:eastAsia="Calibri" w:hAnsi="Calibri" w:cs="Calibri"/>
                <w:color w:val="000000"/>
                <w:sz w:val="20"/>
                <w:szCs w:val="20"/>
                <w:lang w:val="en-GB"/>
              </w:rPr>
              <w:t xml:space="preserve">For the purpose of accident costs estimation, the method here proposed is based on calculation of probability parameters (i.e. accidents per veh-km and road safety factors by type of events – fatalities, injured, heavily injured, slightly injured) in relation to transport work. </w:t>
            </w:r>
            <w:r w:rsidRPr="0045151D">
              <w:rPr>
                <w:rFonts w:ascii="Calibri" w:eastAsia="Calibri" w:hAnsi="Calibri" w:cs="Calibri"/>
                <w:color w:val="222222"/>
                <w:sz w:val="20"/>
                <w:szCs w:val="20"/>
                <w:lang w:val="en-GB"/>
              </w:rPr>
              <w:t xml:space="preserve">This </w:t>
            </w:r>
            <w:r w:rsidRPr="0045151D">
              <w:rPr>
                <w:rFonts w:ascii="Arial" w:eastAsia="Arial" w:hAnsi="Arial" w:cs="Arial"/>
                <w:color w:val="000000"/>
                <w:sz w:val="20"/>
                <w:szCs w:val="20"/>
                <w:lang w:val="en-GB"/>
              </w:rPr>
              <w:t>Appendix</w:t>
            </w:r>
            <w:r w:rsidRPr="0045151D">
              <w:rPr>
                <w:rFonts w:ascii="Calibri" w:eastAsia="Calibri" w:hAnsi="Calibri" w:cs="Calibri"/>
                <w:color w:val="222222"/>
                <w:sz w:val="20"/>
                <w:szCs w:val="20"/>
                <w:lang w:val="en-GB"/>
              </w:rPr>
              <w:t xml:space="preserve"> includes the tables with </w:t>
            </w:r>
            <w:r w:rsidRPr="0045151D">
              <w:rPr>
                <w:rFonts w:ascii="Calibri" w:eastAsia="Calibri" w:hAnsi="Calibri" w:cs="Calibri"/>
                <w:b/>
                <w:color w:val="222222"/>
                <w:sz w:val="20"/>
                <w:szCs w:val="20"/>
                <w:lang w:val="en-GB"/>
              </w:rPr>
              <w:t xml:space="preserve">RAI </w:t>
            </w:r>
            <w:r w:rsidRPr="0045151D">
              <w:rPr>
                <w:rFonts w:ascii="Calibri" w:eastAsia="Calibri" w:hAnsi="Calibri" w:cs="Calibri"/>
                <w:color w:val="222222"/>
                <w:sz w:val="20"/>
                <w:szCs w:val="20"/>
                <w:lang w:val="en-GB"/>
              </w:rPr>
              <w:t>(Relative Accident Indicator), based on RS indicators method presented later in t</w:t>
            </w:r>
            <w:r w:rsidRPr="0045151D">
              <w:rPr>
                <w:rFonts w:ascii="Arial" w:eastAsia="Arial" w:hAnsi="Arial" w:cs="Arial"/>
                <w:color w:val="222222"/>
                <w:sz w:val="20"/>
                <w:szCs w:val="20"/>
                <w:lang w:val="en-GB"/>
              </w:rPr>
              <w:t>he</w:t>
            </w:r>
            <w:r w:rsidRPr="0045151D">
              <w:rPr>
                <w:rFonts w:ascii="Calibri" w:eastAsia="Calibri" w:hAnsi="Calibri" w:cs="Calibri"/>
                <w:color w:val="222222"/>
                <w:sz w:val="20"/>
                <w:szCs w:val="20"/>
                <w:lang w:val="en-GB"/>
              </w:rPr>
              <w:t xml:space="preserve"> Appendix, and the following accident severity factors:</w:t>
            </w:r>
          </w:p>
          <w:p w14:paraId="19645016" w14:textId="77777777" w:rsidR="00600DEE" w:rsidRPr="0045151D" w:rsidRDefault="00641FB5" w:rsidP="00D5736B">
            <w:pPr>
              <w:numPr>
                <w:ilvl w:val="0"/>
                <w:numId w:val="51"/>
              </w:numPr>
              <w:pBdr>
                <w:top w:val="nil"/>
                <w:left w:val="nil"/>
                <w:bottom w:val="nil"/>
                <w:right w:val="nil"/>
                <w:between w:val="nil"/>
              </w:pBdr>
              <w:spacing w:before="120"/>
              <w:ind w:left="707" w:hanging="707"/>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WR</w:t>
            </w:r>
            <w:r w:rsidRPr="0045151D">
              <w:rPr>
                <w:rFonts w:ascii="Calibri" w:eastAsia="Calibri" w:hAnsi="Calibri" w:cs="Calibri"/>
                <w:color w:val="000000"/>
                <w:sz w:val="20"/>
                <w:szCs w:val="20"/>
                <w:lang w:val="en-GB"/>
              </w:rPr>
              <w:t xml:space="preserve"> – the average number of injured in a road accident,</w:t>
            </w:r>
          </w:p>
          <w:p w14:paraId="386118E9" w14:textId="77777777" w:rsidR="00600DEE" w:rsidRPr="0045151D" w:rsidRDefault="00641FB5" w:rsidP="00D5736B">
            <w:pPr>
              <w:numPr>
                <w:ilvl w:val="0"/>
                <w:numId w:val="51"/>
              </w:numPr>
              <w:pBdr>
                <w:top w:val="nil"/>
                <w:left w:val="nil"/>
                <w:bottom w:val="nil"/>
                <w:right w:val="nil"/>
                <w:between w:val="nil"/>
              </w:pBdr>
              <w:ind w:left="707" w:hanging="707"/>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WCR</w:t>
            </w:r>
            <w:r w:rsidRPr="0045151D">
              <w:rPr>
                <w:rFonts w:ascii="Calibri" w:eastAsia="Calibri" w:hAnsi="Calibri" w:cs="Calibri"/>
                <w:color w:val="000000"/>
                <w:sz w:val="20"/>
                <w:szCs w:val="20"/>
                <w:lang w:val="en-GB"/>
              </w:rPr>
              <w:t xml:space="preserve"> – the average number of seriously injured in a road accident,</w:t>
            </w:r>
          </w:p>
          <w:p w14:paraId="00056FFA" w14:textId="77777777" w:rsidR="00600DEE" w:rsidRPr="0045151D" w:rsidRDefault="00641FB5" w:rsidP="00D5736B">
            <w:pPr>
              <w:numPr>
                <w:ilvl w:val="0"/>
                <w:numId w:val="51"/>
              </w:numPr>
              <w:pBdr>
                <w:top w:val="nil"/>
                <w:left w:val="nil"/>
                <w:bottom w:val="nil"/>
                <w:right w:val="nil"/>
                <w:between w:val="nil"/>
              </w:pBdr>
              <w:ind w:left="707" w:hanging="707"/>
              <w:jc w:val="both"/>
              <w:rPr>
                <w:rFonts w:ascii="Calibri" w:eastAsia="Calibri" w:hAnsi="Calibri" w:cs="Calibri"/>
                <w:color w:val="000000"/>
                <w:sz w:val="20"/>
                <w:szCs w:val="20"/>
                <w:lang w:val="en-GB"/>
              </w:rPr>
            </w:pPr>
            <w:r w:rsidRPr="0045151D">
              <w:rPr>
                <w:rFonts w:ascii="Calibri" w:eastAsia="Calibri" w:hAnsi="Calibri" w:cs="Calibri"/>
                <w:b/>
                <w:color w:val="000000"/>
                <w:sz w:val="20"/>
                <w:szCs w:val="20"/>
                <w:lang w:val="en-GB"/>
              </w:rPr>
              <w:t xml:space="preserve">WZ </w:t>
            </w:r>
            <w:r w:rsidRPr="0045151D">
              <w:rPr>
                <w:rFonts w:ascii="Calibri" w:eastAsia="Calibri" w:hAnsi="Calibri" w:cs="Calibri"/>
                <w:color w:val="000000"/>
                <w:sz w:val="20"/>
                <w:szCs w:val="20"/>
                <w:lang w:val="en-GB"/>
              </w:rPr>
              <w:t>– the average number of fatalities in a road accident.</w:t>
            </w:r>
          </w:p>
          <w:p w14:paraId="6BA56850" w14:textId="77777777" w:rsidR="00600DEE" w:rsidRPr="0045151D" w:rsidRDefault="00600DEE">
            <w:pPr>
              <w:pBdr>
                <w:top w:val="nil"/>
                <w:left w:val="nil"/>
                <w:bottom w:val="nil"/>
                <w:right w:val="nil"/>
                <w:between w:val="nil"/>
              </w:pBdr>
              <w:spacing w:after="120"/>
              <w:ind w:hanging="707"/>
              <w:jc w:val="both"/>
              <w:rPr>
                <w:rFonts w:ascii="Calibri" w:eastAsia="Calibri" w:hAnsi="Calibri" w:cs="Calibri"/>
                <w:color w:val="000000"/>
                <w:sz w:val="20"/>
                <w:szCs w:val="20"/>
                <w:lang w:val="en-GB"/>
              </w:rPr>
            </w:pPr>
          </w:p>
          <w:p w14:paraId="439FC27E"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These accident severity factors apply to the national road network and they are based on the studies of experts from the Technical University of Gdansk, using GDDKiA and Police data from the years 2011-2013.</w:t>
            </w:r>
          </w:p>
          <w:p w14:paraId="62F54618" w14:textId="3F4965FE"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The method is developed for dual and single carriageway roads (with road section lengths around or over 10 km) of non-urban roads</w:t>
            </w:r>
            <w:r w:rsidR="00A85726" w:rsidRPr="00A85726">
              <w:rPr>
                <w:rFonts w:ascii="Calibri" w:eastAsia="Calibri" w:hAnsi="Calibri" w:cs="Calibri"/>
                <w:sz w:val="20"/>
                <w:szCs w:val="20"/>
                <w:vertAlign w:val="superscript"/>
                <w:lang w:val="en-US"/>
              </w:rPr>
              <w:t>27</w:t>
            </w:r>
            <w:r w:rsidRPr="0045151D">
              <w:rPr>
                <w:rFonts w:ascii="Calibri" w:eastAsia="Calibri" w:hAnsi="Calibri" w:cs="Calibri"/>
                <w:sz w:val="20"/>
                <w:szCs w:val="20"/>
                <w:lang w:val="en-GB"/>
              </w:rPr>
              <w:t>. The analysis should take into account the effect of the time horizon factor</w:t>
            </w:r>
            <w:r w:rsidRPr="0045151D">
              <w:rPr>
                <w:rFonts w:ascii="Calibri" w:eastAsia="Calibri" w:hAnsi="Calibri" w:cs="Calibri"/>
                <w:b/>
                <w:sz w:val="20"/>
                <w:szCs w:val="20"/>
                <w:lang w:val="en-GB"/>
              </w:rPr>
              <w:t xml:space="preserve"> </w:t>
            </w:r>
            <w:r w:rsidR="00A85726" w:rsidRPr="00A85726">
              <w:rPr>
                <w:rFonts w:ascii="Calibri" w:eastAsia="Calibri" w:hAnsi="Calibri" w:cs="Calibri"/>
                <w:b/>
                <w:i/>
                <w:sz w:val="20"/>
                <w:szCs w:val="20"/>
                <w:lang w:val="en-US"/>
              </w:rPr>
              <w:t>f</w:t>
            </w:r>
            <w:r w:rsidRPr="0045151D">
              <w:rPr>
                <w:rFonts w:ascii="Calibri" w:eastAsia="Calibri" w:hAnsi="Calibri" w:cs="Calibri"/>
                <w:b/>
                <w:sz w:val="20"/>
                <w:szCs w:val="20"/>
                <w:vertAlign w:val="subscript"/>
                <w:lang w:val="en-GB"/>
              </w:rPr>
              <w:t>HP</w:t>
            </w:r>
            <w:r w:rsidRPr="0045151D">
              <w:rPr>
                <w:rFonts w:ascii="Calibri" w:eastAsia="Calibri" w:hAnsi="Calibri" w:cs="Calibri"/>
                <w:sz w:val="20"/>
                <w:szCs w:val="20"/>
                <w:lang w:val="en-GB"/>
              </w:rPr>
              <w:t xml:space="preserve"> , as shown in table 1, and location factor </w:t>
            </w:r>
            <w:r w:rsidR="00A85726" w:rsidRPr="00A85726">
              <w:rPr>
                <w:rFonts w:ascii="Calibri" w:eastAsia="Calibri" w:hAnsi="Calibri" w:cs="Calibri"/>
                <w:b/>
                <w:i/>
                <w:sz w:val="20"/>
                <w:szCs w:val="20"/>
                <w:lang w:val="en-US"/>
              </w:rPr>
              <w:t>f</w:t>
            </w:r>
            <w:r w:rsidRPr="0045151D">
              <w:rPr>
                <w:rFonts w:ascii="Calibri" w:eastAsia="Calibri" w:hAnsi="Calibri" w:cs="Calibri"/>
                <w:b/>
                <w:sz w:val="20"/>
                <w:szCs w:val="20"/>
                <w:vertAlign w:val="subscript"/>
                <w:lang w:val="en-GB"/>
              </w:rPr>
              <w:t xml:space="preserve">LDW </w:t>
            </w:r>
            <w:r w:rsidRPr="0045151D">
              <w:rPr>
                <w:rFonts w:ascii="Calibri" w:eastAsia="Calibri" w:hAnsi="Calibri" w:cs="Calibri"/>
                <w:sz w:val="20"/>
                <w:szCs w:val="20"/>
                <w:lang w:val="en-GB"/>
              </w:rPr>
              <w:t xml:space="preserve">(in case of single carriageway) - table 4 below. </w:t>
            </w:r>
          </w:p>
          <w:p w14:paraId="768EFD41"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In addition, the appendix contains tables with indicators of severity of accidents for the voivodeship, community and county roads.</w:t>
            </w:r>
          </w:p>
          <w:p w14:paraId="66968E16" w14:textId="5C808204" w:rsidR="00600DEE" w:rsidRDefault="00600DEE">
            <w:pPr>
              <w:pBdr>
                <w:top w:val="nil"/>
                <w:left w:val="nil"/>
                <w:bottom w:val="nil"/>
                <w:right w:val="nil"/>
                <w:between w:val="nil"/>
              </w:pBdr>
              <w:spacing w:before="120" w:after="120"/>
              <w:jc w:val="both"/>
              <w:rPr>
                <w:rFonts w:ascii="Calibri" w:eastAsia="Calibri" w:hAnsi="Calibri" w:cs="Calibri"/>
                <w:b/>
                <w:color w:val="4F81BD"/>
                <w:sz w:val="23"/>
                <w:szCs w:val="23"/>
                <w:lang w:val="en-GB"/>
              </w:rPr>
            </w:pPr>
          </w:p>
          <w:p w14:paraId="4908B649" w14:textId="77777777" w:rsidR="00A85726" w:rsidRPr="0045151D" w:rsidRDefault="00A85726">
            <w:pPr>
              <w:pBdr>
                <w:top w:val="nil"/>
                <w:left w:val="nil"/>
                <w:bottom w:val="nil"/>
                <w:right w:val="nil"/>
                <w:between w:val="nil"/>
              </w:pBdr>
              <w:spacing w:before="120" w:after="120"/>
              <w:jc w:val="both"/>
              <w:rPr>
                <w:rFonts w:ascii="Calibri" w:eastAsia="Calibri" w:hAnsi="Calibri" w:cs="Calibri"/>
                <w:b/>
                <w:color w:val="4F81BD"/>
                <w:sz w:val="23"/>
                <w:szCs w:val="23"/>
                <w:lang w:val="en-GB"/>
              </w:rPr>
            </w:pPr>
          </w:p>
          <w:p w14:paraId="7F7333EB"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3"/>
                <w:szCs w:val="23"/>
                <w:lang w:val="en-GB"/>
              </w:rPr>
            </w:pPr>
            <w:r w:rsidRPr="0045151D">
              <w:rPr>
                <w:rFonts w:ascii="Calibri" w:eastAsia="Calibri" w:hAnsi="Calibri" w:cs="Calibri"/>
                <w:b/>
                <w:color w:val="4F81BD"/>
                <w:sz w:val="23"/>
                <w:szCs w:val="23"/>
                <w:lang w:val="en-GB"/>
              </w:rPr>
              <w:t>2.   Number of accidents</w:t>
            </w:r>
          </w:p>
          <w:p w14:paraId="5DA3F652" w14:textId="77777777" w:rsidR="00A85726" w:rsidRDefault="00A85726" w:rsidP="00A85726">
            <w:pPr>
              <w:pStyle w:val="anxnormal"/>
              <w:spacing w:after="120"/>
              <w:ind w:left="0"/>
              <w:rPr>
                <w:rFonts w:asciiTheme="minorHAnsi" w:hAnsiTheme="minorHAnsi" w:cstheme="minorHAnsi"/>
                <w:lang w:val="en-GB"/>
              </w:rPr>
            </w:pPr>
            <w:r w:rsidRPr="000125A8">
              <w:rPr>
                <w:rFonts w:asciiTheme="minorHAnsi" w:hAnsiTheme="minorHAnsi" w:cstheme="minorHAnsi"/>
                <w:lang w:val="en-GB"/>
              </w:rPr>
              <w:t>The number of accidents (LW) shall be calculated consideri</w:t>
            </w:r>
            <w:r w:rsidRPr="00371A33">
              <w:rPr>
                <w:rFonts w:asciiTheme="minorHAnsi" w:hAnsiTheme="minorHAnsi" w:cstheme="minorHAnsi"/>
                <w:lang w:val="en-GB"/>
              </w:rPr>
              <w:t>ng the respective values of RAI indicator (relative rate of accidents, expressed in accidents/10</w:t>
            </w:r>
            <w:r w:rsidRPr="00371A33">
              <w:rPr>
                <w:rFonts w:asciiTheme="minorHAnsi" w:hAnsiTheme="minorHAnsi" w:cstheme="minorHAnsi"/>
                <w:vertAlign w:val="superscript"/>
                <w:lang w:val="en-GB"/>
              </w:rPr>
              <w:t>6</w:t>
            </w:r>
            <w:r w:rsidRPr="00371A33">
              <w:rPr>
                <w:rFonts w:asciiTheme="minorHAnsi" w:hAnsiTheme="minorHAnsi" w:cstheme="minorHAnsi"/>
                <w:lang w:val="en-GB"/>
              </w:rPr>
              <w:t xml:space="preserve">veh-km/day), and then multiplying it indicator by the respective transport work (in veh-km) and factors </w:t>
            </w:r>
            <w:r w:rsidRPr="00371A33">
              <w:rPr>
                <w:rFonts w:asciiTheme="minorHAnsi" w:hAnsiTheme="minorHAnsi" w:cstheme="minorHAnsi"/>
                <w:b/>
                <w:i/>
                <w:lang w:val="en-GB"/>
              </w:rPr>
              <w:t>f</w:t>
            </w:r>
            <w:r w:rsidRPr="00371A33">
              <w:rPr>
                <w:rFonts w:asciiTheme="minorHAnsi" w:hAnsiTheme="minorHAnsi" w:cstheme="minorHAnsi"/>
                <w:b/>
                <w:i/>
                <w:vertAlign w:val="subscript"/>
                <w:lang w:val="en-GB"/>
              </w:rPr>
              <w:t>HP</w:t>
            </w:r>
            <w:r w:rsidRPr="00371A33">
              <w:rPr>
                <w:rFonts w:asciiTheme="minorHAnsi" w:hAnsiTheme="minorHAnsi" w:cstheme="minorHAnsi"/>
                <w:lang w:val="en-GB"/>
              </w:rPr>
              <w:t xml:space="preserve"> and </w:t>
            </w:r>
            <w:r w:rsidRPr="00371A33">
              <w:rPr>
                <w:rFonts w:asciiTheme="minorHAnsi" w:hAnsiTheme="minorHAnsi" w:cstheme="minorHAnsi"/>
                <w:b/>
                <w:i/>
                <w:lang w:val="en-GB"/>
              </w:rPr>
              <w:t>f</w:t>
            </w:r>
            <w:r w:rsidRPr="00371A33">
              <w:rPr>
                <w:rFonts w:asciiTheme="minorHAnsi" w:hAnsiTheme="minorHAnsi" w:cstheme="minorHAnsi"/>
                <w:b/>
                <w:i/>
                <w:vertAlign w:val="superscript"/>
                <w:lang w:val="en-GB"/>
              </w:rPr>
              <w:t>(1)</w:t>
            </w:r>
            <w:r w:rsidRPr="00371A33">
              <w:rPr>
                <w:rFonts w:asciiTheme="minorHAnsi" w:hAnsiTheme="minorHAnsi" w:cstheme="minorHAnsi"/>
                <w:b/>
                <w:i/>
                <w:vertAlign w:val="subscript"/>
                <w:lang w:val="en-GB"/>
              </w:rPr>
              <w:t>LDW</w:t>
            </w:r>
            <w:r w:rsidRPr="00371A33">
              <w:rPr>
                <w:rFonts w:asciiTheme="minorHAnsi" w:hAnsiTheme="minorHAnsi" w:cstheme="minorHAnsi"/>
                <w:lang w:val="en-GB"/>
              </w:rPr>
              <w:t xml:space="preserve"> (the latter only in case of single carriageways).</w:t>
            </w:r>
          </w:p>
          <w:p w14:paraId="3738B881" w14:textId="77777777" w:rsidR="00BE5902" w:rsidRPr="0045151D" w:rsidRDefault="00BE5902" w:rsidP="00BE5902">
            <w:pPr>
              <w:spacing w:before="120" w:after="240"/>
              <w:jc w:val="both"/>
              <w:rPr>
                <w:rFonts w:ascii="Calibri" w:eastAsia="Calibri" w:hAnsi="Calibri" w:cs="Calibri"/>
                <w:color w:val="222222"/>
                <w:sz w:val="20"/>
                <w:szCs w:val="20"/>
                <w:lang w:val="en-GB"/>
              </w:rPr>
            </w:pPr>
          </w:p>
          <w:p w14:paraId="510746D6"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 Forecast time horizon factor f</w:t>
            </w:r>
            <w:r w:rsidRPr="0045151D">
              <w:rPr>
                <w:rFonts w:ascii="Calibri" w:eastAsia="Calibri" w:hAnsi="Calibri" w:cs="Calibri"/>
                <w:b/>
                <w:color w:val="4F81BD"/>
                <w:sz w:val="20"/>
                <w:szCs w:val="20"/>
                <w:vertAlign w:val="subscript"/>
                <w:lang w:val="en-GB"/>
              </w:rPr>
              <w:t>HP</w:t>
            </w:r>
          </w:p>
          <w:tbl>
            <w:tblPr>
              <w:tblStyle w:val="afffffffffffffffd"/>
              <w:tblW w:w="65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195"/>
              <w:gridCol w:w="1275"/>
              <w:gridCol w:w="1794"/>
              <w:gridCol w:w="1293"/>
            </w:tblGrid>
            <w:tr w:rsidR="00600DEE" w:rsidRPr="007463B9" w14:paraId="297E6392" w14:textId="77777777" w:rsidTr="00BE5902">
              <w:trPr>
                <w:trHeight w:hRule="exact" w:val="284"/>
              </w:trPr>
              <w:tc>
                <w:tcPr>
                  <w:tcW w:w="2195" w:type="dxa"/>
                  <w:shd w:val="clear" w:color="auto" w:fill="A6A6A6"/>
                  <w:vAlign w:val="center"/>
                </w:tcPr>
                <w:p w14:paraId="1F35589C"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Year forecast</w:t>
                  </w:r>
                </w:p>
              </w:tc>
              <w:tc>
                <w:tcPr>
                  <w:tcW w:w="1275" w:type="dxa"/>
                  <w:shd w:val="clear" w:color="auto" w:fill="A6A6A6"/>
                  <w:vAlign w:val="center"/>
                </w:tcPr>
                <w:p w14:paraId="5C9527F2"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i/>
                      <w:color w:val="FFFFFF"/>
                      <w:sz w:val="22"/>
                      <w:szCs w:val="22"/>
                      <w:lang w:val="en-GB"/>
                    </w:rPr>
                    <w:t>f</w:t>
                  </w:r>
                  <w:r w:rsidRPr="0045151D">
                    <w:rPr>
                      <w:rFonts w:ascii="Calibri" w:eastAsia="Calibri" w:hAnsi="Calibri" w:cs="Calibri"/>
                      <w:b/>
                      <w:i/>
                      <w:color w:val="FFFFFF"/>
                      <w:sz w:val="22"/>
                      <w:szCs w:val="22"/>
                      <w:vertAlign w:val="subscript"/>
                      <w:lang w:val="en-GB"/>
                    </w:rPr>
                    <w:t>HP</w:t>
                  </w:r>
                </w:p>
              </w:tc>
              <w:tc>
                <w:tcPr>
                  <w:tcW w:w="1794" w:type="dxa"/>
                  <w:shd w:val="clear" w:color="auto" w:fill="A6A6A6"/>
                  <w:vAlign w:val="center"/>
                </w:tcPr>
                <w:p w14:paraId="612A4F7F"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Year forecast</w:t>
                  </w:r>
                </w:p>
              </w:tc>
              <w:tc>
                <w:tcPr>
                  <w:tcW w:w="1293" w:type="dxa"/>
                  <w:shd w:val="clear" w:color="auto" w:fill="A6A6A6"/>
                  <w:vAlign w:val="center"/>
                </w:tcPr>
                <w:p w14:paraId="2F389A26"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i/>
                      <w:color w:val="FFFFFF"/>
                      <w:sz w:val="22"/>
                      <w:szCs w:val="22"/>
                      <w:lang w:val="en-GB"/>
                    </w:rPr>
                    <w:t>f</w:t>
                  </w:r>
                  <w:r w:rsidRPr="0045151D">
                    <w:rPr>
                      <w:rFonts w:ascii="Calibri" w:eastAsia="Calibri" w:hAnsi="Calibri" w:cs="Calibri"/>
                      <w:b/>
                      <w:i/>
                      <w:color w:val="FFFFFF"/>
                      <w:sz w:val="22"/>
                      <w:szCs w:val="22"/>
                      <w:vertAlign w:val="subscript"/>
                      <w:lang w:val="en-GB"/>
                    </w:rPr>
                    <w:t>HP</w:t>
                  </w:r>
                </w:p>
              </w:tc>
            </w:tr>
            <w:tr w:rsidR="00600DEE" w:rsidRPr="007463B9" w14:paraId="7A24E934" w14:textId="77777777" w:rsidTr="00BE5902">
              <w:trPr>
                <w:trHeight w:hRule="exact" w:val="284"/>
              </w:trPr>
              <w:tc>
                <w:tcPr>
                  <w:tcW w:w="2195" w:type="dxa"/>
                  <w:shd w:val="clear" w:color="auto" w:fill="DBE5F1"/>
                  <w:vAlign w:val="center"/>
                </w:tcPr>
                <w:p w14:paraId="70BEA19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2009 - 2010</w:t>
                  </w:r>
                </w:p>
              </w:tc>
              <w:tc>
                <w:tcPr>
                  <w:tcW w:w="1275" w:type="dxa"/>
                  <w:shd w:val="clear" w:color="auto" w:fill="DBE5F1"/>
                  <w:vAlign w:val="center"/>
                </w:tcPr>
                <w:p w14:paraId="5C4B1279" w14:textId="270D09B9" w:rsidR="00600DEE" w:rsidRPr="0045151D" w:rsidRDefault="0012376F">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w:t>
                  </w:r>
                  <w:r w:rsidR="00641FB5" w:rsidRPr="0045151D">
                    <w:rPr>
                      <w:rFonts w:ascii="Calibri" w:eastAsia="Calibri" w:hAnsi="Calibri" w:cs="Calibri"/>
                      <w:color w:val="4F81BD"/>
                      <w:sz w:val="18"/>
                      <w:szCs w:val="18"/>
                      <w:lang w:val="en-GB"/>
                    </w:rPr>
                    <w:t>0</w:t>
                  </w:r>
                </w:p>
              </w:tc>
              <w:tc>
                <w:tcPr>
                  <w:tcW w:w="1794" w:type="dxa"/>
                  <w:shd w:val="clear" w:color="auto" w:fill="DBE5F1"/>
                  <w:vAlign w:val="center"/>
                </w:tcPr>
                <w:p w14:paraId="4710915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2030 - 2033</w:t>
                  </w:r>
                </w:p>
              </w:tc>
              <w:tc>
                <w:tcPr>
                  <w:tcW w:w="1293" w:type="dxa"/>
                  <w:shd w:val="clear" w:color="auto" w:fill="DBE5F1"/>
                  <w:vAlign w:val="center"/>
                </w:tcPr>
                <w:p w14:paraId="61A460DD" w14:textId="1ED8BC65" w:rsidR="00600DEE" w:rsidRPr="0045151D" w:rsidRDefault="0012376F">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0.</w:t>
                  </w:r>
                  <w:r w:rsidR="00641FB5" w:rsidRPr="0045151D">
                    <w:rPr>
                      <w:rFonts w:ascii="Calibri" w:eastAsia="Calibri" w:hAnsi="Calibri" w:cs="Calibri"/>
                      <w:color w:val="4F81BD"/>
                      <w:sz w:val="18"/>
                      <w:szCs w:val="18"/>
                      <w:lang w:val="en-GB"/>
                    </w:rPr>
                    <w:t>5</w:t>
                  </w:r>
                </w:p>
              </w:tc>
            </w:tr>
            <w:tr w:rsidR="00600DEE" w:rsidRPr="007463B9" w14:paraId="75E22B97" w14:textId="77777777" w:rsidTr="00BE5902">
              <w:trPr>
                <w:trHeight w:hRule="exact" w:val="284"/>
              </w:trPr>
              <w:tc>
                <w:tcPr>
                  <w:tcW w:w="2195" w:type="dxa"/>
                  <w:shd w:val="clear" w:color="auto" w:fill="DBE5F1"/>
                  <w:vAlign w:val="center"/>
                </w:tcPr>
                <w:p w14:paraId="751377C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2011 - 2016 </w:t>
                  </w:r>
                </w:p>
              </w:tc>
              <w:tc>
                <w:tcPr>
                  <w:tcW w:w="1275" w:type="dxa"/>
                  <w:shd w:val="clear" w:color="auto" w:fill="DBE5F1"/>
                  <w:vAlign w:val="center"/>
                </w:tcPr>
                <w:p w14:paraId="06E82D39" w14:textId="12E61918" w:rsidR="00600DEE" w:rsidRPr="0045151D" w:rsidRDefault="0012376F">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0.</w:t>
                  </w:r>
                  <w:r w:rsidR="00641FB5" w:rsidRPr="0045151D">
                    <w:rPr>
                      <w:rFonts w:ascii="Calibri" w:eastAsia="Calibri" w:hAnsi="Calibri" w:cs="Calibri"/>
                      <w:color w:val="4F81BD"/>
                      <w:sz w:val="18"/>
                      <w:szCs w:val="18"/>
                      <w:lang w:val="en-GB"/>
                    </w:rPr>
                    <w:t>9</w:t>
                  </w:r>
                </w:p>
              </w:tc>
              <w:tc>
                <w:tcPr>
                  <w:tcW w:w="1794" w:type="dxa"/>
                  <w:shd w:val="clear" w:color="auto" w:fill="DBE5F1"/>
                  <w:vAlign w:val="center"/>
                </w:tcPr>
                <w:p w14:paraId="141BA24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2034 - 2039</w:t>
                  </w:r>
                </w:p>
              </w:tc>
              <w:tc>
                <w:tcPr>
                  <w:tcW w:w="1293" w:type="dxa"/>
                  <w:shd w:val="clear" w:color="auto" w:fill="DBE5F1"/>
                  <w:vAlign w:val="center"/>
                </w:tcPr>
                <w:p w14:paraId="032D249C" w14:textId="3CCC65A5" w:rsidR="00600DEE" w:rsidRPr="0045151D" w:rsidRDefault="0012376F">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0.</w:t>
                  </w:r>
                  <w:r w:rsidR="00641FB5" w:rsidRPr="0045151D">
                    <w:rPr>
                      <w:rFonts w:ascii="Calibri" w:eastAsia="Calibri" w:hAnsi="Calibri" w:cs="Calibri"/>
                      <w:color w:val="4F81BD"/>
                      <w:sz w:val="18"/>
                      <w:szCs w:val="18"/>
                      <w:lang w:val="en-GB"/>
                    </w:rPr>
                    <w:t>4</w:t>
                  </w:r>
                </w:p>
              </w:tc>
            </w:tr>
            <w:tr w:rsidR="00600DEE" w:rsidRPr="007463B9" w14:paraId="00F3588D" w14:textId="77777777" w:rsidTr="00BE5902">
              <w:trPr>
                <w:trHeight w:hRule="exact" w:val="284"/>
              </w:trPr>
              <w:tc>
                <w:tcPr>
                  <w:tcW w:w="2195" w:type="dxa"/>
                  <w:shd w:val="clear" w:color="auto" w:fill="DBE5F1"/>
                  <w:vAlign w:val="center"/>
                </w:tcPr>
                <w:p w14:paraId="00AF458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2017 - 2021</w:t>
                  </w:r>
                </w:p>
              </w:tc>
              <w:tc>
                <w:tcPr>
                  <w:tcW w:w="1275" w:type="dxa"/>
                  <w:shd w:val="clear" w:color="auto" w:fill="DBE5F1"/>
                  <w:vAlign w:val="center"/>
                </w:tcPr>
                <w:p w14:paraId="5F0B3EC2" w14:textId="2D8F4418" w:rsidR="00600DEE" w:rsidRPr="0045151D" w:rsidRDefault="0012376F">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0.</w:t>
                  </w:r>
                  <w:r w:rsidR="00641FB5" w:rsidRPr="0045151D">
                    <w:rPr>
                      <w:rFonts w:ascii="Calibri" w:eastAsia="Calibri" w:hAnsi="Calibri" w:cs="Calibri"/>
                      <w:color w:val="4F81BD"/>
                      <w:sz w:val="18"/>
                      <w:szCs w:val="18"/>
                      <w:lang w:val="en-GB"/>
                    </w:rPr>
                    <w:t>8</w:t>
                  </w:r>
                </w:p>
              </w:tc>
              <w:tc>
                <w:tcPr>
                  <w:tcW w:w="1794" w:type="dxa"/>
                  <w:shd w:val="clear" w:color="auto" w:fill="DBE5F1"/>
                  <w:vAlign w:val="center"/>
                </w:tcPr>
                <w:p w14:paraId="4D7375D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2040 - 2045</w:t>
                  </w:r>
                </w:p>
              </w:tc>
              <w:tc>
                <w:tcPr>
                  <w:tcW w:w="1293" w:type="dxa"/>
                  <w:shd w:val="clear" w:color="auto" w:fill="DBE5F1"/>
                  <w:vAlign w:val="center"/>
                </w:tcPr>
                <w:p w14:paraId="617C847B" w14:textId="0BA3A7F8" w:rsidR="00600DEE" w:rsidRPr="0045151D" w:rsidRDefault="0012376F">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0.</w:t>
                  </w:r>
                  <w:r w:rsidR="00641FB5" w:rsidRPr="0045151D">
                    <w:rPr>
                      <w:rFonts w:ascii="Calibri" w:eastAsia="Calibri" w:hAnsi="Calibri" w:cs="Calibri"/>
                      <w:color w:val="4F81BD"/>
                      <w:sz w:val="18"/>
                      <w:szCs w:val="18"/>
                      <w:lang w:val="en-GB"/>
                    </w:rPr>
                    <w:t>3</w:t>
                  </w:r>
                </w:p>
              </w:tc>
            </w:tr>
            <w:tr w:rsidR="00600DEE" w:rsidRPr="007463B9" w14:paraId="6CAFA252" w14:textId="77777777" w:rsidTr="00BE5902">
              <w:trPr>
                <w:trHeight w:hRule="exact" w:val="284"/>
              </w:trPr>
              <w:tc>
                <w:tcPr>
                  <w:tcW w:w="2195" w:type="dxa"/>
                  <w:shd w:val="clear" w:color="auto" w:fill="DBE5F1"/>
                  <w:vAlign w:val="center"/>
                </w:tcPr>
                <w:p w14:paraId="1298C1F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2022 - 2025</w:t>
                  </w:r>
                </w:p>
              </w:tc>
              <w:tc>
                <w:tcPr>
                  <w:tcW w:w="1275" w:type="dxa"/>
                  <w:shd w:val="clear" w:color="auto" w:fill="DBE5F1"/>
                  <w:vAlign w:val="center"/>
                </w:tcPr>
                <w:p w14:paraId="0956B333" w14:textId="70128ED9" w:rsidR="00600DEE" w:rsidRPr="0045151D" w:rsidRDefault="0012376F">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0.</w:t>
                  </w:r>
                  <w:r w:rsidR="00641FB5" w:rsidRPr="0045151D">
                    <w:rPr>
                      <w:rFonts w:ascii="Calibri" w:eastAsia="Calibri" w:hAnsi="Calibri" w:cs="Calibri"/>
                      <w:color w:val="4F81BD"/>
                      <w:sz w:val="18"/>
                      <w:szCs w:val="18"/>
                      <w:lang w:val="en-GB"/>
                    </w:rPr>
                    <w:t>7</w:t>
                  </w:r>
                </w:p>
              </w:tc>
              <w:tc>
                <w:tcPr>
                  <w:tcW w:w="1794" w:type="dxa"/>
                  <w:shd w:val="clear" w:color="auto" w:fill="DBE5F1"/>
                  <w:vAlign w:val="center"/>
                </w:tcPr>
                <w:p w14:paraId="5E25518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2046 - 2050</w:t>
                  </w:r>
                </w:p>
              </w:tc>
              <w:tc>
                <w:tcPr>
                  <w:tcW w:w="1293" w:type="dxa"/>
                  <w:shd w:val="clear" w:color="auto" w:fill="DBE5F1"/>
                  <w:vAlign w:val="center"/>
                </w:tcPr>
                <w:p w14:paraId="58B6823F" w14:textId="40D550A0" w:rsidR="00600DEE" w:rsidRPr="0045151D" w:rsidRDefault="0012376F">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0.</w:t>
                  </w:r>
                  <w:r w:rsidR="00641FB5" w:rsidRPr="0045151D">
                    <w:rPr>
                      <w:rFonts w:ascii="Calibri" w:eastAsia="Calibri" w:hAnsi="Calibri" w:cs="Calibri"/>
                      <w:color w:val="4F81BD"/>
                      <w:sz w:val="18"/>
                      <w:szCs w:val="18"/>
                      <w:lang w:val="en-GB"/>
                    </w:rPr>
                    <w:t>2</w:t>
                  </w:r>
                </w:p>
              </w:tc>
            </w:tr>
            <w:tr w:rsidR="00600DEE" w:rsidRPr="007463B9" w14:paraId="0AD3F973" w14:textId="77777777" w:rsidTr="00BE5902">
              <w:trPr>
                <w:trHeight w:hRule="exact" w:val="284"/>
              </w:trPr>
              <w:tc>
                <w:tcPr>
                  <w:tcW w:w="2195" w:type="dxa"/>
                  <w:shd w:val="clear" w:color="auto" w:fill="DBE5F1"/>
                  <w:vAlign w:val="center"/>
                </w:tcPr>
                <w:p w14:paraId="28F3122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2026 - 2029</w:t>
                  </w:r>
                </w:p>
              </w:tc>
              <w:tc>
                <w:tcPr>
                  <w:tcW w:w="1275" w:type="dxa"/>
                  <w:shd w:val="clear" w:color="auto" w:fill="DBE5F1"/>
                  <w:vAlign w:val="center"/>
                </w:tcPr>
                <w:p w14:paraId="100C77CE" w14:textId="3FDD367B" w:rsidR="00600DEE" w:rsidRPr="0045151D" w:rsidRDefault="0012376F">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0.</w:t>
                  </w:r>
                  <w:r w:rsidR="00641FB5" w:rsidRPr="0045151D">
                    <w:rPr>
                      <w:rFonts w:ascii="Calibri" w:eastAsia="Calibri" w:hAnsi="Calibri" w:cs="Calibri"/>
                      <w:color w:val="4F81BD"/>
                      <w:sz w:val="18"/>
                      <w:szCs w:val="18"/>
                      <w:lang w:val="en-GB"/>
                    </w:rPr>
                    <w:t>6</w:t>
                  </w:r>
                </w:p>
              </w:tc>
              <w:tc>
                <w:tcPr>
                  <w:tcW w:w="1794" w:type="dxa"/>
                  <w:shd w:val="clear" w:color="auto" w:fill="DBE5F1"/>
                </w:tcPr>
                <w:p w14:paraId="495CC332" w14:textId="77777777" w:rsidR="00600DEE" w:rsidRPr="0045151D" w:rsidRDefault="00600DEE">
                  <w:pPr>
                    <w:jc w:val="both"/>
                    <w:rPr>
                      <w:rFonts w:ascii="Calibri" w:eastAsia="Calibri" w:hAnsi="Calibri" w:cs="Calibri"/>
                      <w:color w:val="4F81BD"/>
                      <w:sz w:val="18"/>
                      <w:szCs w:val="18"/>
                      <w:lang w:val="en-GB"/>
                    </w:rPr>
                  </w:pPr>
                </w:p>
              </w:tc>
              <w:tc>
                <w:tcPr>
                  <w:tcW w:w="1293" w:type="dxa"/>
                  <w:shd w:val="clear" w:color="auto" w:fill="DBE5F1"/>
                </w:tcPr>
                <w:p w14:paraId="06B93932" w14:textId="77777777" w:rsidR="00600DEE" w:rsidRPr="0045151D" w:rsidRDefault="00600DEE">
                  <w:pPr>
                    <w:rPr>
                      <w:rFonts w:ascii="Calibri" w:eastAsia="Calibri" w:hAnsi="Calibri" w:cs="Calibri"/>
                      <w:color w:val="4F81BD"/>
                      <w:sz w:val="18"/>
                      <w:szCs w:val="18"/>
                      <w:lang w:val="en-GB"/>
                    </w:rPr>
                  </w:pPr>
                </w:p>
              </w:tc>
            </w:tr>
          </w:tbl>
          <w:p w14:paraId="011572CB" w14:textId="77777777" w:rsidR="00600DEE" w:rsidRPr="0045151D" w:rsidRDefault="00641FB5">
            <w:pPr>
              <w:pBdr>
                <w:top w:val="nil"/>
                <w:left w:val="nil"/>
                <w:bottom w:val="nil"/>
                <w:right w:val="nil"/>
                <w:between w:val="nil"/>
              </w:pBdr>
              <w:spacing w:before="60" w:after="6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Source: Own calculations based on the method of RS indicators</w:t>
            </w:r>
          </w:p>
          <w:p w14:paraId="2EE18A33" w14:textId="77777777" w:rsidR="00600DEE" w:rsidRPr="0045151D" w:rsidRDefault="00641FB5">
            <w:pPr>
              <w:spacing w:before="120" w:after="120"/>
              <w:jc w:val="both"/>
              <w:rPr>
                <w:rFonts w:ascii="Calibri" w:eastAsia="Calibri" w:hAnsi="Calibri" w:cs="Calibri"/>
                <w:color w:val="222222"/>
                <w:sz w:val="20"/>
                <w:szCs w:val="20"/>
                <w:lang w:val="en-GB"/>
              </w:rPr>
            </w:pPr>
            <w:r w:rsidRPr="0045151D">
              <w:rPr>
                <w:rFonts w:ascii="Calibri" w:eastAsia="Calibri" w:hAnsi="Calibri" w:cs="Calibri"/>
                <w:color w:val="222222"/>
                <w:sz w:val="20"/>
                <w:szCs w:val="20"/>
                <w:lang w:val="en-GB"/>
              </w:rPr>
              <w:t>The following tables include the values of RAI indicators for single and dual carriageway roadsusing the following input data.</w:t>
            </w:r>
          </w:p>
          <w:p w14:paraId="1D7F7FB4" w14:textId="77777777" w:rsidR="00600DEE" w:rsidRPr="0045151D" w:rsidRDefault="00641FB5" w:rsidP="00D5736B">
            <w:pPr>
              <w:numPr>
                <w:ilvl w:val="0"/>
                <w:numId w:val="67"/>
              </w:numPr>
              <w:pBdr>
                <w:top w:val="nil"/>
                <w:left w:val="nil"/>
                <w:bottom w:val="nil"/>
                <w:right w:val="nil"/>
                <w:between w:val="nil"/>
              </w:pBdr>
              <w:ind w:left="709" w:hanging="70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number of carriageways (dual carriageway, single carriageway),</w:t>
            </w:r>
          </w:p>
          <w:p w14:paraId="3F52CBB5" w14:textId="77777777" w:rsidR="00600DEE" w:rsidRPr="0045151D" w:rsidRDefault="00641FB5" w:rsidP="00D5736B">
            <w:pPr>
              <w:numPr>
                <w:ilvl w:val="0"/>
                <w:numId w:val="67"/>
              </w:numPr>
              <w:pBdr>
                <w:top w:val="nil"/>
                <w:left w:val="nil"/>
                <w:bottom w:val="nil"/>
                <w:right w:val="nil"/>
                <w:between w:val="nil"/>
              </w:pBdr>
              <w:ind w:left="709" w:hanging="70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road class (the following onesare included: A, S (and S2+1), GP, G),</w:t>
            </w:r>
          </w:p>
          <w:p w14:paraId="665DC07F" w14:textId="77777777" w:rsidR="00600DEE" w:rsidRPr="0045151D" w:rsidRDefault="00641FB5" w:rsidP="00D5736B">
            <w:pPr>
              <w:numPr>
                <w:ilvl w:val="0"/>
                <w:numId w:val="67"/>
              </w:numPr>
              <w:pBdr>
                <w:top w:val="nil"/>
                <w:left w:val="nil"/>
                <w:bottom w:val="nil"/>
                <w:right w:val="nil"/>
                <w:between w:val="nil"/>
              </w:pBdr>
              <w:ind w:left="709" w:hanging="70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traffic forecast, Average Annual Daily Traffic (AADT),</w:t>
            </w:r>
          </w:p>
          <w:p w14:paraId="35AEB349" w14:textId="77777777" w:rsidR="00600DEE" w:rsidRPr="0045151D" w:rsidRDefault="00641FB5" w:rsidP="00D5736B">
            <w:pPr>
              <w:numPr>
                <w:ilvl w:val="0"/>
                <w:numId w:val="67"/>
              </w:numPr>
              <w:pBdr>
                <w:top w:val="nil"/>
                <w:left w:val="nil"/>
                <w:bottom w:val="nil"/>
                <w:right w:val="nil"/>
                <w:between w:val="nil"/>
              </w:pBdr>
              <w:ind w:left="709" w:hanging="70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location (region), applies to single carriageway roads,</w:t>
            </w:r>
          </w:p>
          <w:p w14:paraId="0A20C79F" w14:textId="74AEF10D" w:rsidR="00600DEE" w:rsidRPr="0045151D" w:rsidRDefault="00641FB5" w:rsidP="00D5736B">
            <w:pPr>
              <w:numPr>
                <w:ilvl w:val="0"/>
                <w:numId w:val="67"/>
              </w:numPr>
              <w:pBdr>
                <w:top w:val="nil"/>
                <w:left w:val="nil"/>
                <w:bottom w:val="nil"/>
                <w:right w:val="nil"/>
                <w:between w:val="nil"/>
              </w:pBdr>
              <w:ind w:left="709" w:hanging="709"/>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built-up area (z) / undeveloped area (n)</w:t>
            </w:r>
            <w:r w:rsidR="00A85726">
              <w:rPr>
                <w:rFonts w:ascii="Calibri" w:eastAsia="Calibri" w:hAnsi="Calibri" w:cs="Calibri"/>
                <w:color w:val="000000"/>
                <w:sz w:val="20"/>
                <w:szCs w:val="20"/>
                <w:lang w:val="en-GB"/>
              </w:rPr>
              <w:t>.</w:t>
            </w:r>
            <w:r w:rsidR="00A85726">
              <w:rPr>
                <w:rFonts w:ascii="Calibri" w:eastAsia="Calibri" w:hAnsi="Calibri" w:cs="Calibri"/>
                <w:color w:val="000000"/>
                <w:sz w:val="20"/>
                <w:szCs w:val="20"/>
                <w:vertAlign w:val="superscript"/>
                <w:lang w:val="en-GB"/>
              </w:rPr>
              <w:t>28</w:t>
            </w:r>
          </w:p>
          <w:p w14:paraId="2696D8E8" w14:textId="77777777" w:rsidR="00600DEE" w:rsidRPr="0045151D" w:rsidRDefault="00600DEE">
            <w:pPr>
              <w:pBdr>
                <w:top w:val="nil"/>
                <w:left w:val="nil"/>
                <w:bottom w:val="nil"/>
                <w:right w:val="nil"/>
                <w:between w:val="nil"/>
              </w:pBdr>
              <w:ind w:left="567"/>
              <w:jc w:val="both"/>
              <w:rPr>
                <w:rFonts w:ascii="Calibri" w:eastAsia="Calibri" w:hAnsi="Calibri" w:cs="Calibri"/>
                <w:color w:val="000000"/>
                <w:sz w:val="20"/>
                <w:szCs w:val="20"/>
                <w:lang w:val="en-GB"/>
              </w:rPr>
            </w:pPr>
          </w:p>
          <w:p w14:paraId="040C1453" w14:textId="77777777" w:rsidR="00600DEE" w:rsidRPr="0045151D" w:rsidRDefault="00600DEE">
            <w:pPr>
              <w:pBdr>
                <w:top w:val="nil"/>
                <w:left w:val="nil"/>
                <w:bottom w:val="nil"/>
                <w:right w:val="nil"/>
                <w:between w:val="nil"/>
              </w:pBdr>
              <w:ind w:left="567"/>
              <w:jc w:val="both"/>
              <w:rPr>
                <w:rFonts w:ascii="Calibri" w:eastAsia="Calibri" w:hAnsi="Calibri" w:cs="Calibri"/>
                <w:color w:val="000000"/>
                <w:sz w:val="20"/>
                <w:szCs w:val="20"/>
                <w:lang w:val="en-GB"/>
              </w:rPr>
            </w:pPr>
          </w:p>
          <w:p w14:paraId="5E747809" w14:textId="77777777" w:rsidR="00600DEE" w:rsidRPr="0045151D" w:rsidRDefault="00600DEE">
            <w:pPr>
              <w:pBdr>
                <w:top w:val="nil"/>
                <w:left w:val="nil"/>
                <w:bottom w:val="nil"/>
                <w:right w:val="nil"/>
                <w:between w:val="nil"/>
              </w:pBdr>
              <w:ind w:left="567"/>
              <w:jc w:val="both"/>
              <w:rPr>
                <w:rFonts w:ascii="Calibri" w:eastAsia="Calibri" w:hAnsi="Calibri" w:cs="Calibri"/>
                <w:color w:val="000000"/>
                <w:sz w:val="20"/>
                <w:szCs w:val="20"/>
                <w:lang w:val="en-GB"/>
              </w:rPr>
            </w:pPr>
          </w:p>
          <w:p w14:paraId="352DE0D7" w14:textId="77777777" w:rsidR="00600DEE" w:rsidRPr="0045151D" w:rsidRDefault="00600DEE">
            <w:pPr>
              <w:pBdr>
                <w:top w:val="nil"/>
                <w:left w:val="nil"/>
                <w:bottom w:val="nil"/>
                <w:right w:val="nil"/>
                <w:between w:val="nil"/>
              </w:pBdr>
              <w:ind w:left="567"/>
              <w:jc w:val="both"/>
              <w:rPr>
                <w:rFonts w:ascii="Calibri" w:eastAsia="Calibri" w:hAnsi="Calibri" w:cs="Calibri"/>
                <w:color w:val="000000"/>
                <w:sz w:val="20"/>
                <w:szCs w:val="20"/>
                <w:lang w:val="en-GB"/>
              </w:rPr>
            </w:pPr>
          </w:p>
          <w:p w14:paraId="3C175D57" w14:textId="77777777" w:rsidR="00600DEE" w:rsidRPr="0045151D" w:rsidRDefault="00600DEE">
            <w:pPr>
              <w:pBdr>
                <w:top w:val="nil"/>
                <w:left w:val="nil"/>
                <w:bottom w:val="nil"/>
                <w:right w:val="nil"/>
                <w:between w:val="nil"/>
              </w:pBdr>
              <w:ind w:left="567"/>
              <w:jc w:val="both"/>
              <w:rPr>
                <w:rFonts w:ascii="Calibri" w:eastAsia="Calibri" w:hAnsi="Calibri" w:cs="Calibri"/>
                <w:color w:val="000000"/>
                <w:sz w:val="20"/>
                <w:szCs w:val="20"/>
                <w:lang w:val="en-GB"/>
              </w:rPr>
            </w:pPr>
          </w:p>
          <w:p w14:paraId="6764A626" w14:textId="77777777" w:rsidR="00600DEE" w:rsidRPr="0045151D" w:rsidRDefault="00600DEE">
            <w:pPr>
              <w:pBdr>
                <w:top w:val="nil"/>
                <w:left w:val="nil"/>
                <w:bottom w:val="nil"/>
                <w:right w:val="nil"/>
                <w:between w:val="nil"/>
              </w:pBdr>
              <w:ind w:left="567"/>
              <w:jc w:val="both"/>
              <w:rPr>
                <w:rFonts w:ascii="Calibri" w:eastAsia="Calibri" w:hAnsi="Calibri" w:cs="Calibri"/>
                <w:color w:val="000000"/>
                <w:sz w:val="20"/>
                <w:szCs w:val="20"/>
                <w:lang w:val="en-GB"/>
              </w:rPr>
            </w:pPr>
          </w:p>
          <w:p w14:paraId="1B46EDF4" w14:textId="77777777" w:rsidR="00600DEE" w:rsidRPr="0045151D" w:rsidRDefault="00600DEE">
            <w:pPr>
              <w:pBdr>
                <w:top w:val="nil"/>
                <w:left w:val="nil"/>
                <w:bottom w:val="nil"/>
                <w:right w:val="nil"/>
                <w:between w:val="nil"/>
              </w:pBdr>
              <w:ind w:left="567"/>
              <w:jc w:val="both"/>
              <w:rPr>
                <w:rFonts w:ascii="Calibri" w:eastAsia="Calibri" w:hAnsi="Calibri" w:cs="Calibri"/>
                <w:color w:val="000000"/>
                <w:sz w:val="20"/>
                <w:szCs w:val="20"/>
                <w:lang w:val="en-GB"/>
              </w:rPr>
            </w:pPr>
          </w:p>
          <w:p w14:paraId="66C958CB" w14:textId="22C6035D" w:rsidR="00600DEE" w:rsidRPr="0045151D" w:rsidRDefault="00641FB5" w:rsidP="00E7601A">
            <w:pPr>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2. RAI indicators for dual carriageways (in accidents/10</w:t>
            </w:r>
            <w:r w:rsidRPr="0045151D">
              <w:rPr>
                <w:rFonts w:ascii="Calibri" w:eastAsia="Calibri" w:hAnsi="Calibri" w:cs="Calibri"/>
                <w:b/>
                <w:color w:val="4F81BD"/>
                <w:sz w:val="20"/>
                <w:szCs w:val="20"/>
                <w:vertAlign w:val="superscript"/>
                <w:lang w:val="en-GB"/>
              </w:rPr>
              <w:t>6</w:t>
            </w:r>
            <w:r w:rsidRPr="0045151D">
              <w:rPr>
                <w:rFonts w:ascii="Calibri" w:eastAsia="Calibri" w:hAnsi="Calibri" w:cs="Calibri"/>
                <w:b/>
                <w:color w:val="4F81BD"/>
                <w:sz w:val="20"/>
                <w:szCs w:val="20"/>
                <w:lang w:val="en-GB"/>
              </w:rPr>
              <w:t>veh-km/day)</w:t>
            </w:r>
          </w:p>
          <w:p w14:paraId="217BBACA" w14:textId="77777777" w:rsidR="00BE5902" w:rsidRPr="0045151D" w:rsidRDefault="00BE5902">
            <w:pPr>
              <w:spacing w:before="120" w:after="120"/>
              <w:rPr>
                <w:rFonts w:ascii="Calibri" w:eastAsia="Calibri" w:hAnsi="Calibri" w:cs="Calibri"/>
                <w:b/>
                <w:color w:val="4F81BD"/>
                <w:sz w:val="20"/>
                <w:szCs w:val="20"/>
                <w:lang w:val="en-GB"/>
              </w:rPr>
            </w:pPr>
          </w:p>
          <w:tbl>
            <w:tblPr>
              <w:tblStyle w:val="afffffffffffffffe"/>
              <w:tblW w:w="6725" w:type="dxa"/>
              <w:tblLayout w:type="fixed"/>
              <w:tblLook w:val="0400" w:firstRow="0" w:lastRow="0" w:firstColumn="0" w:lastColumn="0" w:noHBand="0" w:noVBand="1"/>
            </w:tblPr>
            <w:tblGrid>
              <w:gridCol w:w="1414"/>
              <w:gridCol w:w="591"/>
              <w:gridCol w:w="590"/>
              <w:gridCol w:w="590"/>
              <w:gridCol w:w="590"/>
              <w:gridCol w:w="590"/>
              <w:gridCol w:w="590"/>
              <w:gridCol w:w="590"/>
              <w:gridCol w:w="590"/>
              <w:gridCol w:w="590"/>
            </w:tblGrid>
            <w:tr w:rsidR="00600DEE" w:rsidRPr="007463B9" w14:paraId="79F2004F" w14:textId="77777777" w:rsidTr="00E7601A">
              <w:trPr>
                <w:trHeight w:hRule="exact" w:val="454"/>
              </w:trPr>
              <w:tc>
                <w:tcPr>
                  <w:tcW w:w="950"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55604AC6"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RAI/ AADT</w:t>
                  </w:r>
                </w:p>
              </w:tc>
              <w:tc>
                <w:tcPr>
                  <w:tcW w:w="397" w:type="dxa"/>
                  <w:tcBorders>
                    <w:top w:val="single" w:sz="8" w:space="0" w:color="FFFFFF"/>
                    <w:left w:val="nil"/>
                    <w:bottom w:val="single" w:sz="4" w:space="0" w:color="FFFFFF"/>
                    <w:right w:val="nil"/>
                  </w:tcBorders>
                  <w:shd w:val="clear" w:color="auto" w:fill="A6A6A6"/>
                  <w:vAlign w:val="center"/>
                </w:tcPr>
                <w:p w14:paraId="6A215E67"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A2x2</w:t>
                  </w:r>
                </w:p>
              </w:tc>
              <w:tc>
                <w:tcPr>
                  <w:tcW w:w="39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1D2F7268"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A2x3</w:t>
                  </w:r>
                </w:p>
              </w:tc>
              <w:tc>
                <w:tcPr>
                  <w:tcW w:w="397" w:type="dxa"/>
                  <w:tcBorders>
                    <w:top w:val="single" w:sz="8" w:space="0" w:color="FFFFFF"/>
                    <w:left w:val="nil"/>
                    <w:bottom w:val="single" w:sz="4" w:space="0" w:color="FFFFFF"/>
                    <w:right w:val="nil"/>
                  </w:tcBorders>
                  <w:shd w:val="clear" w:color="auto" w:fill="A6A6A6"/>
                  <w:vAlign w:val="center"/>
                </w:tcPr>
                <w:p w14:paraId="4044C338"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S2+1</w:t>
                  </w:r>
                </w:p>
              </w:tc>
              <w:tc>
                <w:tcPr>
                  <w:tcW w:w="39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2902011B"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S2x2</w:t>
                  </w:r>
                </w:p>
              </w:tc>
              <w:tc>
                <w:tcPr>
                  <w:tcW w:w="397" w:type="dxa"/>
                  <w:tcBorders>
                    <w:top w:val="single" w:sz="8" w:space="0" w:color="FFFFFF"/>
                    <w:left w:val="nil"/>
                    <w:bottom w:val="single" w:sz="4" w:space="0" w:color="FFFFFF"/>
                    <w:right w:val="single" w:sz="8" w:space="0" w:color="FFFFFF"/>
                  </w:tcBorders>
                  <w:shd w:val="clear" w:color="auto" w:fill="A6A6A6"/>
                  <w:vAlign w:val="center"/>
                </w:tcPr>
                <w:p w14:paraId="4CF12068"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S2x3</w:t>
                  </w:r>
                </w:p>
              </w:tc>
              <w:tc>
                <w:tcPr>
                  <w:tcW w:w="397" w:type="dxa"/>
                  <w:tcBorders>
                    <w:top w:val="single" w:sz="8" w:space="0" w:color="FFFFFF"/>
                    <w:left w:val="nil"/>
                    <w:bottom w:val="single" w:sz="4" w:space="0" w:color="FFFFFF"/>
                    <w:right w:val="single" w:sz="8" w:space="0" w:color="FFFFFF"/>
                  </w:tcBorders>
                  <w:shd w:val="clear" w:color="auto" w:fill="A6A6A6"/>
                  <w:vAlign w:val="center"/>
                </w:tcPr>
                <w:p w14:paraId="59750714"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GP2x2n</w:t>
                  </w:r>
                </w:p>
              </w:tc>
              <w:tc>
                <w:tcPr>
                  <w:tcW w:w="397" w:type="dxa"/>
                  <w:tcBorders>
                    <w:top w:val="single" w:sz="8" w:space="0" w:color="FFFFFF"/>
                    <w:left w:val="nil"/>
                    <w:bottom w:val="single" w:sz="4" w:space="0" w:color="FFFFFF"/>
                    <w:right w:val="nil"/>
                  </w:tcBorders>
                  <w:shd w:val="clear" w:color="auto" w:fill="A6A6A6"/>
                  <w:vAlign w:val="center"/>
                </w:tcPr>
                <w:p w14:paraId="799D672C"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GP2x2z</w:t>
                  </w:r>
                </w:p>
              </w:tc>
              <w:tc>
                <w:tcPr>
                  <w:tcW w:w="39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268C0C2E"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GP2x3n</w:t>
                  </w:r>
                </w:p>
              </w:tc>
              <w:tc>
                <w:tcPr>
                  <w:tcW w:w="397" w:type="dxa"/>
                  <w:tcBorders>
                    <w:top w:val="single" w:sz="8" w:space="0" w:color="FFFFFF"/>
                    <w:left w:val="nil"/>
                    <w:bottom w:val="single" w:sz="4" w:space="0" w:color="FFFFFF"/>
                    <w:right w:val="single" w:sz="8" w:space="0" w:color="FFFFFF"/>
                  </w:tcBorders>
                  <w:shd w:val="clear" w:color="auto" w:fill="A6A6A6"/>
                  <w:vAlign w:val="center"/>
                </w:tcPr>
                <w:p w14:paraId="65BC0AAA" w14:textId="77777777" w:rsidR="00600DEE" w:rsidRPr="0045151D" w:rsidRDefault="00641FB5">
                  <w:pPr>
                    <w:jc w:val="center"/>
                    <w:rPr>
                      <w:rFonts w:ascii="Calibri" w:eastAsia="Calibri" w:hAnsi="Calibri" w:cs="Calibri"/>
                      <w:b/>
                      <w:color w:val="FFFFFF"/>
                      <w:sz w:val="15"/>
                      <w:szCs w:val="15"/>
                      <w:lang w:val="en-GB"/>
                    </w:rPr>
                  </w:pPr>
                  <w:r w:rsidRPr="0045151D">
                    <w:rPr>
                      <w:rFonts w:ascii="Calibri" w:eastAsia="Calibri" w:hAnsi="Calibri" w:cs="Calibri"/>
                      <w:b/>
                      <w:color w:val="FFFFFF"/>
                      <w:sz w:val="15"/>
                      <w:szCs w:val="15"/>
                      <w:lang w:val="en-GB"/>
                    </w:rPr>
                    <w:t>GP2x3z</w:t>
                  </w:r>
                </w:p>
              </w:tc>
            </w:tr>
            <w:tr w:rsidR="00600DEE" w:rsidRPr="007463B9" w14:paraId="2984ACCB" w14:textId="77777777" w:rsidTr="00E7601A">
              <w:trPr>
                <w:trHeight w:hRule="exact" w:val="284"/>
              </w:trPr>
              <w:tc>
                <w:tcPr>
                  <w:tcW w:w="950" w:type="dxa"/>
                  <w:tcBorders>
                    <w:top w:val="single" w:sz="4" w:space="0" w:color="FFFFFF"/>
                    <w:left w:val="single" w:sz="8" w:space="0" w:color="FFFFFF"/>
                    <w:bottom w:val="single" w:sz="4" w:space="0" w:color="FFFFFF"/>
                    <w:right w:val="nil"/>
                  </w:tcBorders>
                  <w:shd w:val="clear" w:color="auto" w:fill="DBE5F1"/>
                  <w:vAlign w:val="center"/>
                </w:tcPr>
                <w:p w14:paraId="5402CDC2"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0 - 5 000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0A9C7D72"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0.017</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0853C75"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0.018</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026D1745"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0.028</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2E225F79"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0.021</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7B581A5"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0.023</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093B7BE0"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0.289</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4A0BE743"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0.556</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45B3D998"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0.352</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1FAF7769"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0.641</w:t>
                  </w:r>
                </w:p>
              </w:tc>
            </w:tr>
            <w:tr w:rsidR="00600DEE" w:rsidRPr="007463B9" w14:paraId="0F4ECFAF" w14:textId="77777777" w:rsidTr="00E7601A">
              <w:trPr>
                <w:trHeight w:hRule="exact" w:val="284"/>
              </w:trPr>
              <w:tc>
                <w:tcPr>
                  <w:tcW w:w="950" w:type="dxa"/>
                  <w:tcBorders>
                    <w:top w:val="single" w:sz="4" w:space="0" w:color="FFFFFF"/>
                    <w:left w:val="single" w:sz="8" w:space="0" w:color="FFFFFF"/>
                    <w:bottom w:val="single" w:sz="4" w:space="0" w:color="FFFFFF"/>
                    <w:right w:val="nil"/>
                  </w:tcBorders>
                  <w:shd w:val="clear" w:color="auto" w:fill="DBE5F1"/>
                  <w:vAlign w:val="center"/>
                </w:tcPr>
                <w:p w14:paraId="61E5C3AE" w14:textId="688F1A1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5 000 - 10 000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4690E58B"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0.024</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FC2DE96"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0.025</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1E1F935"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0.039</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4522427E"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4E5DA640"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0.033</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9BFD437"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0.166</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4F3D428F"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0.307</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C2F3619"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0.200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A3B483B"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0.350</w:t>
                  </w:r>
                </w:p>
              </w:tc>
            </w:tr>
            <w:tr w:rsidR="00600DEE" w:rsidRPr="007463B9" w14:paraId="256703F6" w14:textId="77777777" w:rsidTr="00E7601A">
              <w:trPr>
                <w:trHeight w:hRule="exact" w:val="284"/>
              </w:trPr>
              <w:tc>
                <w:tcPr>
                  <w:tcW w:w="950" w:type="dxa"/>
                  <w:tcBorders>
                    <w:top w:val="single" w:sz="4" w:space="0" w:color="FFFFFF"/>
                    <w:left w:val="single" w:sz="8" w:space="0" w:color="FFFFFF"/>
                    <w:bottom w:val="single" w:sz="4" w:space="0" w:color="FFFFFF"/>
                    <w:right w:val="nil"/>
                  </w:tcBorders>
                  <w:shd w:val="clear" w:color="auto" w:fill="DBE5F1"/>
                  <w:vAlign w:val="center"/>
                </w:tcPr>
                <w:p w14:paraId="5D8234A7"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10 000 - 20 000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672AE0D4"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0.031</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3001003"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0.034</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64732B9D"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0.052</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15D0EDC"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0.041</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5A0FEC2E"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0.043</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2FE48DE2"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0.105</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6E23E387"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0.178</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1DC965F"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0.124</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6819CBE"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0.198</w:t>
                  </w:r>
                </w:p>
              </w:tc>
            </w:tr>
            <w:tr w:rsidR="00600DEE" w:rsidRPr="007463B9" w14:paraId="32A2974C" w14:textId="77777777" w:rsidTr="00E7601A">
              <w:trPr>
                <w:trHeight w:hRule="exact" w:val="284"/>
              </w:trPr>
              <w:tc>
                <w:tcPr>
                  <w:tcW w:w="950" w:type="dxa"/>
                  <w:tcBorders>
                    <w:top w:val="single" w:sz="4" w:space="0" w:color="FFFFFF"/>
                    <w:left w:val="single" w:sz="8" w:space="0" w:color="FFFFFF"/>
                    <w:bottom w:val="single" w:sz="4" w:space="0" w:color="FFFFFF"/>
                    <w:right w:val="nil"/>
                  </w:tcBorders>
                  <w:shd w:val="clear" w:color="auto" w:fill="DBE5F1"/>
                  <w:vAlign w:val="center"/>
                </w:tcPr>
                <w:p w14:paraId="7C0FAD29" w14:textId="07D4956A"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20</w:t>
                  </w:r>
                  <w:r w:rsidR="00E7601A" w:rsidRPr="0045151D">
                    <w:rPr>
                      <w:rFonts w:ascii="Calibri" w:eastAsia="Calibri" w:hAnsi="Calibri" w:cs="Calibri"/>
                      <w:color w:val="4F81BD"/>
                      <w:sz w:val="15"/>
                      <w:szCs w:val="15"/>
                      <w:lang w:val="en-GB"/>
                    </w:rPr>
                    <w:t> </w:t>
                  </w:r>
                  <w:r w:rsidRPr="0045151D">
                    <w:rPr>
                      <w:rFonts w:ascii="Calibri" w:eastAsia="Calibri" w:hAnsi="Calibri" w:cs="Calibri"/>
                      <w:color w:val="4F81BD"/>
                      <w:sz w:val="15"/>
                      <w:szCs w:val="15"/>
                      <w:lang w:val="en-GB"/>
                    </w:rPr>
                    <w:t>000</w:t>
                  </w:r>
                  <w:r w:rsidR="00E7601A" w:rsidRPr="0045151D">
                    <w:rPr>
                      <w:rFonts w:ascii="Calibri" w:eastAsia="Calibri" w:hAnsi="Calibri" w:cs="Calibri"/>
                      <w:color w:val="4F81BD"/>
                      <w:sz w:val="15"/>
                      <w:szCs w:val="15"/>
                      <w:lang w:val="en-GB"/>
                    </w:rPr>
                    <w:t xml:space="preserve"> </w:t>
                  </w:r>
                  <w:r w:rsidRPr="0045151D">
                    <w:rPr>
                      <w:rFonts w:ascii="Calibri" w:eastAsia="Calibri" w:hAnsi="Calibri" w:cs="Calibri"/>
                      <w:color w:val="4F81BD"/>
                      <w:sz w:val="15"/>
                      <w:szCs w:val="15"/>
                      <w:lang w:val="en-GB"/>
                    </w:rPr>
                    <w:t>-</w:t>
                  </w:r>
                  <w:r w:rsidR="00E7601A" w:rsidRPr="0045151D">
                    <w:rPr>
                      <w:rFonts w:ascii="Calibri" w:eastAsia="Calibri" w:hAnsi="Calibri" w:cs="Calibri"/>
                      <w:color w:val="4F81BD"/>
                      <w:sz w:val="15"/>
                      <w:szCs w:val="15"/>
                      <w:lang w:val="en-GB"/>
                    </w:rPr>
                    <w:t xml:space="preserve"> </w:t>
                  </w:r>
                  <w:r w:rsidRPr="0045151D">
                    <w:rPr>
                      <w:rFonts w:ascii="Calibri" w:eastAsia="Calibri" w:hAnsi="Calibri" w:cs="Calibri"/>
                      <w:color w:val="4F81BD"/>
                      <w:sz w:val="15"/>
                      <w:szCs w:val="15"/>
                      <w:lang w:val="en-GB"/>
                    </w:rPr>
                    <w:t>30 000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0072F1F6"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0.036</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54B92BC7"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0.039</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5ED16116"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0.060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21866E99"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0.047</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D4DA2BF"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0.050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666957F2"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0.084</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25FC198"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0.125</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5E92C686"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0.095</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FD6E882"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0.134</w:t>
                  </w:r>
                </w:p>
              </w:tc>
            </w:tr>
            <w:tr w:rsidR="00600DEE" w:rsidRPr="007463B9" w14:paraId="17B088AC" w14:textId="77777777" w:rsidTr="00E7601A">
              <w:trPr>
                <w:trHeight w:hRule="exact" w:val="284"/>
              </w:trPr>
              <w:tc>
                <w:tcPr>
                  <w:tcW w:w="950" w:type="dxa"/>
                  <w:tcBorders>
                    <w:top w:val="single" w:sz="4" w:space="0" w:color="FFFFFF"/>
                    <w:left w:val="single" w:sz="8" w:space="0" w:color="FFFFFF"/>
                    <w:bottom w:val="single" w:sz="4" w:space="0" w:color="FFFFFF"/>
                    <w:right w:val="nil"/>
                  </w:tcBorders>
                  <w:shd w:val="clear" w:color="auto" w:fill="DBE5F1"/>
                  <w:vAlign w:val="center"/>
                </w:tcPr>
                <w:p w14:paraId="229310CF" w14:textId="431DC804"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30</w:t>
                  </w:r>
                  <w:r w:rsidR="00E7601A" w:rsidRPr="0045151D">
                    <w:rPr>
                      <w:rFonts w:ascii="Calibri" w:eastAsia="Calibri" w:hAnsi="Calibri" w:cs="Calibri"/>
                      <w:color w:val="4F81BD"/>
                      <w:sz w:val="15"/>
                      <w:szCs w:val="15"/>
                      <w:lang w:val="en-GB"/>
                    </w:rPr>
                    <w:t> </w:t>
                  </w:r>
                  <w:r w:rsidRPr="0045151D">
                    <w:rPr>
                      <w:rFonts w:ascii="Calibri" w:eastAsia="Calibri" w:hAnsi="Calibri" w:cs="Calibri"/>
                      <w:color w:val="4F81BD"/>
                      <w:sz w:val="15"/>
                      <w:szCs w:val="15"/>
                      <w:lang w:val="en-GB"/>
                    </w:rPr>
                    <w:t>000</w:t>
                  </w:r>
                  <w:r w:rsidR="00E7601A" w:rsidRPr="0045151D">
                    <w:rPr>
                      <w:rFonts w:ascii="Calibri" w:eastAsia="Calibri" w:hAnsi="Calibri" w:cs="Calibri"/>
                      <w:color w:val="4F81BD"/>
                      <w:sz w:val="15"/>
                      <w:szCs w:val="15"/>
                      <w:lang w:val="en-GB"/>
                    </w:rPr>
                    <w:t xml:space="preserve"> </w:t>
                  </w:r>
                  <w:r w:rsidRPr="0045151D">
                    <w:rPr>
                      <w:rFonts w:ascii="Calibri" w:eastAsia="Calibri" w:hAnsi="Calibri" w:cs="Calibri"/>
                      <w:color w:val="4F81BD"/>
                      <w:sz w:val="15"/>
                      <w:szCs w:val="15"/>
                      <w:lang w:val="en-GB"/>
                    </w:rPr>
                    <w:t>-</w:t>
                  </w:r>
                  <w:r w:rsidR="00E7601A" w:rsidRPr="0045151D">
                    <w:rPr>
                      <w:rFonts w:ascii="Calibri" w:eastAsia="Calibri" w:hAnsi="Calibri" w:cs="Calibri"/>
                      <w:color w:val="4F81BD"/>
                      <w:sz w:val="15"/>
                      <w:szCs w:val="15"/>
                      <w:lang w:val="en-GB"/>
                    </w:rPr>
                    <w:t xml:space="preserve"> </w:t>
                  </w:r>
                  <w:r w:rsidRPr="0045151D">
                    <w:rPr>
                      <w:rFonts w:ascii="Calibri" w:eastAsia="Calibri" w:hAnsi="Calibri" w:cs="Calibri"/>
                      <w:color w:val="4F81BD"/>
                      <w:sz w:val="15"/>
                      <w:szCs w:val="15"/>
                      <w:lang w:val="en-GB"/>
                    </w:rPr>
                    <w:t>40 000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EF892A3"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0.038</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211E7552"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0.040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2887993E"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0.063</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50E99D1"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0.049</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4C2FCCE7"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0.052</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60D49BFF"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0.076</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57717CEC"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0.101</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7D24A2B"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0.084</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197424B2"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0.106</w:t>
                  </w:r>
                </w:p>
              </w:tc>
            </w:tr>
            <w:tr w:rsidR="00600DEE" w:rsidRPr="007463B9" w14:paraId="5EB33CC9" w14:textId="77777777" w:rsidTr="00E7601A">
              <w:trPr>
                <w:trHeight w:hRule="exact" w:val="284"/>
              </w:trPr>
              <w:tc>
                <w:tcPr>
                  <w:tcW w:w="950" w:type="dxa"/>
                  <w:tcBorders>
                    <w:top w:val="single" w:sz="4" w:space="0" w:color="FFFFFF"/>
                    <w:left w:val="single" w:sz="8" w:space="0" w:color="FFFFFF"/>
                    <w:bottom w:val="single" w:sz="4" w:space="0" w:color="FFFFFF"/>
                    <w:right w:val="nil"/>
                  </w:tcBorders>
                  <w:shd w:val="clear" w:color="auto" w:fill="DBE5F1"/>
                  <w:vAlign w:val="center"/>
                </w:tcPr>
                <w:p w14:paraId="6A77F750"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above 40 000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1757A72F"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0.031</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18B577DD"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0.033</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04C41F32"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0.056</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2ED86B2"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0.040</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1D554A16"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0.042</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6C07E55D"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0.069</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05F7038B"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0.061</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704FAE8E"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0.058</w:t>
                  </w:r>
                </w:p>
              </w:tc>
              <w:tc>
                <w:tcPr>
                  <w:tcW w:w="397" w:type="dxa"/>
                  <w:tcBorders>
                    <w:top w:val="single" w:sz="4" w:space="0" w:color="FFFFFF"/>
                    <w:left w:val="single" w:sz="8" w:space="0" w:color="FFFFFF"/>
                    <w:bottom w:val="single" w:sz="4" w:space="0" w:color="FFFFFF"/>
                    <w:right w:val="nil"/>
                  </w:tcBorders>
                  <w:shd w:val="clear" w:color="auto" w:fill="DBE5F1"/>
                  <w:vAlign w:val="center"/>
                </w:tcPr>
                <w:p w14:paraId="3BE86D3B" w14:textId="77777777" w:rsidR="00600DEE" w:rsidRPr="0045151D" w:rsidRDefault="00641FB5">
                  <w:pPr>
                    <w:jc w:val="center"/>
                    <w:rPr>
                      <w:rFonts w:ascii="Calibri" w:eastAsia="Calibri" w:hAnsi="Calibri" w:cs="Calibri"/>
                      <w:color w:val="4F81BD"/>
                      <w:sz w:val="15"/>
                      <w:szCs w:val="15"/>
                      <w:lang w:val="en-GB"/>
                    </w:rPr>
                  </w:pPr>
                  <w:r w:rsidRPr="0045151D">
                    <w:rPr>
                      <w:rFonts w:ascii="Calibri" w:eastAsia="Calibri" w:hAnsi="Calibri" w:cs="Calibri"/>
                      <w:color w:val="4F81BD"/>
                      <w:sz w:val="15"/>
                      <w:szCs w:val="15"/>
                      <w:lang w:val="en-GB"/>
                    </w:rPr>
                    <w:t>0.085</w:t>
                  </w:r>
                </w:p>
              </w:tc>
            </w:tr>
          </w:tbl>
          <w:p w14:paraId="1D2FC862" w14:textId="77777777" w:rsidR="00600DEE" w:rsidRPr="0045151D" w:rsidRDefault="00641FB5">
            <w:pPr>
              <w:spacing w:before="120" w:after="120"/>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4D271784" w14:textId="7DC9FF7A" w:rsidR="00600DEE" w:rsidRPr="0045151D" w:rsidRDefault="00641FB5">
            <w:pPr>
              <w:spacing w:before="120" w:after="120"/>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3. RAI indicators for single carriageways (in accidents/10</w:t>
            </w:r>
            <w:r w:rsidRPr="0045151D">
              <w:rPr>
                <w:rFonts w:ascii="Calibri" w:eastAsia="Calibri" w:hAnsi="Calibri" w:cs="Calibri"/>
                <w:b/>
                <w:color w:val="4F81BD"/>
                <w:sz w:val="20"/>
                <w:szCs w:val="20"/>
                <w:vertAlign w:val="superscript"/>
                <w:lang w:val="en-GB"/>
              </w:rPr>
              <w:t>6</w:t>
            </w:r>
            <w:r w:rsidRPr="0045151D">
              <w:rPr>
                <w:rFonts w:ascii="Calibri" w:eastAsia="Calibri" w:hAnsi="Calibri" w:cs="Calibri"/>
                <w:b/>
                <w:color w:val="4F81BD"/>
                <w:sz w:val="20"/>
                <w:szCs w:val="20"/>
                <w:lang w:val="en-GB"/>
              </w:rPr>
              <w:t>veh-km/day)</w:t>
            </w:r>
          </w:p>
          <w:p w14:paraId="495ADD83" w14:textId="77777777" w:rsidR="00E7601A" w:rsidRPr="0045151D" w:rsidRDefault="00E7601A" w:rsidP="00E7601A">
            <w:pPr>
              <w:rPr>
                <w:rFonts w:ascii="Calibri" w:eastAsia="Calibri" w:hAnsi="Calibri" w:cs="Calibri"/>
                <w:b/>
                <w:color w:val="4F81BD"/>
                <w:sz w:val="20"/>
                <w:szCs w:val="20"/>
                <w:lang w:val="en-GB"/>
              </w:rPr>
            </w:pPr>
          </w:p>
          <w:tbl>
            <w:tblPr>
              <w:tblStyle w:val="affffffffffffffff"/>
              <w:tblW w:w="67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238"/>
              <w:gridCol w:w="747"/>
              <w:gridCol w:w="748"/>
              <w:gridCol w:w="748"/>
              <w:gridCol w:w="748"/>
              <w:gridCol w:w="748"/>
              <w:gridCol w:w="748"/>
            </w:tblGrid>
            <w:tr w:rsidR="00600DEE" w:rsidRPr="007463B9" w14:paraId="2DD22B30" w14:textId="77777777" w:rsidTr="00E7601A">
              <w:trPr>
                <w:trHeight w:hRule="exact" w:val="284"/>
              </w:trPr>
              <w:tc>
                <w:tcPr>
                  <w:tcW w:w="1360" w:type="dxa"/>
                  <w:tcBorders>
                    <w:bottom w:val="single" w:sz="4" w:space="0" w:color="FFFFFF"/>
                  </w:tcBorders>
                  <w:shd w:val="clear" w:color="auto" w:fill="A6A6A6"/>
                  <w:vAlign w:val="center"/>
                </w:tcPr>
                <w:p w14:paraId="6FBDFA77"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RAI/ AADT</w:t>
                  </w:r>
                </w:p>
              </w:tc>
              <w:tc>
                <w:tcPr>
                  <w:tcW w:w="454" w:type="dxa"/>
                  <w:tcBorders>
                    <w:bottom w:val="single" w:sz="4" w:space="0" w:color="FFFFFF"/>
                  </w:tcBorders>
                  <w:shd w:val="clear" w:color="auto" w:fill="A6A6A6"/>
                  <w:vAlign w:val="center"/>
                </w:tcPr>
                <w:p w14:paraId="663EAD6D"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S1x2n</w:t>
                  </w:r>
                </w:p>
              </w:tc>
              <w:tc>
                <w:tcPr>
                  <w:tcW w:w="454" w:type="dxa"/>
                  <w:tcBorders>
                    <w:bottom w:val="single" w:sz="4" w:space="0" w:color="FFFFFF"/>
                  </w:tcBorders>
                  <w:shd w:val="clear" w:color="auto" w:fill="A6A6A6"/>
                  <w:vAlign w:val="center"/>
                </w:tcPr>
                <w:p w14:paraId="0D9014BA"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S1x2z</w:t>
                  </w:r>
                </w:p>
              </w:tc>
              <w:tc>
                <w:tcPr>
                  <w:tcW w:w="454" w:type="dxa"/>
                  <w:tcBorders>
                    <w:bottom w:val="single" w:sz="4" w:space="0" w:color="FFFFFF"/>
                  </w:tcBorders>
                  <w:shd w:val="clear" w:color="auto" w:fill="A6A6A6"/>
                  <w:vAlign w:val="center"/>
                </w:tcPr>
                <w:p w14:paraId="6B77ED26"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GP1x2n</w:t>
                  </w:r>
                </w:p>
              </w:tc>
              <w:tc>
                <w:tcPr>
                  <w:tcW w:w="454" w:type="dxa"/>
                  <w:tcBorders>
                    <w:bottom w:val="single" w:sz="4" w:space="0" w:color="FFFFFF"/>
                  </w:tcBorders>
                  <w:shd w:val="clear" w:color="auto" w:fill="A6A6A6"/>
                  <w:vAlign w:val="center"/>
                </w:tcPr>
                <w:p w14:paraId="72D1B2E1"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GP1x2z</w:t>
                  </w:r>
                </w:p>
              </w:tc>
              <w:tc>
                <w:tcPr>
                  <w:tcW w:w="454" w:type="dxa"/>
                  <w:tcBorders>
                    <w:bottom w:val="single" w:sz="4" w:space="0" w:color="FFFFFF"/>
                  </w:tcBorders>
                  <w:shd w:val="clear" w:color="auto" w:fill="A6A6A6"/>
                  <w:vAlign w:val="center"/>
                </w:tcPr>
                <w:p w14:paraId="71C8471D"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G1x2n</w:t>
                  </w:r>
                </w:p>
              </w:tc>
              <w:tc>
                <w:tcPr>
                  <w:tcW w:w="454" w:type="dxa"/>
                  <w:tcBorders>
                    <w:bottom w:val="single" w:sz="4" w:space="0" w:color="FFFFFF"/>
                  </w:tcBorders>
                  <w:shd w:val="clear" w:color="auto" w:fill="A6A6A6"/>
                  <w:vAlign w:val="center"/>
                </w:tcPr>
                <w:p w14:paraId="2B5D1A99" w14:textId="77777777" w:rsidR="00600DEE" w:rsidRPr="0045151D" w:rsidRDefault="00641FB5" w:rsidP="00E7601A">
                  <w:pPr>
                    <w:ind w:right="-91"/>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G1x2z</w:t>
                  </w:r>
                </w:p>
              </w:tc>
            </w:tr>
            <w:tr w:rsidR="00600DEE" w:rsidRPr="007463B9" w14:paraId="5DB3B6AA"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72CF8E7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0 - 5 000</w:t>
                  </w:r>
                </w:p>
              </w:tc>
              <w:tc>
                <w:tcPr>
                  <w:tcW w:w="454" w:type="dxa"/>
                  <w:tcBorders>
                    <w:top w:val="single" w:sz="4" w:space="0" w:color="FFFFFF"/>
                    <w:bottom w:val="single" w:sz="4" w:space="0" w:color="FFFFFF"/>
                  </w:tcBorders>
                  <w:shd w:val="clear" w:color="auto" w:fill="DBE5F1"/>
                  <w:vAlign w:val="center"/>
                </w:tcPr>
                <w:p w14:paraId="1F99C77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0.065</w:t>
                  </w:r>
                </w:p>
              </w:tc>
              <w:tc>
                <w:tcPr>
                  <w:tcW w:w="454" w:type="dxa"/>
                  <w:tcBorders>
                    <w:top w:val="single" w:sz="4" w:space="0" w:color="FFFFFF"/>
                    <w:bottom w:val="single" w:sz="4" w:space="0" w:color="FFFFFF"/>
                  </w:tcBorders>
                  <w:shd w:val="clear" w:color="auto" w:fill="DBE5F1"/>
                  <w:vAlign w:val="center"/>
                </w:tcPr>
                <w:p w14:paraId="6985344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0.085</w:t>
                  </w:r>
                </w:p>
              </w:tc>
              <w:tc>
                <w:tcPr>
                  <w:tcW w:w="454" w:type="dxa"/>
                  <w:tcBorders>
                    <w:top w:val="single" w:sz="4" w:space="0" w:color="FFFFFF"/>
                    <w:bottom w:val="single" w:sz="4" w:space="0" w:color="FFFFFF"/>
                  </w:tcBorders>
                  <w:shd w:val="clear" w:color="auto" w:fill="DBE5F1"/>
                  <w:vAlign w:val="center"/>
                </w:tcPr>
                <w:p w14:paraId="3632ABA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0.119</w:t>
                  </w:r>
                </w:p>
              </w:tc>
              <w:tc>
                <w:tcPr>
                  <w:tcW w:w="454" w:type="dxa"/>
                  <w:tcBorders>
                    <w:top w:val="single" w:sz="4" w:space="0" w:color="FFFFFF"/>
                    <w:bottom w:val="single" w:sz="4" w:space="0" w:color="FFFFFF"/>
                  </w:tcBorders>
                  <w:shd w:val="clear" w:color="auto" w:fill="DBE5F1"/>
                  <w:vAlign w:val="center"/>
                </w:tcPr>
                <w:p w14:paraId="50EF2FA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0.176</w:t>
                  </w:r>
                </w:p>
              </w:tc>
              <w:tc>
                <w:tcPr>
                  <w:tcW w:w="454" w:type="dxa"/>
                  <w:tcBorders>
                    <w:top w:val="single" w:sz="4" w:space="0" w:color="FFFFFF"/>
                    <w:bottom w:val="single" w:sz="4" w:space="0" w:color="FFFFFF"/>
                  </w:tcBorders>
                  <w:shd w:val="clear" w:color="auto" w:fill="DBE5F1"/>
                  <w:vAlign w:val="center"/>
                </w:tcPr>
                <w:p w14:paraId="030416A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0.097</w:t>
                  </w:r>
                </w:p>
              </w:tc>
              <w:tc>
                <w:tcPr>
                  <w:tcW w:w="454" w:type="dxa"/>
                  <w:tcBorders>
                    <w:top w:val="single" w:sz="4" w:space="0" w:color="FFFFFF"/>
                    <w:bottom w:val="single" w:sz="4" w:space="0" w:color="FFFFFF"/>
                  </w:tcBorders>
                  <w:shd w:val="clear" w:color="auto" w:fill="DBE5F1"/>
                  <w:vAlign w:val="center"/>
                </w:tcPr>
                <w:p w14:paraId="4EE5B73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0.149</w:t>
                  </w:r>
                </w:p>
              </w:tc>
            </w:tr>
            <w:tr w:rsidR="00600DEE" w:rsidRPr="007463B9" w14:paraId="34C150A2"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5273933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5000 - 10 000</w:t>
                  </w:r>
                </w:p>
              </w:tc>
              <w:tc>
                <w:tcPr>
                  <w:tcW w:w="454" w:type="dxa"/>
                  <w:tcBorders>
                    <w:top w:val="single" w:sz="4" w:space="0" w:color="FFFFFF"/>
                    <w:bottom w:val="single" w:sz="4" w:space="0" w:color="FFFFFF"/>
                  </w:tcBorders>
                  <w:shd w:val="clear" w:color="auto" w:fill="DBE5F1"/>
                  <w:vAlign w:val="center"/>
                </w:tcPr>
                <w:p w14:paraId="36E4723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0.055</w:t>
                  </w:r>
                </w:p>
              </w:tc>
              <w:tc>
                <w:tcPr>
                  <w:tcW w:w="454" w:type="dxa"/>
                  <w:tcBorders>
                    <w:top w:val="single" w:sz="4" w:space="0" w:color="FFFFFF"/>
                    <w:bottom w:val="single" w:sz="4" w:space="0" w:color="FFFFFF"/>
                  </w:tcBorders>
                  <w:shd w:val="clear" w:color="auto" w:fill="DBE5F1"/>
                  <w:vAlign w:val="center"/>
                </w:tcPr>
                <w:p w14:paraId="74FD6BE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0.071</w:t>
                  </w:r>
                </w:p>
              </w:tc>
              <w:tc>
                <w:tcPr>
                  <w:tcW w:w="454" w:type="dxa"/>
                  <w:tcBorders>
                    <w:top w:val="single" w:sz="4" w:space="0" w:color="FFFFFF"/>
                    <w:bottom w:val="single" w:sz="4" w:space="0" w:color="FFFFFF"/>
                  </w:tcBorders>
                  <w:shd w:val="clear" w:color="auto" w:fill="DBE5F1"/>
                  <w:vAlign w:val="center"/>
                </w:tcPr>
                <w:p w14:paraId="3921A6A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0.099</w:t>
                  </w:r>
                </w:p>
              </w:tc>
              <w:tc>
                <w:tcPr>
                  <w:tcW w:w="454" w:type="dxa"/>
                  <w:tcBorders>
                    <w:top w:val="single" w:sz="4" w:space="0" w:color="FFFFFF"/>
                    <w:bottom w:val="single" w:sz="4" w:space="0" w:color="FFFFFF"/>
                  </w:tcBorders>
                  <w:shd w:val="clear" w:color="auto" w:fill="DBE5F1"/>
                  <w:vAlign w:val="center"/>
                </w:tcPr>
                <w:p w14:paraId="5B02585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0.147</w:t>
                  </w:r>
                </w:p>
              </w:tc>
              <w:tc>
                <w:tcPr>
                  <w:tcW w:w="454" w:type="dxa"/>
                  <w:tcBorders>
                    <w:top w:val="single" w:sz="4" w:space="0" w:color="FFFFFF"/>
                    <w:bottom w:val="single" w:sz="4" w:space="0" w:color="FFFFFF"/>
                  </w:tcBorders>
                  <w:shd w:val="clear" w:color="auto" w:fill="DBE5F1"/>
                  <w:vAlign w:val="center"/>
                </w:tcPr>
                <w:p w14:paraId="0404B48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0.081</w:t>
                  </w:r>
                </w:p>
              </w:tc>
              <w:tc>
                <w:tcPr>
                  <w:tcW w:w="454" w:type="dxa"/>
                  <w:tcBorders>
                    <w:top w:val="single" w:sz="4" w:space="0" w:color="FFFFFF"/>
                    <w:bottom w:val="single" w:sz="4" w:space="0" w:color="FFFFFF"/>
                  </w:tcBorders>
                  <w:shd w:val="clear" w:color="auto" w:fill="DBE5F1"/>
                  <w:vAlign w:val="center"/>
                </w:tcPr>
                <w:p w14:paraId="438DDF6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0.125</w:t>
                  </w:r>
                </w:p>
              </w:tc>
            </w:tr>
            <w:tr w:rsidR="00600DEE" w:rsidRPr="007463B9" w14:paraId="1147BD64"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773F303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10 000 - 20 000</w:t>
                  </w:r>
                </w:p>
              </w:tc>
              <w:tc>
                <w:tcPr>
                  <w:tcW w:w="454" w:type="dxa"/>
                  <w:tcBorders>
                    <w:top w:val="single" w:sz="4" w:space="0" w:color="FFFFFF"/>
                    <w:bottom w:val="single" w:sz="4" w:space="0" w:color="FFFFFF"/>
                  </w:tcBorders>
                  <w:shd w:val="clear" w:color="auto" w:fill="DBE5F1"/>
                  <w:vAlign w:val="center"/>
                </w:tcPr>
                <w:p w14:paraId="4E2A88B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0.048</w:t>
                  </w:r>
                </w:p>
              </w:tc>
              <w:tc>
                <w:tcPr>
                  <w:tcW w:w="454" w:type="dxa"/>
                  <w:tcBorders>
                    <w:top w:val="single" w:sz="4" w:space="0" w:color="FFFFFF"/>
                    <w:bottom w:val="single" w:sz="4" w:space="0" w:color="FFFFFF"/>
                  </w:tcBorders>
                  <w:shd w:val="clear" w:color="auto" w:fill="DBE5F1"/>
                  <w:vAlign w:val="center"/>
                </w:tcPr>
                <w:p w14:paraId="50CCF98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0.063</w:t>
                  </w:r>
                </w:p>
              </w:tc>
              <w:tc>
                <w:tcPr>
                  <w:tcW w:w="454" w:type="dxa"/>
                  <w:tcBorders>
                    <w:top w:val="single" w:sz="4" w:space="0" w:color="FFFFFF"/>
                    <w:bottom w:val="single" w:sz="4" w:space="0" w:color="FFFFFF"/>
                  </w:tcBorders>
                  <w:shd w:val="clear" w:color="auto" w:fill="DBE5F1"/>
                  <w:vAlign w:val="center"/>
                </w:tcPr>
                <w:p w14:paraId="628C95D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0.088</w:t>
                  </w:r>
                </w:p>
              </w:tc>
              <w:tc>
                <w:tcPr>
                  <w:tcW w:w="454" w:type="dxa"/>
                  <w:tcBorders>
                    <w:top w:val="single" w:sz="4" w:space="0" w:color="FFFFFF"/>
                    <w:bottom w:val="single" w:sz="4" w:space="0" w:color="FFFFFF"/>
                  </w:tcBorders>
                  <w:shd w:val="clear" w:color="auto" w:fill="DBE5F1"/>
                  <w:vAlign w:val="center"/>
                </w:tcPr>
                <w:p w14:paraId="465D39F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0.131</w:t>
                  </w:r>
                </w:p>
              </w:tc>
              <w:tc>
                <w:tcPr>
                  <w:tcW w:w="454" w:type="dxa"/>
                  <w:tcBorders>
                    <w:top w:val="single" w:sz="4" w:space="0" w:color="FFFFFF"/>
                    <w:bottom w:val="single" w:sz="4" w:space="0" w:color="FFFFFF"/>
                  </w:tcBorders>
                  <w:shd w:val="clear" w:color="auto" w:fill="DBE5F1"/>
                  <w:vAlign w:val="center"/>
                </w:tcPr>
                <w:p w14:paraId="0186736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0.072</w:t>
                  </w:r>
                </w:p>
              </w:tc>
              <w:tc>
                <w:tcPr>
                  <w:tcW w:w="454" w:type="dxa"/>
                  <w:tcBorders>
                    <w:top w:val="single" w:sz="4" w:space="0" w:color="FFFFFF"/>
                    <w:bottom w:val="single" w:sz="4" w:space="0" w:color="FFFFFF"/>
                  </w:tcBorders>
                  <w:shd w:val="clear" w:color="auto" w:fill="DBE5F1"/>
                  <w:vAlign w:val="center"/>
                </w:tcPr>
                <w:p w14:paraId="1E07189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0.111</w:t>
                  </w:r>
                </w:p>
              </w:tc>
            </w:tr>
            <w:tr w:rsidR="00600DEE" w:rsidRPr="007463B9" w14:paraId="346B69BF"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0839647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20000 - 30 000</w:t>
                  </w:r>
                </w:p>
              </w:tc>
              <w:tc>
                <w:tcPr>
                  <w:tcW w:w="454" w:type="dxa"/>
                  <w:tcBorders>
                    <w:top w:val="single" w:sz="4" w:space="0" w:color="FFFFFF"/>
                    <w:bottom w:val="single" w:sz="4" w:space="0" w:color="FFFFFF"/>
                  </w:tcBorders>
                  <w:shd w:val="clear" w:color="auto" w:fill="DBE5F1"/>
                  <w:vAlign w:val="center"/>
                </w:tcPr>
                <w:p w14:paraId="1CCFA46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0.044</w:t>
                  </w:r>
                </w:p>
              </w:tc>
              <w:tc>
                <w:tcPr>
                  <w:tcW w:w="454" w:type="dxa"/>
                  <w:tcBorders>
                    <w:top w:val="single" w:sz="4" w:space="0" w:color="FFFFFF"/>
                    <w:bottom w:val="single" w:sz="4" w:space="0" w:color="FFFFFF"/>
                  </w:tcBorders>
                  <w:shd w:val="clear" w:color="auto" w:fill="DBE5F1"/>
                  <w:vAlign w:val="center"/>
                </w:tcPr>
                <w:p w14:paraId="64E2AE9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0.058</w:t>
                  </w:r>
                </w:p>
              </w:tc>
              <w:tc>
                <w:tcPr>
                  <w:tcW w:w="454" w:type="dxa"/>
                  <w:tcBorders>
                    <w:top w:val="single" w:sz="4" w:space="0" w:color="FFFFFF"/>
                    <w:bottom w:val="single" w:sz="4" w:space="0" w:color="FFFFFF"/>
                  </w:tcBorders>
                  <w:shd w:val="clear" w:color="auto" w:fill="DBE5F1"/>
                  <w:vAlign w:val="center"/>
                </w:tcPr>
                <w:p w14:paraId="67519F2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0.08</w:t>
                  </w:r>
                </w:p>
              </w:tc>
              <w:tc>
                <w:tcPr>
                  <w:tcW w:w="454" w:type="dxa"/>
                  <w:tcBorders>
                    <w:top w:val="single" w:sz="4" w:space="0" w:color="FFFFFF"/>
                    <w:bottom w:val="single" w:sz="4" w:space="0" w:color="FFFFFF"/>
                  </w:tcBorders>
                  <w:shd w:val="clear" w:color="auto" w:fill="DBE5F1"/>
                  <w:vAlign w:val="center"/>
                </w:tcPr>
                <w:p w14:paraId="415382B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0.119</w:t>
                  </w:r>
                </w:p>
              </w:tc>
              <w:tc>
                <w:tcPr>
                  <w:tcW w:w="454" w:type="dxa"/>
                  <w:tcBorders>
                    <w:top w:val="single" w:sz="4" w:space="0" w:color="FFFFFF"/>
                    <w:bottom w:val="single" w:sz="4" w:space="0" w:color="FFFFFF"/>
                  </w:tcBorders>
                  <w:shd w:val="clear" w:color="auto" w:fill="DBE5F1"/>
                  <w:vAlign w:val="center"/>
                </w:tcPr>
                <w:p w14:paraId="3BCAA7B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0.066</w:t>
                  </w:r>
                </w:p>
              </w:tc>
              <w:tc>
                <w:tcPr>
                  <w:tcW w:w="454" w:type="dxa"/>
                  <w:tcBorders>
                    <w:top w:val="single" w:sz="4" w:space="0" w:color="FFFFFF"/>
                    <w:bottom w:val="single" w:sz="4" w:space="0" w:color="FFFFFF"/>
                  </w:tcBorders>
                  <w:shd w:val="clear" w:color="auto" w:fill="DBE5F1"/>
                  <w:vAlign w:val="center"/>
                </w:tcPr>
                <w:p w14:paraId="6891976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0.101</w:t>
                  </w:r>
                </w:p>
              </w:tc>
            </w:tr>
            <w:tr w:rsidR="00600DEE" w:rsidRPr="007463B9" w14:paraId="513D77A1" w14:textId="77777777" w:rsidTr="00E7601A">
              <w:trPr>
                <w:trHeight w:hRule="exact" w:val="284"/>
              </w:trPr>
              <w:tc>
                <w:tcPr>
                  <w:tcW w:w="1360" w:type="dxa"/>
                  <w:tcBorders>
                    <w:top w:val="single" w:sz="4" w:space="0" w:color="FFFFFF"/>
                    <w:bottom w:val="single" w:sz="4" w:space="0" w:color="FFFFFF"/>
                  </w:tcBorders>
                  <w:shd w:val="clear" w:color="auto" w:fill="DBE5F1"/>
                  <w:vAlign w:val="center"/>
                </w:tcPr>
                <w:p w14:paraId="17C497D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30000 - 40 000</w:t>
                  </w:r>
                </w:p>
              </w:tc>
              <w:tc>
                <w:tcPr>
                  <w:tcW w:w="454" w:type="dxa"/>
                  <w:tcBorders>
                    <w:top w:val="single" w:sz="4" w:space="0" w:color="FFFFFF"/>
                    <w:bottom w:val="single" w:sz="4" w:space="0" w:color="FFFFFF"/>
                  </w:tcBorders>
                  <w:shd w:val="clear" w:color="auto" w:fill="DBE5F1"/>
                  <w:vAlign w:val="center"/>
                </w:tcPr>
                <w:p w14:paraId="6C0293B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0.042</w:t>
                  </w:r>
                </w:p>
              </w:tc>
              <w:tc>
                <w:tcPr>
                  <w:tcW w:w="454" w:type="dxa"/>
                  <w:tcBorders>
                    <w:top w:val="single" w:sz="4" w:space="0" w:color="FFFFFF"/>
                    <w:bottom w:val="single" w:sz="4" w:space="0" w:color="FFFFFF"/>
                  </w:tcBorders>
                  <w:shd w:val="clear" w:color="auto" w:fill="DBE5F1"/>
                  <w:vAlign w:val="center"/>
                </w:tcPr>
                <w:p w14:paraId="39EA71B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0.054</w:t>
                  </w:r>
                </w:p>
              </w:tc>
              <w:tc>
                <w:tcPr>
                  <w:tcW w:w="454" w:type="dxa"/>
                  <w:tcBorders>
                    <w:top w:val="single" w:sz="4" w:space="0" w:color="FFFFFF"/>
                    <w:bottom w:val="single" w:sz="4" w:space="0" w:color="FFFFFF"/>
                  </w:tcBorders>
                  <w:shd w:val="clear" w:color="auto" w:fill="DBE5F1"/>
                  <w:vAlign w:val="center"/>
                </w:tcPr>
                <w:p w14:paraId="7219017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0.075</w:t>
                  </w:r>
                </w:p>
              </w:tc>
              <w:tc>
                <w:tcPr>
                  <w:tcW w:w="454" w:type="dxa"/>
                  <w:tcBorders>
                    <w:top w:val="single" w:sz="4" w:space="0" w:color="FFFFFF"/>
                    <w:bottom w:val="single" w:sz="4" w:space="0" w:color="FFFFFF"/>
                  </w:tcBorders>
                  <w:shd w:val="clear" w:color="auto" w:fill="DBE5F1"/>
                  <w:vAlign w:val="center"/>
                </w:tcPr>
                <w:p w14:paraId="445B4FA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0.112</w:t>
                  </w:r>
                </w:p>
              </w:tc>
              <w:tc>
                <w:tcPr>
                  <w:tcW w:w="454" w:type="dxa"/>
                  <w:tcBorders>
                    <w:top w:val="single" w:sz="4" w:space="0" w:color="FFFFFF"/>
                    <w:bottom w:val="single" w:sz="4" w:space="0" w:color="FFFFFF"/>
                  </w:tcBorders>
                  <w:shd w:val="clear" w:color="auto" w:fill="DBE5F1"/>
                  <w:vAlign w:val="center"/>
                </w:tcPr>
                <w:p w14:paraId="7E0CD1C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0.062</w:t>
                  </w:r>
                </w:p>
              </w:tc>
              <w:tc>
                <w:tcPr>
                  <w:tcW w:w="454" w:type="dxa"/>
                  <w:tcBorders>
                    <w:top w:val="single" w:sz="4" w:space="0" w:color="FFFFFF"/>
                    <w:bottom w:val="single" w:sz="4" w:space="0" w:color="FFFFFF"/>
                  </w:tcBorders>
                  <w:shd w:val="clear" w:color="auto" w:fill="DBE5F1"/>
                  <w:vAlign w:val="center"/>
                </w:tcPr>
                <w:p w14:paraId="4CD98E8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0.094</w:t>
                  </w:r>
                </w:p>
              </w:tc>
            </w:tr>
            <w:tr w:rsidR="00600DEE" w:rsidRPr="007463B9" w14:paraId="3C60CEB7" w14:textId="77777777" w:rsidTr="00E7601A">
              <w:trPr>
                <w:trHeight w:hRule="exact" w:val="284"/>
              </w:trPr>
              <w:tc>
                <w:tcPr>
                  <w:tcW w:w="1360" w:type="dxa"/>
                  <w:tcBorders>
                    <w:top w:val="single" w:sz="4" w:space="0" w:color="FFFFFF"/>
                  </w:tcBorders>
                  <w:shd w:val="clear" w:color="auto" w:fill="DBE5F1"/>
                  <w:vAlign w:val="center"/>
                </w:tcPr>
                <w:p w14:paraId="3E234A3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above 40 000</w:t>
                  </w:r>
                </w:p>
              </w:tc>
              <w:tc>
                <w:tcPr>
                  <w:tcW w:w="454" w:type="dxa"/>
                  <w:tcBorders>
                    <w:top w:val="single" w:sz="4" w:space="0" w:color="FFFFFF"/>
                  </w:tcBorders>
                  <w:shd w:val="clear" w:color="auto" w:fill="DBE5F1"/>
                  <w:vAlign w:val="center"/>
                </w:tcPr>
                <w:p w14:paraId="6AE3A51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0.040</w:t>
                  </w:r>
                </w:p>
              </w:tc>
              <w:tc>
                <w:tcPr>
                  <w:tcW w:w="454" w:type="dxa"/>
                  <w:tcBorders>
                    <w:top w:val="single" w:sz="4" w:space="0" w:color="FFFFFF"/>
                  </w:tcBorders>
                  <w:shd w:val="clear" w:color="auto" w:fill="DBE5F1"/>
                  <w:vAlign w:val="center"/>
                </w:tcPr>
                <w:p w14:paraId="3A41D75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0.050</w:t>
                  </w:r>
                </w:p>
              </w:tc>
              <w:tc>
                <w:tcPr>
                  <w:tcW w:w="454" w:type="dxa"/>
                  <w:tcBorders>
                    <w:top w:val="single" w:sz="4" w:space="0" w:color="FFFFFF"/>
                  </w:tcBorders>
                  <w:shd w:val="clear" w:color="auto" w:fill="DBE5F1"/>
                  <w:vAlign w:val="center"/>
                </w:tcPr>
                <w:p w14:paraId="0AEE4ED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0.070</w:t>
                  </w:r>
                </w:p>
              </w:tc>
              <w:tc>
                <w:tcPr>
                  <w:tcW w:w="454" w:type="dxa"/>
                  <w:tcBorders>
                    <w:top w:val="single" w:sz="4" w:space="0" w:color="FFFFFF"/>
                  </w:tcBorders>
                  <w:shd w:val="clear" w:color="auto" w:fill="DBE5F1"/>
                  <w:vAlign w:val="center"/>
                </w:tcPr>
                <w:p w14:paraId="73525C3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0.100</w:t>
                  </w:r>
                </w:p>
              </w:tc>
              <w:tc>
                <w:tcPr>
                  <w:tcW w:w="454" w:type="dxa"/>
                  <w:tcBorders>
                    <w:top w:val="single" w:sz="4" w:space="0" w:color="FFFFFF"/>
                  </w:tcBorders>
                  <w:shd w:val="clear" w:color="auto" w:fill="DBE5F1"/>
                  <w:vAlign w:val="center"/>
                </w:tcPr>
                <w:p w14:paraId="39A8EEA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0.060</w:t>
                  </w:r>
                </w:p>
              </w:tc>
              <w:tc>
                <w:tcPr>
                  <w:tcW w:w="454" w:type="dxa"/>
                  <w:tcBorders>
                    <w:top w:val="single" w:sz="4" w:space="0" w:color="FFFFFF"/>
                  </w:tcBorders>
                  <w:shd w:val="clear" w:color="auto" w:fill="DBE5F1"/>
                  <w:vAlign w:val="center"/>
                </w:tcPr>
                <w:p w14:paraId="20D8E89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0.090</w:t>
                  </w:r>
                </w:p>
              </w:tc>
            </w:tr>
          </w:tbl>
          <w:p w14:paraId="68E709BC" w14:textId="77777777" w:rsidR="00600DEE" w:rsidRPr="0045151D" w:rsidRDefault="00641FB5">
            <w:pPr>
              <w:spacing w:before="120" w:after="12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026D678A"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4F81BD"/>
                <w:sz w:val="20"/>
                <w:szCs w:val="20"/>
                <w:lang w:val="en-GB"/>
              </w:rPr>
            </w:pPr>
            <w:r w:rsidRPr="0045151D">
              <w:rPr>
                <w:rFonts w:ascii="Calibri" w:eastAsia="Calibri" w:hAnsi="Calibri" w:cs="Calibri"/>
                <w:b/>
                <w:color w:val="4F81BD"/>
                <w:sz w:val="20"/>
                <w:szCs w:val="20"/>
                <w:lang w:val="en-GB"/>
              </w:rPr>
              <w:t>Table 4. Road location factor f</w:t>
            </w:r>
            <w:r w:rsidRPr="0045151D">
              <w:rPr>
                <w:rFonts w:ascii="Calibri" w:eastAsia="Calibri" w:hAnsi="Calibri" w:cs="Calibri"/>
                <w:b/>
                <w:color w:val="4F81BD"/>
                <w:sz w:val="20"/>
                <w:szCs w:val="20"/>
                <w:vertAlign w:val="superscript"/>
                <w:lang w:val="en-GB"/>
              </w:rPr>
              <w:t>(1)</w:t>
            </w:r>
            <w:r w:rsidRPr="0045151D">
              <w:rPr>
                <w:rFonts w:ascii="Calibri" w:eastAsia="Calibri" w:hAnsi="Calibri" w:cs="Calibri"/>
                <w:b/>
                <w:color w:val="4F81BD"/>
                <w:sz w:val="20"/>
                <w:szCs w:val="20"/>
                <w:vertAlign w:val="subscript"/>
                <w:lang w:val="en-GB"/>
              </w:rPr>
              <w:t>LDW</w:t>
            </w:r>
            <w:r w:rsidRPr="0045151D">
              <w:rPr>
                <w:rFonts w:ascii="Calibri" w:eastAsia="Calibri" w:hAnsi="Calibri" w:cs="Calibri"/>
                <w:b/>
                <w:color w:val="4F81BD"/>
                <w:sz w:val="20"/>
                <w:szCs w:val="20"/>
                <w:lang w:val="en-GB"/>
              </w:rPr>
              <w:t xml:space="preserve"> </w:t>
            </w:r>
            <w:r w:rsidRPr="0045151D">
              <w:rPr>
                <w:rFonts w:ascii="Calibri" w:eastAsia="Calibri" w:hAnsi="Calibri" w:cs="Calibri"/>
                <w:color w:val="4F81BD"/>
                <w:sz w:val="20"/>
                <w:szCs w:val="20"/>
                <w:lang w:val="en-GB"/>
              </w:rPr>
              <w:t>(only single carriageways)</w:t>
            </w:r>
          </w:p>
          <w:tbl>
            <w:tblPr>
              <w:tblStyle w:val="affffffffffffffff0"/>
              <w:tblW w:w="673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928"/>
              <w:gridCol w:w="1305"/>
              <w:gridCol w:w="2618"/>
              <w:gridCol w:w="879"/>
            </w:tblGrid>
            <w:tr w:rsidR="00600DEE" w:rsidRPr="00132C08" w14:paraId="425E0220" w14:textId="77777777" w:rsidTr="00E7601A">
              <w:trPr>
                <w:trHeight w:val="227"/>
              </w:trPr>
              <w:tc>
                <w:tcPr>
                  <w:tcW w:w="1928" w:type="dxa"/>
                  <w:shd w:val="clear" w:color="auto" w:fill="A6A6A6"/>
                  <w:vAlign w:val="center"/>
                </w:tcPr>
                <w:p w14:paraId="3A29BE5F" w14:textId="77777777" w:rsidR="00600DEE" w:rsidRPr="007463B9" w:rsidRDefault="00641FB5">
                  <w:pPr>
                    <w:jc w:val="center"/>
                    <w:rPr>
                      <w:rFonts w:ascii="Calibri" w:eastAsia="Calibri" w:hAnsi="Calibri" w:cs="Calibri"/>
                      <w:b/>
                      <w:color w:val="FFFFFF"/>
                      <w:sz w:val="17"/>
                      <w:szCs w:val="17"/>
                    </w:rPr>
                  </w:pPr>
                  <w:r w:rsidRPr="007463B9">
                    <w:rPr>
                      <w:rFonts w:ascii="Calibri" w:eastAsia="Calibri" w:hAnsi="Calibri" w:cs="Calibri"/>
                      <w:b/>
                      <w:color w:val="FFFFFF"/>
                      <w:sz w:val="17"/>
                      <w:szCs w:val="17"/>
                    </w:rPr>
                    <w:t>Voivodeship</w:t>
                  </w:r>
                </w:p>
              </w:tc>
              <w:tc>
                <w:tcPr>
                  <w:tcW w:w="1305" w:type="dxa"/>
                  <w:shd w:val="clear" w:color="auto" w:fill="A6A6A6"/>
                  <w:vAlign w:val="center"/>
                </w:tcPr>
                <w:p w14:paraId="6E7926EA" w14:textId="77777777" w:rsidR="00600DEE" w:rsidRPr="007463B9" w:rsidRDefault="00641FB5">
                  <w:pPr>
                    <w:jc w:val="center"/>
                    <w:rPr>
                      <w:rFonts w:ascii="Calibri" w:eastAsia="Calibri" w:hAnsi="Calibri" w:cs="Calibri"/>
                      <w:b/>
                      <w:color w:val="FFFFFF"/>
                      <w:sz w:val="17"/>
                      <w:szCs w:val="17"/>
                    </w:rPr>
                  </w:pPr>
                  <w:r w:rsidRPr="007463B9">
                    <w:rPr>
                      <w:rFonts w:ascii="Calibri" w:eastAsia="Calibri" w:hAnsi="Calibri" w:cs="Calibri"/>
                      <w:b/>
                      <w:i/>
                      <w:color w:val="FFFFFF"/>
                      <w:sz w:val="20"/>
                      <w:szCs w:val="20"/>
                    </w:rPr>
                    <w:t>f</w:t>
                  </w:r>
                  <w:r w:rsidRPr="007463B9">
                    <w:rPr>
                      <w:rFonts w:ascii="Calibri" w:eastAsia="Calibri" w:hAnsi="Calibri" w:cs="Calibri"/>
                      <w:b/>
                      <w:i/>
                      <w:color w:val="FFFFFF"/>
                      <w:sz w:val="20"/>
                      <w:szCs w:val="20"/>
                      <w:vertAlign w:val="superscript"/>
                    </w:rPr>
                    <w:t>(1)</w:t>
                  </w:r>
                  <w:r w:rsidRPr="007463B9">
                    <w:rPr>
                      <w:rFonts w:ascii="Calibri" w:eastAsia="Calibri" w:hAnsi="Calibri" w:cs="Calibri"/>
                      <w:b/>
                      <w:i/>
                      <w:color w:val="FFFFFF"/>
                      <w:sz w:val="20"/>
                      <w:szCs w:val="20"/>
                      <w:vertAlign w:val="subscript"/>
                    </w:rPr>
                    <w:t>LDW</w:t>
                  </w:r>
                </w:p>
              </w:tc>
              <w:tc>
                <w:tcPr>
                  <w:tcW w:w="2618" w:type="dxa"/>
                  <w:shd w:val="clear" w:color="auto" w:fill="A6A6A6"/>
                  <w:vAlign w:val="center"/>
                </w:tcPr>
                <w:p w14:paraId="38D6DF23" w14:textId="77777777" w:rsidR="00600DEE" w:rsidRPr="007463B9" w:rsidRDefault="00641FB5">
                  <w:pPr>
                    <w:jc w:val="center"/>
                    <w:rPr>
                      <w:rFonts w:ascii="Calibri" w:eastAsia="Calibri" w:hAnsi="Calibri" w:cs="Calibri"/>
                      <w:b/>
                      <w:color w:val="FFFFFF"/>
                      <w:sz w:val="17"/>
                      <w:szCs w:val="17"/>
                    </w:rPr>
                  </w:pPr>
                  <w:r w:rsidRPr="007463B9">
                    <w:rPr>
                      <w:rFonts w:ascii="Calibri" w:eastAsia="Calibri" w:hAnsi="Calibri" w:cs="Calibri"/>
                      <w:b/>
                      <w:color w:val="FFFFFF"/>
                      <w:sz w:val="17"/>
                      <w:szCs w:val="17"/>
                    </w:rPr>
                    <w:t>Voivodeship</w:t>
                  </w:r>
                </w:p>
              </w:tc>
              <w:tc>
                <w:tcPr>
                  <w:tcW w:w="879" w:type="dxa"/>
                  <w:shd w:val="clear" w:color="auto" w:fill="A6A6A6"/>
                  <w:vAlign w:val="center"/>
                </w:tcPr>
                <w:p w14:paraId="263B0C92" w14:textId="77777777" w:rsidR="00600DEE" w:rsidRPr="007463B9" w:rsidRDefault="00641FB5">
                  <w:pPr>
                    <w:jc w:val="center"/>
                    <w:rPr>
                      <w:rFonts w:ascii="Calibri" w:eastAsia="Calibri" w:hAnsi="Calibri" w:cs="Calibri"/>
                      <w:b/>
                      <w:color w:val="FFFFFF"/>
                      <w:sz w:val="17"/>
                      <w:szCs w:val="17"/>
                    </w:rPr>
                  </w:pPr>
                  <w:r w:rsidRPr="007463B9">
                    <w:rPr>
                      <w:rFonts w:ascii="Calibri" w:eastAsia="Calibri" w:hAnsi="Calibri" w:cs="Calibri"/>
                      <w:b/>
                      <w:i/>
                      <w:color w:val="FFFFFF"/>
                      <w:sz w:val="20"/>
                      <w:szCs w:val="20"/>
                    </w:rPr>
                    <w:t>f</w:t>
                  </w:r>
                  <w:r w:rsidRPr="007463B9">
                    <w:rPr>
                      <w:rFonts w:ascii="Calibri" w:eastAsia="Calibri" w:hAnsi="Calibri" w:cs="Calibri"/>
                      <w:b/>
                      <w:i/>
                      <w:color w:val="FFFFFF"/>
                      <w:sz w:val="20"/>
                      <w:szCs w:val="20"/>
                      <w:vertAlign w:val="superscript"/>
                    </w:rPr>
                    <w:t>(1)</w:t>
                  </w:r>
                  <w:r w:rsidRPr="007463B9">
                    <w:rPr>
                      <w:rFonts w:ascii="Calibri" w:eastAsia="Calibri" w:hAnsi="Calibri" w:cs="Calibri"/>
                      <w:b/>
                      <w:i/>
                      <w:color w:val="FFFFFF"/>
                      <w:sz w:val="20"/>
                      <w:szCs w:val="20"/>
                      <w:vertAlign w:val="subscript"/>
                    </w:rPr>
                    <w:t>LDW</w:t>
                  </w:r>
                </w:p>
              </w:tc>
            </w:tr>
            <w:tr w:rsidR="00600DEE" w:rsidRPr="00132C08" w14:paraId="3E8BFA5F" w14:textId="77777777" w:rsidTr="00E7601A">
              <w:trPr>
                <w:trHeight w:val="227"/>
              </w:trPr>
              <w:tc>
                <w:tcPr>
                  <w:tcW w:w="1928" w:type="dxa"/>
                  <w:shd w:val="clear" w:color="auto" w:fill="DBE5F1"/>
                  <w:vAlign w:val="center"/>
                </w:tcPr>
                <w:p w14:paraId="2B844B3C"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dolnośląskie</w:t>
                  </w:r>
                </w:p>
              </w:tc>
              <w:tc>
                <w:tcPr>
                  <w:tcW w:w="1305" w:type="dxa"/>
                  <w:shd w:val="clear" w:color="auto" w:fill="DBE5F1"/>
                  <w:vAlign w:val="center"/>
                </w:tcPr>
                <w:p w14:paraId="0D470CD3"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2.342</w:t>
                  </w:r>
                </w:p>
              </w:tc>
              <w:tc>
                <w:tcPr>
                  <w:tcW w:w="2618" w:type="dxa"/>
                  <w:shd w:val="clear" w:color="auto" w:fill="DBE5F1"/>
                  <w:vAlign w:val="center"/>
                </w:tcPr>
                <w:p w14:paraId="79C3ADD3"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podkarpackie</w:t>
                  </w:r>
                </w:p>
              </w:tc>
              <w:tc>
                <w:tcPr>
                  <w:tcW w:w="879" w:type="dxa"/>
                  <w:shd w:val="clear" w:color="auto" w:fill="DBE5F1"/>
                  <w:vAlign w:val="center"/>
                </w:tcPr>
                <w:p w14:paraId="62F07A2D"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2.430</w:t>
                  </w:r>
                </w:p>
              </w:tc>
            </w:tr>
            <w:tr w:rsidR="00600DEE" w:rsidRPr="00132C08" w14:paraId="77C7774E" w14:textId="77777777" w:rsidTr="00E7601A">
              <w:trPr>
                <w:trHeight w:val="227"/>
              </w:trPr>
              <w:tc>
                <w:tcPr>
                  <w:tcW w:w="1928" w:type="dxa"/>
                  <w:shd w:val="clear" w:color="auto" w:fill="DBE5F1"/>
                  <w:vAlign w:val="center"/>
                </w:tcPr>
                <w:p w14:paraId="1B10E92D"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kujawsko-pomorskie</w:t>
                  </w:r>
                </w:p>
              </w:tc>
              <w:tc>
                <w:tcPr>
                  <w:tcW w:w="1305" w:type="dxa"/>
                  <w:shd w:val="clear" w:color="auto" w:fill="DBE5F1"/>
                  <w:vAlign w:val="center"/>
                </w:tcPr>
                <w:p w14:paraId="72CE34F1"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1.696</w:t>
                  </w:r>
                </w:p>
              </w:tc>
              <w:tc>
                <w:tcPr>
                  <w:tcW w:w="2618" w:type="dxa"/>
                  <w:shd w:val="clear" w:color="auto" w:fill="DBE5F1"/>
                  <w:vAlign w:val="center"/>
                </w:tcPr>
                <w:p w14:paraId="6BD1FA55"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podlaskie</w:t>
                  </w:r>
                </w:p>
              </w:tc>
              <w:tc>
                <w:tcPr>
                  <w:tcW w:w="879" w:type="dxa"/>
                  <w:shd w:val="clear" w:color="auto" w:fill="DBE5F1"/>
                  <w:vAlign w:val="center"/>
                </w:tcPr>
                <w:p w14:paraId="717D8796"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1.760</w:t>
                  </w:r>
                </w:p>
              </w:tc>
            </w:tr>
            <w:tr w:rsidR="00600DEE" w:rsidRPr="00132C08" w14:paraId="15786C55" w14:textId="77777777" w:rsidTr="00E7601A">
              <w:trPr>
                <w:trHeight w:val="227"/>
              </w:trPr>
              <w:tc>
                <w:tcPr>
                  <w:tcW w:w="1928" w:type="dxa"/>
                  <w:shd w:val="clear" w:color="auto" w:fill="DBE5F1"/>
                  <w:vAlign w:val="center"/>
                </w:tcPr>
                <w:p w14:paraId="3A38E83E"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lubelskie</w:t>
                  </w:r>
                </w:p>
              </w:tc>
              <w:tc>
                <w:tcPr>
                  <w:tcW w:w="1305" w:type="dxa"/>
                  <w:shd w:val="clear" w:color="auto" w:fill="DBE5F1"/>
                  <w:vAlign w:val="center"/>
                </w:tcPr>
                <w:p w14:paraId="34326492"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2.405</w:t>
                  </w:r>
                </w:p>
              </w:tc>
              <w:tc>
                <w:tcPr>
                  <w:tcW w:w="2618" w:type="dxa"/>
                  <w:shd w:val="clear" w:color="auto" w:fill="DBE5F1"/>
                  <w:vAlign w:val="center"/>
                </w:tcPr>
                <w:p w14:paraId="0C490AE9"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pomorskie</w:t>
                  </w:r>
                </w:p>
              </w:tc>
              <w:tc>
                <w:tcPr>
                  <w:tcW w:w="879" w:type="dxa"/>
                  <w:shd w:val="clear" w:color="auto" w:fill="DBE5F1"/>
                  <w:vAlign w:val="center"/>
                </w:tcPr>
                <w:p w14:paraId="69344643"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2.317</w:t>
                  </w:r>
                </w:p>
              </w:tc>
            </w:tr>
            <w:tr w:rsidR="00600DEE" w:rsidRPr="00132C08" w14:paraId="56C707F0" w14:textId="77777777" w:rsidTr="00E7601A">
              <w:trPr>
                <w:trHeight w:val="227"/>
              </w:trPr>
              <w:tc>
                <w:tcPr>
                  <w:tcW w:w="1928" w:type="dxa"/>
                  <w:shd w:val="clear" w:color="auto" w:fill="DBE5F1"/>
                  <w:vAlign w:val="center"/>
                </w:tcPr>
                <w:p w14:paraId="47E0B33F"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lubuskie</w:t>
                  </w:r>
                </w:p>
              </w:tc>
              <w:tc>
                <w:tcPr>
                  <w:tcW w:w="1305" w:type="dxa"/>
                  <w:shd w:val="clear" w:color="auto" w:fill="DBE5F1"/>
                  <w:vAlign w:val="center"/>
                </w:tcPr>
                <w:p w14:paraId="124964D6"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1.742</w:t>
                  </w:r>
                </w:p>
              </w:tc>
              <w:tc>
                <w:tcPr>
                  <w:tcW w:w="2618" w:type="dxa"/>
                  <w:shd w:val="clear" w:color="auto" w:fill="DBE5F1"/>
                  <w:vAlign w:val="center"/>
                </w:tcPr>
                <w:p w14:paraId="24AE1D44"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śląskie</w:t>
                  </w:r>
                </w:p>
              </w:tc>
              <w:tc>
                <w:tcPr>
                  <w:tcW w:w="879" w:type="dxa"/>
                  <w:shd w:val="clear" w:color="auto" w:fill="DBE5F1"/>
                  <w:vAlign w:val="center"/>
                </w:tcPr>
                <w:p w14:paraId="46A58408"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2.833</w:t>
                  </w:r>
                </w:p>
              </w:tc>
            </w:tr>
            <w:tr w:rsidR="00600DEE" w:rsidRPr="00132C08" w14:paraId="7F4F00D8" w14:textId="77777777" w:rsidTr="00E7601A">
              <w:trPr>
                <w:trHeight w:val="227"/>
              </w:trPr>
              <w:tc>
                <w:tcPr>
                  <w:tcW w:w="1928" w:type="dxa"/>
                  <w:shd w:val="clear" w:color="auto" w:fill="DBE5F1"/>
                  <w:vAlign w:val="center"/>
                </w:tcPr>
                <w:p w14:paraId="2C8864A5"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łódzkie</w:t>
                  </w:r>
                </w:p>
              </w:tc>
              <w:tc>
                <w:tcPr>
                  <w:tcW w:w="1305" w:type="dxa"/>
                  <w:shd w:val="clear" w:color="auto" w:fill="DBE5F1"/>
                  <w:vAlign w:val="center"/>
                </w:tcPr>
                <w:p w14:paraId="0789DB59"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2.701</w:t>
                  </w:r>
                </w:p>
              </w:tc>
              <w:tc>
                <w:tcPr>
                  <w:tcW w:w="2618" w:type="dxa"/>
                  <w:shd w:val="clear" w:color="auto" w:fill="DBE5F1"/>
                  <w:vAlign w:val="center"/>
                </w:tcPr>
                <w:p w14:paraId="4EB08ACC"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świętokrzyskie</w:t>
                  </w:r>
                </w:p>
              </w:tc>
              <w:tc>
                <w:tcPr>
                  <w:tcW w:w="879" w:type="dxa"/>
                  <w:shd w:val="clear" w:color="auto" w:fill="DBE5F1"/>
                  <w:vAlign w:val="center"/>
                </w:tcPr>
                <w:p w14:paraId="65C9870E"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2.430</w:t>
                  </w:r>
                </w:p>
              </w:tc>
            </w:tr>
            <w:tr w:rsidR="00600DEE" w:rsidRPr="00132C08" w14:paraId="0AED970C" w14:textId="77777777" w:rsidTr="00E7601A">
              <w:trPr>
                <w:trHeight w:val="227"/>
              </w:trPr>
              <w:tc>
                <w:tcPr>
                  <w:tcW w:w="1928" w:type="dxa"/>
                  <w:shd w:val="clear" w:color="auto" w:fill="DBE5F1"/>
                  <w:vAlign w:val="center"/>
                </w:tcPr>
                <w:p w14:paraId="14E059BB"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małopolskie</w:t>
                  </w:r>
                </w:p>
              </w:tc>
              <w:tc>
                <w:tcPr>
                  <w:tcW w:w="1305" w:type="dxa"/>
                  <w:shd w:val="clear" w:color="auto" w:fill="DBE5F1"/>
                  <w:vAlign w:val="center"/>
                </w:tcPr>
                <w:p w14:paraId="7DDF06C3"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2.788</w:t>
                  </w:r>
                </w:p>
              </w:tc>
              <w:tc>
                <w:tcPr>
                  <w:tcW w:w="2618" w:type="dxa"/>
                  <w:shd w:val="clear" w:color="auto" w:fill="DBE5F1"/>
                  <w:vAlign w:val="center"/>
                </w:tcPr>
                <w:p w14:paraId="70137101"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warmińsko-mazurskie</w:t>
                  </w:r>
                </w:p>
              </w:tc>
              <w:tc>
                <w:tcPr>
                  <w:tcW w:w="879" w:type="dxa"/>
                  <w:shd w:val="clear" w:color="auto" w:fill="DBE5F1"/>
                  <w:vAlign w:val="center"/>
                </w:tcPr>
                <w:p w14:paraId="34E33178"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2.617</w:t>
                  </w:r>
                </w:p>
              </w:tc>
            </w:tr>
            <w:tr w:rsidR="00600DEE" w:rsidRPr="00132C08" w14:paraId="185F1FFD" w14:textId="77777777" w:rsidTr="00E7601A">
              <w:trPr>
                <w:trHeight w:val="227"/>
              </w:trPr>
              <w:tc>
                <w:tcPr>
                  <w:tcW w:w="1928" w:type="dxa"/>
                  <w:shd w:val="clear" w:color="auto" w:fill="DBE5F1"/>
                  <w:vAlign w:val="center"/>
                </w:tcPr>
                <w:p w14:paraId="57C861A7"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mazowieckie</w:t>
                  </w:r>
                </w:p>
              </w:tc>
              <w:tc>
                <w:tcPr>
                  <w:tcW w:w="1305" w:type="dxa"/>
                  <w:shd w:val="clear" w:color="auto" w:fill="DBE5F1"/>
                  <w:vAlign w:val="center"/>
                </w:tcPr>
                <w:p w14:paraId="3D5729A5"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2.096</w:t>
                  </w:r>
                </w:p>
              </w:tc>
              <w:tc>
                <w:tcPr>
                  <w:tcW w:w="2618" w:type="dxa"/>
                  <w:shd w:val="clear" w:color="auto" w:fill="DBE5F1"/>
                  <w:vAlign w:val="center"/>
                </w:tcPr>
                <w:p w14:paraId="53E580F2"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wielkopolskie</w:t>
                  </w:r>
                </w:p>
              </w:tc>
              <w:tc>
                <w:tcPr>
                  <w:tcW w:w="879" w:type="dxa"/>
                  <w:shd w:val="clear" w:color="auto" w:fill="DBE5F1"/>
                  <w:vAlign w:val="center"/>
                </w:tcPr>
                <w:p w14:paraId="2690B43C"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1.936</w:t>
                  </w:r>
                </w:p>
              </w:tc>
            </w:tr>
            <w:tr w:rsidR="00600DEE" w:rsidRPr="00132C08" w14:paraId="6DB5856E" w14:textId="77777777" w:rsidTr="00E7601A">
              <w:trPr>
                <w:trHeight w:val="227"/>
              </w:trPr>
              <w:tc>
                <w:tcPr>
                  <w:tcW w:w="1928" w:type="dxa"/>
                  <w:shd w:val="clear" w:color="auto" w:fill="DBE5F1"/>
                  <w:vAlign w:val="center"/>
                </w:tcPr>
                <w:p w14:paraId="145AFD9C"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opolskie</w:t>
                  </w:r>
                </w:p>
              </w:tc>
              <w:tc>
                <w:tcPr>
                  <w:tcW w:w="1305" w:type="dxa"/>
                  <w:shd w:val="clear" w:color="auto" w:fill="DBE5F1"/>
                  <w:vAlign w:val="center"/>
                </w:tcPr>
                <w:p w14:paraId="01C01534"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2.063</w:t>
                  </w:r>
                </w:p>
              </w:tc>
              <w:tc>
                <w:tcPr>
                  <w:tcW w:w="2618" w:type="dxa"/>
                  <w:shd w:val="clear" w:color="auto" w:fill="DBE5F1"/>
                  <w:vAlign w:val="center"/>
                </w:tcPr>
                <w:p w14:paraId="40FA22F7"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zachodniopomorskie</w:t>
                  </w:r>
                </w:p>
              </w:tc>
              <w:tc>
                <w:tcPr>
                  <w:tcW w:w="879" w:type="dxa"/>
                  <w:shd w:val="clear" w:color="auto" w:fill="DBE5F1"/>
                  <w:vAlign w:val="center"/>
                </w:tcPr>
                <w:p w14:paraId="571C249D"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1.886</w:t>
                  </w:r>
                </w:p>
              </w:tc>
            </w:tr>
          </w:tbl>
          <w:p w14:paraId="67CCCA77" w14:textId="77777777" w:rsidR="00600DEE" w:rsidRPr="007463B9" w:rsidRDefault="00641FB5">
            <w:pPr>
              <w:spacing w:before="120" w:after="120"/>
              <w:jc w:val="both"/>
              <w:rPr>
                <w:rFonts w:ascii="Calibri" w:eastAsia="Calibri" w:hAnsi="Calibri" w:cs="Calibri"/>
                <w:sz w:val="20"/>
                <w:szCs w:val="20"/>
              </w:rPr>
            </w:pPr>
            <w:r w:rsidRPr="007463B9">
              <w:rPr>
                <w:rFonts w:ascii="Calibri" w:eastAsia="Calibri" w:hAnsi="Calibri" w:cs="Calibri"/>
                <w:b/>
                <w:i/>
                <w:sz w:val="16"/>
                <w:szCs w:val="16"/>
              </w:rPr>
              <w:t>Source: Method of RS indicators</w:t>
            </w:r>
            <w:r w:rsidRPr="007463B9">
              <w:rPr>
                <w:rFonts w:ascii="Calibri" w:eastAsia="Calibri" w:hAnsi="Calibri" w:cs="Calibri"/>
                <w:sz w:val="20"/>
                <w:szCs w:val="20"/>
              </w:rPr>
              <w:t xml:space="preserve"> </w:t>
            </w:r>
          </w:p>
          <w:p w14:paraId="6B8BA0A8" w14:textId="3ECBB623"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sz w:val="20"/>
                <w:szCs w:val="20"/>
                <w:lang w:val="en-GB"/>
              </w:rPr>
              <w:t>If the project does not include the construction/</w:t>
            </w:r>
            <w:r w:rsidR="00B57CEF">
              <w:rPr>
                <w:rFonts w:ascii="Calibri" w:eastAsia="Calibri" w:hAnsi="Calibri" w:cs="Calibri"/>
                <w:sz w:val="20"/>
                <w:szCs w:val="20"/>
                <w:lang w:val="en-GB"/>
              </w:rPr>
              <w:t xml:space="preserve"> </w:t>
            </w:r>
            <w:r w:rsidRPr="0045151D">
              <w:rPr>
                <w:rFonts w:ascii="Calibri" w:eastAsia="Calibri" w:hAnsi="Calibri" w:cs="Calibri"/>
                <w:sz w:val="20"/>
                <w:szCs w:val="20"/>
                <w:lang w:val="en-GB"/>
              </w:rPr>
              <w:t xml:space="preserve">reconstruction of single carriageway road, the average value of the location factor </w:t>
            </w:r>
            <w:r w:rsidRPr="0045151D">
              <w:rPr>
                <w:rFonts w:ascii="Calibri" w:eastAsia="Calibri" w:hAnsi="Calibri" w:cs="Calibri"/>
                <w:b/>
                <w:i/>
                <w:sz w:val="20"/>
                <w:szCs w:val="20"/>
                <w:lang w:val="en-GB"/>
              </w:rPr>
              <w:t>f</w:t>
            </w:r>
            <w:r w:rsidRPr="0045151D">
              <w:rPr>
                <w:rFonts w:ascii="Calibri" w:eastAsia="Calibri" w:hAnsi="Calibri" w:cs="Calibri"/>
                <w:b/>
                <w:i/>
                <w:sz w:val="20"/>
                <w:szCs w:val="20"/>
                <w:vertAlign w:val="superscript"/>
                <w:lang w:val="en-GB"/>
              </w:rPr>
              <w:t>(1)</w:t>
            </w:r>
            <w:r w:rsidRPr="0045151D">
              <w:rPr>
                <w:rFonts w:ascii="Calibri" w:eastAsia="Calibri" w:hAnsi="Calibri" w:cs="Calibri"/>
                <w:b/>
                <w:i/>
                <w:sz w:val="20"/>
                <w:szCs w:val="20"/>
                <w:vertAlign w:val="subscript"/>
                <w:lang w:val="en-GB"/>
              </w:rPr>
              <w:t xml:space="preserve">LDW </w:t>
            </w:r>
            <w:r w:rsidRPr="0045151D">
              <w:rPr>
                <w:rFonts w:ascii="Calibri" w:eastAsia="Calibri" w:hAnsi="Calibri" w:cs="Calibri"/>
                <w:b/>
                <w:sz w:val="20"/>
                <w:szCs w:val="20"/>
                <w:lang w:val="en-GB"/>
              </w:rPr>
              <w:t>= 2.253</w:t>
            </w:r>
            <w:r w:rsidRPr="0045151D">
              <w:rPr>
                <w:rFonts w:ascii="Calibri" w:eastAsia="Calibri" w:hAnsi="Calibri" w:cs="Calibri"/>
                <w:b/>
                <w:lang w:val="en-GB"/>
              </w:rPr>
              <w:t xml:space="preserve"> </w:t>
            </w:r>
            <w:r w:rsidRPr="0045151D">
              <w:rPr>
                <w:rFonts w:ascii="Calibri" w:eastAsia="Calibri" w:hAnsi="Calibri" w:cs="Calibri"/>
                <w:sz w:val="20"/>
                <w:szCs w:val="20"/>
                <w:lang w:val="en-GB"/>
              </w:rPr>
              <w:t>can be used for network calculations, with RAI value for single carriageway roads according to the table below.</w:t>
            </w:r>
          </w:p>
          <w:p w14:paraId="669F3002" w14:textId="77777777" w:rsidR="00600DEE" w:rsidRPr="0045151D" w:rsidRDefault="00641FB5">
            <w:pPr>
              <w:spacing w:before="120" w:after="120"/>
              <w:ind w:left="707" w:hanging="707"/>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 xml:space="preserve">Table 5. RAI indicators for single carriageways considering average </w:t>
            </w:r>
            <w:r w:rsidRPr="0045151D">
              <w:rPr>
                <w:rFonts w:ascii="Calibri" w:eastAsia="Calibri" w:hAnsi="Calibri" w:cs="Calibri"/>
                <w:b/>
                <w:color w:val="4F81BD"/>
                <w:lang w:val="en-GB"/>
              </w:rPr>
              <w:t>f</w:t>
            </w:r>
            <w:r w:rsidRPr="0045151D">
              <w:rPr>
                <w:rFonts w:ascii="Calibri" w:eastAsia="Calibri" w:hAnsi="Calibri" w:cs="Calibri"/>
                <w:b/>
                <w:color w:val="4F81BD"/>
                <w:vertAlign w:val="superscript"/>
                <w:lang w:val="en-GB"/>
              </w:rPr>
              <w:t>(1)</w:t>
            </w:r>
            <w:r w:rsidRPr="0045151D">
              <w:rPr>
                <w:rFonts w:ascii="Calibri" w:eastAsia="Calibri" w:hAnsi="Calibri" w:cs="Calibri"/>
                <w:b/>
                <w:color w:val="4F81BD"/>
                <w:vertAlign w:val="subscript"/>
                <w:lang w:val="en-GB"/>
              </w:rPr>
              <w:t xml:space="preserve">LDW </w:t>
            </w:r>
            <w:r w:rsidRPr="0045151D">
              <w:rPr>
                <w:rFonts w:ascii="Calibri" w:eastAsia="Calibri" w:hAnsi="Calibri" w:cs="Calibri"/>
                <w:b/>
                <w:color w:val="4F81BD"/>
                <w:sz w:val="20"/>
                <w:szCs w:val="20"/>
                <w:lang w:val="en-GB"/>
              </w:rPr>
              <w:t xml:space="preserve"> (in</w:t>
            </w:r>
            <w:r w:rsidRPr="0045151D">
              <w:rPr>
                <w:rFonts w:ascii="Calibri" w:eastAsia="Calibri" w:hAnsi="Calibri" w:cs="Calibri"/>
                <w:b/>
                <w:color w:val="4F81BD"/>
                <w:sz w:val="20"/>
                <w:szCs w:val="20"/>
                <w:lang w:val="en-GB"/>
              </w:rPr>
              <w:br/>
              <w:t>accidents/10</w:t>
            </w:r>
            <w:r w:rsidRPr="0045151D">
              <w:rPr>
                <w:rFonts w:ascii="Calibri" w:eastAsia="Calibri" w:hAnsi="Calibri" w:cs="Calibri"/>
                <w:b/>
                <w:color w:val="4F81BD"/>
                <w:sz w:val="20"/>
                <w:szCs w:val="20"/>
                <w:vertAlign w:val="superscript"/>
                <w:lang w:val="en-GB"/>
              </w:rPr>
              <w:t>6</w:t>
            </w:r>
            <w:r w:rsidRPr="0045151D">
              <w:rPr>
                <w:rFonts w:ascii="Calibri" w:eastAsia="Calibri" w:hAnsi="Calibri" w:cs="Calibri"/>
                <w:b/>
                <w:color w:val="4F81BD"/>
                <w:sz w:val="20"/>
                <w:szCs w:val="20"/>
                <w:lang w:val="en-GB"/>
              </w:rPr>
              <w:t xml:space="preserve">veh-km/day) </w:t>
            </w:r>
          </w:p>
          <w:tbl>
            <w:tblPr>
              <w:tblStyle w:val="affffffffffffffff1"/>
              <w:tblW w:w="6725" w:type="dxa"/>
              <w:tblLayout w:type="fixed"/>
              <w:tblLook w:val="0400" w:firstRow="0" w:lastRow="0" w:firstColumn="0" w:lastColumn="0" w:noHBand="0" w:noVBand="1"/>
            </w:tblPr>
            <w:tblGrid>
              <w:gridCol w:w="2103"/>
              <w:gridCol w:w="771"/>
              <w:gridCol w:w="771"/>
              <w:gridCol w:w="770"/>
              <w:gridCol w:w="770"/>
              <w:gridCol w:w="770"/>
              <w:gridCol w:w="770"/>
            </w:tblGrid>
            <w:tr w:rsidR="00600DEE" w:rsidRPr="007463B9" w14:paraId="2CCA8EEE" w14:textId="77777777" w:rsidTr="001147E5">
              <w:trPr>
                <w:trHeight w:hRule="exact" w:val="340"/>
              </w:trPr>
              <w:tc>
                <w:tcPr>
                  <w:tcW w:w="154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0401BAFC" w14:textId="77777777" w:rsidR="00600DEE" w:rsidRPr="0045151D" w:rsidRDefault="00641FB5">
                  <w:pPr>
                    <w:jc w:val="center"/>
                    <w:rPr>
                      <w:rFonts w:ascii="Calibri" w:eastAsia="Calibri" w:hAnsi="Calibri" w:cs="Calibri"/>
                      <w:b/>
                      <w:color w:val="FFFFFF"/>
                      <w:sz w:val="18"/>
                      <w:szCs w:val="18"/>
                      <w:lang w:val="en-GB"/>
                    </w:rPr>
                  </w:pPr>
                  <w:r w:rsidRPr="0045151D">
                    <w:rPr>
                      <w:rFonts w:ascii="Calibri" w:eastAsia="Calibri" w:hAnsi="Calibri" w:cs="Calibri"/>
                      <w:b/>
                      <w:color w:val="FFFFFF"/>
                      <w:sz w:val="18"/>
                      <w:szCs w:val="18"/>
                      <w:lang w:val="en-GB"/>
                    </w:rPr>
                    <w:t>RAI(LDW)/ AADT</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516F0B7F"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S1x2n</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2C18D896"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S1x2n</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5039B6FA"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GP1x2n</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512D6F68"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GP1x2z</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5717D9C6"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G1x2n</w:t>
                  </w:r>
                </w:p>
              </w:tc>
              <w:tc>
                <w:tcPr>
                  <w:tcW w:w="567" w:type="dxa"/>
                  <w:tcBorders>
                    <w:top w:val="single" w:sz="8" w:space="0" w:color="FFFFFF"/>
                    <w:left w:val="single" w:sz="8" w:space="0" w:color="FFFFFF"/>
                    <w:bottom w:val="single" w:sz="4" w:space="0" w:color="FFFFFF"/>
                    <w:right w:val="single" w:sz="8" w:space="0" w:color="FFFFFF"/>
                  </w:tcBorders>
                  <w:shd w:val="clear" w:color="auto" w:fill="A6A6A6"/>
                  <w:vAlign w:val="center"/>
                </w:tcPr>
                <w:p w14:paraId="490A5779"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G1x2z</w:t>
                  </w:r>
                </w:p>
              </w:tc>
            </w:tr>
            <w:tr w:rsidR="00600DEE" w:rsidRPr="007463B9" w14:paraId="321A1A5B" w14:textId="77777777" w:rsidTr="001147E5">
              <w:trPr>
                <w:trHeight w:hRule="exact" w:val="340"/>
              </w:trPr>
              <w:tc>
                <w:tcPr>
                  <w:tcW w:w="1547" w:type="dxa"/>
                  <w:tcBorders>
                    <w:top w:val="single" w:sz="4" w:space="0" w:color="FFFFFF"/>
                    <w:left w:val="single" w:sz="8" w:space="0" w:color="FFFFFF"/>
                    <w:bottom w:val="single" w:sz="4" w:space="0" w:color="FFFFFF"/>
                    <w:right w:val="nil"/>
                  </w:tcBorders>
                  <w:shd w:val="clear" w:color="auto" w:fill="DBE5F1"/>
                  <w:vAlign w:val="center"/>
                </w:tcPr>
                <w:p w14:paraId="71DA0F5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0 - 5 000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58C208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0.194</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BC8A84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0.192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BED298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0.268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45DEED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0.397</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2A071B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0.219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303666F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0.336</w:t>
                  </w:r>
                </w:p>
              </w:tc>
            </w:tr>
            <w:tr w:rsidR="00600DEE" w:rsidRPr="007463B9" w14:paraId="1CA38046" w14:textId="77777777" w:rsidTr="001147E5">
              <w:trPr>
                <w:trHeight w:hRule="exact" w:val="340"/>
              </w:trPr>
              <w:tc>
                <w:tcPr>
                  <w:tcW w:w="1547" w:type="dxa"/>
                  <w:tcBorders>
                    <w:top w:val="single" w:sz="4" w:space="0" w:color="FFFFFF"/>
                    <w:left w:val="single" w:sz="8" w:space="0" w:color="FFFFFF"/>
                    <w:bottom w:val="single" w:sz="4" w:space="0" w:color="FFFFFF"/>
                    <w:right w:val="nil"/>
                  </w:tcBorders>
                  <w:shd w:val="clear" w:color="auto" w:fill="DBE5F1"/>
                  <w:vAlign w:val="center"/>
                </w:tcPr>
                <w:p w14:paraId="2E71E71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5000 - 10 000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2BBCCA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0.124</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59A7E8D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0.160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99C010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0.223</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0DF641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0.331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50FD9A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0.182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C1E2CA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0.282</w:t>
                  </w:r>
                </w:p>
              </w:tc>
            </w:tr>
            <w:tr w:rsidR="00600DEE" w:rsidRPr="007463B9" w14:paraId="73A8E0CB" w14:textId="77777777" w:rsidTr="001147E5">
              <w:trPr>
                <w:trHeight w:hRule="exact" w:val="340"/>
              </w:trPr>
              <w:tc>
                <w:tcPr>
                  <w:tcW w:w="1547" w:type="dxa"/>
                  <w:tcBorders>
                    <w:top w:val="single" w:sz="4" w:space="0" w:color="FFFFFF"/>
                    <w:left w:val="single" w:sz="8" w:space="0" w:color="FFFFFF"/>
                    <w:bottom w:val="single" w:sz="4" w:space="0" w:color="FFFFFF"/>
                    <w:right w:val="nil"/>
                  </w:tcBorders>
                  <w:shd w:val="clear" w:color="auto" w:fill="DBE5F1"/>
                  <w:vAlign w:val="center"/>
                </w:tcPr>
                <w:p w14:paraId="477CB81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10 000 - 20 000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6AF798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4D6708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1A8039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0.198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59ED78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0.295</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9BF32C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0.162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70CDDE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0.250</w:t>
                  </w:r>
                </w:p>
              </w:tc>
            </w:tr>
            <w:tr w:rsidR="00600DEE" w:rsidRPr="007463B9" w14:paraId="6E505CE0" w14:textId="77777777" w:rsidTr="001147E5">
              <w:trPr>
                <w:trHeight w:hRule="exact" w:val="340"/>
              </w:trPr>
              <w:tc>
                <w:tcPr>
                  <w:tcW w:w="1547" w:type="dxa"/>
                  <w:tcBorders>
                    <w:top w:val="single" w:sz="4" w:space="0" w:color="FFFFFF"/>
                    <w:left w:val="single" w:sz="8" w:space="0" w:color="FFFFFF"/>
                    <w:bottom w:val="single" w:sz="4" w:space="0" w:color="FFFFFF"/>
                    <w:right w:val="nil"/>
                  </w:tcBorders>
                  <w:shd w:val="clear" w:color="auto" w:fill="DBE5F1"/>
                  <w:vAlign w:val="center"/>
                </w:tcPr>
                <w:p w14:paraId="30C4C6B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20000 - 30 000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807C41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2CFA013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0.131</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E0C8B0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0.180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23F017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0.268</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627C4E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EB91B1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0.228</w:t>
                  </w:r>
                </w:p>
              </w:tc>
            </w:tr>
            <w:tr w:rsidR="00600DEE" w:rsidRPr="007463B9" w14:paraId="0A17174E" w14:textId="77777777" w:rsidTr="001147E5">
              <w:trPr>
                <w:trHeight w:hRule="exact" w:val="340"/>
              </w:trPr>
              <w:tc>
                <w:tcPr>
                  <w:tcW w:w="1547" w:type="dxa"/>
                  <w:tcBorders>
                    <w:top w:val="single" w:sz="4" w:space="0" w:color="FFFFFF"/>
                    <w:left w:val="single" w:sz="8" w:space="0" w:color="FFFFFF"/>
                    <w:bottom w:val="single" w:sz="4" w:space="0" w:color="FFFFFF"/>
                    <w:right w:val="nil"/>
                  </w:tcBorders>
                  <w:shd w:val="clear" w:color="auto" w:fill="DBE5F1"/>
                  <w:vAlign w:val="center"/>
                </w:tcPr>
                <w:p w14:paraId="1C07E75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30000 - 40 000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76422EF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0.095</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411D04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0.122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1A70973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0.169</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C65641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0.252</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08BD4A5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0.140</w:t>
                  </w:r>
                </w:p>
              </w:tc>
              <w:tc>
                <w:tcPr>
                  <w:tcW w:w="567" w:type="dxa"/>
                  <w:tcBorders>
                    <w:top w:val="single" w:sz="4" w:space="0" w:color="FFFFFF"/>
                    <w:left w:val="single" w:sz="8" w:space="0" w:color="FFFFFF"/>
                    <w:bottom w:val="single" w:sz="4" w:space="0" w:color="FFFFFF"/>
                    <w:right w:val="nil"/>
                  </w:tcBorders>
                  <w:shd w:val="clear" w:color="auto" w:fill="DBE5F1"/>
                  <w:vAlign w:val="center"/>
                </w:tcPr>
                <w:p w14:paraId="60D9441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0.212</w:t>
                  </w:r>
                </w:p>
              </w:tc>
            </w:tr>
            <w:tr w:rsidR="00600DEE" w:rsidRPr="007463B9" w14:paraId="636F3AAC" w14:textId="77777777" w:rsidTr="001147E5">
              <w:trPr>
                <w:trHeight w:hRule="exact" w:val="340"/>
              </w:trPr>
              <w:tc>
                <w:tcPr>
                  <w:tcW w:w="1547" w:type="dxa"/>
                  <w:tcBorders>
                    <w:top w:val="single" w:sz="4" w:space="0" w:color="FFFFFF"/>
                    <w:left w:val="single" w:sz="8" w:space="0" w:color="FFFFFF"/>
                    <w:bottom w:val="single" w:sz="8" w:space="0" w:color="FFFFFF"/>
                    <w:right w:val="nil"/>
                  </w:tcBorders>
                  <w:shd w:val="clear" w:color="auto" w:fill="DBE5F1"/>
                  <w:vAlign w:val="center"/>
                </w:tcPr>
                <w:p w14:paraId="32E5CE1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above 40 000</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352068D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0.090</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37634FE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0.113</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77FC5F0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0.158</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27D665C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0.225</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670BAC8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0.135</w:t>
                  </w:r>
                </w:p>
              </w:tc>
              <w:tc>
                <w:tcPr>
                  <w:tcW w:w="567" w:type="dxa"/>
                  <w:tcBorders>
                    <w:top w:val="single" w:sz="4" w:space="0" w:color="FFFFFF"/>
                    <w:left w:val="single" w:sz="8" w:space="0" w:color="FFFFFF"/>
                    <w:bottom w:val="single" w:sz="8" w:space="0" w:color="FFFFFF"/>
                    <w:right w:val="nil"/>
                  </w:tcBorders>
                  <w:shd w:val="clear" w:color="auto" w:fill="DBE5F1"/>
                  <w:vAlign w:val="center"/>
                </w:tcPr>
                <w:p w14:paraId="45E7A9F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0.203</w:t>
                  </w:r>
                </w:p>
              </w:tc>
            </w:tr>
          </w:tbl>
          <w:p w14:paraId="3D2AB432"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b/>
                <w:i/>
                <w:sz w:val="16"/>
                <w:szCs w:val="16"/>
                <w:lang w:val="en-GB"/>
              </w:rPr>
              <w:t>Source:  Own calculations based on the method of RS indicators</w:t>
            </w:r>
            <w:r w:rsidRPr="0045151D">
              <w:rPr>
                <w:rFonts w:ascii="Calibri" w:eastAsia="Calibri" w:hAnsi="Calibri" w:cs="Calibri"/>
                <w:sz w:val="20"/>
                <w:szCs w:val="20"/>
                <w:lang w:val="en-GB"/>
              </w:rPr>
              <w:t xml:space="preserve"> </w:t>
            </w:r>
          </w:p>
          <w:p w14:paraId="2A4FC898"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3"/>
                <w:szCs w:val="23"/>
                <w:lang w:val="en-GB"/>
              </w:rPr>
            </w:pPr>
            <w:r w:rsidRPr="0045151D">
              <w:rPr>
                <w:rFonts w:ascii="Calibri" w:eastAsia="Calibri" w:hAnsi="Calibri" w:cs="Calibri"/>
                <w:b/>
                <w:color w:val="4F81BD"/>
                <w:sz w:val="23"/>
                <w:szCs w:val="23"/>
                <w:lang w:val="en-GB"/>
              </w:rPr>
              <w:t>3.   Number of accident victims</w:t>
            </w:r>
          </w:p>
          <w:p w14:paraId="51CF2E4F" w14:textId="77777777" w:rsidR="00600DEE" w:rsidRPr="0045151D" w:rsidRDefault="00641FB5">
            <w:pPr>
              <w:spacing w:before="120" w:after="120"/>
              <w:jc w:val="both"/>
              <w:rPr>
                <w:rFonts w:ascii="Calibri" w:eastAsia="Calibri" w:hAnsi="Calibri" w:cs="Calibri"/>
                <w:color w:val="222222"/>
                <w:sz w:val="20"/>
                <w:szCs w:val="20"/>
                <w:lang w:val="en-GB"/>
              </w:rPr>
            </w:pPr>
            <w:r w:rsidRPr="0045151D">
              <w:rPr>
                <w:rFonts w:ascii="Calibri" w:eastAsia="Calibri" w:hAnsi="Calibri" w:cs="Calibri"/>
                <w:color w:val="222222"/>
                <w:sz w:val="20"/>
                <w:szCs w:val="20"/>
                <w:lang w:val="en-GB"/>
              </w:rPr>
              <w:t xml:space="preserve">Tables for WR, WCR and WZ include factors on the average number of victims per one road accident (injured, seriously injured and fatalities, respectively), differentiated by road categories. These factors were calculated using national road network data and accidents data for the years 2011 - 2013. </w:t>
            </w:r>
          </w:p>
          <w:p w14:paraId="1430644B" w14:textId="77777777" w:rsidR="00600DEE" w:rsidRPr="0045151D" w:rsidRDefault="00641FB5">
            <w:pPr>
              <w:spacing w:before="120" w:after="120"/>
              <w:jc w:val="both"/>
              <w:rPr>
                <w:rFonts w:ascii="Calibri" w:eastAsia="Calibri" w:hAnsi="Calibri" w:cs="Calibri"/>
                <w:color w:val="222222"/>
                <w:sz w:val="20"/>
                <w:szCs w:val="20"/>
                <w:lang w:val="en-GB"/>
              </w:rPr>
            </w:pPr>
            <w:r w:rsidRPr="0045151D">
              <w:rPr>
                <w:rFonts w:ascii="Calibri" w:eastAsia="Calibri" w:hAnsi="Calibri" w:cs="Calibri"/>
                <w:color w:val="222222"/>
                <w:sz w:val="20"/>
                <w:szCs w:val="20"/>
                <w:lang w:val="en-GB"/>
              </w:rPr>
              <w:t>These factors are the basis to obtain the number of injured (LR), seriously injured (LCR) and fatalities (LZ), multiplying them by the respective number of road accidents.</w:t>
            </w:r>
          </w:p>
          <w:p w14:paraId="1F8451B0" w14:textId="4C1ADF49" w:rsidR="00600DEE" w:rsidRPr="0045151D" w:rsidRDefault="006C5DD9">
            <w:pPr>
              <w:pBdr>
                <w:top w:val="nil"/>
                <w:left w:val="nil"/>
                <w:bottom w:val="nil"/>
                <w:right w:val="nil"/>
                <w:between w:val="nil"/>
              </w:pBdr>
              <w:spacing w:before="120" w:after="120"/>
              <w:jc w:val="both"/>
              <w:rPr>
                <w:rFonts w:ascii="Calibri" w:eastAsia="Calibri" w:hAnsi="Calibri" w:cs="Calibri"/>
                <w:color w:val="222222"/>
                <w:sz w:val="20"/>
                <w:szCs w:val="20"/>
                <w:lang w:val="en-GB"/>
              </w:rPr>
            </w:pPr>
            <w:r>
              <w:rPr>
                <w:rFonts w:ascii="Calibri" w:eastAsia="Calibri" w:hAnsi="Calibri" w:cs="Calibri"/>
                <w:color w:val="222222"/>
                <w:sz w:val="20"/>
                <w:szCs w:val="20"/>
                <w:lang w:val="en-GB"/>
              </w:rPr>
              <w:t>T</w:t>
            </w:r>
            <w:r w:rsidR="00641FB5" w:rsidRPr="0045151D">
              <w:rPr>
                <w:rFonts w:ascii="Calibri" w:eastAsia="Calibri" w:hAnsi="Calibri" w:cs="Calibri"/>
                <w:color w:val="222222"/>
                <w:sz w:val="20"/>
                <w:szCs w:val="20"/>
                <w:lang w:val="en-GB"/>
              </w:rPr>
              <w:t>he number of slightly injured (LLR) sho</w:t>
            </w:r>
            <w:r w:rsidR="00B57CEF">
              <w:rPr>
                <w:rFonts w:ascii="Calibri" w:eastAsia="Calibri" w:hAnsi="Calibri" w:cs="Calibri"/>
                <w:color w:val="222222"/>
                <w:sz w:val="20"/>
                <w:szCs w:val="20"/>
                <w:lang w:val="en-GB"/>
              </w:rPr>
              <w:t xml:space="preserve">uld be </w:t>
            </w:r>
            <w:r w:rsidR="00641FB5" w:rsidRPr="0045151D">
              <w:rPr>
                <w:rFonts w:ascii="Calibri" w:eastAsia="Calibri" w:hAnsi="Calibri" w:cs="Calibri"/>
                <w:color w:val="222222"/>
                <w:sz w:val="20"/>
                <w:szCs w:val="20"/>
                <w:lang w:val="en-GB"/>
              </w:rPr>
              <w:t>calculated as LR-LCR difference.</w:t>
            </w:r>
          </w:p>
          <w:p w14:paraId="323E8882"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323299"/>
                <w:sz w:val="23"/>
                <w:szCs w:val="23"/>
                <w:lang w:val="en-GB"/>
              </w:rPr>
            </w:pPr>
            <w:r w:rsidRPr="0045151D">
              <w:rPr>
                <w:rFonts w:ascii="Calibri" w:eastAsia="Calibri" w:hAnsi="Calibri" w:cs="Calibri"/>
                <w:color w:val="222222"/>
                <w:sz w:val="20"/>
                <w:szCs w:val="20"/>
                <w:lang w:val="en-GB"/>
              </w:rPr>
              <w:t>Tables 6 and 7 provide the values of accident severity indicators calculated for the national roads, while Table 8 applies to the voivodeship, commune and county roads.</w:t>
            </w:r>
          </w:p>
          <w:p w14:paraId="2407A637" w14:textId="77777777" w:rsidR="00600DEE" w:rsidRPr="0045151D" w:rsidRDefault="00600DEE">
            <w:pPr>
              <w:spacing w:before="120" w:after="120"/>
              <w:ind w:left="707" w:hanging="707"/>
              <w:rPr>
                <w:rFonts w:ascii="Calibri" w:eastAsia="Calibri" w:hAnsi="Calibri" w:cs="Calibri"/>
                <w:b/>
                <w:color w:val="4F81BD"/>
                <w:sz w:val="20"/>
                <w:szCs w:val="20"/>
                <w:lang w:val="en-GB"/>
              </w:rPr>
            </w:pPr>
          </w:p>
          <w:p w14:paraId="54804E4B" w14:textId="77777777" w:rsidR="00600DEE" w:rsidRPr="0045151D" w:rsidRDefault="00600DEE">
            <w:pPr>
              <w:spacing w:before="120" w:after="120"/>
              <w:ind w:left="707" w:hanging="707"/>
              <w:rPr>
                <w:rFonts w:ascii="Calibri" w:eastAsia="Calibri" w:hAnsi="Calibri" w:cs="Calibri"/>
                <w:b/>
                <w:color w:val="4F81BD"/>
                <w:sz w:val="20"/>
                <w:szCs w:val="20"/>
                <w:lang w:val="en-GB"/>
              </w:rPr>
            </w:pPr>
          </w:p>
          <w:p w14:paraId="59486391" w14:textId="77777777" w:rsidR="00600DEE" w:rsidRPr="0045151D" w:rsidRDefault="00600DEE">
            <w:pPr>
              <w:spacing w:before="120" w:after="120"/>
              <w:ind w:left="707" w:hanging="707"/>
              <w:rPr>
                <w:rFonts w:ascii="Calibri" w:eastAsia="Calibri" w:hAnsi="Calibri" w:cs="Calibri"/>
                <w:b/>
                <w:color w:val="4F81BD"/>
                <w:sz w:val="20"/>
                <w:szCs w:val="20"/>
                <w:lang w:val="en-GB"/>
              </w:rPr>
            </w:pPr>
          </w:p>
          <w:p w14:paraId="7816C347" w14:textId="77777777" w:rsidR="00600DEE" w:rsidRPr="0045151D" w:rsidRDefault="00641FB5">
            <w:pPr>
              <w:spacing w:before="120" w:after="120"/>
              <w:ind w:left="707" w:hanging="707"/>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6.  Accident severity factors (in pers./numb. of accidents) for dual cariageways</w:t>
            </w:r>
          </w:p>
          <w:tbl>
            <w:tblPr>
              <w:tblStyle w:val="affffffffffffffff2"/>
              <w:tblW w:w="6725" w:type="dxa"/>
              <w:tblLayout w:type="fixed"/>
              <w:tblLook w:val="0400" w:firstRow="0" w:lastRow="0" w:firstColumn="0" w:lastColumn="0" w:noHBand="0" w:noVBand="1"/>
            </w:tblPr>
            <w:tblGrid>
              <w:gridCol w:w="673"/>
              <w:gridCol w:w="818"/>
              <w:gridCol w:w="655"/>
              <w:gridCol w:w="655"/>
              <w:gridCol w:w="654"/>
              <w:gridCol w:w="654"/>
              <w:gridCol w:w="654"/>
              <w:gridCol w:w="654"/>
              <w:gridCol w:w="654"/>
              <w:gridCol w:w="654"/>
            </w:tblGrid>
            <w:tr w:rsidR="00600DEE" w:rsidRPr="007463B9" w14:paraId="322C9533" w14:textId="77777777" w:rsidTr="00EE29B5">
              <w:trPr>
                <w:trHeight w:val="315"/>
              </w:trPr>
              <w:tc>
                <w:tcPr>
                  <w:tcW w:w="582" w:type="dxa"/>
                  <w:tcBorders>
                    <w:top w:val="single" w:sz="8" w:space="0" w:color="FFFFFF"/>
                    <w:left w:val="single" w:sz="8" w:space="0" w:color="FFFFFF"/>
                    <w:bottom w:val="nil"/>
                    <w:right w:val="nil"/>
                  </w:tcBorders>
                  <w:shd w:val="clear" w:color="auto" w:fill="A6A6A6"/>
                  <w:vAlign w:val="center"/>
                </w:tcPr>
                <w:p w14:paraId="1C4E5FCC" w14:textId="77777777" w:rsidR="00600DEE" w:rsidRPr="0045151D" w:rsidRDefault="00600DEE">
                  <w:pPr>
                    <w:jc w:val="center"/>
                    <w:rPr>
                      <w:rFonts w:ascii="Calibri" w:eastAsia="Calibri" w:hAnsi="Calibri" w:cs="Calibri"/>
                      <w:b/>
                      <w:color w:val="FFFFFF"/>
                      <w:sz w:val="16"/>
                      <w:szCs w:val="16"/>
                      <w:lang w:val="en-GB"/>
                    </w:rPr>
                  </w:pPr>
                </w:p>
              </w:tc>
              <w:tc>
                <w:tcPr>
                  <w:tcW w:w="708" w:type="dxa"/>
                  <w:tcBorders>
                    <w:top w:val="single" w:sz="8" w:space="0" w:color="FFFFFF"/>
                    <w:left w:val="nil"/>
                    <w:bottom w:val="nil"/>
                    <w:right w:val="nil"/>
                  </w:tcBorders>
                  <w:shd w:val="clear" w:color="auto" w:fill="A6A6A6"/>
                  <w:vAlign w:val="center"/>
                </w:tcPr>
                <w:p w14:paraId="05BDE942"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A2x2</w:t>
                  </w:r>
                </w:p>
              </w:tc>
              <w:tc>
                <w:tcPr>
                  <w:tcW w:w="567" w:type="dxa"/>
                  <w:tcBorders>
                    <w:top w:val="single" w:sz="8" w:space="0" w:color="FFFFFF"/>
                    <w:left w:val="single" w:sz="8" w:space="0" w:color="FFFFFF"/>
                    <w:bottom w:val="single" w:sz="8" w:space="0" w:color="FFFFFF"/>
                    <w:right w:val="single" w:sz="8" w:space="0" w:color="FFFFFF"/>
                  </w:tcBorders>
                  <w:shd w:val="clear" w:color="auto" w:fill="A6A6A6"/>
                  <w:vAlign w:val="center"/>
                </w:tcPr>
                <w:p w14:paraId="61AA3BC7"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A2x3</w:t>
                  </w:r>
                </w:p>
              </w:tc>
              <w:tc>
                <w:tcPr>
                  <w:tcW w:w="567" w:type="dxa"/>
                  <w:tcBorders>
                    <w:top w:val="single" w:sz="8" w:space="0" w:color="FFFFFF"/>
                    <w:left w:val="nil"/>
                    <w:bottom w:val="single" w:sz="8" w:space="0" w:color="FFFFFF"/>
                    <w:right w:val="nil"/>
                  </w:tcBorders>
                  <w:shd w:val="clear" w:color="auto" w:fill="A6A6A6"/>
                  <w:vAlign w:val="center"/>
                </w:tcPr>
                <w:p w14:paraId="5AC420FA"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S2+1</w:t>
                  </w:r>
                </w:p>
              </w:tc>
              <w:tc>
                <w:tcPr>
                  <w:tcW w:w="567" w:type="dxa"/>
                  <w:tcBorders>
                    <w:top w:val="single" w:sz="8" w:space="0" w:color="FFFFFF"/>
                    <w:left w:val="single" w:sz="8" w:space="0" w:color="FFFFFF"/>
                    <w:bottom w:val="single" w:sz="8" w:space="0" w:color="FFFFFF"/>
                    <w:right w:val="single" w:sz="8" w:space="0" w:color="FFFFFF"/>
                  </w:tcBorders>
                  <w:shd w:val="clear" w:color="auto" w:fill="A6A6A6"/>
                  <w:vAlign w:val="center"/>
                </w:tcPr>
                <w:p w14:paraId="3131EEF0"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S2x2</w:t>
                  </w:r>
                </w:p>
              </w:tc>
              <w:tc>
                <w:tcPr>
                  <w:tcW w:w="567" w:type="dxa"/>
                  <w:tcBorders>
                    <w:top w:val="single" w:sz="8" w:space="0" w:color="FFFFFF"/>
                    <w:left w:val="nil"/>
                    <w:bottom w:val="single" w:sz="8" w:space="0" w:color="FFFFFF"/>
                    <w:right w:val="single" w:sz="8" w:space="0" w:color="FFFFFF"/>
                  </w:tcBorders>
                  <w:shd w:val="clear" w:color="auto" w:fill="A6A6A6"/>
                  <w:vAlign w:val="center"/>
                </w:tcPr>
                <w:p w14:paraId="63A8380A"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S2x3</w:t>
                  </w:r>
                </w:p>
              </w:tc>
              <w:tc>
                <w:tcPr>
                  <w:tcW w:w="567" w:type="dxa"/>
                  <w:tcBorders>
                    <w:top w:val="single" w:sz="8" w:space="0" w:color="FFFFFF"/>
                    <w:left w:val="nil"/>
                    <w:bottom w:val="single" w:sz="8" w:space="0" w:color="FFFFFF"/>
                    <w:right w:val="single" w:sz="8" w:space="0" w:color="FFFFFF"/>
                  </w:tcBorders>
                  <w:shd w:val="clear" w:color="auto" w:fill="A6A6A6"/>
                  <w:vAlign w:val="center"/>
                </w:tcPr>
                <w:p w14:paraId="477AC314"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GP2x2n</w:t>
                  </w:r>
                </w:p>
              </w:tc>
              <w:tc>
                <w:tcPr>
                  <w:tcW w:w="567" w:type="dxa"/>
                  <w:tcBorders>
                    <w:top w:val="single" w:sz="8" w:space="0" w:color="FFFFFF"/>
                    <w:left w:val="nil"/>
                    <w:bottom w:val="single" w:sz="8" w:space="0" w:color="FFFFFF"/>
                    <w:right w:val="nil"/>
                  </w:tcBorders>
                  <w:shd w:val="clear" w:color="auto" w:fill="A6A6A6"/>
                  <w:vAlign w:val="center"/>
                </w:tcPr>
                <w:p w14:paraId="4B9AC23D"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GP2x2z</w:t>
                  </w:r>
                </w:p>
              </w:tc>
              <w:tc>
                <w:tcPr>
                  <w:tcW w:w="567" w:type="dxa"/>
                  <w:tcBorders>
                    <w:top w:val="single" w:sz="8" w:space="0" w:color="FFFFFF"/>
                    <w:left w:val="single" w:sz="8" w:space="0" w:color="FFFFFF"/>
                    <w:bottom w:val="single" w:sz="8" w:space="0" w:color="FFFFFF"/>
                    <w:right w:val="single" w:sz="8" w:space="0" w:color="FFFFFF"/>
                  </w:tcBorders>
                  <w:shd w:val="clear" w:color="auto" w:fill="A6A6A6"/>
                  <w:vAlign w:val="center"/>
                </w:tcPr>
                <w:p w14:paraId="0B1A6E30"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GP2x3n</w:t>
                  </w:r>
                </w:p>
              </w:tc>
              <w:tc>
                <w:tcPr>
                  <w:tcW w:w="567" w:type="dxa"/>
                  <w:tcBorders>
                    <w:top w:val="single" w:sz="8" w:space="0" w:color="FFFFFF"/>
                    <w:left w:val="nil"/>
                    <w:bottom w:val="single" w:sz="8" w:space="0" w:color="FFFFFF"/>
                    <w:right w:val="single" w:sz="8" w:space="0" w:color="FFFFFF"/>
                  </w:tcBorders>
                  <w:shd w:val="clear" w:color="auto" w:fill="A6A6A6"/>
                  <w:vAlign w:val="center"/>
                </w:tcPr>
                <w:p w14:paraId="1001DA9E"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GP2x3z</w:t>
                  </w:r>
                </w:p>
              </w:tc>
            </w:tr>
            <w:tr w:rsidR="00600DEE" w:rsidRPr="007463B9" w14:paraId="2F48F37C" w14:textId="77777777" w:rsidTr="00EE29B5">
              <w:trPr>
                <w:trHeight w:val="315"/>
              </w:trPr>
              <w:tc>
                <w:tcPr>
                  <w:tcW w:w="582" w:type="dxa"/>
                  <w:tcBorders>
                    <w:top w:val="single" w:sz="8" w:space="0" w:color="FFFFFF"/>
                    <w:left w:val="single" w:sz="8" w:space="0" w:color="FFFFFF"/>
                    <w:bottom w:val="nil"/>
                    <w:right w:val="nil"/>
                  </w:tcBorders>
                  <w:shd w:val="clear" w:color="auto" w:fill="A6A6A6"/>
                  <w:vAlign w:val="center"/>
                </w:tcPr>
                <w:p w14:paraId="73648909"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WR</w:t>
                  </w:r>
                </w:p>
              </w:tc>
              <w:tc>
                <w:tcPr>
                  <w:tcW w:w="708" w:type="dxa"/>
                  <w:tcBorders>
                    <w:top w:val="single" w:sz="8" w:space="0" w:color="FFFFFF"/>
                    <w:left w:val="single" w:sz="8" w:space="0" w:color="FFFFFF"/>
                    <w:bottom w:val="single" w:sz="8" w:space="0" w:color="FFFFFF"/>
                    <w:right w:val="nil"/>
                  </w:tcBorders>
                  <w:shd w:val="clear" w:color="auto" w:fill="DBE5F1"/>
                  <w:vAlign w:val="center"/>
                </w:tcPr>
                <w:p w14:paraId="72EA115B"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1.531</w:t>
                  </w:r>
                </w:p>
              </w:tc>
              <w:tc>
                <w:tcPr>
                  <w:tcW w:w="567" w:type="dxa"/>
                  <w:tcBorders>
                    <w:top w:val="single" w:sz="8" w:space="0" w:color="FFFFFF"/>
                    <w:left w:val="single" w:sz="8" w:space="0" w:color="FFFFFF"/>
                    <w:bottom w:val="single" w:sz="8" w:space="0" w:color="FFFFFF"/>
                    <w:right w:val="nil"/>
                  </w:tcBorders>
                  <w:shd w:val="clear" w:color="auto" w:fill="DBE5F1"/>
                  <w:vAlign w:val="center"/>
                </w:tcPr>
                <w:p w14:paraId="18A8D043"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1.537</w:t>
                  </w:r>
                </w:p>
              </w:tc>
              <w:tc>
                <w:tcPr>
                  <w:tcW w:w="567" w:type="dxa"/>
                  <w:tcBorders>
                    <w:top w:val="single" w:sz="8" w:space="0" w:color="FFFFFF"/>
                    <w:left w:val="single" w:sz="8" w:space="0" w:color="FFFFFF"/>
                    <w:bottom w:val="single" w:sz="8" w:space="0" w:color="FFFFFF"/>
                    <w:right w:val="nil"/>
                  </w:tcBorders>
                  <w:shd w:val="clear" w:color="auto" w:fill="DBE5F1"/>
                  <w:vAlign w:val="center"/>
                </w:tcPr>
                <w:p w14:paraId="1F4A6C17"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2.032</w:t>
                  </w:r>
                </w:p>
              </w:tc>
              <w:tc>
                <w:tcPr>
                  <w:tcW w:w="567" w:type="dxa"/>
                  <w:tcBorders>
                    <w:top w:val="single" w:sz="8" w:space="0" w:color="FFFFFF"/>
                    <w:left w:val="single" w:sz="8" w:space="0" w:color="FFFFFF"/>
                    <w:bottom w:val="single" w:sz="8" w:space="0" w:color="FFFFFF"/>
                    <w:right w:val="nil"/>
                  </w:tcBorders>
                  <w:shd w:val="clear" w:color="auto" w:fill="DBE5F1"/>
                  <w:vAlign w:val="center"/>
                </w:tcPr>
                <w:p w14:paraId="0521685B"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1.332</w:t>
                  </w:r>
                </w:p>
              </w:tc>
              <w:tc>
                <w:tcPr>
                  <w:tcW w:w="567" w:type="dxa"/>
                  <w:tcBorders>
                    <w:top w:val="single" w:sz="8" w:space="0" w:color="FFFFFF"/>
                    <w:left w:val="single" w:sz="8" w:space="0" w:color="FFFFFF"/>
                    <w:bottom w:val="single" w:sz="8" w:space="0" w:color="FFFFFF"/>
                    <w:right w:val="nil"/>
                  </w:tcBorders>
                  <w:shd w:val="clear" w:color="auto" w:fill="DBE5F1"/>
                  <w:vAlign w:val="center"/>
                </w:tcPr>
                <w:p w14:paraId="6DAD0ECC"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1.333</w:t>
                  </w:r>
                </w:p>
              </w:tc>
              <w:tc>
                <w:tcPr>
                  <w:tcW w:w="567" w:type="dxa"/>
                  <w:tcBorders>
                    <w:top w:val="single" w:sz="8" w:space="0" w:color="FFFFFF"/>
                    <w:left w:val="single" w:sz="8" w:space="0" w:color="FFFFFF"/>
                    <w:bottom w:val="single" w:sz="8" w:space="0" w:color="FFFFFF"/>
                    <w:right w:val="nil"/>
                  </w:tcBorders>
                  <w:shd w:val="clear" w:color="auto" w:fill="DBE5F1"/>
                  <w:vAlign w:val="center"/>
                </w:tcPr>
                <w:p w14:paraId="231D9A9A"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1.343</w:t>
                  </w:r>
                </w:p>
              </w:tc>
              <w:tc>
                <w:tcPr>
                  <w:tcW w:w="567" w:type="dxa"/>
                  <w:tcBorders>
                    <w:top w:val="single" w:sz="8" w:space="0" w:color="FFFFFF"/>
                    <w:left w:val="single" w:sz="8" w:space="0" w:color="FFFFFF"/>
                    <w:bottom w:val="single" w:sz="8" w:space="0" w:color="FFFFFF"/>
                    <w:right w:val="nil"/>
                  </w:tcBorders>
                  <w:shd w:val="clear" w:color="auto" w:fill="DBE5F1"/>
                  <w:vAlign w:val="center"/>
                </w:tcPr>
                <w:p w14:paraId="41C0CE67"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1.311</w:t>
                  </w:r>
                </w:p>
              </w:tc>
              <w:tc>
                <w:tcPr>
                  <w:tcW w:w="567" w:type="dxa"/>
                  <w:tcBorders>
                    <w:top w:val="single" w:sz="8" w:space="0" w:color="FFFFFF"/>
                    <w:left w:val="single" w:sz="8" w:space="0" w:color="FFFFFF"/>
                    <w:bottom w:val="single" w:sz="8" w:space="0" w:color="FFFFFF"/>
                    <w:right w:val="nil"/>
                  </w:tcBorders>
                  <w:shd w:val="clear" w:color="auto" w:fill="DBE5F1"/>
                  <w:vAlign w:val="center"/>
                </w:tcPr>
                <w:p w14:paraId="1CBB11B3"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1.390</w:t>
                  </w:r>
                </w:p>
              </w:tc>
              <w:tc>
                <w:tcPr>
                  <w:tcW w:w="567" w:type="dxa"/>
                  <w:tcBorders>
                    <w:top w:val="single" w:sz="8" w:space="0" w:color="FFFFFF"/>
                    <w:left w:val="single" w:sz="8" w:space="0" w:color="FFFFFF"/>
                    <w:bottom w:val="single" w:sz="8" w:space="0" w:color="FFFFFF"/>
                    <w:right w:val="nil"/>
                  </w:tcBorders>
                  <w:shd w:val="clear" w:color="auto" w:fill="DBE5F1"/>
                  <w:vAlign w:val="center"/>
                </w:tcPr>
                <w:p w14:paraId="4FA2B00E"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1.227</w:t>
                  </w:r>
                </w:p>
              </w:tc>
            </w:tr>
            <w:tr w:rsidR="00600DEE" w:rsidRPr="007463B9" w14:paraId="11BCD9B9" w14:textId="77777777" w:rsidTr="00EE29B5">
              <w:trPr>
                <w:trHeight w:val="315"/>
              </w:trPr>
              <w:tc>
                <w:tcPr>
                  <w:tcW w:w="582" w:type="dxa"/>
                  <w:tcBorders>
                    <w:top w:val="single" w:sz="8" w:space="0" w:color="FFFFFF"/>
                    <w:left w:val="single" w:sz="8" w:space="0" w:color="FFFFFF"/>
                    <w:bottom w:val="nil"/>
                    <w:right w:val="nil"/>
                  </w:tcBorders>
                  <w:shd w:val="clear" w:color="auto" w:fill="A6A6A6"/>
                  <w:vAlign w:val="center"/>
                </w:tcPr>
                <w:p w14:paraId="1CB1B331"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WCR</w:t>
                  </w:r>
                </w:p>
              </w:tc>
              <w:tc>
                <w:tcPr>
                  <w:tcW w:w="708" w:type="dxa"/>
                  <w:tcBorders>
                    <w:top w:val="nil"/>
                    <w:left w:val="single" w:sz="8" w:space="0" w:color="FFFFFF"/>
                    <w:bottom w:val="single" w:sz="8" w:space="0" w:color="FFFFFF"/>
                    <w:right w:val="nil"/>
                  </w:tcBorders>
                  <w:shd w:val="clear" w:color="auto" w:fill="DBE5F1"/>
                  <w:vAlign w:val="center"/>
                </w:tcPr>
                <w:p w14:paraId="68341BCA"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0.321</w:t>
                  </w:r>
                </w:p>
              </w:tc>
              <w:tc>
                <w:tcPr>
                  <w:tcW w:w="567" w:type="dxa"/>
                  <w:tcBorders>
                    <w:top w:val="nil"/>
                    <w:left w:val="single" w:sz="8" w:space="0" w:color="FFFFFF"/>
                    <w:bottom w:val="single" w:sz="8" w:space="0" w:color="FFFFFF"/>
                    <w:right w:val="nil"/>
                  </w:tcBorders>
                  <w:shd w:val="clear" w:color="auto" w:fill="DBE5F1"/>
                  <w:vAlign w:val="center"/>
                </w:tcPr>
                <w:p w14:paraId="321B0F0B"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0.268</w:t>
                  </w:r>
                </w:p>
              </w:tc>
              <w:tc>
                <w:tcPr>
                  <w:tcW w:w="567" w:type="dxa"/>
                  <w:tcBorders>
                    <w:top w:val="nil"/>
                    <w:left w:val="single" w:sz="8" w:space="0" w:color="FFFFFF"/>
                    <w:bottom w:val="single" w:sz="8" w:space="0" w:color="FFFFFF"/>
                    <w:right w:val="nil"/>
                  </w:tcBorders>
                  <w:shd w:val="clear" w:color="auto" w:fill="DBE5F1"/>
                  <w:vAlign w:val="center"/>
                </w:tcPr>
                <w:p w14:paraId="531CD9BC"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1.079</w:t>
                  </w:r>
                </w:p>
              </w:tc>
              <w:tc>
                <w:tcPr>
                  <w:tcW w:w="567" w:type="dxa"/>
                  <w:tcBorders>
                    <w:top w:val="nil"/>
                    <w:left w:val="single" w:sz="8" w:space="0" w:color="FFFFFF"/>
                    <w:bottom w:val="single" w:sz="8" w:space="0" w:color="FFFFFF"/>
                    <w:right w:val="nil"/>
                  </w:tcBorders>
                  <w:shd w:val="clear" w:color="auto" w:fill="DBE5F1"/>
                  <w:vAlign w:val="center"/>
                </w:tcPr>
                <w:p w14:paraId="14D9D8BE"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0.314</w:t>
                  </w:r>
                </w:p>
              </w:tc>
              <w:tc>
                <w:tcPr>
                  <w:tcW w:w="567" w:type="dxa"/>
                  <w:tcBorders>
                    <w:top w:val="nil"/>
                    <w:left w:val="single" w:sz="8" w:space="0" w:color="FFFFFF"/>
                    <w:bottom w:val="single" w:sz="8" w:space="0" w:color="FFFFFF"/>
                    <w:right w:val="nil"/>
                  </w:tcBorders>
                  <w:shd w:val="clear" w:color="auto" w:fill="DBE5F1"/>
                  <w:vAlign w:val="center"/>
                </w:tcPr>
                <w:p w14:paraId="045CA387"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0.212</w:t>
                  </w:r>
                </w:p>
              </w:tc>
              <w:tc>
                <w:tcPr>
                  <w:tcW w:w="567" w:type="dxa"/>
                  <w:tcBorders>
                    <w:top w:val="nil"/>
                    <w:left w:val="single" w:sz="8" w:space="0" w:color="FFFFFF"/>
                    <w:bottom w:val="single" w:sz="8" w:space="0" w:color="FFFFFF"/>
                    <w:right w:val="nil"/>
                  </w:tcBorders>
                  <w:shd w:val="clear" w:color="auto" w:fill="DBE5F1"/>
                  <w:vAlign w:val="center"/>
                </w:tcPr>
                <w:p w14:paraId="70FA35DA"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0.259</w:t>
                  </w:r>
                </w:p>
              </w:tc>
              <w:tc>
                <w:tcPr>
                  <w:tcW w:w="567" w:type="dxa"/>
                  <w:tcBorders>
                    <w:top w:val="nil"/>
                    <w:left w:val="single" w:sz="8" w:space="0" w:color="FFFFFF"/>
                    <w:bottom w:val="single" w:sz="8" w:space="0" w:color="FFFFFF"/>
                    <w:right w:val="nil"/>
                  </w:tcBorders>
                  <w:shd w:val="clear" w:color="auto" w:fill="DBE5F1"/>
                  <w:vAlign w:val="center"/>
                </w:tcPr>
                <w:p w14:paraId="49F0D4CC"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0.336</w:t>
                  </w:r>
                </w:p>
              </w:tc>
              <w:tc>
                <w:tcPr>
                  <w:tcW w:w="567" w:type="dxa"/>
                  <w:tcBorders>
                    <w:top w:val="nil"/>
                    <w:left w:val="single" w:sz="8" w:space="0" w:color="FFFFFF"/>
                    <w:bottom w:val="single" w:sz="8" w:space="0" w:color="FFFFFF"/>
                    <w:right w:val="nil"/>
                  </w:tcBorders>
                  <w:shd w:val="clear" w:color="auto" w:fill="DBE5F1"/>
                  <w:vAlign w:val="center"/>
                </w:tcPr>
                <w:p w14:paraId="37205F77"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0.317</w:t>
                  </w:r>
                </w:p>
              </w:tc>
              <w:tc>
                <w:tcPr>
                  <w:tcW w:w="567" w:type="dxa"/>
                  <w:tcBorders>
                    <w:top w:val="nil"/>
                    <w:left w:val="single" w:sz="8" w:space="0" w:color="FFFFFF"/>
                    <w:bottom w:val="single" w:sz="8" w:space="0" w:color="FFFFFF"/>
                    <w:right w:val="nil"/>
                  </w:tcBorders>
                  <w:shd w:val="clear" w:color="auto" w:fill="DBE5F1"/>
                  <w:vAlign w:val="center"/>
                </w:tcPr>
                <w:p w14:paraId="6FFB2B66"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0.136</w:t>
                  </w:r>
                </w:p>
              </w:tc>
            </w:tr>
            <w:tr w:rsidR="00600DEE" w:rsidRPr="007463B9" w14:paraId="201C66FF" w14:textId="77777777" w:rsidTr="00EE29B5">
              <w:trPr>
                <w:trHeight w:val="315"/>
              </w:trPr>
              <w:tc>
                <w:tcPr>
                  <w:tcW w:w="582" w:type="dxa"/>
                  <w:tcBorders>
                    <w:top w:val="single" w:sz="8" w:space="0" w:color="FFFFFF"/>
                    <w:left w:val="single" w:sz="8" w:space="0" w:color="FFFFFF"/>
                    <w:bottom w:val="nil"/>
                    <w:right w:val="nil"/>
                  </w:tcBorders>
                  <w:shd w:val="clear" w:color="auto" w:fill="A6A6A6"/>
                  <w:vAlign w:val="center"/>
                </w:tcPr>
                <w:p w14:paraId="14F956D1"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WZ</w:t>
                  </w:r>
                </w:p>
              </w:tc>
              <w:tc>
                <w:tcPr>
                  <w:tcW w:w="708" w:type="dxa"/>
                  <w:tcBorders>
                    <w:top w:val="nil"/>
                    <w:left w:val="single" w:sz="8" w:space="0" w:color="FFFFFF"/>
                    <w:bottom w:val="single" w:sz="8" w:space="0" w:color="FFFFFF"/>
                    <w:right w:val="nil"/>
                  </w:tcBorders>
                  <w:shd w:val="clear" w:color="auto" w:fill="DBE5F1"/>
                  <w:vAlign w:val="center"/>
                </w:tcPr>
                <w:p w14:paraId="3C8443C7"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0.167</w:t>
                  </w:r>
                </w:p>
              </w:tc>
              <w:tc>
                <w:tcPr>
                  <w:tcW w:w="567" w:type="dxa"/>
                  <w:tcBorders>
                    <w:top w:val="nil"/>
                    <w:left w:val="single" w:sz="8" w:space="0" w:color="FFFFFF"/>
                    <w:bottom w:val="single" w:sz="8" w:space="0" w:color="FFFFFF"/>
                    <w:right w:val="nil"/>
                  </w:tcBorders>
                  <w:shd w:val="clear" w:color="auto" w:fill="DBE5F1"/>
                  <w:vAlign w:val="center"/>
                </w:tcPr>
                <w:p w14:paraId="3928F772"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0.073</w:t>
                  </w:r>
                </w:p>
              </w:tc>
              <w:tc>
                <w:tcPr>
                  <w:tcW w:w="567" w:type="dxa"/>
                  <w:tcBorders>
                    <w:top w:val="nil"/>
                    <w:left w:val="single" w:sz="8" w:space="0" w:color="FFFFFF"/>
                    <w:bottom w:val="single" w:sz="8" w:space="0" w:color="FFFFFF"/>
                    <w:right w:val="nil"/>
                  </w:tcBorders>
                  <w:shd w:val="clear" w:color="auto" w:fill="DBE5F1"/>
                  <w:vAlign w:val="center"/>
                </w:tcPr>
                <w:p w14:paraId="73A99532"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0.270</w:t>
                  </w:r>
                </w:p>
              </w:tc>
              <w:tc>
                <w:tcPr>
                  <w:tcW w:w="567" w:type="dxa"/>
                  <w:tcBorders>
                    <w:top w:val="nil"/>
                    <w:left w:val="single" w:sz="8" w:space="0" w:color="FFFFFF"/>
                    <w:bottom w:val="single" w:sz="8" w:space="0" w:color="FFFFFF"/>
                    <w:right w:val="nil"/>
                  </w:tcBorders>
                  <w:shd w:val="clear" w:color="auto" w:fill="DBE5F1"/>
                  <w:vAlign w:val="center"/>
                </w:tcPr>
                <w:p w14:paraId="4BCD95A0"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0.182</w:t>
                  </w:r>
                </w:p>
              </w:tc>
              <w:tc>
                <w:tcPr>
                  <w:tcW w:w="567" w:type="dxa"/>
                  <w:tcBorders>
                    <w:top w:val="nil"/>
                    <w:left w:val="single" w:sz="8" w:space="0" w:color="FFFFFF"/>
                    <w:bottom w:val="single" w:sz="8" w:space="0" w:color="FFFFFF"/>
                    <w:right w:val="nil"/>
                  </w:tcBorders>
                  <w:shd w:val="clear" w:color="auto" w:fill="DBE5F1"/>
                  <w:vAlign w:val="center"/>
                </w:tcPr>
                <w:p w14:paraId="28F1FBB6"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0.061</w:t>
                  </w:r>
                </w:p>
              </w:tc>
              <w:tc>
                <w:tcPr>
                  <w:tcW w:w="567" w:type="dxa"/>
                  <w:tcBorders>
                    <w:top w:val="nil"/>
                    <w:left w:val="single" w:sz="8" w:space="0" w:color="FFFFFF"/>
                    <w:bottom w:val="single" w:sz="8" w:space="0" w:color="FFFFFF"/>
                    <w:right w:val="nil"/>
                  </w:tcBorders>
                  <w:shd w:val="clear" w:color="auto" w:fill="DBE5F1"/>
                  <w:vAlign w:val="center"/>
                </w:tcPr>
                <w:p w14:paraId="66522DC3"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0.188</w:t>
                  </w:r>
                </w:p>
              </w:tc>
              <w:tc>
                <w:tcPr>
                  <w:tcW w:w="567" w:type="dxa"/>
                  <w:tcBorders>
                    <w:top w:val="nil"/>
                    <w:left w:val="single" w:sz="8" w:space="0" w:color="FFFFFF"/>
                    <w:bottom w:val="single" w:sz="8" w:space="0" w:color="FFFFFF"/>
                    <w:right w:val="nil"/>
                  </w:tcBorders>
                  <w:shd w:val="clear" w:color="auto" w:fill="DBE5F1"/>
                  <w:vAlign w:val="center"/>
                </w:tcPr>
                <w:p w14:paraId="79B277F7"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0.126</w:t>
                  </w:r>
                </w:p>
              </w:tc>
              <w:tc>
                <w:tcPr>
                  <w:tcW w:w="567" w:type="dxa"/>
                  <w:tcBorders>
                    <w:top w:val="nil"/>
                    <w:left w:val="single" w:sz="8" w:space="0" w:color="FFFFFF"/>
                    <w:bottom w:val="single" w:sz="8" w:space="0" w:color="FFFFFF"/>
                    <w:right w:val="nil"/>
                  </w:tcBorders>
                  <w:shd w:val="clear" w:color="auto" w:fill="DBE5F1"/>
                  <w:vAlign w:val="center"/>
                </w:tcPr>
                <w:p w14:paraId="4EB12EAC"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0.146</w:t>
                  </w:r>
                </w:p>
              </w:tc>
              <w:tc>
                <w:tcPr>
                  <w:tcW w:w="567" w:type="dxa"/>
                  <w:tcBorders>
                    <w:top w:val="nil"/>
                    <w:left w:val="single" w:sz="8" w:space="0" w:color="FFFFFF"/>
                    <w:bottom w:val="single" w:sz="8" w:space="0" w:color="FFFFFF"/>
                    <w:right w:val="nil"/>
                  </w:tcBorders>
                  <w:shd w:val="clear" w:color="auto" w:fill="DBE5F1"/>
                  <w:vAlign w:val="center"/>
                </w:tcPr>
                <w:p w14:paraId="7E5864B5"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0.045</w:t>
                  </w:r>
                </w:p>
              </w:tc>
            </w:tr>
          </w:tbl>
          <w:p w14:paraId="7CA80632"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b/>
                <w:i/>
                <w:sz w:val="16"/>
                <w:szCs w:val="16"/>
                <w:lang w:val="en-GB"/>
              </w:rPr>
              <w:t>Source: Expert study</w:t>
            </w:r>
            <w:r w:rsidRPr="0045151D">
              <w:rPr>
                <w:rFonts w:ascii="Calibri" w:eastAsia="Calibri" w:hAnsi="Calibri" w:cs="Calibri"/>
                <w:sz w:val="20"/>
                <w:szCs w:val="20"/>
                <w:lang w:val="en-GB"/>
              </w:rPr>
              <w:t xml:space="preserve"> </w:t>
            </w:r>
          </w:p>
          <w:p w14:paraId="5502A9E5" w14:textId="77777777" w:rsidR="00600DEE" w:rsidRPr="0045151D" w:rsidRDefault="00641FB5">
            <w:pPr>
              <w:spacing w:before="120" w:after="120"/>
              <w:ind w:left="707" w:hanging="707"/>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 xml:space="preserve">Table 7. Accident severity factors (in pers./numb. of accidents) for single </w:t>
            </w:r>
            <w:r w:rsidRPr="0045151D">
              <w:rPr>
                <w:rFonts w:ascii="Calibri" w:eastAsia="Calibri" w:hAnsi="Calibri" w:cs="Calibri"/>
                <w:b/>
                <w:color w:val="4F81BD"/>
                <w:sz w:val="20"/>
                <w:szCs w:val="20"/>
                <w:lang w:val="en-GB"/>
              </w:rPr>
              <w:br/>
              <w:t>carriageways</w:t>
            </w:r>
          </w:p>
          <w:tbl>
            <w:tblPr>
              <w:tblStyle w:val="affffffffffffffff3"/>
              <w:tblW w:w="4949" w:type="dxa"/>
              <w:tblLayout w:type="fixed"/>
              <w:tblLook w:val="0400" w:firstRow="0" w:lastRow="0" w:firstColumn="0" w:lastColumn="0" w:noHBand="0" w:noVBand="1"/>
            </w:tblPr>
            <w:tblGrid>
              <w:gridCol w:w="582"/>
              <w:gridCol w:w="708"/>
              <w:gridCol w:w="709"/>
              <w:gridCol w:w="709"/>
              <w:gridCol w:w="824"/>
              <w:gridCol w:w="708"/>
              <w:gridCol w:w="709"/>
            </w:tblGrid>
            <w:tr w:rsidR="00600DEE" w:rsidRPr="007463B9" w14:paraId="66FC360F" w14:textId="77777777">
              <w:trPr>
                <w:trHeight w:val="340"/>
              </w:trPr>
              <w:tc>
                <w:tcPr>
                  <w:tcW w:w="582"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623C883C"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 </w:t>
                  </w:r>
                </w:p>
              </w:tc>
              <w:tc>
                <w:tcPr>
                  <w:tcW w:w="708"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47436207"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S1x2n</w:t>
                  </w:r>
                </w:p>
              </w:tc>
              <w:tc>
                <w:tcPr>
                  <w:tcW w:w="709"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7F148686"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S1x2z</w:t>
                  </w:r>
                </w:p>
              </w:tc>
              <w:tc>
                <w:tcPr>
                  <w:tcW w:w="709"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5179B6AB"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GP1x2n</w:t>
                  </w:r>
                </w:p>
              </w:tc>
              <w:tc>
                <w:tcPr>
                  <w:tcW w:w="824"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45619EDA"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GP1x2z</w:t>
                  </w:r>
                </w:p>
              </w:tc>
              <w:tc>
                <w:tcPr>
                  <w:tcW w:w="708"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4D17FE24"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G1x2n</w:t>
                  </w:r>
                </w:p>
              </w:tc>
              <w:tc>
                <w:tcPr>
                  <w:tcW w:w="709"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2C7D88F7"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G1x2z</w:t>
                  </w:r>
                </w:p>
              </w:tc>
            </w:tr>
            <w:tr w:rsidR="00600DEE" w:rsidRPr="007463B9" w14:paraId="4F6F0B50" w14:textId="77777777">
              <w:trPr>
                <w:trHeight w:val="276"/>
              </w:trPr>
              <w:tc>
                <w:tcPr>
                  <w:tcW w:w="582"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74B2BE7A"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708"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08425725"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709"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7415CDA0"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709"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037E7342"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824"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25184F78"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708"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30AD73AE"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709"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093B9FD3"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r>
            <w:tr w:rsidR="00600DEE" w:rsidRPr="007463B9" w14:paraId="140F74F6" w14:textId="77777777">
              <w:trPr>
                <w:trHeight w:val="315"/>
              </w:trPr>
              <w:tc>
                <w:tcPr>
                  <w:tcW w:w="582" w:type="dxa"/>
                  <w:tcBorders>
                    <w:top w:val="nil"/>
                    <w:left w:val="single" w:sz="8" w:space="0" w:color="FFFFFF"/>
                    <w:bottom w:val="nil"/>
                    <w:right w:val="nil"/>
                  </w:tcBorders>
                  <w:shd w:val="clear" w:color="auto" w:fill="A6A6A6"/>
                  <w:vAlign w:val="center"/>
                </w:tcPr>
                <w:p w14:paraId="7211D599"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WR</w:t>
                  </w:r>
                </w:p>
              </w:tc>
              <w:tc>
                <w:tcPr>
                  <w:tcW w:w="708" w:type="dxa"/>
                  <w:tcBorders>
                    <w:top w:val="nil"/>
                    <w:left w:val="single" w:sz="8" w:space="0" w:color="FFFFFF"/>
                    <w:bottom w:val="single" w:sz="8" w:space="0" w:color="FFFFFF"/>
                    <w:right w:val="single" w:sz="8" w:space="0" w:color="FFFFFF"/>
                  </w:tcBorders>
                  <w:shd w:val="clear" w:color="auto" w:fill="DBE5F1"/>
                  <w:vAlign w:val="center"/>
                </w:tcPr>
                <w:p w14:paraId="313C511C"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1.242</w:t>
                  </w:r>
                </w:p>
              </w:tc>
              <w:tc>
                <w:tcPr>
                  <w:tcW w:w="709" w:type="dxa"/>
                  <w:tcBorders>
                    <w:top w:val="nil"/>
                    <w:left w:val="nil"/>
                    <w:bottom w:val="single" w:sz="8" w:space="0" w:color="FFFFFF"/>
                    <w:right w:val="nil"/>
                  </w:tcBorders>
                  <w:shd w:val="clear" w:color="auto" w:fill="DBE5F1"/>
                  <w:vAlign w:val="center"/>
                </w:tcPr>
                <w:p w14:paraId="720062D4"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1.627</w:t>
                  </w:r>
                </w:p>
              </w:tc>
              <w:tc>
                <w:tcPr>
                  <w:tcW w:w="709" w:type="dxa"/>
                  <w:tcBorders>
                    <w:top w:val="nil"/>
                    <w:left w:val="single" w:sz="8" w:space="0" w:color="FFFFFF"/>
                    <w:bottom w:val="single" w:sz="8" w:space="0" w:color="FFFFFF"/>
                    <w:right w:val="nil"/>
                  </w:tcBorders>
                  <w:shd w:val="clear" w:color="auto" w:fill="DBE5F1"/>
                  <w:vAlign w:val="center"/>
                </w:tcPr>
                <w:p w14:paraId="13DC600C"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1.424</w:t>
                  </w:r>
                </w:p>
              </w:tc>
              <w:tc>
                <w:tcPr>
                  <w:tcW w:w="824" w:type="dxa"/>
                  <w:tcBorders>
                    <w:top w:val="nil"/>
                    <w:left w:val="single" w:sz="8" w:space="0" w:color="FFFFFF"/>
                    <w:bottom w:val="single" w:sz="8" w:space="0" w:color="FFFFFF"/>
                    <w:right w:val="nil"/>
                  </w:tcBorders>
                  <w:shd w:val="clear" w:color="auto" w:fill="DBE5F1"/>
                  <w:vAlign w:val="center"/>
                </w:tcPr>
                <w:p w14:paraId="085D57BF"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1.266</w:t>
                  </w:r>
                </w:p>
              </w:tc>
              <w:tc>
                <w:tcPr>
                  <w:tcW w:w="708" w:type="dxa"/>
                  <w:tcBorders>
                    <w:top w:val="nil"/>
                    <w:left w:val="single" w:sz="8" w:space="0" w:color="FFFFFF"/>
                    <w:bottom w:val="single" w:sz="8" w:space="0" w:color="FFFFFF"/>
                    <w:right w:val="nil"/>
                  </w:tcBorders>
                  <w:shd w:val="clear" w:color="auto" w:fill="DBE5F1"/>
                  <w:vAlign w:val="center"/>
                </w:tcPr>
                <w:p w14:paraId="7FFBF461"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1.381</w:t>
                  </w:r>
                </w:p>
              </w:tc>
              <w:tc>
                <w:tcPr>
                  <w:tcW w:w="709" w:type="dxa"/>
                  <w:tcBorders>
                    <w:top w:val="nil"/>
                    <w:left w:val="single" w:sz="8" w:space="0" w:color="FFFFFF"/>
                    <w:bottom w:val="single" w:sz="8" w:space="0" w:color="FFFFFF"/>
                    <w:right w:val="nil"/>
                  </w:tcBorders>
                  <w:shd w:val="clear" w:color="auto" w:fill="DBE5F1"/>
                  <w:vAlign w:val="center"/>
                </w:tcPr>
                <w:p w14:paraId="7FDB1DB4"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1.229</w:t>
                  </w:r>
                </w:p>
              </w:tc>
            </w:tr>
            <w:tr w:rsidR="00600DEE" w:rsidRPr="007463B9" w14:paraId="69D873CF" w14:textId="77777777">
              <w:trPr>
                <w:trHeight w:val="315"/>
              </w:trPr>
              <w:tc>
                <w:tcPr>
                  <w:tcW w:w="582" w:type="dxa"/>
                  <w:tcBorders>
                    <w:top w:val="single" w:sz="8" w:space="0" w:color="FFFFFF"/>
                    <w:left w:val="single" w:sz="8" w:space="0" w:color="FFFFFF"/>
                    <w:bottom w:val="nil"/>
                    <w:right w:val="nil"/>
                  </w:tcBorders>
                  <w:shd w:val="clear" w:color="auto" w:fill="A6A6A6"/>
                  <w:vAlign w:val="center"/>
                </w:tcPr>
                <w:p w14:paraId="3006AA81"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WCR</w:t>
                  </w:r>
                </w:p>
              </w:tc>
              <w:tc>
                <w:tcPr>
                  <w:tcW w:w="708" w:type="dxa"/>
                  <w:tcBorders>
                    <w:top w:val="nil"/>
                    <w:left w:val="single" w:sz="8" w:space="0" w:color="FFFFFF"/>
                    <w:bottom w:val="single" w:sz="8" w:space="0" w:color="FFFFFF"/>
                    <w:right w:val="single" w:sz="8" w:space="0" w:color="FFFFFF"/>
                  </w:tcBorders>
                  <w:shd w:val="clear" w:color="auto" w:fill="DBE5F1"/>
                  <w:vAlign w:val="center"/>
                </w:tcPr>
                <w:p w14:paraId="0AC7E5FE"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0.488</w:t>
                  </w:r>
                </w:p>
              </w:tc>
              <w:tc>
                <w:tcPr>
                  <w:tcW w:w="709" w:type="dxa"/>
                  <w:tcBorders>
                    <w:top w:val="nil"/>
                    <w:left w:val="nil"/>
                    <w:bottom w:val="single" w:sz="8" w:space="0" w:color="FFFFFF"/>
                    <w:right w:val="nil"/>
                  </w:tcBorders>
                  <w:shd w:val="clear" w:color="auto" w:fill="DBE5F1"/>
                  <w:vAlign w:val="center"/>
                </w:tcPr>
                <w:p w14:paraId="31CEED8F"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0.733</w:t>
                  </w:r>
                </w:p>
              </w:tc>
              <w:tc>
                <w:tcPr>
                  <w:tcW w:w="709" w:type="dxa"/>
                  <w:tcBorders>
                    <w:top w:val="nil"/>
                    <w:left w:val="single" w:sz="8" w:space="0" w:color="FFFFFF"/>
                    <w:bottom w:val="single" w:sz="8" w:space="0" w:color="FFFFFF"/>
                    <w:right w:val="nil"/>
                  </w:tcBorders>
                  <w:shd w:val="clear" w:color="auto" w:fill="DBE5F1"/>
                  <w:vAlign w:val="center"/>
                </w:tcPr>
                <w:p w14:paraId="6A7C47D6"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0.425</w:t>
                  </w:r>
                </w:p>
              </w:tc>
              <w:tc>
                <w:tcPr>
                  <w:tcW w:w="824" w:type="dxa"/>
                  <w:tcBorders>
                    <w:top w:val="nil"/>
                    <w:left w:val="single" w:sz="8" w:space="0" w:color="FFFFFF"/>
                    <w:bottom w:val="single" w:sz="8" w:space="0" w:color="FFFFFF"/>
                    <w:right w:val="nil"/>
                  </w:tcBorders>
                  <w:shd w:val="clear" w:color="auto" w:fill="DBE5F1"/>
                  <w:vAlign w:val="center"/>
                </w:tcPr>
                <w:p w14:paraId="3CDCC21F"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0.326</w:t>
                  </w:r>
                </w:p>
              </w:tc>
              <w:tc>
                <w:tcPr>
                  <w:tcW w:w="708" w:type="dxa"/>
                  <w:tcBorders>
                    <w:top w:val="nil"/>
                    <w:left w:val="single" w:sz="8" w:space="0" w:color="FFFFFF"/>
                    <w:bottom w:val="single" w:sz="8" w:space="0" w:color="FFFFFF"/>
                    <w:right w:val="nil"/>
                  </w:tcBorders>
                  <w:shd w:val="clear" w:color="auto" w:fill="DBE5F1"/>
                  <w:vAlign w:val="center"/>
                </w:tcPr>
                <w:p w14:paraId="7C0FEFE2"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0.362</w:t>
                  </w:r>
                </w:p>
              </w:tc>
              <w:tc>
                <w:tcPr>
                  <w:tcW w:w="709" w:type="dxa"/>
                  <w:tcBorders>
                    <w:top w:val="nil"/>
                    <w:left w:val="single" w:sz="8" w:space="0" w:color="FFFFFF"/>
                    <w:bottom w:val="single" w:sz="8" w:space="0" w:color="FFFFFF"/>
                    <w:right w:val="nil"/>
                  </w:tcBorders>
                  <w:shd w:val="clear" w:color="auto" w:fill="DBE5F1"/>
                  <w:vAlign w:val="center"/>
                </w:tcPr>
                <w:p w14:paraId="0A729C07"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0.285</w:t>
                  </w:r>
                </w:p>
              </w:tc>
            </w:tr>
            <w:tr w:rsidR="00600DEE" w:rsidRPr="007463B9" w14:paraId="28C5468B" w14:textId="77777777">
              <w:trPr>
                <w:trHeight w:val="315"/>
              </w:trPr>
              <w:tc>
                <w:tcPr>
                  <w:tcW w:w="582" w:type="dxa"/>
                  <w:tcBorders>
                    <w:top w:val="single" w:sz="8" w:space="0" w:color="FFFFFF"/>
                    <w:left w:val="single" w:sz="8" w:space="0" w:color="FFFFFF"/>
                    <w:bottom w:val="nil"/>
                    <w:right w:val="nil"/>
                  </w:tcBorders>
                  <w:shd w:val="clear" w:color="auto" w:fill="A6A6A6"/>
                  <w:vAlign w:val="center"/>
                </w:tcPr>
                <w:p w14:paraId="2FDFC00A"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WZ</w:t>
                  </w:r>
                </w:p>
              </w:tc>
              <w:tc>
                <w:tcPr>
                  <w:tcW w:w="708" w:type="dxa"/>
                  <w:tcBorders>
                    <w:top w:val="nil"/>
                    <w:left w:val="single" w:sz="8" w:space="0" w:color="FFFFFF"/>
                    <w:bottom w:val="single" w:sz="8" w:space="0" w:color="FFFFFF"/>
                    <w:right w:val="single" w:sz="8" w:space="0" w:color="FFFFFF"/>
                  </w:tcBorders>
                  <w:shd w:val="clear" w:color="auto" w:fill="D4E3F4"/>
                  <w:vAlign w:val="center"/>
                </w:tcPr>
                <w:p w14:paraId="35D7126E"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0.403</w:t>
                  </w:r>
                </w:p>
              </w:tc>
              <w:tc>
                <w:tcPr>
                  <w:tcW w:w="709" w:type="dxa"/>
                  <w:tcBorders>
                    <w:top w:val="nil"/>
                    <w:left w:val="nil"/>
                    <w:bottom w:val="single" w:sz="8" w:space="0" w:color="FFFFFF"/>
                    <w:right w:val="nil"/>
                  </w:tcBorders>
                  <w:shd w:val="clear" w:color="auto" w:fill="D4E3F4"/>
                  <w:vAlign w:val="center"/>
                </w:tcPr>
                <w:p w14:paraId="16EAD4CA"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0.453</w:t>
                  </w:r>
                </w:p>
              </w:tc>
              <w:tc>
                <w:tcPr>
                  <w:tcW w:w="709" w:type="dxa"/>
                  <w:tcBorders>
                    <w:top w:val="nil"/>
                    <w:left w:val="single" w:sz="8" w:space="0" w:color="FFFFFF"/>
                    <w:bottom w:val="single" w:sz="8" w:space="0" w:color="FFFFFF"/>
                    <w:right w:val="nil"/>
                  </w:tcBorders>
                  <w:shd w:val="clear" w:color="auto" w:fill="D4E3F4"/>
                  <w:vAlign w:val="center"/>
                </w:tcPr>
                <w:p w14:paraId="49F20028"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0.238</w:t>
                  </w:r>
                </w:p>
              </w:tc>
              <w:tc>
                <w:tcPr>
                  <w:tcW w:w="824" w:type="dxa"/>
                  <w:tcBorders>
                    <w:top w:val="nil"/>
                    <w:left w:val="single" w:sz="8" w:space="0" w:color="FFFFFF"/>
                    <w:bottom w:val="single" w:sz="8" w:space="0" w:color="FFFFFF"/>
                    <w:right w:val="nil"/>
                  </w:tcBorders>
                  <w:shd w:val="clear" w:color="auto" w:fill="D4E3F4"/>
                  <w:vAlign w:val="center"/>
                </w:tcPr>
                <w:p w14:paraId="63FCCFE7"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0.122</w:t>
                  </w:r>
                </w:p>
              </w:tc>
              <w:tc>
                <w:tcPr>
                  <w:tcW w:w="708" w:type="dxa"/>
                  <w:tcBorders>
                    <w:top w:val="nil"/>
                    <w:left w:val="single" w:sz="8" w:space="0" w:color="FFFFFF"/>
                    <w:bottom w:val="single" w:sz="8" w:space="0" w:color="FFFFFF"/>
                    <w:right w:val="nil"/>
                  </w:tcBorders>
                  <w:shd w:val="clear" w:color="auto" w:fill="D4E3F4"/>
                  <w:vAlign w:val="center"/>
                </w:tcPr>
                <w:p w14:paraId="74C0B4CB"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0.217</w:t>
                  </w:r>
                </w:p>
              </w:tc>
              <w:tc>
                <w:tcPr>
                  <w:tcW w:w="709" w:type="dxa"/>
                  <w:tcBorders>
                    <w:top w:val="nil"/>
                    <w:left w:val="single" w:sz="8" w:space="0" w:color="FFFFFF"/>
                    <w:bottom w:val="single" w:sz="8" w:space="0" w:color="FFFFFF"/>
                    <w:right w:val="nil"/>
                  </w:tcBorders>
                  <w:shd w:val="clear" w:color="auto" w:fill="D4E3F4"/>
                  <w:vAlign w:val="center"/>
                </w:tcPr>
                <w:p w14:paraId="1FE4D4D2"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0.107</w:t>
                  </w:r>
                </w:p>
              </w:tc>
            </w:tr>
          </w:tbl>
          <w:p w14:paraId="33301C90" w14:textId="77777777"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b/>
                <w:i/>
                <w:sz w:val="16"/>
                <w:szCs w:val="16"/>
                <w:lang w:val="en-GB"/>
              </w:rPr>
              <w:t>Source: Expert study</w:t>
            </w:r>
            <w:r w:rsidRPr="0045151D">
              <w:rPr>
                <w:rFonts w:ascii="Calibri" w:eastAsia="Calibri" w:hAnsi="Calibri" w:cs="Calibri"/>
                <w:sz w:val="20"/>
                <w:szCs w:val="20"/>
                <w:lang w:val="en-GB"/>
              </w:rPr>
              <w:t xml:space="preserve"> </w:t>
            </w:r>
          </w:p>
          <w:p w14:paraId="57C48086" w14:textId="77777777" w:rsidR="00600DEE" w:rsidRPr="0045151D" w:rsidRDefault="00641FB5" w:rsidP="00EE29B5">
            <w:pPr>
              <w:spacing w:before="120" w:after="240"/>
              <w:ind w:left="707" w:hanging="707"/>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8. Accident severity factors (in pers./numb. of accidents) for voivodeship,</w:t>
            </w:r>
            <w:r w:rsidRPr="0045151D">
              <w:rPr>
                <w:rFonts w:ascii="Calibri" w:eastAsia="Calibri" w:hAnsi="Calibri" w:cs="Calibri"/>
                <w:b/>
                <w:color w:val="4F81BD"/>
                <w:sz w:val="20"/>
                <w:szCs w:val="20"/>
                <w:lang w:val="en-GB"/>
              </w:rPr>
              <w:br/>
              <w:t>community and county roads.</w:t>
            </w:r>
          </w:p>
          <w:tbl>
            <w:tblPr>
              <w:tblStyle w:val="affffffffffffffff4"/>
              <w:tblW w:w="5940" w:type="dxa"/>
              <w:tblLayout w:type="fixed"/>
              <w:tblLook w:val="0400" w:firstRow="0" w:lastRow="0" w:firstColumn="0" w:lastColumn="0" w:noHBand="0" w:noVBand="1"/>
            </w:tblPr>
            <w:tblGrid>
              <w:gridCol w:w="581"/>
              <w:gridCol w:w="1390"/>
              <w:gridCol w:w="1276"/>
              <w:gridCol w:w="1276"/>
              <w:gridCol w:w="1417"/>
            </w:tblGrid>
            <w:tr w:rsidR="00600DEE" w:rsidRPr="007463B9" w14:paraId="37D0113B" w14:textId="77777777" w:rsidTr="00EE29B5">
              <w:trPr>
                <w:trHeight w:hRule="exact" w:val="680"/>
              </w:trPr>
              <w:tc>
                <w:tcPr>
                  <w:tcW w:w="582"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28838812"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 </w:t>
                  </w:r>
                </w:p>
              </w:tc>
              <w:tc>
                <w:tcPr>
                  <w:tcW w:w="1390"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5907E9E3"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Voivodeship rd. undeveloped  area (n)</w:t>
                  </w:r>
                </w:p>
              </w:tc>
              <w:tc>
                <w:tcPr>
                  <w:tcW w:w="1276"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1FA49105"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Voivodeship rd. built-up area (z)</w:t>
                  </w:r>
                </w:p>
              </w:tc>
              <w:tc>
                <w:tcPr>
                  <w:tcW w:w="1276"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075C2158"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commmunity, county rd.    undeveloped area (n)</w:t>
                  </w:r>
                </w:p>
              </w:tc>
              <w:tc>
                <w:tcPr>
                  <w:tcW w:w="1417" w:type="dxa"/>
                  <w:vMerge w:val="restart"/>
                  <w:tcBorders>
                    <w:top w:val="single" w:sz="8" w:space="0" w:color="FFFFFF"/>
                    <w:left w:val="single" w:sz="8" w:space="0" w:color="FFFFFF"/>
                    <w:bottom w:val="single" w:sz="8" w:space="0" w:color="FFFFFF"/>
                    <w:right w:val="single" w:sz="8" w:space="0" w:color="FFFFFF"/>
                  </w:tcBorders>
                  <w:shd w:val="clear" w:color="auto" w:fill="A6A6A6"/>
                  <w:vAlign w:val="center"/>
                </w:tcPr>
                <w:p w14:paraId="7477ED1B"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commmunity, county rd.    built-up area (z)</w:t>
                  </w:r>
                </w:p>
              </w:tc>
            </w:tr>
            <w:tr w:rsidR="00600DEE" w:rsidRPr="007463B9" w14:paraId="36C82FAB" w14:textId="77777777">
              <w:trPr>
                <w:trHeight w:val="276"/>
              </w:trPr>
              <w:tc>
                <w:tcPr>
                  <w:tcW w:w="582"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4431D7FB"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1390"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47377FF7"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1276"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37350105"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1276"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0774F1F0"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c>
                <w:tcPr>
                  <w:tcW w:w="1417" w:type="dxa"/>
                  <w:vMerge/>
                  <w:tcBorders>
                    <w:top w:val="single" w:sz="8" w:space="0" w:color="FFFFFF"/>
                    <w:left w:val="single" w:sz="8" w:space="0" w:color="FFFFFF"/>
                    <w:bottom w:val="single" w:sz="8" w:space="0" w:color="FFFFFF"/>
                    <w:right w:val="single" w:sz="8" w:space="0" w:color="FFFFFF"/>
                  </w:tcBorders>
                  <w:shd w:val="clear" w:color="auto" w:fill="A6A6A6"/>
                  <w:vAlign w:val="center"/>
                </w:tcPr>
                <w:p w14:paraId="2C7244DA"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6"/>
                      <w:szCs w:val="16"/>
                      <w:lang w:val="en-GB"/>
                    </w:rPr>
                  </w:pPr>
                </w:p>
              </w:tc>
            </w:tr>
            <w:tr w:rsidR="00600DEE" w:rsidRPr="007463B9" w14:paraId="684316D1" w14:textId="77777777">
              <w:trPr>
                <w:trHeight w:val="315"/>
              </w:trPr>
              <w:tc>
                <w:tcPr>
                  <w:tcW w:w="582" w:type="dxa"/>
                  <w:tcBorders>
                    <w:top w:val="nil"/>
                    <w:left w:val="single" w:sz="8" w:space="0" w:color="FFFFFF"/>
                    <w:bottom w:val="nil"/>
                    <w:right w:val="nil"/>
                  </w:tcBorders>
                  <w:shd w:val="clear" w:color="auto" w:fill="A6A6A6"/>
                  <w:vAlign w:val="center"/>
                </w:tcPr>
                <w:p w14:paraId="38D9901C"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WR</w:t>
                  </w:r>
                </w:p>
              </w:tc>
              <w:tc>
                <w:tcPr>
                  <w:tcW w:w="1390" w:type="dxa"/>
                  <w:tcBorders>
                    <w:top w:val="nil"/>
                    <w:left w:val="single" w:sz="8" w:space="0" w:color="FFFFFF"/>
                    <w:bottom w:val="single" w:sz="8" w:space="0" w:color="FFFFFF"/>
                    <w:right w:val="single" w:sz="8" w:space="0" w:color="FFFFFF"/>
                  </w:tcBorders>
                  <w:shd w:val="clear" w:color="auto" w:fill="DBE5F1"/>
                  <w:vAlign w:val="center"/>
                </w:tcPr>
                <w:p w14:paraId="0D7A459C"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1.322</w:t>
                  </w:r>
                </w:p>
              </w:tc>
              <w:tc>
                <w:tcPr>
                  <w:tcW w:w="1276" w:type="dxa"/>
                  <w:tcBorders>
                    <w:top w:val="nil"/>
                    <w:left w:val="nil"/>
                    <w:bottom w:val="single" w:sz="8" w:space="0" w:color="FFFFFF"/>
                    <w:right w:val="nil"/>
                  </w:tcBorders>
                  <w:shd w:val="clear" w:color="auto" w:fill="DBE5F1"/>
                  <w:vAlign w:val="center"/>
                </w:tcPr>
                <w:p w14:paraId="26CD376F"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1.226</w:t>
                  </w:r>
                </w:p>
              </w:tc>
              <w:tc>
                <w:tcPr>
                  <w:tcW w:w="1276" w:type="dxa"/>
                  <w:tcBorders>
                    <w:top w:val="nil"/>
                    <w:left w:val="single" w:sz="8" w:space="0" w:color="FFFFFF"/>
                    <w:bottom w:val="single" w:sz="8" w:space="0" w:color="FFFFFF"/>
                    <w:right w:val="nil"/>
                  </w:tcBorders>
                  <w:shd w:val="clear" w:color="auto" w:fill="DBE5F1"/>
                  <w:vAlign w:val="center"/>
                </w:tcPr>
                <w:p w14:paraId="29D454EC"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1.334</w:t>
                  </w:r>
                </w:p>
              </w:tc>
              <w:tc>
                <w:tcPr>
                  <w:tcW w:w="1417" w:type="dxa"/>
                  <w:tcBorders>
                    <w:top w:val="nil"/>
                    <w:left w:val="single" w:sz="8" w:space="0" w:color="FFFFFF"/>
                    <w:bottom w:val="single" w:sz="8" w:space="0" w:color="FFFFFF"/>
                    <w:right w:val="nil"/>
                  </w:tcBorders>
                  <w:shd w:val="clear" w:color="auto" w:fill="DBE5F1"/>
                  <w:vAlign w:val="center"/>
                </w:tcPr>
                <w:p w14:paraId="51CAB308"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1.194</w:t>
                  </w:r>
                </w:p>
              </w:tc>
            </w:tr>
            <w:tr w:rsidR="00600DEE" w:rsidRPr="007463B9" w14:paraId="0D918CA4" w14:textId="77777777">
              <w:trPr>
                <w:trHeight w:val="315"/>
              </w:trPr>
              <w:tc>
                <w:tcPr>
                  <w:tcW w:w="582" w:type="dxa"/>
                  <w:tcBorders>
                    <w:top w:val="single" w:sz="8" w:space="0" w:color="FFFFFF"/>
                    <w:left w:val="single" w:sz="8" w:space="0" w:color="FFFFFF"/>
                    <w:bottom w:val="nil"/>
                    <w:right w:val="nil"/>
                  </w:tcBorders>
                  <w:shd w:val="clear" w:color="auto" w:fill="A6A6A6"/>
                  <w:vAlign w:val="center"/>
                </w:tcPr>
                <w:p w14:paraId="70CF32C1"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WCR</w:t>
                  </w:r>
                </w:p>
              </w:tc>
              <w:tc>
                <w:tcPr>
                  <w:tcW w:w="1390" w:type="dxa"/>
                  <w:tcBorders>
                    <w:top w:val="nil"/>
                    <w:left w:val="single" w:sz="8" w:space="0" w:color="FFFFFF"/>
                    <w:bottom w:val="single" w:sz="8" w:space="0" w:color="FFFFFF"/>
                    <w:right w:val="single" w:sz="8" w:space="0" w:color="FFFFFF"/>
                  </w:tcBorders>
                  <w:shd w:val="clear" w:color="auto" w:fill="DBE5F1"/>
                  <w:vAlign w:val="center"/>
                </w:tcPr>
                <w:p w14:paraId="57DB065B"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0.381</w:t>
                  </w:r>
                </w:p>
              </w:tc>
              <w:tc>
                <w:tcPr>
                  <w:tcW w:w="1276" w:type="dxa"/>
                  <w:tcBorders>
                    <w:top w:val="nil"/>
                    <w:left w:val="nil"/>
                    <w:bottom w:val="single" w:sz="8" w:space="0" w:color="FFFFFF"/>
                    <w:right w:val="nil"/>
                  </w:tcBorders>
                  <w:shd w:val="clear" w:color="auto" w:fill="DBE5F1"/>
                  <w:vAlign w:val="center"/>
                </w:tcPr>
                <w:p w14:paraId="088FAECC"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0.318</w:t>
                  </w:r>
                </w:p>
              </w:tc>
              <w:tc>
                <w:tcPr>
                  <w:tcW w:w="1276" w:type="dxa"/>
                  <w:tcBorders>
                    <w:top w:val="nil"/>
                    <w:left w:val="single" w:sz="8" w:space="0" w:color="FFFFFF"/>
                    <w:bottom w:val="single" w:sz="8" w:space="0" w:color="FFFFFF"/>
                    <w:right w:val="nil"/>
                  </w:tcBorders>
                  <w:shd w:val="clear" w:color="auto" w:fill="DBE5F1"/>
                  <w:vAlign w:val="center"/>
                </w:tcPr>
                <w:p w14:paraId="0B318481"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0.393</w:t>
                  </w:r>
                </w:p>
              </w:tc>
              <w:tc>
                <w:tcPr>
                  <w:tcW w:w="1417" w:type="dxa"/>
                  <w:tcBorders>
                    <w:top w:val="nil"/>
                    <w:left w:val="single" w:sz="8" w:space="0" w:color="FFFFFF"/>
                    <w:bottom w:val="single" w:sz="8" w:space="0" w:color="FFFFFF"/>
                    <w:right w:val="nil"/>
                  </w:tcBorders>
                  <w:shd w:val="clear" w:color="auto" w:fill="DBE5F1"/>
                  <w:vAlign w:val="center"/>
                </w:tcPr>
                <w:p w14:paraId="05B50BC7"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0.288</w:t>
                  </w:r>
                </w:p>
              </w:tc>
            </w:tr>
            <w:tr w:rsidR="00600DEE" w:rsidRPr="007463B9" w14:paraId="2CC4DFC7" w14:textId="77777777">
              <w:trPr>
                <w:trHeight w:val="315"/>
              </w:trPr>
              <w:tc>
                <w:tcPr>
                  <w:tcW w:w="582" w:type="dxa"/>
                  <w:tcBorders>
                    <w:top w:val="single" w:sz="8" w:space="0" w:color="FFFFFF"/>
                    <w:left w:val="single" w:sz="8" w:space="0" w:color="FFFFFF"/>
                    <w:bottom w:val="nil"/>
                    <w:right w:val="nil"/>
                  </w:tcBorders>
                  <w:shd w:val="clear" w:color="auto" w:fill="A6A6A6"/>
                  <w:vAlign w:val="center"/>
                </w:tcPr>
                <w:p w14:paraId="23CD1DA9" w14:textId="77777777" w:rsidR="00600DEE" w:rsidRPr="0045151D" w:rsidRDefault="00641FB5">
                  <w:pPr>
                    <w:jc w:val="center"/>
                    <w:rPr>
                      <w:rFonts w:ascii="Calibri" w:eastAsia="Calibri" w:hAnsi="Calibri" w:cs="Calibri"/>
                      <w:b/>
                      <w:color w:val="FFFFFF"/>
                      <w:sz w:val="16"/>
                      <w:szCs w:val="16"/>
                      <w:lang w:val="en-GB"/>
                    </w:rPr>
                  </w:pPr>
                  <w:r w:rsidRPr="0045151D">
                    <w:rPr>
                      <w:rFonts w:ascii="Calibri" w:eastAsia="Calibri" w:hAnsi="Calibri" w:cs="Calibri"/>
                      <w:b/>
                      <w:color w:val="FFFFFF"/>
                      <w:sz w:val="16"/>
                      <w:szCs w:val="16"/>
                      <w:lang w:val="en-GB"/>
                    </w:rPr>
                    <w:t>WZ</w:t>
                  </w:r>
                </w:p>
              </w:tc>
              <w:tc>
                <w:tcPr>
                  <w:tcW w:w="1390" w:type="dxa"/>
                  <w:tcBorders>
                    <w:top w:val="nil"/>
                    <w:left w:val="single" w:sz="8" w:space="0" w:color="FFFFFF"/>
                    <w:bottom w:val="single" w:sz="8" w:space="0" w:color="FFFFFF"/>
                    <w:right w:val="single" w:sz="8" w:space="0" w:color="FFFFFF"/>
                  </w:tcBorders>
                  <w:shd w:val="clear" w:color="auto" w:fill="DBE5F1"/>
                  <w:vAlign w:val="center"/>
                </w:tcPr>
                <w:p w14:paraId="0EF7AB13"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0.178</w:t>
                  </w:r>
                </w:p>
              </w:tc>
              <w:tc>
                <w:tcPr>
                  <w:tcW w:w="1276" w:type="dxa"/>
                  <w:tcBorders>
                    <w:top w:val="nil"/>
                    <w:left w:val="nil"/>
                    <w:bottom w:val="single" w:sz="8" w:space="0" w:color="FFFFFF"/>
                    <w:right w:val="nil"/>
                  </w:tcBorders>
                  <w:shd w:val="clear" w:color="auto" w:fill="DBE5F1"/>
                  <w:vAlign w:val="center"/>
                </w:tcPr>
                <w:p w14:paraId="4E6AA0BD"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0.100</w:t>
                  </w:r>
                </w:p>
              </w:tc>
              <w:tc>
                <w:tcPr>
                  <w:tcW w:w="1276" w:type="dxa"/>
                  <w:tcBorders>
                    <w:top w:val="nil"/>
                    <w:left w:val="single" w:sz="8" w:space="0" w:color="FFFFFF"/>
                    <w:bottom w:val="single" w:sz="8" w:space="0" w:color="FFFFFF"/>
                    <w:right w:val="nil"/>
                  </w:tcBorders>
                  <w:shd w:val="clear" w:color="auto" w:fill="DBE5F1"/>
                  <w:vAlign w:val="center"/>
                </w:tcPr>
                <w:p w14:paraId="6BA54C46"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0.143</w:t>
                  </w:r>
                </w:p>
              </w:tc>
              <w:tc>
                <w:tcPr>
                  <w:tcW w:w="1417" w:type="dxa"/>
                  <w:tcBorders>
                    <w:top w:val="nil"/>
                    <w:left w:val="single" w:sz="8" w:space="0" w:color="FFFFFF"/>
                    <w:bottom w:val="single" w:sz="8" w:space="0" w:color="FFFFFF"/>
                    <w:right w:val="nil"/>
                  </w:tcBorders>
                  <w:shd w:val="clear" w:color="auto" w:fill="DBE5F1"/>
                  <w:vAlign w:val="center"/>
                </w:tcPr>
                <w:p w14:paraId="3F6BFC8F" w14:textId="77777777" w:rsidR="00600DEE" w:rsidRPr="0045151D" w:rsidRDefault="00641FB5">
                  <w:pPr>
                    <w:jc w:val="center"/>
                    <w:rPr>
                      <w:rFonts w:ascii="Calibri" w:eastAsia="Calibri" w:hAnsi="Calibri" w:cs="Calibri"/>
                      <w:color w:val="4F81BD"/>
                      <w:sz w:val="16"/>
                      <w:szCs w:val="16"/>
                      <w:lang w:val="en-GB"/>
                    </w:rPr>
                  </w:pPr>
                  <w:r w:rsidRPr="0045151D">
                    <w:rPr>
                      <w:rFonts w:ascii="Calibri" w:eastAsia="Calibri" w:hAnsi="Calibri" w:cs="Calibri"/>
                      <w:color w:val="4F81BD"/>
                      <w:sz w:val="16"/>
                      <w:szCs w:val="16"/>
                      <w:lang w:val="en-GB"/>
                    </w:rPr>
                    <w:t>0.087</w:t>
                  </w:r>
                </w:p>
              </w:tc>
            </w:tr>
          </w:tbl>
          <w:p w14:paraId="17C9A95E" w14:textId="461595E9" w:rsidR="00600DEE" w:rsidRPr="0045151D" w:rsidRDefault="00641FB5">
            <w:pPr>
              <w:spacing w:before="120" w:after="120"/>
              <w:jc w:val="both"/>
              <w:rPr>
                <w:rFonts w:ascii="Calibri" w:eastAsia="Calibri" w:hAnsi="Calibri" w:cs="Calibri"/>
                <w:sz w:val="20"/>
                <w:szCs w:val="20"/>
                <w:lang w:val="en-GB"/>
              </w:rPr>
            </w:pPr>
            <w:r w:rsidRPr="0045151D">
              <w:rPr>
                <w:rFonts w:ascii="Calibri" w:eastAsia="Calibri" w:hAnsi="Calibri" w:cs="Calibri"/>
                <w:b/>
                <w:i/>
                <w:sz w:val="16"/>
                <w:szCs w:val="16"/>
                <w:lang w:val="en-GB"/>
              </w:rPr>
              <w:t>Source: Expert study</w:t>
            </w:r>
            <w:r w:rsidRPr="0045151D">
              <w:rPr>
                <w:rFonts w:ascii="Calibri" w:eastAsia="Calibri" w:hAnsi="Calibri" w:cs="Calibri"/>
                <w:sz w:val="20"/>
                <w:szCs w:val="20"/>
                <w:lang w:val="en-GB"/>
              </w:rPr>
              <w:t xml:space="preserve"> </w:t>
            </w:r>
          </w:p>
          <w:p w14:paraId="4524D30D" w14:textId="30C17789" w:rsidR="00EE29B5" w:rsidRPr="0045151D" w:rsidRDefault="00EE29B5">
            <w:pPr>
              <w:spacing w:before="120" w:after="120"/>
              <w:jc w:val="both"/>
              <w:rPr>
                <w:rFonts w:ascii="Calibri" w:eastAsia="Calibri" w:hAnsi="Calibri" w:cs="Calibri"/>
                <w:sz w:val="20"/>
                <w:szCs w:val="20"/>
                <w:lang w:val="en-GB"/>
              </w:rPr>
            </w:pPr>
          </w:p>
          <w:p w14:paraId="09138622" w14:textId="77777777" w:rsidR="00EE29B5" w:rsidRPr="0045151D" w:rsidRDefault="00EE29B5">
            <w:pPr>
              <w:spacing w:before="120" w:after="120"/>
              <w:jc w:val="both"/>
              <w:rPr>
                <w:rFonts w:ascii="Calibri" w:eastAsia="Calibri" w:hAnsi="Calibri" w:cs="Calibri"/>
                <w:sz w:val="20"/>
                <w:szCs w:val="20"/>
                <w:lang w:val="en-GB"/>
              </w:rPr>
            </w:pPr>
          </w:p>
          <w:p w14:paraId="2E7326FC"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3"/>
                <w:szCs w:val="23"/>
                <w:lang w:val="en-GB"/>
              </w:rPr>
            </w:pPr>
            <w:r w:rsidRPr="0045151D">
              <w:rPr>
                <w:rFonts w:ascii="Calibri" w:eastAsia="Calibri" w:hAnsi="Calibri" w:cs="Calibri"/>
                <w:b/>
                <w:color w:val="4F81BD"/>
                <w:sz w:val="23"/>
                <w:szCs w:val="23"/>
                <w:lang w:val="en-GB"/>
              </w:rPr>
              <w:t>4.   Road safety forecast</w:t>
            </w:r>
          </w:p>
          <w:p w14:paraId="7E01F7DB" w14:textId="77777777" w:rsidR="00B57CEF" w:rsidRPr="00371A33" w:rsidRDefault="00B57CEF" w:rsidP="00B57CEF">
            <w:pPr>
              <w:pStyle w:val="anxnormal"/>
              <w:spacing w:after="120"/>
              <w:ind w:left="0"/>
              <w:rPr>
                <w:rFonts w:asciiTheme="minorHAnsi" w:hAnsiTheme="minorHAnsi" w:cstheme="minorHAnsi"/>
                <w:lang w:val="en-GB"/>
              </w:rPr>
            </w:pPr>
            <w:r w:rsidRPr="00AB5C56">
              <w:rPr>
                <w:rFonts w:asciiTheme="minorHAnsi" w:hAnsiTheme="minorHAnsi" w:cstheme="minorHAnsi"/>
                <w:lang w:val="en-GB"/>
              </w:rPr>
              <w:t>The forecasted values of LR, LCR, LZ, LLR should be calculated by multiplying the forecasted values of LW (for the given reference period) by the corresponding values of WR, WCR and WZ differentiated by road categories. The WR, WCR and LZ valu</w:t>
            </w:r>
            <w:r w:rsidRPr="00371A33">
              <w:rPr>
                <w:rFonts w:asciiTheme="minorHAnsi" w:hAnsiTheme="minorHAnsi" w:cstheme="minorHAnsi"/>
                <w:lang w:val="en-GB"/>
              </w:rPr>
              <w:t xml:space="preserve">es do not change over time. </w:t>
            </w:r>
          </w:p>
          <w:p w14:paraId="2C8E8139" w14:textId="77777777" w:rsidR="00B57CEF" w:rsidRDefault="00B57CEF" w:rsidP="00B57CEF">
            <w:pPr>
              <w:pStyle w:val="anxnormal"/>
              <w:spacing w:after="120"/>
              <w:ind w:left="0"/>
              <w:rPr>
                <w:rFonts w:asciiTheme="minorHAnsi" w:hAnsiTheme="minorHAnsi" w:cstheme="minorHAnsi"/>
                <w:lang w:val="en-GB"/>
              </w:rPr>
            </w:pPr>
            <w:r w:rsidRPr="00371A33">
              <w:rPr>
                <w:rFonts w:asciiTheme="minorHAnsi" w:hAnsiTheme="minorHAnsi" w:cstheme="minorHAnsi"/>
                <w:lang w:val="en-GB"/>
              </w:rPr>
              <w:t>The number of slightly injured (LLR) should be calculated as LR-LCR difference.</w:t>
            </w:r>
            <w:r>
              <w:rPr>
                <w:rFonts w:asciiTheme="minorHAnsi" w:hAnsiTheme="minorHAnsi" w:cstheme="minorHAnsi"/>
                <w:lang w:val="en-GB"/>
              </w:rPr>
              <w:t xml:space="preserve"> </w:t>
            </w:r>
          </w:p>
          <w:p w14:paraId="6EB6E524" w14:textId="77777777" w:rsidR="00EE29B5" w:rsidRPr="0045151D" w:rsidRDefault="00EE29B5">
            <w:pPr>
              <w:pBdr>
                <w:top w:val="nil"/>
                <w:left w:val="nil"/>
                <w:bottom w:val="nil"/>
                <w:right w:val="nil"/>
                <w:between w:val="nil"/>
              </w:pBdr>
              <w:spacing w:before="120" w:after="120"/>
              <w:jc w:val="both"/>
              <w:rPr>
                <w:rFonts w:ascii="Calibri" w:eastAsia="Calibri" w:hAnsi="Calibri" w:cs="Calibri"/>
                <w:b/>
                <w:i/>
                <w:color w:val="000000"/>
                <w:sz w:val="16"/>
                <w:szCs w:val="16"/>
                <w:lang w:val="en-GB"/>
              </w:rPr>
            </w:pPr>
          </w:p>
          <w:p w14:paraId="5852300B"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3"/>
                <w:szCs w:val="23"/>
                <w:lang w:val="en-GB"/>
              </w:rPr>
            </w:pPr>
            <w:r w:rsidRPr="0045151D">
              <w:rPr>
                <w:rFonts w:ascii="Calibri" w:eastAsia="Calibri" w:hAnsi="Calibri" w:cs="Calibri"/>
                <w:b/>
                <w:color w:val="4F81BD"/>
                <w:sz w:val="23"/>
                <w:szCs w:val="23"/>
                <w:lang w:val="en-GB"/>
              </w:rPr>
              <w:t>5.   Costs of accidents</w:t>
            </w:r>
          </w:p>
          <w:p w14:paraId="6409EFAF"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222222"/>
                <w:sz w:val="20"/>
                <w:szCs w:val="20"/>
                <w:lang w:val="en-GB"/>
              </w:rPr>
            </w:pPr>
            <w:r w:rsidRPr="0045151D">
              <w:rPr>
                <w:rFonts w:ascii="Calibri" w:eastAsia="Calibri" w:hAnsi="Calibri" w:cs="Calibri"/>
                <w:color w:val="222222"/>
                <w:sz w:val="20"/>
                <w:szCs w:val="20"/>
                <w:lang w:val="en-GB"/>
              </w:rPr>
              <w:t>The total costs of road accidents are calculated using the formula presented in Table 20 of the main document.</w:t>
            </w:r>
          </w:p>
        </w:tc>
      </w:tr>
    </w:tbl>
    <w:p w14:paraId="79D0061D" w14:textId="77777777" w:rsidR="00600DEE" w:rsidRDefault="00641FB5">
      <w:pPr>
        <w:spacing w:before="120" w:after="120"/>
        <w:rPr>
          <w:rFonts w:ascii="Calibri" w:eastAsia="Calibri" w:hAnsi="Calibri" w:cs="Calibri"/>
          <w:b/>
          <w:color w:val="4F81BD"/>
          <w:sz w:val="28"/>
          <w:szCs w:val="28"/>
        </w:rPr>
      </w:pPr>
      <w:r>
        <w:rPr>
          <w:rFonts w:ascii="Calibri" w:eastAsia="Calibri" w:hAnsi="Calibri" w:cs="Calibri"/>
          <w:b/>
          <w:color w:val="4F81BD"/>
          <w:sz w:val="28"/>
          <w:szCs w:val="28"/>
        </w:rPr>
        <w:t>Metoda II</w:t>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r>
      <w:r>
        <w:rPr>
          <w:rFonts w:ascii="Calibri" w:eastAsia="Calibri" w:hAnsi="Calibri" w:cs="Calibri"/>
          <w:b/>
          <w:color w:val="4F81BD"/>
          <w:sz w:val="28"/>
          <w:szCs w:val="28"/>
        </w:rPr>
        <w:tab/>
        <w:t xml:space="preserve">         </w:t>
      </w:r>
      <w:r>
        <w:rPr>
          <w:rFonts w:ascii="Calibri" w:eastAsia="Calibri" w:hAnsi="Calibri" w:cs="Calibri"/>
          <w:b/>
          <w:i/>
          <w:color w:val="4F81BD"/>
          <w:sz w:val="28"/>
          <w:szCs w:val="28"/>
        </w:rPr>
        <w:t>Method II</w:t>
      </w:r>
    </w:p>
    <w:tbl>
      <w:tblPr>
        <w:tblStyle w:val="affffffffffffffff5"/>
        <w:tblW w:w="14571" w:type="dxa"/>
        <w:tblLayout w:type="fixed"/>
        <w:tblLook w:val="0400" w:firstRow="0" w:lastRow="0" w:firstColumn="0" w:lastColumn="0" w:noHBand="0" w:noVBand="1"/>
      </w:tblPr>
      <w:tblGrid>
        <w:gridCol w:w="7370"/>
        <w:gridCol w:w="7201"/>
      </w:tblGrid>
      <w:tr w:rsidR="00600DEE" w:rsidRPr="007463B9" w14:paraId="28313505" w14:textId="77777777">
        <w:tc>
          <w:tcPr>
            <w:tcW w:w="7370" w:type="dxa"/>
            <w:tcBorders>
              <w:right w:val="single" w:sz="4" w:space="0" w:color="000000"/>
            </w:tcBorders>
            <w:tcMar>
              <w:left w:w="284" w:type="dxa"/>
              <w:right w:w="284" w:type="dxa"/>
            </w:tcMar>
          </w:tcPr>
          <w:p w14:paraId="3C877A73"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Metoda przedstawiona poniżej powinna być stosowana wyłącznie dla celów AKK dla projektów zamiejskich. Zastosowanie pełnej szczegółowej metody prognozowania wskaźników BRD (przygotowanej na zlecenie GDDKiA) jest również możliwe.</w:t>
            </w:r>
          </w:p>
          <w:p w14:paraId="3471679E"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 metodzie tej głównymi miarami BRD są miary wielkości strat społecznych:</w:t>
            </w:r>
          </w:p>
          <w:p w14:paraId="7DA0EA11"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sumaryczna liczba wypadków (</w:t>
            </w:r>
            <w:r>
              <w:rPr>
                <w:rFonts w:ascii="Calibri" w:eastAsia="Calibri" w:hAnsi="Calibri" w:cs="Calibri"/>
                <w:b/>
                <w:color w:val="000000"/>
                <w:sz w:val="20"/>
                <w:szCs w:val="20"/>
              </w:rPr>
              <w:t>LW</w:t>
            </w:r>
            <w:r>
              <w:rPr>
                <w:rFonts w:ascii="Calibri" w:eastAsia="Calibri" w:hAnsi="Calibri" w:cs="Calibri"/>
                <w:color w:val="000000"/>
                <w:sz w:val="20"/>
                <w:szCs w:val="20"/>
              </w:rPr>
              <w:t>),</w:t>
            </w:r>
          </w:p>
          <w:p w14:paraId="21408DEE"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sumaryczna liczba rannych (</w:t>
            </w:r>
            <w:r>
              <w:rPr>
                <w:rFonts w:ascii="Calibri" w:eastAsia="Calibri" w:hAnsi="Calibri" w:cs="Calibri"/>
                <w:b/>
                <w:color w:val="000000"/>
                <w:sz w:val="20"/>
                <w:szCs w:val="20"/>
              </w:rPr>
              <w:t>LR</w:t>
            </w:r>
            <w:r>
              <w:rPr>
                <w:rFonts w:ascii="Calibri" w:eastAsia="Calibri" w:hAnsi="Calibri" w:cs="Calibri"/>
                <w:color w:val="000000"/>
                <w:sz w:val="20"/>
                <w:szCs w:val="20"/>
              </w:rPr>
              <w:t>),</w:t>
            </w:r>
          </w:p>
          <w:p w14:paraId="4491B1C3"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sumaryczna liczba ciężko rannych (</w:t>
            </w:r>
            <w:r>
              <w:rPr>
                <w:rFonts w:ascii="Calibri" w:eastAsia="Calibri" w:hAnsi="Calibri" w:cs="Calibri"/>
                <w:b/>
                <w:color w:val="000000"/>
                <w:sz w:val="20"/>
                <w:szCs w:val="20"/>
              </w:rPr>
              <w:t>LCR</w:t>
            </w:r>
            <w:r>
              <w:rPr>
                <w:rFonts w:ascii="Calibri" w:eastAsia="Calibri" w:hAnsi="Calibri" w:cs="Calibri"/>
                <w:color w:val="000000"/>
                <w:sz w:val="20"/>
                <w:szCs w:val="20"/>
              </w:rPr>
              <w:t xml:space="preserve">), </w:t>
            </w:r>
          </w:p>
          <w:p w14:paraId="245D5890"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sumaryczna liczba ofiar śmiertelnych (</w:t>
            </w:r>
            <w:r>
              <w:rPr>
                <w:rFonts w:ascii="Calibri" w:eastAsia="Calibri" w:hAnsi="Calibri" w:cs="Calibri"/>
                <w:b/>
                <w:color w:val="000000"/>
                <w:sz w:val="20"/>
                <w:szCs w:val="20"/>
              </w:rPr>
              <w:t>LZ</w:t>
            </w:r>
            <w:r>
              <w:rPr>
                <w:rFonts w:ascii="Calibri" w:eastAsia="Calibri" w:hAnsi="Calibri" w:cs="Calibri"/>
                <w:color w:val="000000"/>
                <w:sz w:val="20"/>
                <w:szCs w:val="20"/>
              </w:rPr>
              <w:t>).</w:t>
            </w:r>
          </w:p>
          <w:p w14:paraId="2C1B542C"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Podstawą obliczenia aktualnej oraz prognozowanej liczby wypadków, zabitych oraz rannych w wypadkach drogowych w danym roku, zarówno dla wariantu inwestycyjnego Wn, jak i bezinwestycyjnego W0 jest określenie tzw. pomocniczych miar ryzyka społecznego:</w:t>
            </w:r>
          </w:p>
          <w:p w14:paraId="2F78D6E1"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gęstość wypadków (</w:t>
            </w:r>
            <w:r>
              <w:rPr>
                <w:rFonts w:ascii="Calibri" w:eastAsia="Calibri" w:hAnsi="Calibri" w:cs="Calibri"/>
                <w:b/>
                <w:color w:val="000000"/>
                <w:sz w:val="20"/>
                <w:szCs w:val="20"/>
              </w:rPr>
              <w:t>GW</w:t>
            </w:r>
            <w:r>
              <w:rPr>
                <w:rFonts w:ascii="Calibri" w:eastAsia="Calibri" w:hAnsi="Calibri" w:cs="Calibri"/>
                <w:color w:val="000000"/>
                <w:sz w:val="20"/>
                <w:szCs w:val="20"/>
              </w:rPr>
              <w:t>),</w:t>
            </w:r>
          </w:p>
          <w:p w14:paraId="49D846BC"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gęstość ofiar rannych (</w:t>
            </w:r>
            <w:r>
              <w:rPr>
                <w:rFonts w:ascii="Calibri" w:eastAsia="Calibri" w:hAnsi="Calibri" w:cs="Calibri"/>
                <w:b/>
                <w:color w:val="000000"/>
                <w:sz w:val="20"/>
                <w:szCs w:val="20"/>
              </w:rPr>
              <w:t>GR</w:t>
            </w:r>
            <w:r>
              <w:rPr>
                <w:rFonts w:ascii="Calibri" w:eastAsia="Calibri" w:hAnsi="Calibri" w:cs="Calibri"/>
                <w:color w:val="000000"/>
                <w:sz w:val="20"/>
                <w:szCs w:val="20"/>
              </w:rPr>
              <w:t>),</w:t>
            </w:r>
          </w:p>
          <w:p w14:paraId="091E81B4"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gęstość ofiar ciężko rannych (</w:t>
            </w:r>
            <w:r>
              <w:rPr>
                <w:rFonts w:ascii="Calibri" w:eastAsia="Calibri" w:hAnsi="Calibri" w:cs="Calibri"/>
                <w:b/>
                <w:color w:val="000000"/>
                <w:sz w:val="20"/>
                <w:szCs w:val="20"/>
              </w:rPr>
              <w:t>GCR</w:t>
            </w:r>
            <w:r>
              <w:rPr>
                <w:rFonts w:ascii="Calibri" w:eastAsia="Calibri" w:hAnsi="Calibri" w:cs="Calibri"/>
                <w:color w:val="000000"/>
                <w:sz w:val="20"/>
                <w:szCs w:val="20"/>
              </w:rPr>
              <w:t>),</w:t>
            </w:r>
          </w:p>
          <w:p w14:paraId="72627CFA"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gęstość ofiar śmiertelnych (</w:t>
            </w:r>
            <w:r>
              <w:rPr>
                <w:rFonts w:ascii="Calibri" w:eastAsia="Calibri" w:hAnsi="Calibri" w:cs="Calibri"/>
                <w:b/>
                <w:color w:val="000000"/>
                <w:sz w:val="20"/>
                <w:szCs w:val="20"/>
              </w:rPr>
              <w:t>GZ</w:t>
            </w:r>
            <w:r>
              <w:rPr>
                <w:rFonts w:ascii="Calibri" w:eastAsia="Calibri" w:hAnsi="Calibri" w:cs="Calibri"/>
                <w:color w:val="000000"/>
                <w:sz w:val="20"/>
                <w:szCs w:val="20"/>
              </w:rPr>
              <w:t>).</w:t>
            </w:r>
          </w:p>
          <w:p w14:paraId="47617190"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Wartości te określamy przy pomocy poniższych tabel (od tabeli 9 do tabeli 20), opracowanych na podstawie metody wskaźników BRD przy pomocy następujących danych wejściowych:</w:t>
            </w:r>
          </w:p>
          <w:p w14:paraId="004E8D23"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rodzaj inwestycji (ciąg drogowy, obwodnica),</w:t>
            </w:r>
          </w:p>
          <w:p w14:paraId="608939CD"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liczba jezdni (dwujezdniowe, jednojezdniowe),</w:t>
            </w:r>
          </w:p>
          <w:p w14:paraId="0B7B4F42"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klasa drogi (opracowanie rozróżnia następujące klasy: A, S(i S2+1), GP, G),</w:t>
            </w:r>
          </w:p>
          <w:p w14:paraId="149C5A6A"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prognoza ruchu, średnioroczny Średni Dobowy Ruch (SDR),</w:t>
            </w:r>
          </w:p>
          <w:p w14:paraId="4D455A44" w14:textId="77777777"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lokalizacja (województwo), dotyczy ciągów jednojezdniowych,</w:t>
            </w:r>
          </w:p>
          <w:p w14:paraId="78A4C0A9" w14:textId="069D51E1" w:rsidR="00600DEE" w:rsidRDefault="00641FB5" w:rsidP="00D5736B">
            <w:pPr>
              <w:numPr>
                <w:ilvl w:val="0"/>
                <w:numId w:val="76"/>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obszar zabudowany (</w:t>
            </w:r>
            <w:r w:rsidR="00EB716F">
              <w:rPr>
                <w:rFonts w:ascii="Calibri" w:eastAsia="Calibri" w:hAnsi="Calibri" w:cs="Calibri"/>
                <w:b/>
                <w:color w:val="000000"/>
                <w:sz w:val="20"/>
                <w:szCs w:val="20"/>
              </w:rPr>
              <w:t>z</w:t>
            </w:r>
            <w:r>
              <w:rPr>
                <w:rFonts w:ascii="Calibri" w:eastAsia="Calibri" w:hAnsi="Calibri" w:cs="Calibri"/>
                <w:color w:val="000000"/>
                <w:sz w:val="20"/>
                <w:szCs w:val="20"/>
              </w:rPr>
              <w:t>) / obszar niezabudowany (</w:t>
            </w:r>
            <w:r w:rsidR="00EB716F">
              <w:rPr>
                <w:rFonts w:ascii="Calibri" w:eastAsia="Calibri" w:hAnsi="Calibri" w:cs="Calibri"/>
                <w:b/>
                <w:color w:val="000000"/>
                <w:sz w:val="20"/>
                <w:szCs w:val="20"/>
              </w:rPr>
              <w:t>n</w:t>
            </w:r>
            <w:r>
              <w:rPr>
                <w:rFonts w:ascii="Calibri" w:eastAsia="Calibri" w:hAnsi="Calibri" w:cs="Calibri"/>
                <w:color w:val="000000"/>
                <w:sz w:val="20"/>
                <w:szCs w:val="20"/>
              </w:rPr>
              <w:t>)</w:t>
            </w:r>
            <w:r w:rsidR="003E14E4">
              <w:rPr>
                <w:rStyle w:val="Odwoanieprzypisudolnego"/>
                <w:rFonts w:ascii="Calibri" w:eastAsia="Calibri" w:hAnsi="Calibri" w:cs="Calibri"/>
                <w:color w:val="000000"/>
                <w:sz w:val="20"/>
                <w:szCs w:val="20"/>
              </w:rPr>
              <w:footnoteReference w:id="29"/>
            </w:r>
            <w:r>
              <w:rPr>
                <w:rFonts w:ascii="Calibri" w:eastAsia="Calibri" w:hAnsi="Calibri" w:cs="Calibri"/>
                <w:color w:val="000000"/>
                <w:sz w:val="20"/>
                <w:szCs w:val="20"/>
              </w:rPr>
              <w:t>.</w:t>
            </w:r>
            <w:r>
              <w:rPr>
                <w:rFonts w:ascii="Calibri" w:eastAsia="Calibri" w:hAnsi="Calibri" w:cs="Calibri"/>
                <w:color w:val="000000"/>
                <w:sz w:val="20"/>
                <w:szCs w:val="20"/>
                <w:vertAlign w:val="superscript"/>
              </w:rPr>
              <w:t xml:space="preserve"> </w:t>
            </w:r>
          </w:p>
          <w:p w14:paraId="63800B0E"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Liczbę wypadków </w:t>
            </w:r>
            <w:r>
              <w:rPr>
                <w:rFonts w:ascii="Calibri" w:eastAsia="Calibri" w:hAnsi="Calibri" w:cs="Calibri"/>
                <w:b/>
                <w:color w:val="000000"/>
                <w:sz w:val="20"/>
                <w:szCs w:val="20"/>
              </w:rPr>
              <w:t>a</w:t>
            </w:r>
            <w:r>
              <w:rPr>
                <w:rFonts w:ascii="Calibri" w:eastAsia="Calibri" w:hAnsi="Calibri" w:cs="Calibri"/>
                <w:b/>
                <w:color w:val="000000"/>
                <w:sz w:val="20"/>
                <w:szCs w:val="20"/>
                <w:vertAlign w:val="subscript"/>
              </w:rPr>
              <w:t>wt</w:t>
            </w:r>
            <w:r>
              <w:rPr>
                <w:rFonts w:ascii="Calibri" w:eastAsia="Calibri" w:hAnsi="Calibri" w:cs="Calibri"/>
                <w:color w:val="000000"/>
                <w:sz w:val="20"/>
                <w:szCs w:val="20"/>
              </w:rPr>
              <w:t xml:space="preserve"> w danym roku t na odcinku o długości L wyliczamy za pomocą wzoru:</w:t>
            </w:r>
          </w:p>
          <w:p w14:paraId="5F66B550" w14:textId="77777777" w:rsidR="003E14E4" w:rsidRPr="00731E4E" w:rsidRDefault="003E14E4" w:rsidP="003E14E4">
            <w:pPr>
              <w:pStyle w:val="anxnormal"/>
              <w:spacing w:after="120"/>
              <w:ind w:left="0"/>
              <w:rPr>
                <w:rFonts w:asciiTheme="minorHAnsi" w:hAnsiTheme="minorHAnsi"/>
                <w:b/>
              </w:rPr>
            </w:pPr>
            <w:r w:rsidRPr="00731E4E">
              <w:rPr>
                <w:rFonts w:asciiTheme="minorHAnsi" w:hAnsiTheme="minorHAnsi"/>
                <w:b/>
              </w:rPr>
              <w:t>a</w:t>
            </w:r>
            <w:r w:rsidRPr="00731E4E">
              <w:rPr>
                <w:rFonts w:asciiTheme="minorHAnsi" w:hAnsiTheme="minorHAnsi"/>
                <w:b/>
                <w:vertAlign w:val="subscript"/>
              </w:rPr>
              <w:t>wt</w:t>
            </w:r>
            <w:r w:rsidRPr="00731E4E">
              <w:rPr>
                <w:rFonts w:asciiTheme="minorHAnsi" w:hAnsiTheme="minorHAnsi"/>
                <w:b/>
              </w:rPr>
              <w:t xml:space="preserve"> = GW</w:t>
            </w:r>
            <w:r w:rsidRPr="00731E4E">
              <w:rPr>
                <w:rFonts w:asciiTheme="minorHAnsi" w:hAnsiTheme="minorHAnsi"/>
                <w:b/>
              </w:rPr>
              <w:sym w:font="Symbol" w:char="F0D7"/>
            </w:r>
            <w:r w:rsidRPr="00731E4E">
              <w:rPr>
                <w:rFonts w:asciiTheme="minorHAnsi" w:hAnsiTheme="minorHAnsi"/>
                <w:b/>
              </w:rPr>
              <w:t>L</w:t>
            </w:r>
            <w:r w:rsidRPr="00731E4E">
              <w:rPr>
                <w:rFonts w:asciiTheme="minorHAnsi" w:hAnsiTheme="minorHAnsi"/>
                <w:b/>
              </w:rPr>
              <w:sym w:font="Symbol" w:char="F0D7"/>
            </w:r>
            <w:r w:rsidRPr="00731E4E">
              <w:rPr>
                <w:rFonts w:asciiTheme="minorHAnsi" w:hAnsiTheme="minorHAnsi"/>
                <w:b/>
                <w:i/>
              </w:rPr>
              <w:t>f</w:t>
            </w:r>
            <w:r w:rsidRPr="00731E4E">
              <w:rPr>
                <w:rFonts w:asciiTheme="minorHAnsi" w:hAnsiTheme="minorHAnsi"/>
                <w:b/>
                <w:i/>
                <w:vertAlign w:val="subscript"/>
              </w:rPr>
              <w:t>HP</w:t>
            </w:r>
          </w:p>
          <w:p w14:paraId="04AA9D57"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i/>
                <w:color w:val="000000"/>
                <w:sz w:val="20"/>
                <w:szCs w:val="20"/>
              </w:rPr>
              <w:t>gdzie:</w:t>
            </w:r>
            <w:r>
              <w:rPr>
                <w:rFonts w:ascii="Calibri" w:eastAsia="Calibri" w:hAnsi="Calibri" w:cs="Calibri"/>
                <w:color w:val="000000"/>
                <w:sz w:val="20"/>
                <w:szCs w:val="20"/>
              </w:rPr>
              <w:t xml:space="preserve"> GW – gęstość wypadków [wypadki/ km/rok], L—długość odcinka w km, </w:t>
            </w:r>
            <w:r>
              <w:rPr>
                <w:rFonts w:ascii="Calibri" w:eastAsia="Calibri" w:hAnsi="Calibri" w:cs="Calibri"/>
                <w:b/>
                <w:i/>
                <w:color w:val="000000"/>
                <w:sz w:val="20"/>
                <w:szCs w:val="20"/>
              </w:rPr>
              <w:t>f</w:t>
            </w:r>
            <w:r>
              <w:rPr>
                <w:rFonts w:ascii="Calibri" w:eastAsia="Calibri" w:hAnsi="Calibri" w:cs="Calibri"/>
                <w:b/>
                <w:i/>
                <w:color w:val="000000"/>
                <w:sz w:val="20"/>
                <w:szCs w:val="20"/>
                <w:vertAlign w:val="subscript"/>
              </w:rPr>
              <w:t>HP</w:t>
            </w:r>
            <w:r>
              <w:rPr>
                <w:rFonts w:ascii="Calibri" w:eastAsia="Calibri" w:hAnsi="Calibri" w:cs="Calibri"/>
                <w:color w:val="000000"/>
                <w:sz w:val="20"/>
                <w:szCs w:val="20"/>
              </w:rPr>
              <w:t xml:space="preserve">  -współczynnik wpływu horyzontu prognozy.</w:t>
            </w:r>
          </w:p>
          <w:p w14:paraId="2062D85E" w14:textId="688259C1"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Liczba wypadków </w:t>
            </w:r>
            <w:r>
              <w:rPr>
                <w:rFonts w:ascii="Calibri" w:eastAsia="Calibri" w:hAnsi="Calibri" w:cs="Calibri"/>
                <w:b/>
                <w:color w:val="000000"/>
                <w:sz w:val="20"/>
                <w:szCs w:val="20"/>
              </w:rPr>
              <w:t xml:space="preserve"> a</w:t>
            </w:r>
            <w:r>
              <w:rPr>
                <w:rFonts w:ascii="Calibri" w:eastAsia="Calibri" w:hAnsi="Calibri" w:cs="Calibri"/>
                <w:b/>
                <w:color w:val="000000"/>
                <w:sz w:val="20"/>
                <w:szCs w:val="20"/>
                <w:vertAlign w:val="subscript"/>
              </w:rPr>
              <w:t>wt</w:t>
            </w:r>
            <w:r>
              <w:rPr>
                <w:rFonts w:ascii="Calibri" w:eastAsia="Calibri" w:hAnsi="Calibri" w:cs="Calibri"/>
                <w:color w:val="000000"/>
                <w:sz w:val="20"/>
                <w:szCs w:val="20"/>
              </w:rPr>
              <w:t xml:space="preserve"> dotyczy również wypadków ze stratami materialnymi (a</w:t>
            </w:r>
            <w:r>
              <w:rPr>
                <w:rFonts w:ascii="Calibri" w:eastAsia="Calibri" w:hAnsi="Calibri" w:cs="Calibri"/>
                <w:color w:val="000000"/>
                <w:sz w:val="20"/>
                <w:szCs w:val="20"/>
                <w:vertAlign w:val="subscript"/>
              </w:rPr>
              <w:t xml:space="preserve">mt  </w:t>
            </w:r>
            <w:r w:rsidR="00EB716F" w:rsidRPr="00EB716F">
              <w:rPr>
                <w:rFonts w:asciiTheme="minorHAnsi" w:hAnsiTheme="minorHAnsi"/>
                <w:sz w:val="20"/>
                <w:szCs w:val="20"/>
              </w:rPr>
              <w:t>we wzorze przedstawionym w Tabeli </w:t>
            </w:r>
            <w:r w:rsidR="00EB716F">
              <w:rPr>
                <w:rFonts w:asciiTheme="minorHAnsi" w:hAnsiTheme="minorHAnsi"/>
                <w:sz w:val="20"/>
                <w:szCs w:val="20"/>
              </w:rPr>
              <w:t>19</w:t>
            </w:r>
            <w:r w:rsidR="00EB716F" w:rsidRPr="00EB716F">
              <w:rPr>
                <w:rFonts w:asciiTheme="minorHAnsi" w:hAnsiTheme="minorHAnsi"/>
                <w:sz w:val="20"/>
                <w:szCs w:val="20"/>
              </w:rPr>
              <w:t xml:space="preserve"> dokumentu głównego</w:t>
            </w:r>
            <w:r w:rsidR="003E14E4">
              <w:rPr>
                <w:rFonts w:asciiTheme="minorHAnsi" w:hAnsiTheme="minorHAnsi"/>
                <w:sz w:val="20"/>
                <w:szCs w:val="20"/>
              </w:rPr>
              <w:t>)</w:t>
            </w:r>
            <w:r w:rsidR="00EB716F">
              <w:rPr>
                <w:rFonts w:asciiTheme="minorHAnsi" w:hAnsiTheme="minorHAnsi"/>
                <w:sz w:val="20"/>
                <w:szCs w:val="20"/>
              </w:rPr>
              <w:t>.</w:t>
            </w:r>
          </w:p>
          <w:p w14:paraId="0B1345C0"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Liczbę rannych </w:t>
            </w:r>
            <w:r>
              <w:rPr>
                <w:rFonts w:ascii="Calibri" w:eastAsia="Calibri" w:hAnsi="Calibri" w:cs="Calibri"/>
                <w:b/>
                <w:color w:val="000000"/>
                <w:sz w:val="20"/>
                <w:szCs w:val="20"/>
              </w:rPr>
              <w:t>a</w:t>
            </w:r>
            <w:r>
              <w:rPr>
                <w:rFonts w:ascii="Calibri" w:eastAsia="Calibri" w:hAnsi="Calibri" w:cs="Calibri"/>
                <w:b/>
                <w:color w:val="000000"/>
                <w:sz w:val="20"/>
                <w:szCs w:val="20"/>
                <w:vertAlign w:val="subscript"/>
              </w:rPr>
              <w:t>rt</w:t>
            </w:r>
            <w:r>
              <w:rPr>
                <w:rFonts w:ascii="Calibri" w:eastAsia="Calibri" w:hAnsi="Calibri" w:cs="Calibri"/>
                <w:color w:val="000000"/>
                <w:sz w:val="20"/>
                <w:szCs w:val="20"/>
              </w:rPr>
              <w:t xml:space="preserve"> w danym roku t na odcinku o długości L wyliczamy za pomocą wzoru:</w:t>
            </w:r>
          </w:p>
          <w:p w14:paraId="4655A8E2" w14:textId="77777777" w:rsidR="003E14E4" w:rsidRPr="00731E4E" w:rsidRDefault="003E14E4" w:rsidP="003E14E4">
            <w:pPr>
              <w:pStyle w:val="anxnormal"/>
              <w:spacing w:after="120"/>
              <w:ind w:left="0"/>
              <w:rPr>
                <w:rFonts w:asciiTheme="minorHAnsi" w:hAnsiTheme="minorHAnsi"/>
                <w:b/>
              </w:rPr>
            </w:pPr>
            <w:r w:rsidRPr="00731E4E">
              <w:rPr>
                <w:rFonts w:asciiTheme="minorHAnsi" w:hAnsiTheme="minorHAnsi"/>
                <w:b/>
              </w:rPr>
              <w:t>a</w:t>
            </w:r>
            <w:r w:rsidRPr="00731E4E">
              <w:rPr>
                <w:rFonts w:asciiTheme="minorHAnsi" w:hAnsiTheme="minorHAnsi"/>
                <w:b/>
                <w:vertAlign w:val="subscript"/>
              </w:rPr>
              <w:t>rt</w:t>
            </w:r>
            <w:r w:rsidRPr="00731E4E">
              <w:rPr>
                <w:rFonts w:asciiTheme="minorHAnsi" w:hAnsiTheme="minorHAnsi"/>
                <w:b/>
              </w:rPr>
              <w:t xml:space="preserve"> =GR</w:t>
            </w:r>
            <w:r w:rsidRPr="00731E4E">
              <w:rPr>
                <w:rFonts w:asciiTheme="minorHAnsi" w:hAnsiTheme="minorHAnsi"/>
                <w:b/>
              </w:rPr>
              <w:sym w:font="Symbol" w:char="F0D7"/>
            </w:r>
            <w:r w:rsidRPr="00731E4E">
              <w:rPr>
                <w:rFonts w:asciiTheme="minorHAnsi" w:hAnsiTheme="minorHAnsi"/>
                <w:b/>
              </w:rPr>
              <w:t>L</w:t>
            </w:r>
            <w:r w:rsidRPr="00731E4E">
              <w:rPr>
                <w:rFonts w:asciiTheme="minorHAnsi" w:hAnsiTheme="minorHAnsi"/>
                <w:b/>
              </w:rPr>
              <w:sym w:font="Symbol" w:char="F0D7"/>
            </w:r>
            <w:r w:rsidRPr="00731E4E">
              <w:rPr>
                <w:rFonts w:asciiTheme="minorHAnsi" w:hAnsiTheme="minorHAnsi"/>
                <w:b/>
                <w:i/>
              </w:rPr>
              <w:t>f</w:t>
            </w:r>
            <w:r w:rsidRPr="00731E4E">
              <w:rPr>
                <w:rFonts w:asciiTheme="minorHAnsi" w:hAnsiTheme="minorHAnsi"/>
                <w:b/>
                <w:i/>
                <w:vertAlign w:val="subscript"/>
              </w:rPr>
              <w:t xml:space="preserve">HP </w:t>
            </w:r>
          </w:p>
          <w:p w14:paraId="06E6F37D"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i/>
                <w:color w:val="000000"/>
                <w:sz w:val="20"/>
                <w:szCs w:val="20"/>
              </w:rPr>
              <w:t>gdzie:</w:t>
            </w:r>
            <w:r>
              <w:rPr>
                <w:rFonts w:ascii="Calibri" w:eastAsia="Calibri" w:hAnsi="Calibri" w:cs="Calibri"/>
                <w:color w:val="000000"/>
                <w:sz w:val="20"/>
                <w:szCs w:val="20"/>
              </w:rPr>
              <w:t xml:space="preserve"> L—długość w km; GR – gęstość rannych [osób/ km/rok], </w:t>
            </w:r>
            <w:r>
              <w:rPr>
                <w:rFonts w:ascii="Calibri" w:eastAsia="Calibri" w:hAnsi="Calibri" w:cs="Calibri"/>
                <w:b/>
                <w:i/>
                <w:color w:val="000000"/>
                <w:sz w:val="20"/>
                <w:szCs w:val="20"/>
              </w:rPr>
              <w:t>f</w:t>
            </w:r>
            <w:r>
              <w:rPr>
                <w:rFonts w:ascii="Calibri" w:eastAsia="Calibri" w:hAnsi="Calibri" w:cs="Calibri"/>
                <w:b/>
                <w:i/>
                <w:color w:val="000000"/>
                <w:sz w:val="20"/>
                <w:szCs w:val="20"/>
                <w:vertAlign w:val="subscript"/>
              </w:rPr>
              <w:t>HP</w:t>
            </w:r>
            <w:r>
              <w:rPr>
                <w:rFonts w:ascii="Calibri" w:eastAsia="Calibri" w:hAnsi="Calibri" w:cs="Calibri"/>
                <w:color w:val="000000"/>
                <w:sz w:val="20"/>
                <w:szCs w:val="20"/>
              </w:rPr>
              <w:t xml:space="preserve"> – współczynnik wpływu horyzontu prognozy.</w:t>
            </w:r>
          </w:p>
          <w:p w14:paraId="6517BEE0"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Liczbę zabitych </w:t>
            </w:r>
            <w:r>
              <w:rPr>
                <w:rFonts w:ascii="Calibri" w:eastAsia="Calibri" w:hAnsi="Calibri" w:cs="Calibri"/>
                <w:b/>
                <w:color w:val="000000"/>
                <w:sz w:val="20"/>
                <w:szCs w:val="20"/>
              </w:rPr>
              <w:t>a</w:t>
            </w:r>
            <w:r>
              <w:rPr>
                <w:rFonts w:ascii="Calibri" w:eastAsia="Calibri" w:hAnsi="Calibri" w:cs="Calibri"/>
                <w:b/>
                <w:color w:val="000000"/>
                <w:sz w:val="20"/>
                <w:szCs w:val="20"/>
                <w:vertAlign w:val="subscript"/>
              </w:rPr>
              <w:t>zt</w:t>
            </w:r>
            <w:r>
              <w:rPr>
                <w:rFonts w:ascii="Calibri" w:eastAsia="Calibri" w:hAnsi="Calibri" w:cs="Calibri"/>
                <w:color w:val="000000"/>
                <w:sz w:val="20"/>
                <w:szCs w:val="20"/>
              </w:rPr>
              <w:t xml:space="preserve"> w danym roku t na odcinku o długości L wyliczamy za pomocą wzoru:</w:t>
            </w:r>
          </w:p>
          <w:p w14:paraId="00132AFD" w14:textId="77777777" w:rsidR="003E14E4" w:rsidRPr="00731E4E" w:rsidRDefault="003E14E4" w:rsidP="003E14E4">
            <w:pPr>
              <w:pStyle w:val="anxnormal"/>
              <w:spacing w:after="120"/>
              <w:ind w:left="0"/>
              <w:rPr>
                <w:rFonts w:asciiTheme="minorHAnsi" w:hAnsiTheme="minorHAnsi"/>
                <w:b/>
                <w:i/>
                <w:vertAlign w:val="subscript"/>
              </w:rPr>
            </w:pPr>
            <w:r w:rsidRPr="00731E4E">
              <w:rPr>
                <w:rFonts w:asciiTheme="minorHAnsi" w:hAnsiTheme="minorHAnsi"/>
                <w:b/>
              </w:rPr>
              <w:t>a</w:t>
            </w:r>
            <w:r w:rsidRPr="00731E4E">
              <w:rPr>
                <w:rFonts w:asciiTheme="minorHAnsi" w:hAnsiTheme="minorHAnsi"/>
                <w:b/>
                <w:vertAlign w:val="subscript"/>
              </w:rPr>
              <w:t>zt</w:t>
            </w:r>
            <w:r w:rsidRPr="00731E4E">
              <w:rPr>
                <w:rFonts w:asciiTheme="minorHAnsi" w:hAnsiTheme="minorHAnsi"/>
                <w:b/>
              </w:rPr>
              <w:t xml:space="preserve"> = GZ L</w:t>
            </w:r>
            <w:r w:rsidRPr="00731E4E">
              <w:rPr>
                <w:rFonts w:asciiTheme="minorHAnsi" w:hAnsiTheme="minorHAnsi"/>
                <w:b/>
              </w:rPr>
              <w:sym w:font="Symbol" w:char="F0D7"/>
            </w:r>
            <w:r w:rsidRPr="00731E4E">
              <w:rPr>
                <w:rFonts w:asciiTheme="minorHAnsi" w:hAnsiTheme="minorHAnsi"/>
                <w:b/>
                <w:i/>
              </w:rPr>
              <w:t>f</w:t>
            </w:r>
            <w:r w:rsidRPr="00731E4E">
              <w:rPr>
                <w:rFonts w:asciiTheme="minorHAnsi" w:hAnsiTheme="minorHAnsi"/>
                <w:b/>
                <w:i/>
                <w:vertAlign w:val="subscript"/>
              </w:rPr>
              <w:t xml:space="preserve">HP </w:t>
            </w:r>
          </w:p>
          <w:p w14:paraId="0B1995FD"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i/>
                <w:color w:val="000000"/>
                <w:sz w:val="20"/>
                <w:szCs w:val="20"/>
              </w:rPr>
              <w:t>gdzie:</w:t>
            </w:r>
            <w:r>
              <w:rPr>
                <w:rFonts w:ascii="Calibri" w:eastAsia="Calibri" w:hAnsi="Calibri" w:cs="Calibri"/>
                <w:color w:val="000000"/>
                <w:sz w:val="20"/>
                <w:szCs w:val="20"/>
              </w:rPr>
              <w:t xml:space="preserve"> L—długość w km; GZ – gęstość zabitych [osób/ km/rok], </w:t>
            </w:r>
            <w:r>
              <w:rPr>
                <w:rFonts w:ascii="Calibri" w:eastAsia="Calibri" w:hAnsi="Calibri" w:cs="Calibri"/>
                <w:b/>
                <w:i/>
                <w:color w:val="000000"/>
                <w:sz w:val="20"/>
                <w:szCs w:val="20"/>
              </w:rPr>
              <w:t>f</w:t>
            </w:r>
            <w:r>
              <w:rPr>
                <w:rFonts w:ascii="Calibri" w:eastAsia="Calibri" w:hAnsi="Calibri" w:cs="Calibri"/>
                <w:b/>
                <w:i/>
                <w:color w:val="000000"/>
                <w:sz w:val="20"/>
                <w:szCs w:val="20"/>
                <w:vertAlign w:val="subscript"/>
              </w:rPr>
              <w:t>HP</w:t>
            </w:r>
            <w:r>
              <w:rPr>
                <w:rFonts w:ascii="Calibri" w:eastAsia="Calibri" w:hAnsi="Calibri" w:cs="Calibri"/>
                <w:color w:val="000000"/>
                <w:sz w:val="20"/>
                <w:szCs w:val="20"/>
              </w:rPr>
              <w:t xml:space="preserve"> – współczynnik wpływu horyzontu prognozy.</w:t>
            </w:r>
          </w:p>
          <w:p w14:paraId="6F9BB95D"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Liczbę ciężko rannych </w:t>
            </w:r>
            <w:r>
              <w:rPr>
                <w:rFonts w:ascii="Calibri" w:eastAsia="Calibri" w:hAnsi="Calibri" w:cs="Calibri"/>
                <w:b/>
                <w:color w:val="000000"/>
                <w:sz w:val="20"/>
                <w:szCs w:val="20"/>
              </w:rPr>
              <w:t>a</w:t>
            </w:r>
            <w:r>
              <w:rPr>
                <w:rFonts w:ascii="Calibri" w:eastAsia="Calibri" w:hAnsi="Calibri" w:cs="Calibri"/>
                <w:b/>
                <w:color w:val="000000"/>
                <w:sz w:val="20"/>
                <w:szCs w:val="20"/>
                <w:vertAlign w:val="subscript"/>
              </w:rPr>
              <w:t>crt</w:t>
            </w:r>
            <w:r>
              <w:rPr>
                <w:rFonts w:ascii="Calibri" w:eastAsia="Calibri" w:hAnsi="Calibri" w:cs="Calibri"/>
                <w:color w:val="000000"/>
                <w:sz w:val="20"/>
                <w:szCs w:val="20"/>
              </w:rPr>
              <w:t xml:space="preserve"> w danym roku t na odcinku o długości L wyliczamy za pomocą wzoru:</w:t>
            </w:r>
          </w:p>
          <w:p w14:paraId="11EB8B2E" w14:textId="77777777" w:rsidR="003E14E4" w:rsidRPr="003E14E4" w:rsidRDefault="003E14E4" w:rsidP="003E14E4">
            <w:pPr>
              <w:pStyle w:val="anxnormal"/>
              <w:spacing w:after="120"/>
              <w:ind w:left="0"/>
              <w:rPr>
                <w:rFonts w:asciiTheme="minorHAnsi" w:hAnsiTheme="minorHAnsi"/>
                <w:b/>
                <w:i/>
                <w:vertAlign w:val="subscript"/>
              </w:rPr>
            </w:pPr>
            <w:r w:rsidRPr="003E14E4">
              <w:rPr>
                <w:rFonts w:asciiTheme="minorHAnsi" w:hAnsiTheme="minorHAnsi"/>
                <w:b/>
              </w:rPr>
              <w:t>a</w:t>
            </w:r>
            <w:r w:rsidRPr="003E14E4">
              <w:rPr>
                <w:rFonts w:asciiTheme="minorHAnsi" w:hAnsiTheme="minorHAnsi"/>
                <w:b/>
                <w:vertAlign w:val="subscript"/>
              </w:rPr>
              <w:t>crt</w:t>
            </w:r>
            <w:r w:rsidRPr="003E14E4">
              <w:rPr>
                <w:rFonts w:asciiTheme="minorHAnsi" w:hAnsiTheme="minorHAnsi"/>
                <w:b/>
              </w:rPr>
              <w:t xml:space="preserve"> =GCR</w:t>
            </w:r>
            <w:r w:rsidRPr="00731E4E">
              <w:rPr>
                <w:rFonts w:asciiTheme="minorHAnsi" w:hAnsiTheme="minorHAnsi"/>
                <w:b/>
                <w:lang w:val="en-GB"/>
              </w:rPr>
              <w:sym w:font="Symbol" w:char="F0D7"/>
            </w:r>
            <w:r w:rsidRPr="003E14E4">
              <w:rPr>
                <w:rFonts w:asciiTheme="minorHAnsi" w:hAnsiTheme="minorHAnsi"/>
                <w:b/>
              </w:rPr>
              <w:t>L</w:t>
            </w:r>
            <w:r w:rsidRPr="00731E4E">
              <w:rPr>
                <w:rFonts w:asciiTheme="minorHAnsi" w:hAnsiTheme="minorHAnsi"/>
                <w:b/>
                <w:lang w:val="en-GB"/>
              </w:rPr>
              <w:sym w:font="Symbol" w:char="F0D7"/>
            </w:r>
            <w:r w:rsidRPr="003E14E4">
              <w:rPr>
                <w:rFonts w:asciiTheme="minorHAnsi" w:hAnsiTheme="minorHAnsi"/>
                <w:b/>
                <w:i/>
              </w:rPr>
              <w:t>f</w:t>
            </w:r>
            <w:r w:rsidRPr="003E14E4">
              <w:rPr>
                <w:rFonts w:asciiTheme="minorHAnsi" w:hAnsiTheme="minorHAnsi"/>
                <w:b/>
                <w:i/>
                <w:vertAlign w:val="subscript"/>
              </w:rPr>
              <w:t xml:space="preserve">HP </w:t>
            </w:r>
          </w:p>
          <w:p w14:paraId="111B6902"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i/>
                <w:color w:val="000000"/>
                <w:sz w:val="20"/>
                <w:szCs w:val="20"/>
              </w:rPr>
              <w:t>gdzie:</w:t>
            </w:r>
            <w:r>
              <w:rPr>
                <w:rFonts w:ascii="Calibri" w:eastAsia="Calibri" w:hAnsi="Calibri" w:cs="Calibri"/>
                <w:color w:val="000000"/>
                <w:sz w:val="20"/>
                <w:szCs w:val="20"/>
              </w:rPr>
              <w:t xml:space="preserve"> L—długość w km; GCR – gęstość ciężko rannych [ osób/ km/rok], </w:t>
            </w:r>
            <w:r>
              <w:rPr>
                <w:rFonts w:ascii="Calibri" w:eastAsia="Calibri" w:hAnsi="Calibri" w:cs="Calibri"/>
                <w:b/>
                <w:i/>
                <w:color w:val="000000"/>
                <w:sz w:val="20"/>
                <w:szCs w:val="20"/>
              </w:rPr>
              <w:t>f</w:t>
            </w:r>
            <w:r>
              <w:rPr>
                <w:rFonts w:ascii="Calibri" w:eastAsia="Calibri" w:hAnsi="Calibri" w:cs="Calibri"/>
                <w:b/>
                <w:i/>
                <w:color w:val="000000"/>
                <w:sz w:val="20"/>
                <w:szCs w:val="20"/>
                <w:vertAlign w:val="subscript"/>
              </w:rPr>
              <w:t>HP</w:t>
            </w:r>
            <w:r>
              <w:rPr>
                <w:rFonts w:ascii="Calibri" w:eastAsia="Calibri" w:hAnsi="Calibri" w:cs="Calibri"/>
                <w:color w:val="000000"/>
                <w:sz w:val="20"/>
                <w:szCs w:val="20"/>
              </w:rPr>
              <w:t xml:space="preserve"> – współczynnik wpływu horyzontu prognozy.</w:t>
            </w:r>
          </w:p>
          <w:p w14:paraId="63982DD1"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Liczbę lekko rannych (</w:t>
            </w:r>
            <w:r>
              <w:rPr>
                <w:rFonts w:ascii="Calibri" w:eastAsia="Calibri" w:hAnsi="Calibri" w:cs="Calibri"/>
                <w:b/>
                <w:color w:val="000000"/>
                <w:sz w:val="20"/>
                <w:szCs w:val="20"/>
              </w:rPr>
              <w:t>a</w:t>
            </w:r>
            <w:r>
              <w:rPr>
                <w:rFonts w:ascii="Calibri" w:eastAsia="Calibri" w:hAnsi="Calibri" w:cs="Calibri"/>
                <w:b/>
                <w:color w:val="000000"/>
                <w:sz w:val="20"/>
                <w:szCs w:val="20"/>
                <w:vertAlign w:val="subscript"/>
              </w:rPr>
              <w:t>lrt</w:t>
            </w:r>
            <w:r>
              <w:rPr>
                <w:rFonts w:ascii="Calibri" w:eastAsia="Calibri" w:hAnsi="Calibri" w:cs="Calibri"/>
                <w:color w:val="000000"/>
                <w:sz w:val="20"/>
                <w:szCs w:val="20"/>
              </w:rPr>
              <w:t xml:space="preserve">), należy wyliczyć jako różnicę </w:t>
            </w:r>
            <w:r>
              <w:rPr>
                <w:rFonts w:ascii="Calibri" w:eastAsia="Calibri" w:hAnsi="Calibri" w:cs="Calibri"/>
                <w:b/>
                <w:color w:val="000000"/>
                <w:sz w:val="20"/>
                <w:szCs w:val="20"/>
              </w:rPr>
              <w:t>a</w:t>
            </w:r>
            <w:r>
              <w:rPr>
                <w:rFonts w:ascii="Calibri" w:eastAsia="Calibri" w:hAnsi="Calibri" w:cs="Calibri"/>
                <w:b/>
                <w:color w:val="000000"/>
                <w:sz w:val="20"/>
                <w:szCs w:val="20"/>
                <w:vertAlign w:val="subscript"/>
              </w:rPr>
              <w:t>rt</w:t>
            </w:r>
            <w:r>
              <w:rPr>
                <w:rFonts w:ascii="Calibri" w:eastAsia="Calibri" w:hAnsi="Calibri" w:cs="Calibri"/>
                <w:color w:val="000000"/>
                <w:sz w:val="20"/>
                <w:szCs w:val="20"/>
              </w:rPr>
              <w:t>-</w:t>
            </w:r>
            <w:r>
              <w:rPr>
                <w:rFonts w:ascii="Calibri" w:eastAsia="Calibri" w:hAnsi="Calibri" w:cs="Calibri"/>
                <w:b/>
                <w:color w:val="000000"/>
                <w:sz w:val="20"/>
                <w:szCs w:val="20"/>
              </w:rPr>
              <w:t xml:space="preserve"> a</w:t>
            </w:r>
            <w:r>
              <w:rPr>
                <w:rFonts w:ascii="Calibri" w:eastAsia="Calibri" w:hAnsi="Calibri" w:cs="Calibri"/>
                <w:b/>
                <w:color w:val="000000"/>
                <w:sz w:val="20"/>
                <w:szCs w:val="20"/>
                <w:vertAlign w:val="subscript"/>
              </w:rPr>
              <w:t>crt.</w:t>
            </w:r>
          </w:p>
          <w:p w14:paraId="60229EB0" w14:textId="77777777" w:rsidR="00600DEE" w:rsidRDefault="00641FB5">
            <w:pPr>
              <w:pBdr>
                <w:top w:val="nil"/>
                <w:left w:val="nil"/>
                <w:bottom w:val="nil"/>
                <w:right w:val="nil"/>
                <w:between w:val="nil"/>
              </w:pBdr>
              <w:spacing w:before="120" w:after="120"/>
              <w:jc w:val="both"/>
              <w:rPr>
                <w:rFonts w:ascii="Calibri" w:eastAsia="Calibri" w:hAnsi="Calibri" w:cs="Calibri"/>
                <w:b/>
                <w:color w:val="000000"/>
                <w:sz w:val="20"/>
                <w:szCs w:val="20"/>
              </w:rPr>
            </w:pPr>
            <w:r>
              <w:rPr>
                <w:rFonts w:ascii="Calibri" w:eastAsia="Calibri" w:hAnsi="Calibri" w:cs="Calibri"/>
                <w:color w:val="000000"/>
                <w:sz w:val="20"/>
                <w:szCs w:val="20"/>
              </w:rPr>
              <w:t>Wartości zestawione w tabelach (od tabeli 10 do tabeli 20) dotyczą roku 2010. Dla roku bazowego oraz celów prognostycznych należy odpowiednio uwzględnić wartości współczynnika wpływu horyzontu prognozy (tabela 9) zawartego w powyższych wzorach.</w:t>
            </w:r>
            <w:r>
              <w:rPr>
                <w:rFonts w:ascii="Calibri" w:eastAsia="Calibri" w:hAnsi="Calibri" w:cs="Calibri"/>
                <w:b/>
                <w:i/>
                <w:color w:val="000000"/>
                <w:sz w:val="20"/>
                <w:szCs w:val="20"/>
              </w:rPr>
              <w:t xml:space="preserve"> </w:t>
            </w:r>
            <w:r>
              <w:rPr>
                <w:rFonts w:ascii="Calibri" w:eastAsia="Calibri" w:hAnsi="Calibri" w:cs="Calibri"/>
                <w:color w:val="000000"/>
                <w:sz w:val="20"/>
                <w:szCs w:val="20"/>
              </w:rPr>
              <w:t>Współczynnik ten uwzględnia zmiany w rozwoju społeczno—gospodarczym Polski oraz planowane działania podejmowane na rzecz poprawy bezpieczeństwa ruchu drogowego w przyszłości.</w:t>
            </w:r>
          </w:p>
          <w:p w14:paraId="2B2EB821" w14:textId="77777777" w:rsidR="00600DEE" w:rsidRDefault="00600DEE">
            <w:pPr>
              <w:pBdr>
                <w:top w:val="nil"/>
                <w:left w:val="nil"/>
                <w:bottom w:val="nil"/>
                <w:right w:val="nil"/>
                <w:between w:val="nil"/>
              </w:pBdr>
              <w:spacing w:after="120"/>
              <w:ind w:left="1134" w:hanging="1134"/>
              <w:jc w:val="both"/>
              <w:rPr>
                <w:rFonts w:ascii="Calibri" w:eastAsia="Calibri" w:hAnsi="Calibri" w:cs="Calibri"/>
                <w:b/>
                <w:color w:val="4F81BD"/>
                <w:sz w:val="20"/>
                <w:szCs w:val="20"/>
              </w:rPr>
            </w:pPr>
          </w:p>
          <w:p w14:paraId="3A5A9CEF" w14:textId="51DD5A5D" w:rsidR="00600DEE" w:rsidRDefault="00641FB5">
            <w:pPr>
              <w:pBdr>
                <w:top w:val="nil"/>
                <w:left w:val="nil"/>
                <w:bottom w:val="nil"/>
                <w:right w:val="nil"/>
                <w:between w:val="nil"/>
              </w:pBdr>
              <w:spacing w:before="120" w:after="120"/>
              <w:ind w:left="1134" w:hanging="1134"/>
              <w:jc w:val="both"/>
              <w:rPr>
                <w:rFonts w:ascii="Calibri" w:eastAsia="Calibri" w:hAnsi="Calibri" w:cs="Calibri"/>
                <w:b/>
                <w:color w:val="4F81BD"/>
                <w:sz w:val="20"/>
                <w:szCs w:val="20"/>
              </w:rPr>
            </w:pPr>
            <w:r>
              <w:rPr>
                <w:rFonts w:ascii="Calibri" w:eastAsia="Calibri" w:hAnsi="Calibri" w:cs="Calibri"/>
                <w:b/>
                <w:color w:val="4F81BD"/>
                <w:sz w:val="20"/>
                <w:szCs w:val="20"/>
              </w:rPr>
              <w:t>Tabela 9. Współczynnik wpływu horyzontu czasowego prognozy f</w:t>
            </w:r>
            <w:r w:rsidR="003E14E4">
              <w:rPr>
                <w:rFonts w:ascii="Calibri" w:eastAsia="Calibri" w:hAnsi="Calibri" w:cs="Calibri"/>
                <w:b/>
                <w:color w:val="4F81BD"/>
                <w:sz w:val="20"/>
                <w:szCs w:val="20"/>
                <w:vertAlign w:val="subscript"/>
              </w:rPr>
              <w:t>HP</w:t>
            </w:r>
            <w:r w:rsidR="003E14E4">
              <w:rPr>
                <w:rFonts w:ascii="Calibri" w:eastAsia="Calibri" w:hAnsi="Calibri" w:cs="Calibri"/>
                <w:b/>
                <w:color w:val="4F81BD"/>
                <w:sz w:val="20"/>
                <w:szCs w:val="20"/>
                <w:vertAlign w:val="subscript"/>
              </w:rPr>
              <w:br/>
            </w:r>
            <w:r>
              <w:rPr>
                <w:rFonts w:ascii="Calibri" w:eastAsia="Calibri" w:hAnsi="Calibri" w:cs="Calibri"/>
                <w:b/>
                <w:i/>
                <w:color w:val="4F81BD"/>
                <w:sz w:val="20"/>
                <w:szCs w:val="20"/>
              </w:rPr>
              <w:t>(ta sama tabela jak dla Metody I)</w:t>
            </w:r>
          </w:p>
          <w:tbl>
            <w:tblPr>
              <w:tblStyle w:val="affffffffffffffff6"/>
              <w:tblW w:w="629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933"/>
              <w:gridCol w:w="1275"/>
              <w:gridCol w:w="1794"/>
              <w:gridCol w:w="1293"/>
            </w:tblGrid>
            <w:tr w:rsidR="00600DEE" w14:paraId="1CED44E1" w14:textId="77777777" w:rsidTr="00AB1BC5">
              <w:trPr>
                <w:trHeight w:val="284"/>
              </w:trPr>
              <w:tc>
                <w:tcPr>
                  <w:tcW w:w="1933" w:type="dxa"/>
                  <w:shd w:val="clear" w:color="auto" w:fill="A6A6A6"/>
                  <w:vAlign w:val="center"/>
                </w:tcPr>
                <w:p w14:paraId="41435996"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Rok prognozy</w:t>
                  </w:r>
                </w:p>
              </w:tc>
              <w:tc>
                <w:tcPr>
                  <w:tcW w:w="1275" w:type="dxa"/>
                  <w:shd w:val="clear" w:color="auto" w:fill="A6A6A6"/>
                  <w:vAlign w:val="center"/>
                </w:tcPr>
                <w:p w14:paraId="4FD0A463" w14:textId="77777777" w:rsidR="00600DEE" w:rsidRDefault="00641FB5">
                  <w:pPr>
                    <w:jc w:val="center"/>
                    <w:rPr>
                      <w:rFonts w:ascii="Calibri" w:eastAsia="Calibri" w:hAnsi="Calibri" w:cs="Calibri"/>
                      <w:b/>
                      <w:color w:val="FFFFFF"/>
                      <w:sz w:val="17"/>
                      <w:szCs w:val="17"/>
                    </w:rPr>
                  </w:pPr>
                  <w:r>
                    <w:rPr>
                      <w:rFonts w:ascii="Calibri" w:eastAsia="Calibri" w:hAnsi="Calibri" w:cs="Calibri"/>
                      <w:b/>
                      <w:i/>
                      <w:color w:val="FFFFFF"/>
                      <w:sz w:val="22"/>
                      <w:szCs w:val="22"/>
                    </w:rPr>
                    <w:t>f</w:t>
                  </w:r>
                  <w:r>
                    <w:rPr>
                      <w:rFonts w:ascii="Calibri" w:eastAsia="Calibri" w:hAnsi="Calibri" w:cs="Calibri"/>
                      <w:b/>
                      <w:i/>
                      <w:color w:val="FFFFFF"/>
                      <w:sz w:val="22"/>
                      <w:szCs w:val="22"/>
                      <w:vertAlign w:val="subscript"/>
                    </w:rPr>
                    <w:t>HP</w:t>
                  </w:r>
                </w:p>
              </w:tc>
              <w:tc>
                <w:tcPr>
                  <w:tcW w:w="1794" w:type="dxa"/>
                  <w:shd w:val="clear" w:color="auto" w:fill="A6A6A6"/>
                  <w:vAlign w:val="center"/>
                </w:tcPr>
                <w:p w14:paraId="123F3C17"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Rok prognozy</w:t>
                  </w:r>
                </w:p>
              </w:tc>
              <w:tc>
                <w:tcPr>
                  <w:tcW w:w="1293" w:type="dxa"/>
                  <w:shd w:val="clear" w:color="auto" w:fill="A6A6A6"/>
                  <w:vAlign w:val="center"/>
                </w:tcPr>
                <w:p w14:paraId="1EF0F4D5" w14:textId="77777777" w:rsidR="00600DEE" w:rsidRDefault="00641FB5">
                  <w:pPr>
                    <w:jc w:val="center"/>
                    <w:rPr>
                      <w:rFonts w:ascii="Calibri" w:eastAsia="Calibri" w:hAnsi="Calibri" w:cs="Calibri"/>
                      <w:b/>
                      <w:color w:val="FFFFFF"/>
                      <w:sz w:val="17"/>
                      <w:szCs w:val="17"/>
                    </w:rPr>
                  </w:pPr>
                  <w:r>
                    <w:rPr>
                      <w:rFonts w:ascii="Calibri" w:eastAsia="Calibri" w:hAnsi="Calibri" w:cs="Calibri"/>
                      <w:b/>
                      <w:i/>
                      <w:color w:val="FFFFFF"/>
                      <w:sz w:val="22"/>
                      <w:szCs w:val="22"/>
                    </w:rPr>
                    <w:t>f</w:t>
                  </w:r>
                  <w:r>
                    <w:rPr>
                      <w:rFonts w:ascii="Calibri" w:eastAsia="Calibri" w:hAnsi="Calibri" w:cs="Calibri"/>
                      <w:b/>
                      <w:i/>
                      <w:color w:val="FFFFFF"/>
                      <w:sz w:val="22"/>
                      <w:szCs w:val="22"/>
                      <w:vertAlign w:val="subscript"/>
                    </w:rPr>
                    <w:t>HP</w:t>
                  </w:r>
                </w:p>
              </w:tc>
            </w:tr>
            <w:tr w:rsidR="00600DEE" w14:paraId="10BECA9D" w14:textId="77777777" w:rsidTr="00AB1BC5">
              <w:trPr>
                <w:trHeight w:val="284"/>
              </w:trPr>
              <w:tc>
                <w:tcPr>
                  <w:tcW w:w="1933" w:type="dxa"/>
                  <w:shd w:val="clear" w:color="auto" w:fill="DBE5F1"/>
                  <w:vAlign w:val="center"/>
                </w:tcPr>
                <w:p w14:paraId="557839B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2009 - 2010</w:t>
                  </w:r>
                </w:p>
              </w:tc>
              <w:tc>
                <w:tcPr>
                  <w:tcW w:w="1275" w:type="dxa"/>
                  <w:shd w:val="clear" w:color="auto" w:fill="DBE5F1"/>
                  <w:vAlign w:val="center"/>
                </w:tcPr>
                <w:p w14:paraId="004BE4E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w:t>
                  </w:r>
                </w:p>
              </w:tc>
              <w:tc>
                <w:tcPr>
                  <w:tcW w:w="1794" w:type="dxa"/>
                  <w:shd w:val="clear" w:color="auto" w:fill="DBE5F1"/>
                  <w:vAlign w:val="center"/>
                </w:tcPr>
                <w:p w14:paraId="7A98175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2030 - 2033</w:t>
                  </w:r>
                </w:p>
              </w:tc>
              <w:tc>
                <w:tcPr>
                  <w:tcW w:w="1293" w:type="dxa"/>
                  <w:shd w:val="clear" w:color="auto" w:fill="DBE5F1"/>
                  <w:vAlign w:val="center"/>
                </w:tcPr>
                <w:p w14:paraId="37C4B77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w:t>
                  </w:r>
                </w:p>
              </w:tc>
            </w:tr>
            <w:tr w:rsidR="00600DEE" w14:paraId="2200A12A" w14:textId="77777777" w:rsidTr="00AB1BC5">
              <w:trPr>
                <w:trHeight w:val="284"/>
              </w:trPr>
              <w:tc>
                <w:tcPr>
                  <w:tcW w:w="1933" w:type="dxa"/>
                  <w:shd w:val="clear" w:color="auto" w:fill="DBE5F1"/>
                  <w:vAlign w:val="center"/>
                </w:tcPr>
                <w:p w14:paraId="026FAAF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 xml:space="preserve">2011 - 2016 </w:t>
                  </w:r>
                </w:p>
              </w:tc>
              <w:tc>
                <w:tcPr>
                  <w:tcW w:w="1275" w:type="dxa"/>
                  <w:shd w:val="clear" w:color="auto" w:fill="DBE5F1"/>
                  <w:vAlign w:val="center"/>
                </w:tcPr>
                <w:p w14:paraId="10FEE64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0,9</w:t>
                  </w:r>
                </w:p>
              </w:tc>
              <w:tc>
                <w:tcPr>
                  <w:tcW w:w="1794" w:type="dxa"/>
                  <w:shd w:val="clear" w:color="auto" w:fill="DBE5F1"/>
                  <w:vAlign w:val="center"/>
                </w:tcPr>
                <w:p w14:paraId="1DD5FBA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2034 - 2039</w:t>
                  </w:r>
                </w:p>
              </w:tc>
              <w:tc>
                <w:tcPr>
                  <w:tcW w:w="1293" w:type="dxa"/>
                  <w:shd w:val="clear" w:color="auto" w:fill="DBE5F1"/>
                  <w:vAlign w:val="center"/>
                </w:tcPr>
                <w:p w14:paraId="3523304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w:t>
                  </w:r>
                </w:p>
              </w:tc>
            </w:tr>
            <w:tr w:rsidR="00600DEE" w14:paraId="0D041FD1" w14:textId="77777777" w:rsidTr="00AB1BC5">
              <w:trPr>
                <w:trHeight w:val="284"/>
              </w:trPr>
              <w:tc>
                <w:tcPr>
                  <w:tcW w:w="1933" w:type="dxa"/>
                  <w:shd w:val="clear" w:color="auto" w:fill="DBE5F1"/>
                  <w:vAlign w:val="center"/>
                </w:tcPr>
                <w:p w14:paraId="0D337BA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2017 - 2021</w:t>
                  </w:r>
                </w:p>
              </w:tc>
              <w:tc>
                <w:tcPr>
                  <w:tcW w:w="1275" w:type="dxa"/>
                  <w:shd w:val="clear" w:color="auto" w:fill="DBE5F1"/>
                  <w:vAlign w:val="center"/>
                </w:tcPr>
                <w:p w14:paraId="0B1BCD1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w:t>
                  </w:r>
                </w:p>
              </w:tc>
              <w:tc>
                <w:tcPr>
                  <w:tcW w:w="1794" w:type="dxa"/>
                  <w:shd w:val="clear" w:color="auto" w:fill="DBE5F1"/>
                  <w:vAlign w:val="center"/>
                </w:tcPr>
                <w:p w14:paraId="4498159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2040 - 2045</w:t>
                  </w:r>
                </w:p>
              </w:tc>
              <w:tc>
                <w:tcPr>
                  <w:tcW w:w="1293" w:type="dxa"/>
                  <w:shd w:val="clear" w:color="auto" w:fill="DBE5F1"/>
                  <w:vAlign w:val="center"/>
                </w:tcPr>
                <w:p w14:paraId="1981361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w:t>
                  </w:r>
                </w:p>
              </w:tc>
            </w:tr>
            <w:tr w:rsidR="00600DEE" w14:paraId="07F19301" w14:textId="77777777" w:rsidTr="00AB1BC5">
              <w:trPr>
                <w:trHeight w:val="284"/>
              </w:trPr>
              <w:tc>
                <w:tcPr>
                  <w:tcW w:w="1933" w:type="dxa"/>
                  <w:shd w:val="clear" w:color="auto" w:fill="DBE5F1"/>
                  <w:vAlign w:val="center"/>
                </w:tcPr>
                <w:p w14:paraId="72454F2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2022 - 2025</w:t>
                  </w:r>
                </w:p>
              </w:tc>
              <w:tc>
                <w:tcPr>
                  <w:tcW w:w="1275" w:type="dxa"/>
                  <w:shd w:val="clear" w:color="auto" w:fill="DBE5F1"/>
                  <w:vAlign w:val="center"/>
                </w:tcPr>
                <w:p w14:paraId="67FA1D7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w:t>
                  </w:r>
                </w:p>
              </w:tc>
              <w:tc>
                <w:tcPr>
                  <w:tcW w:w="1794" w:type="dxa"/>
                  <w:shd w:val="clear" w:color="auto" w:fill="DBE5F1"/>
                  <w:vAlign w:val="center"/>
                </w:tcPr>
                <w:p w14:paraId="0148AAE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2046 - 2050</w:t>
                  </w:r>
                </w:p>
              </w:tc>
              <w:tc>
                <w:tcPr>
                  <w:tcW w:w="1293" w:type="dxa"/>
                  <w:shd w:val="clear" w:color="auto" w:fill="DBE5F1"/>
                  <w:vAlign w:val="center"/>
                </w:tcPr>
                <w:p w14:paraId="5BD14FD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w:t>
                  </w:r>
                </w:p>
              </w:tc>
            </w:tr>
            <w:tr w:rsidR="00600DEE" w14:paraId="07037137" w14:textId="77777777" w:rsidTr="00AB1BC5">
              <w:trPr>
                <w:trHeight w:val="284"/>
              </w:trPr>
              <w:tc>
                <w:tcPr>
                  <w:tcW w:w="1933" w:type="dxa"/>
                  <w:shd w:val="clear" w:color="auto" w:fill="DBE5F1"/>
                  <w:vAlign w:val="center"/>
                </w:tcPr>
                <w:p w14:paraId="59A1316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2026 - 2029</w:t>
                  </w:r>
                </w:p>
              </w:tc>
              <w:tc>
                <w:tcPr>
                  <w:tcW w:w="1275" w:type="dxa"/>
                  <w:shd w:val="clear" w:color="auto" w:fill="DBE5F1"/>
                  <w:vAlign w:val="center"/>
                </w:tcPr>
                <w:p w14:paraId="17F1246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w:t>
                  </w:r>
                </w:p>
              </w:tc>
              <w:tc>
                <w:tcPr>
                  <w:tcW w:w="1794" w:type="dxa"/>
                  <w:shd w:val="clear" w:color="auto" w:fill="DBE5F1"/>
                </w:tcPr>
                <w:p w14:paraId="190EFB35" w14:textId="77777777" w:rsidR="00600DEE" w:rsidRDefault="00600DEE">
                  <w:pPr>
                    <w:jc w:val="both"/>
                    <w:rPr>
                      <w:rFonts w:ascii="Calibri" w:eastAsia="Calibri" w:hAnsi="Calibri" w:cs="Calibri"/>
                      <w:color w:val="4F81BD"/>
                      <w:sz w:val="18"/>
                      <w:szCs w:val="18"/>
                    </w:rPr>
                  </w:pPr>
                </w:p>
              </w:tc>
              <w:tc>
                <w:tcPr>
                  <w:tcW w:w="1293" w:type="dxa"/>
                  <w:shd w:val="clear" w:color="auto" w:fill="DBE5F1"/>
                </w:tcPr>
                <w:p w14:paraId="6EC7EE07" w14:textId="77777777" w:rsidR="00600DEE" w:rsidRDefault="00600DEE">
                  <w:pPr>
                    <w:rPr>
                      <w:rFonts w:ascii="Calibri" w:eastAsia="Calibri" w:hAnsi="Calibri" w:cs="Calibri"/>
                      <w:color w:val="4F81BD"/>
                      <w:sz w:val="18"/>
                      <w:szCs w:val="18"/>
                    </w:rPr>
                  </w:pPr>
                </w:p>
              </w:tc>
            </w:tr>
          </w:tbl>
          <w:p w14:paraId="2A1B0966"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6A444D4B"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 xml:space="preserve">Tabele, zamieszczone w dalszej części, dotyczą dwóch rodzajów inwestycji: </w:t>
            </w:r>
          </w:p>
          <w:p w14:paraId="59561BC6" w14:textId="77777777" w:rsidR="00600DEE" w:rsidRDefault="00641FB5" w:rsidP="00D5736B">
            <w:pPr>
              <w:numPr>
                <w:ilvl w:val="1"/>
                <w:numId w:val="2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inwestycje liniowe, ciągi drogowe (dwujezdniowe i jednojezdniowe o długości powyżej 10 km),</w:t>
            </w:r>
          </w:p>
          <w:p w14:paraId="5774597D" w14:textId="77777777" w:rsidR="00600DEE" w:rsidRDefault="00641FB5" w:rsidP="00D5736B">
            <w:pPr>
              <w:numPr>
                <w:ilvl w:val="1"/>
                <w:numId w:val="23"/>
              </w:numPr>
              <w:pBdr>
                <w:top w:val="nil"/>
                <w:left w:val="nil"/>
                <w:bottom w:val="nil"/>
                <w:right w:val="nil"/>
                <w:between w:val="nil"/>
              </w:pBdr>
              <w:spacing w:before="120" w:after="120"/>
              <w:ind w:left="851" w:hanging="851"/>
              <w:jc w:val="both"/>
              <w:rPr>
                <w:rFonts w:ascii="Calibri" w:eastAsia="Calibri" w:hAnsi="Calibri" w:cs="Calibri"/>
                <w:color w:val="000000"/>
                <w:sz w:val="20"/>
                <w:szCs w:val="20"/>
              </w:rPr>
            </w:pPr>
            <w:r>
              <w:rPr>
                <w:rFonts w:ascii="Calibri" w:eastAsia="Calibri" w:hAnsi="Calibri" w:cs="Calibri"/>
                <w:color w:val="000000"/>
                <w:sz w:val="20"/>
                <w:szCs w:val="20"/>
              </w:rPr>
              <w:t>obwodnice (jednojezdniowe).</w:t>
            </w:r>
          </w:p>
          <w:p w14:paraId="2599F318"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Wartości w tabelach odnoszą się do odpowiednich przedziałów SDR i takie przybliżone wartości można stosować na potrzeby AKK. Jakkolwiek możliwa jest również interpolacja szczególnie w przypadku nieznacznych różnic w wartościach SDR.</w:t>
            </w:r>
          </w:p>
          <w:p w14:paraId="1E0F9BAA" w14:textId="77777777" w:rsidR="00600DEE" w:rsidRDefault="00641FB5">
            <w:pPr>
              <w:pBdr>
                <w:top w:val="nil"/>
                <w:left w:val="nil"/>
                <w:bottom w:val="nil"/>
                <w:right w:val="nil"/>
                <w:between w:val="nil"/>
              </w:pBdr>
              <w:spacing w:before="120" w:after="120"/>
              <w:jc w:val="both"/>
              <w:rPr>
                <w:rFonts w:ascii="Calibri" w:eastAsia="Calibri" w:hAnsi="Calibri" w:cs="Calibri"/>
                <w:b/>
                <w:color w:val="000000"/>
                <w:sz w:val="20"/>
                <w:szCs w:val="20"/>
              </w:rPr>
            </w:pPr>
            <w:r>
              <w:rPr>
                <w:rFonts w:ascii="Calibri" w:eastAsia="Calibri" w:hAnsi="Calibri" w:cs="Calibri"/>
                <w:b/>
                <w:color w:val="000000"/>
                <w:sz w:val="20"/>
                <w:szCs w:val="20"/>
              </w:rPr>
              <w:t>Ciągi drogowe dwujezdniowe</w:t>
            </w:r>
          </w:p>
          <w:p w14:paraId="57D38839"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Koszty skutków wypadków drogowych dla ciągów drogowych dwujezdniowych dla wariantów Wn i W0</w:t>
            </w:r>
            <w:r>
              <w:rPr>
                <w:rFonts w:ascii="Calibri" w:eastAsia="Calibri" w:hAnsi="Calibri" w:cs="Calibri"/>
                <w:color w:val="000000"/>
                <w:sz w:val="20"/>
                <w:szCs w:val="20"/>
                <w:vertAlign w:val="subscript"/>
              </w:rPr>
              <w:t xml:space="preserve"> </w:t>
            </w:r>
            <w:r>
              <w:rPr>
                <w:rFonts w:ascii="Calibri" w:eastAsia="Calibri" w:hAnsi="Calibri" w:cs="Calibri"/>
                <w:color w:val="000000"/>
                <w:sz w:val="20"/>
                <w:szCs w:val="20"/>
              </w:rPr>
              <w:t xml:space="preserve">wylicza się jako sumy kosztów lekko rannych, ciężko rannych, ofiar śmiertelnych oraz strat materialnych. </w:t>
            </w:r>
          </w:p>
          <w:p w14:paraId="691DC6C6" w14:textId="77777777" w:rsidR="00600DEE" w:rsidRDefault="00600DEE">
            <w:pPr>
              <w:pBdr>
                <w:top w:val="nil"/>
                <w:left w:val="nil"/>
                <w:bottom w:val="nil"/>
                <w:right w:val="nil"/>
                <w:between w:val="nil"/>
              </w:pBdr>
              <w:spacing w:before="120" w:after="120"/>
              <w:jc w:val="both"/>
              <w:rPr>
                <w:rFonts w:ascii="Calibri" w:eastAsia="Calibri" w:hAnsi="Calibri" w:cs="Calibri"/>
                <w:color w:val="000000"/>
                <w:sz w:val="20"/>
                <w:szCs w:val="20"/>
              </w:rPr>
            </w:pPr>
          </w:p>
          <w:p w14:paraId="365F927D" w14:textId="7EFDBA44" w:rsidR="00600DEE" w:rsidRDefault="00641FB5">
            <w:pPr>
              <w:pBdr>
                <w:top w:val="nil"/>
                <w:left w:val="nil"/>
                <w:bottom w:val="nil"/>
                <w:right w:val="nil"/>
                <w:between w:val="nil"/>
              </w:pBdr>
              <w:spacing w:before="120" w:after="120"/>
              <w:ind w:left="1134" w:hanging="1134"/>
              <w:jc w:val="both"/>
              <w:rPr>
                <w:rFonts w:ascii="Calibri" w:eastAsia="Calibri" w:hAnsi="Calibri" w:cs="Calibri"/>
                <w:b/>
                <w:color w:val="4F81BD"/>
                <w:sz w:val="20"/>
                <w:szCs w:val="20"/>
              </w:rPr>
            </w:pPr>
            <w:r>
              <w:rPr>
                <w:rFonts w:ascii="Calibri" w:eastAsia="Calibri" w:hAnsi="Calibri" w:cs="Calibri"/>
                <w:b/>
                <w:color w:val="4F81BD"/>
                <w:sz w:val="20"/>
                <w:szCs w:val="20"/>
              </w:rPr>
              <w:t xml:space="preserve">Tabela 10. Gęstość wypadków drogowych </w:t>
            </w:r>
            <w:r w:rsidR="0080071C">
              <w:rPr>
                <w:rFonts w:ascii="Calibri" w:eastAsia="Calibri" w:hAnsi="Calibri" w:cs="Calibri"/>
                <w:b/>
                <w:color w:val="4F81BD"/>
                <w:sz w:val="20"/>
                <w:szCs w:val="20"/>
              </w:rPr>
              <w:t>(GW) dla ciągów drogowych</w:t>
            </w:r>
            <w:r>
              <w:rPr>
                <w:rFonts w:ascii="Calibri" w:eastAsia="Calibri" w:hAnsi="Calibri" w:cs="Calibri"/>
                <w:b/>
                <w:color w:val="4F81BD"/>
                <w:sz w:val="20"/>
                <w:szCs w:val="20"/>
              </w:rPr>
              <w:t xml:space="preserve"> dwujezdniowych [wypadki/km/rok]</w:t>
            </w:r>
          </w:p>
          <w:tbl>
            <w:tblPr>
              <w:tblStyle w:val="affffffffffffffff7"/>
              <w:tblW w:w="68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459"/>
              <w:gridCol w:w="1244"/>
              <w:gridCol w:w="1244"/>
              <w:gridCol w:w="1244"/>
              <w:gridCol w:w="1671"/>
            </w:tblGrid>
            <w:tr w:rsidR="00600DEE" w14:paraId="49CA25D0" w14:textId="77777777" w:rsidTr="0080071C">
              <w:trPr>
                <w:trHeight w:val="246"/>
              </w:trPr>
              <w:tc>
                <w:tcPr>
                  <w:tcW w:w="1459" w:type="dxa"/>
                  <w:shd w:val="clear" w:color="auto" w:fill="A6A6A6"/>
                  <w:vAlign w:val="center"/>
                </w:tcPr>
                <w:p w14:paraId="0B83A938"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1244" w:type="dxa"/>
                  <w:shd w:val="clear" w:color="auto" w:fill="A6A6A6"/>
                  <w:vAlign w:val="center"/>
                </w:tcPr>
                <w:p w14:paraId="54FF7AB8"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S2+1</w:t>
                  </w:r>
                </w:p>
              </w:tc>
              <w:tc>
                <w:tcPr>
                  <w:tcW w:w="1244" w:type="dxa"/>
                  <w:shd w:val="clear" w:color="auto" w:fill="A6A6A6"/>
                  <w:vAlign w:val="center"/>
                </w:tcPr>
                <w:p w14:paraId="6813D994" w14:textId="73EEED1A"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w:t>
                  </w:r>
                  <w:r w:rsidR="003D2AC3">
                    <w:rPr>
                      <w:rFonts w:ascii="Calibri" w:eastAsia="Calibri" w:hAnsi="Calibri" w:cs="Calibri"/>
                      <w:b/>
                      <w:color w:val="FFFFFF"/>
                      <w:sz w:val="17"/>
                      <w:szCs w:val="17"/>
                    </w:rPr>
                    <w:t xml:space="preserve"> </w:t>
                  </w:r>
                  <w:r>
                    <w:rPr>
                      <w:rFonts w:ascii="Calibri" w:eastAsia="Calibri" w:hAnsi="Calibri" w:cs="Calibri"/>
                      <w:b/>
                      <w:color w:val="FFFFFF"/>
                      <w:sz w:val="17"/>
                      <w:szCs w:val="17"/>
                    </w:rPr>
                    <w:t>A</w:t>
                  </w:r>
                </w:p>
              </w:tc>
              <w:tc>
                <w:tcPr>
                  <w:tcW w:w="1244" w:type="dxa"/>
                  <w:shd w:val="clear" w:color="auto" w:fill="A6A6A6"/>
                  <w:vAlign w:val="center"/>
                </w:tcPr>
                <w:p w14:paraId="5C8F02D1"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GPn*</w:t>
                  </w:r>
                </w:p>
              </w:tc>
              <w:tc>
                <w:tcPr>
                  <w:tcW w:w="1671" w:type="dxa"/>
                  <w:shd w:val="clear" w:color="auto" w:fill="A6A6A6"/>
                  <w:vAlign w:val="center"/>
                </w:tcPr>
                <w:p w14:paraId="756BF605"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GPz **</w:t>
                  </w:r>
                </w:p>
              </w:tc>
            </w:tr>
            <w:tr w:rsidR="00600DEE" w14:paraId="7CFFB9D9" w14:textId="77777777" w:rsidTr="0080071C">
              <w:trPr>
                <w:trHeight w:val="246"/>
              </w:trPr>
              <w:tc>
                <w:tcPr>
                  <w:tcW w:w="1459" w:type="dxa"/>
                  <w:shd w:val="clear" w:color="auto" w:fill="DBE5F1"/>
                  <w:vAlign w:val="bottom"/>
                </w:tcPr>
                <w:p w14:paraId="6B196A1C" w14:textId="10539A4F"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1244" w:type="dxa"/>
                  <w:shd w:val="clear" w:color="auto" w:fill="DBE5F1"/>
                  <w:vAlign w:val="bottom"/>
                </w:tcPr>
                <w:p w14:paraId="4908B44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0,040</w:t>
                  </w:r>
                </w:p>
              </w:tc>
              <w:tc>
                <w:tcPr>
                  <w:tcW w:w="1244" w:type="dxa"/>
                  <w:shd w:val="clear" w:color="auto" w:fill="DBE5F1"/>
                  <w:vAlign w:val="bottom"/>
                </w:tcPr>
                <w:p w14:paraId="6DF9B8D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0,029</w:t>
                  </w:r>
                </w:p>
              </w:tc>
              <w:tc>
                <w:tcPr>
                  <w:tcW w:w="1244" w:type="dxa"/>
                  <w:shd w:val="clear" w:color="auto" w:fill="DBE5F1"/>
                  <w:vAlign w:val="bottom"/>
                </w:tcPr>
                <w:p w14:paraId="2034621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0,396</w:t>
                  </w:r>
                </w:p>
              </w:tc>
              <w:tc>
                <w:tcPr>
                  <w:tcW w:w="1671" w:type="dxa"/>
                  <w:shd w:val="clear" w:color="auto" w:fill="DBE5F1"/>
                  <w:vAlign w:val="bottom"/>
                </w:tcPr>
                <w:p w14:paraId="14A4453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0,739</w:t>
                  </w:r>
                </w:p>
              </w:tc>
            </w:tr>
            <w:tr w:rsidR="00600DEE" w14:paraId="0DFD2794" w14:textId="77777777" w:rsidTr="0080071C">
              <w:trPr>
                <w:trHeight w:val="246"/>
              </w:trPr>
              <w:tc>
                <w:tcPr>
                  <w:tcW w:w="1459" w:type="dxa"/>
                  <w:shd w:val="clear" w:color="auto" w:fill="DBE5F1"/>
                  <w:vAlign w:val="bottom"/>
                </w:tcPr>
                <w:p w14:paraId="7989B17D" w14:textId="72F7572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1244" w:type="dxa"/>
                  <w:shd w:val="clear" w:color="auto" w:fill="DBE5F1"/>
                  <w:vAlign w:val="bottom"/>
                </w:tcPr>
                <w:p w14:paraId="326B0BC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0,113</w:t>
                  </w:r>
                </w:p>
              </w:tc>
              <w:tc>
                <w:tcPr>
                  <w:tcW w:w="1244" w:type="dxa"/>
                  <w:shd w:val="clear" w:color="auto" w:fill="DBE5F1"/>
                  <w:vAlign w:val="bottom"/>
                </w:tcPr>
                <w:p w14:paraId="4FAEFB5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0,081</w:t>
                  </w:r>
                </w:p>
              </w:tc>
              <w:tc>
                <w:tcPr>
                  <w:tcW w:w="1244" w:type="dxa"/>
                  <w:shd w:val="clear" w:color="auto" w:fill="DBE5F1"/>
                  <w:vAlign w:val="bottom"/>
                </w:tcPr>
                <w:p w14:paraId="06ED786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0,460</w:t>
                  </w:r>
                </w:p>
              </w:tc>
              <w:tc>
                <w:tcPr>
                  <w:tcW w:w="1671" w:type="dxa"/>
                  <w:shd w:val="clear" w:color="auto" w:fill="DBE5F1"/>
                  <w:vAlign w:val="bottom"/>
                </w:tcPr>
                <w:p w14:paraId="5F31A11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0,819</w:t>
                  </w:r>
                </w:p>
              </w:tc>
            </w:tr>
            <w:tr w:rsidR="00600DEE" w14:paraId="0E3740F8" w14:textId="77777777" w:rsidTr="0080071C">
              <w:trPr>
                <w:trHeight w:val="246"/>
              </w:trPr>
              <w:tc>
                <w:tcPr>
                  <w:tcW w:w="1459" w:type="dxa"/>
                  <w:shd w:val="clear" w:color="auto" w:fill="DBE5F1"/>
                  <w:vAlign w:val="bottom"/>
                </w:tcPr>
                <w:p w14:paraId="43E40BCB" w14:textId="17FCCDB4" w:rsidR="00600DEE" w:rsidRDefault="00897A74">
                  <w:pPr>
                    <w:jc w:val="center"/>
                    <w:rPr>
                      <w:rFonts w:ascii="Calibri" w:eastAsia="Calibri" w:hAnsi="Calibri" w:cs="Calibri"/>
                      <w:color w:val="4F81BD"/>
                      <w:sz w:val="18"/>
                      <w:szCs w:val="18"/>
                    </w:rPr>
                  </w:pPr>
                  <w:r>
                    <w:rPr>
                      <w:rFonts w:ascii="Calibri" w:eastAsia="Calibri" w:hAnsi="Calibri" w:cs="Calibri"/>
                      <w:color w:val="4F81BD"/>
                      <w:sz w:val="18"/>
                      <w:szCs w:val="18"/>
                    </w:rPr>
                    <w:t>10 000</w:t>
                  </w:r>
                  <w:r w:rsidR="00641FB5">
                    <w:rPr>
                      <w:rFonts w:ascii="Calibri" w:eastAsia="Calibri" w:hAnsi="Calibri" w:cs="Calibri"/>
                      <w:color w:val="4F81BD"/>
                      <w:sz w:val="18"/>
                      <w:szCs w:val="18"/>
                    </w:rPr>
                    <w:t>-20 000</w:t>
                  </w:r>
                </w:p>
              </w:tc>
              <w:tc>
                <w:tcPr>
                  <w:tcW w:w="1244" w:type="dxa"/>
                  <w:shd w:val="clear" w:color="auto" w:fill="DBE5F1"/>
                  <w:vAlign w:val="bottom"/>
                </w:tcPr>
                <w:p w14:paraId="1EA538F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0,294</w:t>
                  </w:r>
                </w:p>
              </w:tc>
              <w:tc>
                <w:tcPr>
                  <w:tcW w:w="1244" w:type="dxa"/>
                  <w:shd w:val="clear" w:color="auto" w:fill="DBE5F1"/>
                  <w:vAlign w:val="bottom"/>
                </w:tcPr>
                <w:p w14:paraId="4387743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0,220</w:t>
                  </w:r>
                </w:p>
              </w:tc>
              <w:tc>
                <w:tcPr>
                  <w:tcW w:w="1244" w:type="dxa"/>
                  <w:shd w:val="clear" w:color="auto" w:fill="DBE5F1"/>
                  <w:vAlign w:val="bottom"/>
                </w:tcPr>
                <w:p w14:paraId="3E82079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0,603</w:t>
                  </w:r>
                </w:p>
              </w:tc>
              <w:tc>
                <w:tcPr>
                  <w:tcW w:w="1671" w:type="dxa"/>
                  <w:shd w:val="clear" w:color="auto" w:fill="DBE5F1"/>
                  <w:vAlign w:val="bottom"/>
                </w:tcPr>
                <w:p w14:paraId="1D6A331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0,974</w:t>
                  </w:r>
                </w:p>
              </w:tc>
            </w:tr>
            <w:tr w:rsidR="00600DEE" w14:paraId="0C188AD1" w14:textId="77777777" w:rsidTr="0080071C">
              <w:trPr>
                <w:trHeight w:val="246"/>
              </w:trPr>
              <w:tc>
                <w:tcPr>
                  <w:tcW w:w="1459" w:type="dxa"/>
                  <w:shd w:val="clear" w:color="auto" w:fill="DBE5F1"/>
                  <w:vAlign w:val="bottom"/>
                </w:tcPr>
                <w:p w14:paraId="78C4195F" w14:textId="3A21F754"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w:t>
                  </w:r>
                </w:p>
              </w:tc>
              <w:tc>
                <w:tcPr>
                  <w:tcW w:w="1244" w:type="dxa"/>
                  <w:shd w:val="clear" w:color="auto" w:fill="DBE5F1"/>
                  <w:vAlign w:val="bottom"/>
                </w:tcPr>
                <w:p w14:paraId="160E42F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0,554</w:t>
                  </w:r>
                </w:p>
              </w:tc>
              <w:tc>
                <w:tcPr>
                  <w:tcW w:w="1244" w:type="dxa"/>
                  <w:shd w:val="clear" w:color="auto" w:fill="DBE5F1"/>
                  <w:vAlign w:val="bottom"/>
                </w:tcPr>
                <w:p w14:paraId="3C2B64C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0,396</w:t>
                  </w:r>
                </w:p>
              </w:tc>
              <w:tc>
                <w:tcPr>
                  <w:tcW w:w="1244" w:type="dxa"/>
                  <w:shd w:val="clear" w:color="auto" w:fill="DBE5F1"/>
                  <w:vAlign w:val="bottom"/>
                </w:tcPr>
                <w:p w14:paraId="67C613D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0,810</w:t>
                  </w:r>
                </w:p>
              </w:tc>
              <w:tc>
                <w:tcPr>
                  <w:tcW w:w="1671" w:type="dxa"/>
                  <w:shd w:val="clear" w:color="auto" w:fill="DBE5F1"/>
                  <w:vAlign w:val="bottom"/>
                </w:tcPr>
                <w:p w14:paraId="34F3E80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1,161</w:t>
                  </w:r>
                </w:p>
              </w:tc>
            </w:tr>
            <w:tr w:rsidR="00600DEE" w14:paraId="72EF9EA2" w14:textId="77777777" w:rsidTr="0080071C">
              <w:trPr>
                <w:trHeight w:val="246"/>
              </w:trPr>
              <w:tc>
                <w:tcPr>
                  <w:tcW w:w="1459" w:type="dxa"/>
                  <w:shd w:val="clear" w:color="auto" w:fill="DBE5F1"/>
                  <w:vAlign w:val="bottom"/>
                </w:tcPr>
                <w:p w14:paraId="24923198" w14:textId="185AF801"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30 000-40 000</w:t>
                  </w:r>
                </w:p>
              </w:tc>
              <w:tc>
                <w:tcPr>
                  <w:tcW w:w="1244" w:type="dxa"/>
                  <w:shd w:val="clear" w:color="auto" w:fill="DBE5F1"/>
                  <w:vAlign w:val="bottom"/>
                </w:tcPr>
                <w:p w14:paraId="17855A8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0,800</w:t>
                  </w:r>
                </w:p>
              </w:tc>
              <w:tc>
                <w:tcPr>
                  <w:tcW w:w="1244" w:type="dxa"/>
                  <w:shd w:val="clear" w:color="auto" w:fill="DBE5F1"/>
                  <w:vAlign w:val="bottom"/>
                </w:tcPr>
                <w:p w14:paraId="71EDC8D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0,571</w:t>
                  </w:r>
                </w:p>
              </w:tc>
              <w:tc>
                <w:tcPr>
                  <w:tcW w:w="1244" w:type="dxa"/>
                  <w:shd w:val="clear" w:color="auto" w:fill="DBE5F1"/>
                  <w:vAlign w:val="bottom"/>
                </w:tcPr>
                <w:p w14:paraId="4A40143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1,016</w:t>
                  </w:r>
                </w:p>
              </w:tc>
              <w:tc>
                <w:tcPr>
                  <w:tcW w:w="1671" w:type="dxa"/>
                  <w:shd w:val="clear" w:color="auto" w:fill="DBE5F1"/>
                  <w:vAlign w:val="bottom"/>
                </w:tcPr>
                <w:p w14:paraId="175354F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1,309</w:t>
                  </w:r>
                </w:p>
              </w:tc>
            </w:tr>
            <w:tr w:rsidR="00600DEE" w14:paraId="4E511508" w14:textId="77777777" w:rsidTr="0080071C">
              <w:trPr>
                <w:trHeight w:val="246"/>
              </w:trPr>
              <w:tc>
                <w:tcPr>
                  <w:tcW w:w="1459" w:type="dxa"/>
                  <w:shd w:val="clear" w:color="auto" w:fill="DBE5F1"/>
                  <w:vAlign w:val="bottom"/>
                </w:tcPr>
                <w:p w14:paraId="6DA5A64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powyżej 40 000</w:t>
                  </w:r>
                </w:p>
              </w:tc>
              <w:tc>
                <w:tcPr>
                  <w:tcW w:w="1244" w:type="dxa"/>
                  <w:shd w:val="clear" w:color="auto" w:fill="DBE5F1"/>
                  <w:vAlign w:val="bottom"/>
                </w:tcPr>
                <w:p w14:paraId="06EA0F7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1,255</w:t>
                  </w:r>
                </w:p>
              </w:tc>
              <w:tc>
                <w:tcPr>
                  <w:tcW w:w="1244" w:type="dxa"/>
                  <w:shd w:val="clear" w:color="auto" w:fill="DBE5F1"/>
                  <w:vAlign w:val="bottom"/>
                </w:tcPr>
                <w:p w14:paraId="5C6068A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0,877</w:t>
                  </w:r>
                </w:p>
              </w:tc>
              <w:tc>
                <w:tcPr>
                  <w:tcW w:w="1244" w:type="dxa"/>
                  <w:shd w:val="clear" w:color="auto" w:fill="DBE5F1"/>
                  <w:vAlign w:val="bottom"/>
                </w:tcPr>
                <w:p w14:paraId="799BA46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1,447</w:t>
                  </w:r>
                </w:p>
              </w:tc>
              <w:tc>
                <w:tcPr>
                  <w:tcW w:w="1671" w:type="dxa"/>
                  <w:shd w:val="clear" w:color="auto" w:fill="DBE5F1"/>
                  <w:vAlign w:val="bottom"/>
                </w:tcPr>
                <w:p w14:paraId="62FE3C0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1,535</w:t>
                  </w:r>
                </w:p>
              </w:tc>
            </w:tr>
          </w:tbl>
          <w:p w14:paraId="17A0BADC"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0C2D536E" w14:textId="77777777" w:rsidR="00600DEE" w:rsidRDefault="00641FB5">
            <w:pPr>
              <w:spacing w:before="120" w:after="120"/>
              <w:ind w:right="170"/>
              <w:jc w:val="both"/>
              <w:rPr>
                <w:rFonts w:ascii="Calibri" w:eastAsia="Calibri" w:hAnsi="Calibri" w:cs="Calibri"/>
                <w:i/>
                <w:sz w:val="16"/>
                <w:szCs w:val="16"/>
              </w:rPr>
            </w:pPr>
            <w:r>
              <w:rPr>
                <w:rFonts w:ascii="Calibri" w:eastAsia="Calibri" w:hAnsi="Calibri" w:cs="Calibri"/>
                <w:i/>
                <w:sz w:val="16"/>
                <w:szCs w:val="16"/>
              </w:rPr>
              <w:t>* Dotyczy obszarów niezabudowanych</w:t>
            </w:r>
          </w:p>
          <w:p w14:paraId="41E65DB4" w14:textId="77777777" w:rsidR="00600DEE" w:rsidRDefault="00641FB5">
            <w:pPr>
              <w:spacing w:before="120" w:after="120"/>
              <w:ind w:right="170"/>
              <w:jc w:val="both"/>
              <w:rPr>
                <w:rFonts w:ascii="Calibri" w:eastAsia="Calibri" w:hAnsi="Calibri" w:cs="Calibri"/>
                <w:i/>
                <w:sz w:val="16"/>
                <w:szCs w:val="16"/>
              </w:rPr>
            </w:pPr>
            <w:r>
              <w:rPr>
                <w:rFonts w:ascii="Calibri" w:eastAsia="Calibri" w:hAnsi="Calibri" w:cs="Calibri"/>
                <w:i/>
                <w:sz w:val="16"/>
                <w:szCs w:val="16"/>
              </w:rPr>
              <w:t>** Dotyczy obszarów zabudowanych</w:t>
            </w:r>
          </w:p>
          <w:p w14:paraId="3DA5ABD1" w14:textId="7F0ECF09" w:rsidR="00600DEE" w:rsidRDefault="00641FB5">
            <w:pPr>
              <w:pBdr>
                <w:top w:val="nil"/>
                <w:left w:val="nil"/>
                <w:bottom w:val="nil"/>
                <w:right w:val="nil"/>
                <w:between w:val="nil"/>
              </w:pBd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Tabela 11. Gęstość rannych w wypadkach drogowych (GR) dla ciągów dr</w:t>
            </w:r>
            <w:r w:rsidR="0080071C">
              <w:rPr>
                <w:rFonts w:ascii="Calibri" w:eastAsia="Calibri" w:hAnsi="Calibri" w:cs="Calibri"/>
                <w:b/>
                <w:color w:val="4F81BD"/>
                <w:sz w:val="20"/>
                <w:szCs w:val="20"/>
              </w:rPr>
              <w:t xml:space="preserve">ogowych </w:t>
            </w:r>
            <w:r>
              <w:rPr>
                <w:rFonts w:ascii="Calibri" w:eastAsia="Calibri" w:hAnsi="Calibri" w:cs="Calibri"/>
                <w:b/>
                <w:color w:val="4F81BD"/>
                <w:sz w:val="20"/>
                <w:szCs w:val="20"/>
              </w:rPr>
              <w:t>dwujezdniowych [osób/ km/rok]</w:t>
            </w:r>
          </w:p>
          <w:tbl>
            <w:tblPr>
              <w:tblStyle w:val="affffffffffffffff8"/>
              <w:tblW w:w="68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34"/>
              <w:gridCol w:w="1231"/>
              <w:gridCol w:w="1231"/>
              <w:gridCol w:w="1242"/>
              <w:gridCol w:w="1524"/>
            </w:tblGrid>
            <w:tr w:rsidR="00600DEE" w14:paraId="6F725A22" w14:textId="77777777" w:rsidTr="0080071C">
              <w:trPr>
                <w:trHeight w:val="244"/>
              </w:trPr>
              <w:tc>
                <w:tcPr>
                  <w:tcW w:w="1634" w:type="dxa"/>
                  <w:shd w:val="clear" w:color="auto" w:fill="A6A6A6"/>
                  <w:vAlign w:val="center"/>
                </w:tcPr>
                <w:p w14:paraId="17BD3A35"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1231" w:type="dxa"/>
                  <w:shd w:val="clear" w:color="auto" w:fill="A6A6A6"/>
                  <w:vAlign w:val="center"/>
                </w:tcPr>
                <w:p w14:paraId="516ECF75"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S2+1</w:t>
                  </w:r>
                </w:p>
              </w:tc>
              <w:tc>
                <w:tcPr>
                  <w:tcW w:w="1231" w:type="dxa"/>
                  <w:shd w:val="clear" w:color="auto" w:fill="A6A6A6"/>
                  <w:vAlign w:val="center"/>
                </w:tcPr>
                <w:p w14:paraId="23198AEE" w14:textId="5DB8EF42"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w:t>
                  </w:r>
                  <w:r w:rsidR="003D2AC3">
                    <w:rPr>
                      <w:rFonts w:ascii="Calibri" w:eastAsia="Calibri" w:hAnsi="Calibri" w:cs="Calibri"/>
                      <w:b/>
                      <w:color w:val="FFFFFF"/>
                      <w:sz w:val="17"/>
                      <w:szCs w:val="17"/>
                    </w:rPr>
                    <w:t xml:space="preserve"> </w:t>
                  </w:r>
                  <w:r>
                    <w:rPr>
                      <w:rFonts w:ascii="Calibri" w:eastAsia="Calibri" w:hAnsi="Calibri" w:cs="Calibri"/>
                      <w:b/>
                      <w:color w:val="FFFFFF"/>
                      <w:sz w:val="17"/>
                      <w:szCs w:val="17"/>
                    </w:rPr>
                    <w:t>A</w:t>
                  </w:r>
                </w:p>
              </w:tc>
              <w:tc>
                <w:tcPr>
                  <w:tcW w:w="1242" w:type="dxa"/>
                  <w:shd w:val="clear" w:color="auto" w:fill="A6A6A6"/>
                  <w:vAlign w:val="center"/>
                </w:tcPr>
                <w:p w14:paraId="25F3949E" w14:textId="05834FD6" w:rsidR="00600DEE" w:rsidRDefault="003D2AC3">
                  <w:pPr>
                    <w:jc w:val="center"/>
                    <w:rPr>
                      <w:rFonts w:ascii="Calibri" w:eastAsia="Calibri" w:hAnsi="Calibri" w:cs="Calibri"/>
                      <w:b/>
                      <w:color w:val="FFFFFF"/>
                      <w:sz w:val="17"/>
                      <w:szCs w:val="17"/>
                    </w:rPr>
                  </w:pPr>
                  <w:r>
                    <w:rPr>
                      <w:rFonts w:ascii="Calibri" w:eastAsia="Calibri" w:hAnsi="Calibri" w:cs="Calibri"/>
                      <w:b/>
                      <w:color w:val="FFFFFF"/>
                      <w:sz w:val="17"/>
                      <w:szCs w:val="17"/>
                    </w:rPr>
                    <w:t>GPn*</w:t>
                  </w:r>
                </w:p>
              </w:tc>
              <w:tc>
                <w:tcPr>
                  <w:tcW w:w="1524" w:type="dxa"/>
                  <w:shd w:val="clear" w:color="auto" w:fill="A6A6A6"/>
                  <w:vAlign w:val="center"/>
                </w:tcPr>
                <w:p w14:paraId="0C99482B" w14:textId="7105A089" w:rsidR="00600DEE" w:rsidRDefault="003D2AC3">
                  <w:pPr>
                    <w:jc w:val="center"/>
                    <w:rPr>
                      <w:rFonts w:ascii="Calibri" w:eastAsia="Calibri" w:hAnsi="Calibri" w:cs="Calibri"/>
                      <w:b/>
                      <w:color w:val="FFFFFF"/>
                      <w:sz w:val="17"/>
                      <w:szCs w:val="17"/>
                    </w:rPr>
                  </w:pPr>
                  <w:r>
                    <w:rPr>
                      <w:rFonts w:ascii="Calibri" w:eastAsia="Calibri" w:hAnsi="Calibri" w:cs="Calibri"/>
                      <w:b/>
                      <w:color w:val="FFFFFF"/>
                      <w:sz w:val="17"/>
                      <w:szCs w:val="17"/>
                    </w:rPr>
                    <w:t>GPz **</w:t>
                  </w:r>
                </w:p>
              </w:tc>
            </w:tr>
            <w:tr w:rsidR="00600DEE" w14:paraId="0EB87A91" w14:textId="77777777" w:rsidTr="0080071C">
              <w:trPr>
                <w:trHeight w:val="244"/>
              </w:trPr>
              <w:tc>
                <w:tcPr>
                  <w:tcW w:w="1634" w:type="dxa"/>
                  <w:shd w:val="clear" w:color="auto" w:fill="DBE5F1"/>
                  <w:vAlign w:val="bottom"/>
                </w:tcPr>
                <w:p w14:paraId="10F8B341" w14:textId="07E85421"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1231" w:type="dxa"/>
                  <w:shd w:val="clear" w:color="auto" w:fill="DBE5F1"/>
                  <w:vAlign w:val="bottom"/>
                </w:tcPr>
                <w:p w14:paraId="3001837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0,051</w:t>
                  </w:r>
                </w:p>
              </w:tc>
              <w:tc>
                <w:tcPr>
                  <w:tcW w:w="1231" w:type="dxa"/>
                  <w:shd w:val="clear" w:color="auto" w:fill="DBE5F1"/>
                  <w:vAlign w:val="bottom"/>
                </w:tcPr>
                <w:p w14:paraId="451DC85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0,034</w:t>
                  </w:r>
                </w:p>
              </w:tc>
              <w:tc>
                <w:tcPr>
                  <w:tcW w:w="1242" w:type="dxa"/>
                  <w:shd w:val="clear" w:color="auto" w:fill="DBE5F1"/>
                  <w:vAlign w:val="bottom"/>
                </w:tcPr>
                <w:p w14:paraId="229CB15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0,519</w:t>
                  </w:r>
                </w:p>
              </w:tc>
              <w:tc>
                <w:tcPr>
                  <w:tcW w:w="1524" w:type="dxa"/>
                  <w:shd w:val="clear" w:color="auto" w:fill="DBE5F1"/>
                  <w:vAlign w:val="bottom"/>
                </w:tcPr>
                <w:p w14:paraId="704B2AD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0,981</w:t>
                  </w:r>
                </w:p>
              </w:tc>
            </w:tr>
            <w:tr w:rsidR="00600DEE" w14:paraId="3FC67D1C" w14:textId="77777777" w:rsidTr="0080071C">
              <w:trPr>
                <w:trHeight w:val="244"/>
              </w:trPr>
              <w:tc>
                <w:tcPr>
                  <w:tcW w:w="1634" w:type="dxa"/>
                  <w:shd w:val="clear" w:color="auto" w:fill="DBE5F1"/>
                  <w:vAlign w:val="bottom"/>
                </w:tcPr>
                <w:p w14:paraId="5642C027" w14:textId="52318029"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1231" w:type="dxa"/>
                  <w:shd w:val="clear" w:color="auto" w:fill="DBE5F1"/>
                  <w:vAlign w:val="bottom"/>
                </w:tcPr>
                <w:p w14:paraId="59D269D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0,144</w:t>
                  </w:r>
                </w:p>
              </w:tc>
              <w:tc>
                <w:tcPr>
                  <w:tcW w:w="1231" w:type="dxa"/>
                  <w:shd w:val="clear" w:color="auto" w:fill="DBE5F1"/>
                  <w:vAlign w:val="bottom"/>
                </w:tcPr>
                <w:p w14:paraId="7833367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0,096</w:t>
                  </w:r>
                </w:p>
              </w:tc>
              <w:tc>
                <w:tcPr>
                  <w:tcW w:w="1242" w:type="dxa"/>
                  <w:shd w:val="clear" w:color="auto" w:fill="DBE5F1"/>
                  <w:vAlign w:val="bottom"/>
                </w:tcPr>
                <w:p w14:paraId="5FBE745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0,604</w:t>
                  </w:r>
                </w:p>
              </w:tc>
              <w:tc>
                <w:tcPr>
                  <w:tcW w:w="1524" w:type="dxa"/>
                  <w:shd w:val="clear" w:color="auto" w:fill="DBE5F1"/>
                  <w:vAlign w:val="bottom"/>
                </w:tcPr>
                <w:p w14:paraId="2882DF8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1,090</w:t>
                  </w:r>
                </w:p>
              </w:tc>
            </w:tr>
            <w:tr w:rsidR="00600DEE" w14:paraId="647F0E0F" w14:textId="77777777" w:rsidTr="0080071C">
              <w:trPr>
                <w:trHeight w:val="244"/>
              </w:trPr>
              <w:tc>
                <w:tcPr>
                  <w:tcW w:w="1634" w:type="dxa"/>
                  <w:shd w:val="clear" w:color="auto" w:fill="DBE5F1"/>
                  <w:vAlign w:val="bottom"/>
                </w:tcPr>
                <w:p w14:paraId="3CBA7C0E" w14:textId="41C3C241" w:rsidR="00600DEE" w:rsidRDefault="00897A74">
                  <w:pPr>
                    <w:jc w:val="center"/>
                    <w:rPr>
                      <w:rFonts w:ascii="Calibri" w:eastAsia="Calibri" w:hAnsi="Calibri" w:cs="Calibri"/>
                      <w:color w:val="4F81BD"/>
                      <w:sz w:val="18"/>
                      <w:szCs w:val="18"/>
                    </w:rPr>
                  </w:pPr>
                  <w:r>
                    <w:rPr>
                      <w:rFonts w:ascii="Calibri" w:eastAsia="Calibri" w:hAnsi="Calibri" w:cs="Calibri"/>
                      <w:color w:val="4F81BD"/>
                      <w:sz w:val="18"/>
                      <w:szCs w:val="18"/>
                    </w:rPr>
                    <w:t>10 000</w:t>
                  </w:r>
                  <w:r w:rsidR="00641FB5">
                    <w:rPr>
                      <w:rFonts w:ascii="Calibri" w:eastAsia="Calibri" w:hAnsi="Calibri" w:cs="Calibri"/>
                      <w:color w:val="4F81BD"/>
                      <w:sz w:val="18"/>
                      <w:szCs w:val="18"/>
                    </w:rPr>
                    <w:t>-20 000</w:t>
                  </w:r>
                </w:p>
              </w:tc>
              <w:tc>
                <w:tcPr>
                  <w:tcW w:w="1231" w:type="dxa"/>
                  <w:shd w:val="clear" w:color="auto" w:fill="DBE5F1"/>
                  <w:vAlign w:val="bottom"/>
                </w:tcPr>
                <w:p w14:paraId="5935F99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0,381</w:t>
                  </w:r>
                </w:p>
              </w:tc>
              <w:tc>
                <w:tcPr>
                  <w:tcW w:w="1231" w:type="dxa"/>
                  <w:shd w:val="clear" w:color="auto" w:fill="DBE5F1"/>
                  <w:vAlign w:val="bottom"/>
                </w:tcPr>
                <w:p w14:paraId="06B584F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0,256</w:t>
                  </w:r>
                </w:p>
              </w:tc>
              <w:tc>
                <w:tcPr>
                  <w:tcW w:w="1242" w:type="dxa"/>
                  <w:shd w:val="clear" w:color="auto" w:fill="DBE5F1"/>
                  <w:vAlign w:val="bottom"/>
                </w:tcPr>
                <w:p w14:paraId="7CBA4FB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0,797</w:t>
                  </w:r>
                </w:p>
              </w:tc>
              <w:tc>
                <w:tcPr>
                  <w:tcW w:w="1524" w:type="dxa"/>
                  <w:shd w:val="clear" w:color="auto" w:fill="DBE5F1"/>
                  <w:vAlign w:val="bottom"/>
                </w:tcPr>
                <w:p w14:paraId="12911FD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1,303</w:t>
                  </w:r>
                </w:p>
              </w:tc>
            </w:tr>
            <w:tr w:rsidR="00600DEE" w14:paraId="1BA4F1B5" w14:textId="77777777" w:rsidTr="0080071C">
              <w:trPr>
                <w:trHeight w:val="244"/>
              </w:trPr>
              <w:tc>
                <w:tcPr>
                  <w:tcW w:w="1634" w:type="dxa"/>
                  <w:shd w:val="clear" w:color="auto" w:fill="DBE5F1"/>
                  <w:vAlign w:val="bottom"/>
                </w:tcPr>
                <w:p w14:paraId="794B53ED" w14:textId="18CD7E11"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w:t>
                  </w:r>
                </w:p>
              </w:tc>
              <w:tc>
                <w:tcPr>
                  <w:tcW w:w="1231" w:type="dxa"/>
                  <w:shd w:val="clear" w:color="auto" w:fill="DBE5F1"/>
                  <w:vAlign w:val="bottom"/>
                </w:tcPr>
                <w:p w14:paraId="59DF9C5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0,953</w:t>
                  </w:r>
                </w:p>
              </w:tc>
              <w:tc>
                <w:tcPr>
                  <w:tcW w:w="1231" w:type="dxa"/>
                  <w:shd w:val="clear" w:color="auto" w:fill="DBE5F1"/>
                  <w:vAlign w:val="bottom"/>
                </w:tcPr>
                <w:p w14:paraId="727C949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0,504</w:t>
                  </w:r>
                </w:p>
              </w:tc>
              <w:tc>
                <w:tcPr>
                  <w:tcW w:w="1242" w:type="dxa"/>
                  <w:shd w:val="clear" w:color="auto" w:fill="DBE5F1"/>
                  <w:vAlign w:val="bottom"/>
                </w:tcPr>
                <w:p w14:paraId="305D0B1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1,303</w:t>
                  </w:r>
                </w:p>
              </w:tc>
              <w:tc>
                <w:tcPr>
                  <w:tcW w:w="1524" w:type="dxa"/>
                  <w:shd w:val="clear" w:color="auto" w:fill="DBE5F1"/>
                  <w:vAlign w:val="bottom"/>
                </w:tcPr>
                <w:p w14:paraId="7C7E7D9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1,559</w:t>
                  </w:r>
                </w:p>
              </w:tc>
            </w:tr>
            <w:tr w:rsidR="00600DEE" w14:paraId="745CC752" w14:textId="77777777" w:rsidTr="0080071C">
              <w:trPr>
                <w:trHeight w:val="244"/>
              </w:trPr>
              <w:tc>
                <w:tcPr>
                  <w:tcW w:w="1634" w:type="dxa"/>
                  <w:shd w:val="clear" w:color="auto" w:fill="DBE5F1"/>
                  <w:vAlign w:val="bottom"/>
                </w:tcPr>
                <w:p w14:paraId="21D97D4E" w14:textId="2FBF3A6E"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30 000-40 000</w:t>
                  </w:r>
                </w:p>
              </w:tc>
              <w:tc>
                <w:tcPr>
                  <w:tcW w:w="1231" w:type="dxa"/>
                  <w:shd w:val="clear" w:color="auto" w:fill="DBE5F1"/>
                  <w:vAlign w:val="bottom"/>
                </w:tcPr>
                <w:p w14:paraId="2FA8D6E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1,058</w:t>
                  </w:r>
                </w:p>
              </w:tc>
              <w:tc>
                <w:tcPr>
                  <w:tcW w:w="1231" w:type="dxa"/>
                  <w:shd w:val="clear" w:color="auto" w:fill="DBE5F1"/>
                  <w:vAlign w:val="bottom"/>
                </w:tcPr>
                <w:p w14:paraId="7B4A27C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0,713</w:t>
                  </w:r>
                </w:p>
              </w:tc>
              <w:tc>
                <w:tcPr>
                  <w:tcW w:w="1242" w:type="dxa"/>
                  <w:shd w:val="clear" w:color="auto" w:fill="DBE5F1"/>
                  <w:vAlign w:val="bottom"/>
                </w:tcPr>
                <w:p w14:paraId="66E4C36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1,407</w:t>
                  </w:r>
                </w:p>
              </w:tc>
              <w:tc>
                <w:tcPr>
                  <w:tcW w:w="1524" w:type="dxa"/>
                  <w:shd w:val="clear" w:color="auto" w:fill="DBE5F1"/>
                  <w:vAlign w:val="bottom"/>
                </w:tcPr>
                <w:p w14:paraId="712A070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1,657</w:t>
                  </w:r>
                </w:p>
              </w:tc>
            </w:tr>
            <w:tr w:rsidR="00600DEE" w14:paraId="324A0929" w14:textId="77777777" w:rsidTr="0080071C">
              <w:trPr>
                <w:trHeight w:val="244"/>
              </w:trPr>
              <w:tc>
                <w:tcPr>
                  <w:tcW w:w="1634" w:type="dxa"/>
                  <w:shd w:val="clear" w:color="auto" w:fill="DBE5F1"/>
                  <w:vAlign w:val="bottom"/>
                </w:tcPr>
                <w:p w14:paraId="26579A1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powyżej 40 000</w:t>
                  </w:r>
                </w:p>
              </w:tc>
              <w:tc>
                <w:tcPr>
                  <w:tcW w:w="1231" w:type="dxa"/>
                  <w:shd w:val="clear" w:color="auto" w:fill="DBE5F1"/>
                  <w:vAlign w:val="bottom"/>
                </w:tcPr>
                <w:p w14:paraId="09BF1D3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1,631</w:t>
                  </w:r>
                </w:p>
              </w:tc>
              <w:tc>
                <w:tcPr>
                  <w:tcW w:w="1231" w:type="dxa"/>
                  <w:shd w:val="clear" w:color="auto" w:fill="DBE5F1"/>
                  <w:vAlign w:val="bottom"/>
                </w:tcPr>
                <w:p w14:paraId="03D10EB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1,120</w:t>
                  </w:r>
                </w:p>
              </w:tc>
              <w:tc>
                <w:tcPr>
                  <w:tcW w:w="1242" w:type="dxa"/>
                  <w:shd w:val="clear" w:color="auto" w:fill="DBE5F1"/>
                  <w:vAlign w:val="bottom"/>
                </w:tcPr>
                <w:p w14:paraId="062F4C3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1,956</w:t>
                  </w:r>
                </w:p>
              </w:tc>
              <w:tc>
                <w:tcPr>
                  <w:tcW w:w="1524" w:type="dxa"/>
                  <w:shd w:val="clear" w:color="auto" w:fill="DBE5F1"/>
                  <w:vAlign w:val="bottom"/>
                </w:tcPr>
                <w:p w14:paraId="5F8CA95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2,075</w:t>
                  </w:r>
                </w:p>
              </w:tc>
            </w:tr>
          </w:tbl>
          <w:p w14:paraId="5D4E4275"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1E58772B" w14:textId="77777777" w:rsidR="00600DEE" w:rsidRDefault="00641FB5">
            <w:pPr>
              <w:spacing w:before="120" w:after="120"/>
              <w:ind w:right="170"/>
              <w:jc w:val="both"/>
              <w:rPr>
                <w:rFonts w:ascii="Calibri" w:eastAsia="Calibri" w:hAnsi="Calibri" w:cs="Calibri"/>
                <w:i/>
                <w:sz w:val="16"/>
                <w:szCs w:val="16"/>
              </w:rPr>
            </w:pPr>
            <w:r>
              <w:rPr>
                <w:rFonts w:ascii="Calibri" w:eastAsia="Calibri" w:hAnsi="Calibri" w:cs="Calibri"/>
                <w:i/>
                <w:sz w:val="16"/>
                <w:szCs w:val="16"/>
              </w:rPr>
              <w:t>* Dotyczy obszarów niezabudowanych</w:t>
            </w:r>
          </w:p>
          <w:p w14:paraId="42E07F58" w14:textId="77777777" w:rsidR="00600DEE" w:rsidRDefault="00641FB5">
            <w:pPr>
              <w:spacing w:before="120" w:after="120"/>
              <w:ind w:right="170"/>
              <w:jc w:val="both"/>
              <w:rPr>
                <w:rFonts w:ascii="Calibri" w:eastAsia="Calibri" w:hAnsi="Calibri" w:cs="Calibri"/>
                <w:i/>
                <w:sz w:val="16"/>
                <w:szCs w:val="16"/>
              </w:rPr>
            </w:pPr>
            <w:r>
              <w:rPr>
                <w:rFonts w:ascii="Calibri" w:eastAsia="Calibri" w:hAnsi="Calibri" w:cs="Calibri"/>
                <w:i/>
                <w:sz w:val="16"/>
                <w:szCs w:val="16"/>
              </w:rPr>
              <w:t>** Dotyczy obszarów zabudowanych</w:t>
            </w:r>
          </w:p>
          <w:p w14:paraId="39821AD3" w14:textId="77777777" w:rsidR="00600DEE" w:rsidRDefault="00600DEE">
            <w:pPr>
              <w:pBdr>
                <w:top w:val="nil"/>
                <w:left w:val="nil"/>
                <w:bottom w:val="nil"/>
                <w:right w:val="nil"/>
                <w:between w:val="nil"/>
              </w:pBdr>
              <w:spacing w:before="120" w:after="120"/>
              <w:jc w:val="both"/>
              <w:rPr>
                <w:rFonts w:ascii="Calibri" w:eastAsia="Calibri" w:hAnsi="Calibri" w:cs="Calibri"/>
                <w:b/>
                <w:color w:val="333399"/>
                <w:sz w:val="20"/>
                <w:szCs w:val="20"/>
              </w:rPr>
            </w:pPr>
          </w:p>
          <w:p w14:paraId="4F4BF1E9" w14:textId="77777777" w:rsidR="00600DEE" w:rsidRDefault="00600DEE">
            <w:pPr>
              <w:pBdr>
                <w:top w:val="nil"/>
                <w:left w:val="nil"/>
                <w:bottom w:val="nil"/>
                <w:right w:val="nil"/>
                <w:between w:val="nil"/>
              </w:pBdr>
              <w:spacing w:before="120" w:after="120"/>
              <w:jc w:val="both"/>
              <w:rPr>
                <w:rFonts w:ascii="Calibri" w:eastAsia="Calibri" w:hAnsi="Calibri" w:cs="Calibri"/>
                <w:b/>
                <w:color w:val="333399"/>
                <w:sz w:val="20"/>
                <w:szCs w:val="20"/>
              </w:rPr>
            </w:pPr>
          </w:p>
          <w:p w14:paraId="2F8C48A5" w14:textId="77777777" w:rsidR="00600DEE" w:rsidRDefault="00600DEE">
            <w:pPr>
              <w:pBdr>
                <w:top w:val="nil"/>
                <w:left w:val="nil"/>
                <w:bottom w:val="nil"/>
                <w:right w:val="nil"/>
                <w:between w:val="nil"/>
              </w:pBdr>
              <w:spacing w:before="120" w:after="120"/>
              <w:jc w:val="both"/>
              <w:rPr>
                <w:rFonts w:ascii="Calibri" w:eastAsia="Calibri" w:hAnsi="Calibri" w:cs="Calibri"/>
                <w:b/>
                <w:color w:val="333399"/>
                <w:sz w:val="20"/>
                <w:szCs w:val="20"/>
              </w:rPr>
            </w:pPr>
          </w:p>
          <w:p w14:paraId="579ABB18" w14:textId="77777777" w:rsidR="00600DEE" w:rsidRDefault="00641FB5">
            <w:pPr>
              <w:pBdr>
                <w:top w:val="nil"/>
                <w:left w:val="nil"/>
                <w:bottom w:val="nil"/>
                <w:right w:val="nil"/>
                <w:between w:val="nil"/>
              </w:pBd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Tabela 12. Gęstość zabitych w wypadkach drogowych (GZ) dla ciągów drogowych</w:t>
            </w:r>
            <w:r>
              <w:rPr>
                <w:rFonts w:ascii="Calibri" w:eastAsia="Calibri" w:hAnsi="Calibri" w:cs="Calibri"/>
                <w:b/>
                <w:color w:val="4F81BD"/>
                <w:sz w:val="20"/>
                <w:szCs w:val="20"/>
              </w:rPr>
              <w:br/>
              <w:t>dwujezdniowych [osób/ km/ rok]</w:t>
            </w:r>
          </w:p>
          <w:tbl>
            <w:tblPr>
              <w:tblStyle w:val="affffffffffffffff9"/>
              <w:tblW w:w="693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511"/>
              <w:gridCol w:w="1221"/>
              <w:gridCol w:w="1289"/>
              <w:gridCol w:w="1389"/>
              <w:gridCol w:w="1527"/>
            </w:tblGrid>
            <w:tr w:rsidR="00600DEE" w14:paraId="564DE804" w14:textId="77777777" w:rsidTr="00505091">
              <w:trPr>
                <w:trHeight w:hRule="exact" w:val="254"/>
              </w:trPr>
              <w:tc>
                <w:tcPr>
                  <w:tcW w:w="1511" w:type="dxa"/>
                  <w:shd w:val="clear" w:color="auto" w:fill="A6A6A6"/>
                  <w:vAlign w:val="center"/>
                </w:tcPr>
                <w:p w14:paraId="66087364"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1221" w:type="dxa"/>
                  <w:shd w:val="clear" w:color="auto" w:fill="A6A6A6"/>
                  <w:vAlign w:val="center"/>
                </w:tcPr>
                <w:p w14:paraId="6D3F9DD7"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S2+1</w:t>
                  </w:r>
                </w:p>
              </w:tc>
              <w:tc>
                <w:tcPr>
                  <w:tcW w:w="1289" w:type="dxa"/>
                  <w:shd w:val="clear" w:color="auto" w:fill="A6A6A6"/>
                  <w:vAlign w:val="center"/>
                </w:tcPr>
                <w:p w14:paraId="3C972B21"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S,A</w:t>
                  </w:r>
                </w:p>
              </w:tc>
              <w:tc>
                <w:tcPr>
                  <w:tcW w:w="1389" w:type="dxa"/>
                  <w:shd w:val="clear" w:color="auto" w:fill="A6A6A6"/>
                  <w:vAlign w:val="center"/>
                </w:tcPr>
                <w:p w14:paraId="0E5E6BBB"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GPn*)</w:t>
                  </w:r>
                </w:p>
              </w:tc>
              <w:tc>
                <w:tcPr>
                  <w:tcW w:w="1527" w:type="dxa"/>
                  <w:shd w:val="clear" w:color="auto" w:fill="A6A6A6"/>
                  <w:vAlign w:val="center"/>
                </w:tcPr>
                <w:p w14:paraId="57579722"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GPz **)</w:t>
                  </w:r>
                </w:p>
              </w:tc>
            </w:tr>
            <w:tr w:rsidR="00600DEE" w14:paraId="159D9954" w14:textId="77777777" w:rsidTr="00505091">
              <w:trPr>
                <w:trHeight w:hRule="exact" w:val="254"/>
              </w:trPr>
              <w:tc>
                <w:tcPr>
                  <w:tcW w:w="1511" w:type="dxa"/>
                  <w:shd w:val="clear" w:color="auto" w:fill="DBE5F1"/>
                  <w:vAlign w:val="bottom"/>
                </w:tcPr>
                <w:p w14:paraId="05CAB42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1221" w:type="dxa"/>
                  <w:shd w:val="clear" w:color="auto" w:fill="DBE5F1"/>
                  <w:vAlign w:val="bottom"/>
                </w:tcPr>
                <w:p w14:paraId="4C6EEA3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0,036</w:t>
                  </w:r>
                </w:p>
              </w:tc>
              <w:tc>
                <w:tcPr>
                  <w:tcW w:w="1289" w:type="dxa"/>
                  <w:shd w:val="clear" w:color="auto" w:fill="DBE5F1"/>
                  <w:vAlign w:val="bottom"/>
                </w:tcPr>
                <w:p w14:paraId="561BAE2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0,022</w:t>
                  </w:r>
                </w:p>
              </w:tc>
              <w:tc>
                <w:tcPr>
                  <w:tcW w:w="1389" w:type="dxa"/>
                  <w:shd w:val="clear" w:color="auto" w:fill="DBE5F1"/>
                  <w:vAlign w:val="bottom"/>
                </w:tcPr>
                <w:p w14:paraId="7EF4B8C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0,179</w:t>
                  </w:r>
                </w:p>
              </w:tc>
              <w:tc>
                <w:tcPr>
                  <w:tcW w:w="1527" w:type="dxa"/>
                  <w:shd w:val="clear" w:color="auto" w:fill="DBE5F1"/>
                  <w:vAlign w:val="bottom"/>
                </w:tcPr>
                <w:p w14:paraId="0D6277E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0,113</w:t>
                  </w:r>
                </w:p>
              </w:tc>
            </w:tr>
            <w:tr w:rsidR="00600DEE" w14:paraId="5BE6D90C" w14:textId="77777777" w:rsidTr="00505091">
              <w:trPr>
                <w:trHeight w:hRule="exact" w:val="254"/>
              </w:trPr>
              <w:tc>
                <w:tcPr>
                  <w:tcW w:w="1511" w:type="dxa"/>
                  <w:shd w:val="clear" w:color="auto" w:fill="DBE5F1"/>
                  <w:vAlign w:val="bottom"/>
                </w:tcPr>
                <w:p w14:paraId="5A0FF3E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1221" w:type="dxa"/>
                  <w:shd w:val="clear" w:color="auto" w:fill="DBE5F1"/>
                  <w:vAlign w:val="bottom"/>
                </w:tcPr>
                <w:p w14:paraId="310C83D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0,073</w:t>
                  </w:r>
                </w:p>
              </w:tc>
              <w:tc>
                <w:tcPr>
                  <w:tcW w:w="1289" w:type="dxa"/>
                  <w:shd w:val="clear" w:color="auto" w:fill="DBE5F1"/>
                  <w:vAlign w:val="bottom"/>
                </w:tcPr>
                <w:p w14:paraId="482B8FC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0,052</w:t>
                  </w:r>
                </w:p>
              </w:tc>
              <w:tc>
                <w:tcPr>
                  <w:tcW w:w="1389" w:type="dxa"/>
                  <w:shd w:val="clear" w:color="auto" w:fill="DBE5F1"/>
                  <w:vAlign w:val="bottom"/>
                </w:tcPr>
                <w:p w14:paraId="4A386F2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0,189</w:t>
                  </w:r>
                </w:p>
              </w:tc>
              <w:tc>
                <w:tcPr>
                  <w:tcW w:w="1527" w:type="dxa"/>
                  <w:shd w:val="clear" w:color="auto" w:fill="DBE5F1"/>
                  <w:vAlign w:val="bottom"/>
                </w:tcPr>
                <w:p w14:paraId="720C460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0,117</w:t>
                  </w:r>
                </w:p>
              </w:tc>
            </w:tr>
            <w:tr w:rsidR="00600DEE" w14:paraId="71DEAA7C" w14:textId="77777777" w:rsidTr="00505091">
              <w:trPr>
                <w:trHeight w:hRule="exact" w:val="254"/>
              </w:trPr>
              <w:tc>
                <w:tcPr>
                  <w:tcW w:w="1511" w:type="dxa"/>
                  <w:shd w:val="clear" w:color="auto" w:fill="DBE5F1"/>
                  <w:vAlign w:val="bottom"/>
                </w:tcPr>
                <w:p w14:paraId="42219A3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10 000 -20 000</w:t>
                  </w:r>
                </w:p>
              </w:tc>
              <w:tc>
                <w:tcPr>
                  <w:tcW w:w="1221" w:type="dxa"/>
                  <w:shd w:val="clear" w:color="auto" w:fill="DBE5F1"/>
                  <w:vAlign w:val="bottom"/>
                </w:tcPr>
                <w:p w14:paraId="1E262FA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0,104</w:t>
                  </w:r>
                </w:p>
              </w:tc>
              <w:tc>
                <w:tcPr>
                  <w:tcW w:w="1289" w:type="dxa"/>
                  <w:shd w:val="clear" w:color="auto" w:fill="DBE5F1"/>
                  <w:vAlign w:val="bottom"/>
                </w:tcPr>
                <w:p w14:paraId="39FF2DA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0,083</w:t>
                  </w:r>
                </w:p>
              </w:tc>
              <w:tc>
                <w:tcPr>
                  <w:tcW w:w="1389" w:type="dxa"/>
                  <w:shd w:val="clear" w:color="auto" w:fill="DBE5F1"/>
                  <w:vAlign w:val="bottom"/>
                </w:tcPr>
                <w:p w14:paraId="0D872F8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0,209</w:t>
                  </w:r>
                </w:p>
              </w:tc>
              <w:tc>
                <w:tcPr>
                  <w:tcW w:w="1527" w:type="dxa"/>
                  <w:shd w:val="clear" w:color="auto" w:fill="DBE5F1"/>
                  <w:vAlign w:val="bottom"/>
                </w:tcPr>
                <w:p w14:paraId="1637B31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0,124</w:t>
                  </w:r>
                </w:p>
              </w:tc>
            </w:tr>
            <w:tr w:rsidR="00600DEE" w14:paraId="232B1371" w14:textId="77777777" w:rsidTr="00505091">
              <w:trPr>
                <w:trHeight w:hRule="exact" w:val="254"/>
              </w:trPr>
              <w:tc>
                <w:tcPr>
                  <w:tcW w:w="1511" w:type="dxa"/>
                  <w:shd w:val="clear" w:color="auto" w:fill="DBE5F1"/>
                  <w:vAlign w:val="bottom"/>
                </w:tcPr>
                <w:p w14:paraId="063F402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w:t>
                  </w:r>
                </w:p>
              </w:tc>
              <w:tc>
                <w:tcPr>
                  <w:tcW w:w="1221" w:type="dxa"/>
                  <w:shd w:val="clear" w:color="auto" w:fill="DBE5F1"/>
                  <w:vAlign w:val="bottom"/>
                </w:tcPr>
                <w:p w14:paraId="438DABD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0,135</w:t>
                  </w:r>
                </w:p>
              </w:tc>
              <w:tc>
                <w:tcPr>
                  <w:tcW w:w="1289" w:type="dxa"/>
                  <w:shd w:val="clear" w:color="auto" w:fill="DBE5F1"/>
                  <w:vAlign w:val="bottom"/>
                </w:tcPr>
                <w:p w14:paraId="2D05C7A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0,104</w:t>
                  </w:r>
                </w:p>
              </w:tc>
              <w:tc>
                <w:tcPr>
                  <w:tcW w:w="1389" w:type="dxa"/>
                  <w:shd w:val="clear" w:color="auto" w:fill="DBE5F1"/>
                  <w:vAlign w:val="bottom"/>
                </w:tcPr>
                <w:p w14:paraId="51C9DB4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0,233</w:t>
                  </w:r>
                </w:p>
              </w:tc>
              <w:tc>
                <w:tcPr>
                  <w:tcW w:w="1527" w:type="dxa"/>
                  <w:shd w:val="clear" w:color="auto" w:fill="DBE5F1"/>
                  <w:vAlign w:val="bottom"/>
                </w:tcPr>
                <w:p w14:paraId="47EE7C8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0,131</w:t>
                  </w:r>
                </w:p>
              </w:tc>
            </w:tr>
            <w:tr w:rsidR="00600DEE" w14:paraId="3BC8B2E4" w14:textId="77777777" w:rsidTr="00505091">
              <w:trPr>
                <w:trHeight w:hRule="exact" w:val="254"/>
              </w:trPr>
              <w:tc>
                <w:tcPr>
                  <w:tcW w:w="1511" w:type="dxa"/>
                  <w:shd w:val="clear" w:color="auto" w:fill="DBE5F1"/>
                  <w:vAlign w:val="bottom"/>
                </w:tcPr>
                <w:p w14:paraId="4695A0D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30 000-40 000</w:t>
                  </w:r>
                </w:p>
              </w:tc>
              <w:tc>
                <w:tcPr>
                  <w:tcW w:w="1221" w:type="dxa"/>
                  <w:shd w:val="clear" w:color="auto" w:fill="DBE5F1"/>
                  <w:vAlign w:val="bottom"/>
                </w:tcPr>
                <w:p w14:paraId="7547C97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0,154</w:t>
                  </w:r>
                </w:p>
              </w:tc>
              <w:tc>
                <w:tcPr>
                  <w:tcW w:w="1289" w:type="dxa"/>
                  <w:shd w:val="clear" w:color="auto" w:fill="DBE5F1"/>
                  <w:vAlign w:val="bottom"/>
                </w:tcPr>
                <w:p w14:paraId="5E09D6D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0,118</w:t>
                  </w:r>
                </w:p>
              </w:tc>
              <w:tc>
                <w:tcPr>
                  <w:tcW w:w="1389" w:type="dxa"/>
                  <w:shd w:val="clear" w:color="auto" w:fill="DBE5F1"/>
                  <w:vAlign w:val="bottom"/>
                </w:tcPr>
                <w:p w14:paraId="3A84D24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0,254</w:t>
                  </w:r>
                </w:p>
              </w:tc>
              <w:tc>
                <w:tcPr>
                  <w:tcW w:w="1527" w:type="dxa"/>
                  <w:shd w:val="clear" w:color="auto" w:fill="DBE5F1"/>
                  <w:vAlign w:val="bottom"/>
                </w:tcPr>
                <w:p w14:paraId="14848AA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0,137</w:t>
                  </w:r>
                </w:p>
              </w:tc>
            </w:tr>
            <w:tr w:rsidR="00600DEE" w14:paraId="2EBDD289" w14:textId="77777777" w:rsidTr="00505091">
              <w:trPr>
                <w:trHeight w:hRule="exact" w:val="254"/>
              </w:trPr>
              <w:tc>
                <w:tcPr>
                  <w:tcW w:w="1511" w:type="dxa"/>
                  <w:shd w:val="clear" w:color="auto" w:fill="DBE5F1"/>
                  <w:vAlign w:val="bottom"/>
                </w:tcPr>
                <w:p w14:paraId="1D83967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powyżej 40 000</w:t>
                  </w:r>
                </w:p>
              </w:tc>
              <w:tc>
                <w:tcPr>
                  <w:tcW w:w="1221" w:type="dxa"/>
                  <w:shd w:val="clear" w:color="auto" w:fill="DBE5F1"/>
                  <w:vAlign w:val="bottom"/>
                </w:tcPr>
                <w:p w14:paraId="5C30319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0,177</w:t>
                  </w:r>
                </w:p>
              </w:tc>
              <w:tc>
                <w:tcPr>
                  <w:tcW w:w="1289" w:type="dxa"/>
                  <w:shd w:val="clear" w:color="auto" w:fill="DBE5F1"/>
                  <w:vAlign w:val="bottom"/>
                </w:tcPr>
                <w:p w14:paraId="3FEA557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0,141</w:t>
                  </w:r>
                </w:p>
              </w:tc>
              <w:tc>
                <w:tcPr>
                  <w:tcW w:w="1389" w:type="dxa"/>
                  <w:shd w:val="clear" w:color="auto" w:fill="DBE5F1"/>
                  <w:vAlign w:val="bottom"/>
                </w:tcPr>
                <w:p w14:paraId="1BDD0B7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0,280</w:t>
                  </w:r>
                </w:p>
              </w:tc>
              <w:tc>
                <w:tcPr>
                  <w:tcW w:w="1527" w:type="dxa"/>
                  <w:shd w:val="clear" w:color="auto" w:fill="DBE5F1"/>
                  <w:vAlign w:val="bottom"/>
                </w:tcPr>
                <w:p w14:paraId="0A0CF91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0,143</w:t>
                  </w:r>
                </w:p>
              </w:tc>
            </w:tr>
          </w:tbl>
          <w:p w14:paraId="4342950E"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6C5D1845" w14:textId="77777777" w:rsidR="00600DEE" w:rsidRDefault="00641FB5">
            <w:pPr>
              <w:spacing w:before="120" w:after="120"/>
              <w:ind w:right="170"/>
              <w:jc w:val="both"/>
              <w:rPr>
                <w:rFonts w:ascii="Calibri" w:eastAsia="Calibri" w:hAnsi="Calibri" w:cs="Calibri"/>
                <w:i/>
                <w:sz w:val="16"/>
                <w:szCs w:val="16"/>
              </w:rPr>
            </w:pPr>
            <w:r>
              <w:rPr>
                <w:rFonts w:ascii="Calibri" w:eastAsia="Calibri" w:hAnsi="Calibri" w:cs="Calibri"/>
                <w:i/>
                <w:sz w:val="16"/>
                <w:szCs w:val="16"/>
              </w:rPr>
              <w:t>* Dotyczy obszarów niezabudowanych</w:t>
            </w:r>
          </w:p>
          <w:p w14:paraId="4A78F545" w14:textId="77777777" w:rsidR="00600DEE" w:rsidRDefault="00641FB5">
            <w:pPr>
              <w:spacing w:before="120" w:after="120"/>
              <w:ind w:right="170"/>
              <w:jc w:val="both"/>
              <w:rPr>
                <w:rFonts w:ascii="Calibri" w:eastAsia="Calibri" w:hAnsi="Calibri" w:cs="Calibri"/>
                <w:i/>
                <w:sz w:val="16"/>
                <w:szCs w:val="16"/>
              </w:rPr>
            </w:pPr>
            <w:r>
              <w:rPr>
                <w:rFonts w:ascii="Calibri" w:eastAsia="Calibri" w:hAnsi="Calibri" w:cs="Calibri"/>
                <w:i/>
                <w:sz w:val="16"/>
                <w:szCs w:val="16"/>
              </w:rPr>
              <w:t>** Dotyczy obszarów zabudowanych</w:t>
            </w:r>
          </w:p>
          <w:p w14:paraId="1D66289E" w14:textId="77777777" w:rsidR="00600DEE" w:rsidRDefault="00641FB5">
            <w:pPr>
              <w:pBdr>
                <w:top w:val="nil"/>
                <w:left w:val="nil"/>
                <w:bottom w:val="nil"/>
                <w:right w:val="nil"/>
                <w:between w:val="nil"/>
              </w:pBd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Tabela 13. Gęstość ciężko rannych w wypadkach (GCR) drogowych dla ciągów</w:t>
            </w:r>
            <w:r>
              <w:rPr>
                <w:rFonts w:ascii="Calibri" w:eastAsia="Calibri" w:hAnsi="Calibri" w:cs="Calibri"/>
                <w:b/>
                <w:color w:val="4F81BD"/>
                <w:sz w:val="20"/>
                <w:szCs w:val="20"/>
              </w:rPr>
              <w:br/>
              <w:t xml:space="preserve"> drogowych dwujezdniowych [osób/ km/rok]</w:t>
            </w:r>
          </w:p>
          <w:tbl>
            <w:tblPr>
              <w:tblStyle w:val="affffffffffffffffa"/>
              <w:tblW w:w="696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05"/>
              <w:gridCol w:w="1263"/>
              <w:gridCol w:w="1310"/>
              <w:gridCol w:w="1394"/>
              <w:gridCol w:w="1395"/>
            </w:tblGrid>
            <w:tr w:rsidR="00600DEE" w14:paraId="4621A507" w14:textId="77777777" w:rsidTr="00505091">
              <w:trPr>
                <w:trHeight w:hRule="exact" w:val="254"/>
              </w:trPr>
              <w:tc>
                <w:tcPr>
                  <w:tcW w:w="1605" w:type="dxa"/>
                  <w:shd w:val="clear" w:color="auto" w:fill="A6A6A6"/>
                  <w:vAlign w:val="center"/>
                </w:tcPr>
                <w:p w14:paraId="7330F2FD"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1263" w:type="dxa"/>
                  <w:shd w:val="clear" w:color="auto" w:fill="A6A6A6"/>
                  <w:vAlign w:val="center"/>
                </w:tcPr>
                <w:p w14:paraId="37E6B997"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S2+1</w:t>
                  </w:r>
                </w:p>
              </w:tc>
              <w:tc>
                <w:tcPr>
                  <w:tcW w:w="1310" w:type="dxa"/>
                  <w:shd w:val="clear" w:color="auto" w:fill="A6A6A6"/>
                  <w:vAlign w:val="center"/>
                </w:tcPr>
                <w:p w14:paraId="296A9C11"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S,A</w:t>
                  </w:r>
                </w:p>
              </w:tc>
              <w:tc>
                <w:tcPr>
                  <w:tcW w:w="1394" w:type="dxa"/>
                  <w:shd w:val="clear" w:color="auto" w:fill="A6A6A6"/>
                  <w:vAlign w:val="center"/>
                </w:tcPr>
                <w:p w14:paraId="79F1F337"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GPn*)</w:t>
                  </w:r>
                </w:p>
              </w:tc>
              <w:tc>
                <w:tcPr>
                  <w:tcW w:w="1395" w:type="dxa"/>
                  <w:shd w:val="clear" w:color="auto" w:fill="A6A6A6"/>
                  <w:vAlign w:val="center"/>
                </w:tcPr>
                <w:p w14:paraId="520C8A47"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GPz **)</w:t>
                  </w:r>
                </w:p>
              </w:tc>
            </w:tr>
            <w:tr w:rsidR="00600DEE" w14:paraId="7D88864B" w14:textId="77777777" w:rsidTr="00505091">
              <w:trPr>
                <w:trHeight w:hRule="exact" w:val="254"/>
              </w:trPr>
              <w:tc>
                <w:tcPr>
                  <w:tcW w:w="1605" w:type="dxa"/>
                  <w:shd w:val="clear" w:color="auto" w:fill="DBE5F1"/>
                  <w:vAlign w:val="bottom"/>
                </w:tcPr>
                <w:p w14:paraId="13C4D23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1263" w:type="dxa"/>
                  <w:shd w:val="clear" w:color="auto" w:fill="DBE5F1"/>
                </w:tcPr>
                <w:p w14:paraId="00C1453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0,044</w:t>
                  </w:r>
                </w:p>
              </w:tc>
              <w:tc>
                <w:tcPr>
                  <w:tcW w:w="1310" w:type="dxa"/>
                  <w:shd w:val="clear" w:color="auto" w:fill="DBE5F1"/>
                </w:tcPr>
                <w:p w14:paraId="1188785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0,027</w:t>
                  </w:r>
                </w:p>
              </w:tc>
              <w:tc>
                <w:tcPr>
                  <w:tcW w:w="1394" w:type="dxa"/>
                  <w:shd w:val="clear" w:color="auto" w:fill="DBE5F1"/>
                </w:tcPr>
                <w:p w14:paraId="3B7E628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0,198</w:t>
                  </w:r>
                </w:p>
              </w:tc>
              <w:tc>
                <w:tcPr>
                  <w:tcW w:w="1395" w:type="dxa"/>
                  <w:shd w:val="clear" w:color="auto" w:fill="DBE5F1"/>
                </w:tcPr>
                <w:p w14:paraId="7A9692B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0,264</w:t>
                  </w:r>
                </w:p>
              </w:tc>
            </w:tr>
            <w:tr w:rsidR="00600DEE" w14:paraId="7E28E6E3" w14:textId="77777777" w:rsidTr="00505091">
              <w:trPr>
                <w:trHeight w:hRule="exact" w:val="254"/>
              </w:trPr>
              <w:tc>
                <w:tcPr>
                  <w:tcW w:w="1605" w:type="dxa"/>
                  <w:shd w:val="clear" w:color="auto" w:fill="DBE5F1"/>
                  <w:vAlign w:val="bottom"/>
                </w:tcPr>
                <w:p w14:paraId="7994F47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1263" w:type="dxa"/>
                  <w:shd w:val="clear" w:color="auto" w:fill="DBE5F1"/>
                </w:tcPr>
                <w:p w14:paraId="62725D0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0,078</w:t>
                  </w:r>
                </w:p>
              </w:tc>
              <w:tc>
                <w:tcPr>
                  <w:tcW w:w="1310" w:type="dxa"/>
                  <w:shd w:val="clear" w:color="auto" w:fill="DBE5F1"/>
                </w:tcPr>
                <w:p w14:paraId="5866D3F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0,055</w:t>
                  </w:r>
                </w:p>
              </w:tc>
              <w:tc>
                <w:tcPr>
                  <w:tcW w:w="1394" w:type="dxa"/>
                  <w:shd w:val="clear" w:color="auto" w:fill="DBE5F1"/>
                </w:tcPr>
                <w:p w14:paraId="7BDF8EF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0,212</w:t>
                  </w:r>
                </w:p>
              </w:tc>
              <w:tc>
                <w:tcPr>
                  <w:tcW w:w="1395" w:type="dxa"/>
                  <w:shd w:val="clear" w:color="auto" w:fill="DBE5F1"/>
                </w:tcPr>
                <w:p w14:paraId="4A7B7AF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0,278</w:t>
                  </w:r>
                </w:p>
              </w:tc>
            </w:tr>
            <w:tr w:rsidR="00600DEE" w14:paraId="652A3430" w14:textId="77777777" w:rsidTr="00505091">
              <w:trPr>
                <w:trHeight w:hRule="exact" w:val="254"/>
              </w:trPr>
              <w:tc>
                <w:tcPr>
                  <w:tcW w:w="1605" w:type="dxa"/>
                  <w:shd w:val="clear" w:color="auto" w:fill="DBE5F1"/>
                  <w:vAlign w:val="bottom"/>
                </w:tcPr>
                <w:p w14:paraId="022E832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10 000 -20 000</w:t>
                  </w:r>
                </w:p>
              </w:tc>
              <w:tc>
                <w:tcPr>
                  <w:tcW w:w="1263" w:type="dxa"/>
                  <w:shd w:val="clear" w:color="auto" w:fill="DBE5F1"/>
                </w:tcPr>
                <w:p w14:paraId="4D6A769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0,122</w:t>
                  </w:r>
                </w:p>
              </w:tc>
              <w:tc>
                <w:tcPr>
                  <w:tcW w:w="1310" w:type="dxa"/>
                  <w:shd w:val="clear" w:color="auto" w:fill="DBE5F1"/>
                </w:tcPr>
                <w:p w14:paraId="085354C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0,093</w:t>
                  </w:r>
                </w:p>
              </w:tc>
              <w:tc>
                <w:tcPr>
                  <w:tcW w:w="1394" w:type="dxa"/>
                  <w:shd w:val="clear" w:color="auto" w:fill="DBE5F1"/>
                </w:tcPr>
                <w:p w14:paraId="7FE7EDF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0,238</w:t>
                  </w:r>
                </w:p>
              </w:tc>
              <w:tc>
                <w:tcPr>
                  <w:tcW w:w="1395" w:type="dxa"/>
                  <w:shd w:val="clear" w:color="auto" w:fill="DBE5F1"/>
                </w:tcPr>
                <w:p w14:paraId="7FA12C3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0,301</w:t>
                  </w:r>
                </w:p>
              </w:tc>
            </w:tr>
            <w:tr w:rsidR="00600DEE" w14:paraId="5C8E1D75" w14:textId="77777777" w:rsidTr="00505091">
              <w:trPr>
                <w:trHeight w:hRule="exact" w:val="254"/>
              </w:trPr>
              <w:tc>
                <w:tcPr>
                  <w:tcW w:w="1605" w:type="dxa"/>
                  <w:shd w:val="clear" w:color="auto" w:fill="DBE5F1"/>
                  <w:vAlign w:val="bottom"/>
                </w:tcPr>
                <w:p w14:paraId="1F20F92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w:t>
                  </w:r>
                </w:p>
              </w:tc>
              <w:tc>
                <w:tcPr>
                  <w:tcW w:w="1263" w:type="dxa"/>
                  <w:shd w:val="clear" w:color="auto" w:fill="DBE5F1"/>
                </w:tcPr>
                <w:p w14:paraId="4F03B76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0,167</w:t>
                  </w:r>
                </w:p>
              </w:tc>
              <w:tc>
                <w:tcPr>
                  <w:tcW w:w="1310" w:type="dxa"/>
                  <w:shd w:val="clear" w:color="auto" w:fill="DBE5F1"/>
                </w:tcPr>
                <w:p w14:paraId="5C9F703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0,125</w:t>
                  </w:r>
                </w:p>
              </w:tc>
              <w:tc>
                <w:tcPr>
                  <w:tcW w:w="1394" w:type="dxa"/>
                  <w:shd w:val="clear" w:color="auto" w:fill="DBE5F1"/>
                </w:tcPr>
                <w:p w14:paraId="6B9FBAC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0,275</w:t>
                  </w:r>
                </w:p>
              </w:tc>
              <w:tc>
                <w:tcPr>
                  <w:tcW w:w="1395" w:type="dxa"/>
                  <w:shd w:val="clear" w:color="auto" w:fill="DBE5F1"/>
                </w:tcPr>
                <w:p w14:paraId="69CC455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0,325</w:t>
                  </w:r>
                </w:p>
              </w:tc>
            </w:tr>
            <w:tr w:rsidR="00600DEE" w14:paraId="68BCEBCB" w14:textId="77777777" w:rsidTr="00505091">
              <w:trPr>
                <w:trHeight w:hRule="exact" w:val="254"/>
              </w:trPr>
              <w:tc>
                <w:tcPr>
                  <w:tcW w:w="1605" w:type="dxa"/>
                  <w:shd w:val="clear" w:color="auto" w:fill="DBE5F1"/>
                  <w:vAlign w:val="bottom"/>
                </w:tcPr>
                <w:p w14:paraId="530D0A7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30 000-40 000</w:t>
                  </w:r>
                </w:p>
              </w:tc>
              <w:tc>
                <w:tcPr>
                  <w:tcW w:w="1263" w:type="dxa"/>
                  <w:shd w:val="clear" w:color="auto" w:fill="DBE5F1"/>
                </w:tcPr>
                <w:p w14:paraId="36564AF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0,199</w:t>
                  </w:r>
                </w:p>
              </w:tc>
              <w:tc>
                <w:tcPr>
                  <w:tcW w:w="1310" w:type="dxa"/>
                  <w:shd w:val="clear" w:color="auto" w:fill="DBE5F1"/>
                </w:tcPr>
                <w:p w14:paraId="2786F59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0,148</w:t>
                  </w:r>
                </w:p>
              </w:tc>
              <w:tc>
                <w:tcPr>
                  <w:tcW w:w="1394" w:type="dxa"/>
                  <w:shd w:val="clear" w:color="auto" w:fill="DBE5F1"/>
                </w:tcPr>
                <w:p w14:paraId="7F88987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0,306</w:t>
                  </w:r>
                </w:p>
              </w:tc>
              <w:tc>
                <w:tcPr>
                  <w:tcW w:w="1395" w:type="dxa"/>
                  <w:shd w:val="clear" w:color="auto" w:fill="DBE5F1"/>
                </w:tcPr>
                <w:p w14:paraId="364DFBA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0,343</w:t>
                  </w:r>
                </w:p>
              </w:tc>
            </w:tr>
            <w:tr w:rsidR="00600DEE" w14:paraId="5BA2F20B" w14:textId="77777777" w:rsidTr="00505091">
              <w:trPr>
                <w:trHeight w:hRule="exact" w:val="254"/>
              </w:trPr>
              <w:tc>
                <w:tcPr>
                  <w:tcW w:w="1605" w:type="dxa"/>
                  <w:shd w:val="clear" w:color="auto" w:fill="DBE5F1"/>
                  <w:vAlign w:val="bottom"/>
                </w:tcPr>
                <w:p w14:paraId="32AEC3A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powyżej 40 000</w:t>
                  </w:r>
                </w:p>
              </w:tc>
              <w:tc>
                <w:tcPr>
                  <w:tcW w:w="1263" w:type="dxa"/>
                  <w:shd w:val="clear" w:color="auto" w:fill="DBE5F1"/>
                </w:tcPr>
                <w:p w14:paraId="7595CA7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0,242</w:t>
                  </w:r>
                </w:p>
              </w:tc>
              <w:tc>
                <w:tcPr>
                  <w:tcW w:w="1310" w:type="dxa"/>
                  <w:shd w:val="clear" w:color="auto" w:fill="DBE5F1"/>
                </w:tcPr>
                <w:p w14:paraId="0E862D4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0,187</w:t>
                  </w:r>
                </w:p>
              </w:tc>
              <w:tc>
                <w:tcPr>
                  <w:tcW w:w="1394" w:type="dxa"/>
                  <w:shd w:val="clear" w:color="auto" w:fill="DBE5F1"/>
                </w:tcPr>
                <w:p w14:paraId="4C83A6A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0,359</w:t>
                  </w:r>
                </w:p>
              </w:tc>
              <w:tc>
                <w:tcPr>
                  <w:tcW w:w="1395" w:type="dxa"/>
                  <w:shd w:val="clear" w:color="auto" w:fill="DBE5F1"/>
                </w:tcPr>
                <w:p w14:paraId="719E294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0,368</w:t>
                  </w:r>
                </w:p>
              </w:tc>
            </w:tr>
          </w:tbl>
          <w:p w14:paraId="152C7B12"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667A2AAB" w14:textId="77777777" w:rsidR="00600DEE" w:rsidRDefault="00641FB5">
            <w:pPr>
              <w:spacing w:before="120" w:after="120"/>
              <w:ind w:right="170"/>
              <w:jc w:val="both"/>
              <w:rPr>
                <w:rFonts w:ascii="Calibri" w:eastAsia="Calibri" w:hAnsi="Calibri" w:cs="Calibri"/>
                <w:i/>
                <w:sz w:val="16"/>
                <w:szCs w:val="16"/>
              </w:rPr>
            </w:pPr>
            <w:r>
              <w:rPr>
                <w:rFonts w:ascii="Calibri" w:eastAsia="Calibri" w:hAnsi="Calibri" w:cs="Calibri"/>
                <w:i/>
                <w:sz w:val="16"/>
                <w:szCs w:val="16"/>
              </w:rPr>
              <w:t>* Dotyczy obszarów niezabudowanych</w:t>
            </w:r>
          </w:p>
          <w:p w14:paraId="77C3C6BF" w14:textId="77777777" w:rsidR="00600DEE" w:rsidRDefault="00641FB5">
            <w:pPr>
              <w:spacing w:before="120" w:after="120"/>
              <w:ind w:right="170"/>
              <w:jc w:val="both"/>
              <w:rPr>
                <w:rFonts w:ascii="Calibri" w:eastAsia="Calibri" w:hAnsi="Calibri" w:cs="Calibri"/>
                <w:i/>
                <w:sz w:val="16"/>
                <w:szCs w:val="16"/>
              </w:rPr>
            </w:pPr>
            <w:r>
              <w:rPr>
                <w:rFonts w:ascii="Calibri" w:eastAsia="Calibri" w:hAnsi="Calibri" w:cs="Calibri"/>
                <w:i/>
                <w:sz w:val="16"/>
                <w:szCs w:val="16"/>
              </w:rPr>
              <w:t>** Dotyczy obszarów zabudowanych</w:t>
            </w:r>
          </w:p>
          <w:p w14:paraId="2CAC8B6B" w14:textId="77777777" w:rsidR="00600DEE" w:rsidRDefault="00641FB5">
            <w:pPr>
              <w:pBdr>
                <w:top w:val="nil"/>
                <w:left w:val="nil"/>
                <w:bottom w:val="nil"/>
                <w:right w:val="nil"/>
                <w:between w:val="nil"/>
              </w:pBdr>
              <w:spacing w:before="120" w:after="120"/>
              <w:jc w:val="both"/>
              <w:rPr>
                <w:rFonts w:ascii="Calibri" w:eastAsia="Calibri" w:hAnsi="Calibri" w:cs="Calibri"/>
                <w:b/>
                <w:color w:val="000000"/>
                <w:sz w:val="20"/>
                <w:szCs w:val="20"/>
              </w:rPr>
            </w:pPr>
            <w:r>
              <w:rPr>
                <w:rFonts w:ascii="Calibri" w:eastAsia="Calibri" w:hAnsi="Calibri" w:cs="Calibri"/>
                <w:b/>
                <w:color w:val="000000"/>
                <w:sz w:val="20"/>
                <w:szCs w:val="20"/>
              </w:rPr>
              <w:t>Ciągi drogowe jednojezdniowe</w:t>
            </w:r>
          </w:p>
          <w:p w14:paraId="726D4F6D"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Koszty skutków wypadków drogowych dla ciągów drogowych jednojezdniowych dla wariantów Wn i W0 wylicza się jako sumy kosztów lekko rannych, ciężko rannych, ofiar śmiertelnych oraz strat materialnych.</w:t>
            </w:r>
          </w:p>
          <w:p w14:paraId="668CF458" w14:textId="019F2E2F" w:rsidR="00600DEE" w:rsidRDefault="00641FB5">
            <w:pPr>
              <w:pBdr>
                <w:top w:val="nil"/>
                <w:left w:val="nil"/>
                <w:bottom w:val="nil"/>
                <w:right w:val="nil"/>
                <w:between w:val="nil"/>
              </w:pBdr>
              <w:spacing w:before="120" w:after="120"/>
              <w:jc w:val="both"/>
              <w:rPr>
                <w:rFonts w:ascii="Calibri" w:eastAsia="Calibri" w:hAnsi="Calibri" w:cs="Calibri"/>
                <w:b/>
                <w:i/>
                <w:color w:val="000000"/>
                <w:sz w:val="20"/>
                <w:szCs w:val="20"/>
                <w:vertAlign w:val="subscript"/>
              </w:rPr>
            </w:pPr>
            <w:r>
              <w:rPr>
                <w:rFonts w:ascii="Calibri" w:eastAsia="Calibri" w:hAnsi="Calibri" w:cs="Calibri"/>
                <w:color w:val="000000"/>
                <w:sz w:val="20"/>
                <w:szCs w:val="20"/>
              </w:rPr>
              <w:t>W przypadku ciągów drogowych jednojezdniowych, gęstość wypadków GW</w:t>
            </w:r>
            <w:r>
              <w:rPr>
                <w:rFonts w:ascii="Calibri" w:eastAsia="Calibri" w:hAnsi="Calibri" w:cs="Calibri"/>
                <w:b/>
                <w:i/>
                <w:color w:val="000000"/>
                <w:sz w:val="20"/>
                <w:szCs w:val="20"/>
                <w:vertAlign w:val="superscript"/>
              </w:rPr>
              <w:t>(1)</w:t>
            </w:r>
            <w:r>
              <w:rPr>
                <w:rFonts w:ascii="Calibri" w:eastAsia="Calibri" w:hAnsi="Calibri" w:cs="Calibri"/>
                <w:color w:val="000000"/>
                <w:sz w:val="20"/>
                <w:szCs w:val="20"/>
              </w:rPr>
              <w:t xml:space="preserve"> należy wyliczyć zgodnie z poniższą formułą, uwzględniając współczynnik lokalizacji drogi </w:t>
            </w:r>
            <w:r>
              <w:rPr>
                <w:rFonts w:ascii="Calibri" w:eastAsia="Calibri" w:hAnsi="Calibri" w:cs="Calibri"/>
                <w:color w:val="000000"/>
                <w:sz w:val="20"/>
                <w:szCs w:val="20"/>
              </w:rPr>
              <w:br/>
              <w:t xml:space="preserve">w zależności od województwa </w:t>
            </w:r>
            <w:r>
              <w:rPr>
                <w:rFonts w:ascii="Calibri" w:eastAsia="Calibri" w:hAnsi="Calibri" w:cs="Calibri"/>
                <w:b/>
                <w:i/>
                <w:color w:val="000000"/>
                <w:sz w:val="20"/>
                <w:szCs w:val="20"/>
              </w:rPr>
              <w:t>f</w:t>
            </w:r>
            <w:r>
              <w:rPr>
                <w:rFonts w:ascii="Calibri" w:eastAsia="Calibri" w:hAnsi="Calibri" w:cs="Calibri"/>
                <w:b/>
                <w:i/>
                <w:color w:val="000000"/>
                <w:sz w:val="20"/>
                <w:szCs w:val="20"/>
                <w:vertAlign w:val="superscript"/>
              </w:rPr>
              <w:t>(1)</w:t>
            </w:r>
            <w:r>
              <w:rPr>
                <w:rFonts w:ascii="Calibri" w:eastAsia="Calibri" w:hAnsi="Calibri" w:cs="Calibri"/>
                <w:b/>
                <w:i/>
                <w:color w:val="000000"/>
                <w:sz w:val="20"/>
                <w:szCs w:val="20"/>
                <w:vertAlign w:val="subscript"/>
              </w:rPr>
              <w:t>LDW</w:t>
            </w:r>
            <w:r w:rsidR="00897A74" w:rsidRPr="00897A74">
              <w:rPr>
                <w:rFonts w:ascii="Calibri" w:eastAsia="Calibri" w:hAnsi="Calibri" w:cs="Calibri"/>
                <w:b/>
                <w:i/>
                <w:color w:val="000000"/>
                <w:sz w:val="20"/>
                <w:szCs w:val="20"/>
              </w:rPr>
              <w:t>:</w:t>
            </w:r>
            <w:r>
              <w:rPr>
                <w:rFonts w:ascii="Calibri" w:eastAsia="Calibri" w:hAnsi="Calibri" w:cs="Calibri"/>
                <w:b/>
                <w:i/>
                <w:color w:val="000000"/>
                <w:sz w:val="20"/>
                <w:szCs w:val="20"/>
                <w:vertAlign w:val="subscript"/>
              </w:rPr>
              <w:t xml:space="preserve"> </w:t>
            </w:r>
          </w:p>
          <w:p w14:paraId="4886B59A" w14:textId="77777777" w:rsidR="00600DEE" w:rsidRDefault="00641FB5">
            <w:pPr>
              <w:pBdr>
                <w:top w:val="nil"/>
                <w:left w:val="nil"/>
                <w:bottom w:val="nil"/>
                <w:right w:val="nil"/>
                <w:between w:val="nil"/>
              </w:pBdr>
              <w:spacing w:before="120" w:after="120"/>
              <w:jc w:val="both"/>
              <w:rPr>
                <w:rFonts w:ascii="Calibri" w:eastAsia="Calibri" w:hAnsi="Calibri" w:cs="Calibri"/>
                <w:b/>
                <w:i/>
                <w:color w:val="000000"/>
                <w:sz w:val="20"/>
                <w:szCs w:val="20"/>
                <w:vertAlign w:val="subscript"/>
              </w:rPr>
            </w:pPr>
            <w:r>
              <w:rPr>
                <w:rFonts w:ascii="Calibri" w:eastAsia="Calibri" w:hAnsi="Calibri" w:cs="Calibri"/>
                <w:b/>
                <w:color w:val="000000"/>
                <w:sz w:val="20"/>
                <w:szCs w:val="20"/>
              </w:rPr>
              <w:t>GW</w:t>
            </w:r>
            <w:r>
              <w:rPr>
                <w:rFonts w:ascii="Calibri" w:eastAsia="Calibri" w:hAnsi="Calibri" w:cs="Calibri"/>
                <w:b/>
                <w:i/>
                <w:color w:val="000000"/>
                <w:sz w:val="20"/>
                <w:szCs w:val="20"/>
                <w:vertAlign w:val="superscript"/>
              </w:rPr>
              <w:t>(1)</w:t>
            </w:r>
            <w:r>
              <w:rPr>
                <w:rFonts w:ascii="Calibri" w:eastAsia="Calibri" w:hAnsi="Calibri" w:cs="Calibri"/>
                <w:b/>
                <w:i/>
                <w:color w:val="000000"/>
                <w:sz w:val="20"/>
                <w:szCs w:val="20"/>
              </w:rPr>
              <w:t xml:space="preserve"> = </w:t>
            </w:r>
            <w:r>
              <w:rPr>
                <w:rFonts w:ascii="Calibri" w:eastAsia="Calibri" w:hAnsi="Calibri" w:cs="Calibri"/>
                <w:b/>
                <w:color w:val="000000"/>
                <w:sz w:val="20"/>
                <w:szCs w:val="20"/>
              </w:rPr>
              <w:t xml:space="preserve">gw </w:t>
            </w:r>
            <w:r>
              <w:rPr>
                <w:rFonts w:ascii="Calibri" w:eastAsia="Calibri" w:hAnsi="Calibri" w:cs="Calibri"/>
                <w:b/>
                <w:i/>
                <w:color w:val="000000"/>
                <w:sz w:val="20"/>
                <w:szCs w:val="20"/>
              </w:rPr>
              <w:t>* f</w:t>
            </w:r>
            <w:r>
              <w:rPr>
                <w:rFonts w:ascii="Calibri" w:eastAsia="Calibri" w:hAnsi="Calibri" w:cs="Calibri"/>
                <w:b/>
                <w:i/>
                <w:color w:val="000000"/>
                <w:sz w:val="20"/>
                <w:szCs w:val="20"/>
                <w:vertAlign w:val="superscript"/>
              </w:rPr>
              <w:t>(1)</w:t>
            </w:r>
            <w:r>
              <w:rPr>
                <w:rFonts w:ascii="Calibri" w:eastAsia="Calibri" w:hAnsi="Calibri" w:cs="Calibri"/>
                <w:b/>
                <w:i/>
                <w:color w:val="000000"/>
                <w:sz w:val="20"/>
                <w:szCs w:val="20"/>
                <w:vertAlign w:val="subscript"/>
              </w:rPr>
              <w:t>LDW</w:t>
            </w:r>
          </w:p>
          <w:p w14:paraId="72F1A26B" w14:textId="77777777" w:rsidR="00600DEE" w:rsidRDefault="00600DEE">
            <w:pPr>
              <w:pBdr>
                <w:top w:val="nil"/>
                <w:left w:val="nil"/>
                <w:bottom w:val="nil"/>
                <w:right w:val="nil"/>
                <w:between w:val="nil"/>
              </w:pBdr>
              <w:spacing w:before="120" w:after="120"/>
              <w:jc w:val="both"/>
              <w:rPr>
                <w:rFonts w:ascii="Calibri" w:eastAsia="Calibri" w:hAnsi="Calibri" w:cs="Calibri"/>
                <w:color w:val="000000"/>
                <w:sz w:val="20"/>
                <w:szCs w:val="20"/>
              </w:rPr>
            </w:pPr>
          </w:p>
          <w:p w14:paraId="3AF0DC08" w14:textId="10CCA9B9" w:rsidR="00600DEE" w:rsidRDefault="00641FB5">
            <w:pPr>
              <w:pBdr>
                <w:top w:val="nil"/>
                <w:left w:val="nil"/>
                <w:bottom w:val="nil"/>
                <w:right w:val="nil"/>
                <w:between w:val="nil"/>
              </w:pBd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Tabela 14. Współczynnik gęstość wypadków dr</w:t>
            </w:r>
            <w:r w:rsidR="00897A74">
              <w:rPr>
                <w:rFonts w:ascii="Calibri" w:eastAsia="Calibri" w:hAnsi="Calibri" w:cs="Calibri"/>
                <w:b/>
                <w:color w:val="4F81BD"/>
                <w:sz w:val="20"/>
                <w:szCs w:val="20"/>
              </w:rPr>
              <w:t>ogowych gw dla ciągów drogowych</w:t>
            </w:r>
            <w:r>
              <w:rPr>
                <w:rFonts w:ascii="Calibri" w:eastAsia="Calibri" w:hAnsi="Calibri" w:cs="Calibri"/>
                <w:b/>
                <w:color w:val="4F81BD"/>
                <w:sz w:val="20"/>
                <w:szCs w:val="20"/>
              </w:rPr>
              <w:t xml:space="preserve"> jednojezdniowych [osób /km/rok]</w:t>
            </w:r>
          </w:p>
          <w:tbl>
            <w:tblPr>
              <w:tblStyle w:val="affffffffffffffffb"/>
              <w:tblW w:w="69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144"/>
              <w:gridCol w:w="1070"/>
              <w:gridCol w:w="1818"/>
              <w:gridCol w:w="1960"/>
            </w:tblGrid>
            <w:tr w:rsidR="00600DEE" w14:paraId="727791B9" w14:textId="77777777" w:rsidTr="00505091">
              <w:trPr>
                <w:trHeight w:hRule="exact" w:val="353"/>
              </w:trPr>
              <w:tc>
                <w:tcPr>
                  <w:tcW w:w="2144" w:type="dxa"/>
                  <w:vMerge w:val="restart"/>
                  <w:shd w:val="clear" w:color="auto" w:fill="A6A6A6"/>
                  <w:vAlign w:val="center"/>
                </w:tcPr>
                <w:p w14:paraId="4535EDCE"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1070" w:type="dxa"/>
                  <w:vMerge w:val="restart"/>
                  <w:shd w:val="clear" w:color="auto" w:fill="A6A6A6"/>
                  <w:vAlign w:val="center"/>
                </w:tcPr>
                <w:p w14:paraId="40F0DBF1"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w:t>
                  </w:r>
                </w:p>
              </w:tc>
              <w:tc>
                <w:tcPr>
                  <w:tcW w:w="3778" w:type="dxa"/>
                  <w:gridSpan w:val="2"/>
                  <w:shd w:val="clear" w:color="auto" w:fill="A6A6A6"/>
                  <w:vAlign w:val="center"/>
                </w:tcPr>
                <w:p w14:paraId="733279CD"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 G1</w:t>
                  </w:r>
                </w:p>
              </w:tc>
            </w:tr>
            <w:tr w:rsidR="00600DEE" w14:paraId="341DB6E5" w14:textId="77777777" w:rsidTr="00505091">
              <w:trPr>
                <w:trHeight w:val="164"/>
              </w:trPr>
              <w:tc>
                <w:tcPr>
                  <w:tcW w:w="2144" w:type="dxa"/>
                  <w:vMerge/>
                  <w:shd w:val="clear" w:color="auto" w:fill="A6A6A6"/>
                  <w:vAlign w:val="center"/>
                </w:tcPr>
                <w:p w14:paraId="701E67E8"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7"/>
                      <w:szCs w:val="17"/>
                    </w:rPr>
                  </w:pPr>
                </w:p>
              </w:tc>
              <w:tc>
                <w:tcPr>
                  <w:tcW w:w="1070" w:type="dxa"/>
                  <w:vMerge/>
                  <w:shd w:val="clear" w:color="auto" w:fill="A6A6A6"/>
                  <w:vAlign w:val="center"/>
                </w:tcPr>
                <w:p w14:paraId="5985194E"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7"/>
                      <w:szCs w:val="17"/>
                    </w:rPr>
                  </w:pPr>
                </w:p>
              </w:tc>
              <w:tc>
                <w:tcPr>
                  <w:tcW w:w="1818" w:type="dxa"/>
                  <w:shd w:val="clear" w:color="auto" w:fill="A6A6A6"/>
                  <w:vAlign w:val="center"/>
                </w:tcPr>
                <w:p w14:paraId="6228A013"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Teren niezabudowany</w:t>
                  </w:r>
                </w:p>
              </w:tc>
              <w:tc>
                <w:tcPr>
                  <w:tcW w:w="1959" w:type="dxa"/>
                  <w:shd w:val="clear" w:color="auto" w:fill="A6A6A6"/>
                  <w:vAlign w:val="center"/>
                </w:tcPr>
                <w:p w14:paraId="4B91D178"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Teren zabudowany</w:t>
                  </w:r>
                </w:p>
              </w:tc>
            </w:tr>
            <w:tr w:rsidR="00600DEE" w14:paraId="2EE6A411" w14:textId="77777777" w:rsidTr="00505091">
              <w:trPr>
                <w:trHeight w:hRule="exact" w:val="236"/>
              </w:trPr>
              <w:tc>
                <w:tcPr>
                  <w:tcW w:w="2144" w:type="dxa"/>
                  <w:shd w:val="clear" w:color="auto" w:fill="DBE5F1"/>
                  <w:vAlign w:val="center"/>
                </w:tcPr>
                <w:p w14:paraId="72FE41E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1070" w:type="dxa"/>
                  <w:shd w:val="clear" w:color="auto" w:fill="DBE5F1"/>
                  <w:vAlign w:val="center"/>
                </w:tcPr>
                <w:p w14:paraId="1F3375D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w:t>
                  </w:r>
                </w:p>
              </w:tc>
              <w:tc>
                <w:tcPr>
                  <w:tcW w:w="1818" w:type="dxa"/>
                  <w:shd w:val="clear" w:color="auto" w:fill="DBE5F1"/>
                  <w:vAlign w:val="center"/>
                </w:tcPr>
                <w:p w14:paraId="143D809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0,113</w:t>
                  </w:r>
                </w:p>
              </w:tc>
              <w:tc>
                <w:tcPr>
                  <w:tcW w:w="1959" w:type="dxa"/>
                  <w:shd w:val="clear" w:color="auto" w:fill="DBE5F1"/>
                  <w:vAlign w:val="center"/>
                </w:tcPr>
                <w:p w14:paraId="167C055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0,170</w:t>
                  </w:r>
                </w:p>
              </w:tc>
            </w:tr>
            <w:tr w:rsidR="00600DEE" w14:paraId="7D7B896A" w14:textId="77777777" w:rsidTr="00505091">
              <w:trPr>
                <w:trHeight w:hRule="exact" w:val="236"/>
              </w:trPr>
              <w:tc>
                <w:tcPr>
                  <w:tcW w:w="2144" w:type="dxa"/>
                  <w:shd w:val="clear" w:color="auto" w:fill="DBE5F1"/>
                  <w:vAlign w:val="center"/>
                </w:tcPr>
                <w:p w14:paraId="6130ED8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1070" w:type="dxa"/>
                  <w:shd w:val="clear" w:color="auto" w:fill="DBE5F1"/>
                  <w:vAlign w:val="center"/>
                </w:tcPr>
                <w:p w14:paraId="2D1432B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0,152</w:t>
                  </w:r>
                </w:p>
              </w:tc>
              <w:tc>
                <w:tcPr>
                  <w:tcW w:w="1818" w:type="dxa"/>
                  <w:shd w:val="clear" w:color="auto" w:fill="DBE5F1"/>
                  <w:vAlign w:val="center"/>
                </w:tcPr>
                <w:p w14:paraId="7AEABA4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0,244</w:t>
                  </w:r>
                </w:p>
              </w:tc>
              <w:tc>
                <w:tcPr>
                  <w:tcW w:w="1959" w:type="dxa"/>
                  <w:shd w:val="clear" w:color="auto" w:fill="DBE5F1"/>
                  <w:vAlign w:val="center"/>
                </w:tcPr>
                <w:p w14:paraId="19F8EBD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0,369</w:t>
                  </w:r>
                </w:p>
              </w:tc>
            </w:tr>
            <w:tr w:rsidR="00600DEE" w14:paraId="40AAA824" w14:textId="77777777" w:rsidTr="00505091">
              <w:trPr>
                <w:trHeight w:hRule="exact" w:val="236"/>
              </w:trPr>
              <w:tc>
                <w:tcPr>
                  <w:tcW w:w="2144" w:type="dxa"/>
                  <w:shd w:val="clear" w:color="auto" w:fill="DBE5F1"/>
                  <w:vAlign w:val="center"/>
                </w:tcPr>
                <w:p w14:paraId="07539535" w14:textId="64A3D8D0" w:rsidR="00600DEE" w:rsidRDefault="00897A74">
                  <w:pPr>
                    <w:jc w:val="center"/>
                    <w:rPr>
                      <w:rFonts w:ascii="Calibri" w:eastAsia="Calibri" w:hAnsi="Calibri" w:cs="Calibri"/>
                      <w:color w:val="4F81BD"/>
                      <w:sz w:val="18"/>
                      <w:szCs w:val="18"/>
                    </w:rPr>
                  </w:pPr>
                  <w:r>
                    <w:rPr>
                      <w:rFonts w:ascii="Calibri" w:eastAsia="Calibri" w:hAnsi="Calibri" w:cs="Calibri"/>
                      <w:color w:val="4F81BD"/>
                      <w:sz w:val="18"/>
                      <w:szCs w:val="18"/>
                    </w:rPr>
                    <w:t>10 000</w:t>
                  </w:r>
                  <w:r w:rsidR="00641FB5">
                    <w:rPr>
                      <w:rFonts w:ascii="Calibri" w:eastAsia="Calibri" w:hAnsi="Calibri" w:cs="Calibri"/>
                      <w:color w:val="4F81BD"/>
                      <w:sz w:val="18"/>
                      <w:szCs w:val="18"/>
                    </w:rPr>
                    <w:t>-20 000</w:t>
                  </w:r>
                </w:p>
              </w:tc>
              <w:tc>
                <w:tcPr>
                  <w:tcW w:w="1070" w:type="dxa"/>
                  <w:shd w:val="clear" w:color="auto" w:fill="DBE5F1"/>
                  <w:vAlign w:val="center"/>
                </w:tcPr>
                <w:p w14:paraId="2C8FC2B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0,270</w:t>
                  </w:r>
                </w:p>
              </w:tc>
              <w:tc>
                <w:tcPr>
                  <w:tcW w:w="1818" w:type="dxa"/>
                  <w:shd w:val="clear" w:color="auto" w:fill="DBE5F1"/>
                  <w:vAlign w:val="center"/>
                </w:tcPr>
                <w:p w14:paraId="222E6DC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0,435</w:t>
                  </w:r>
                </w:p>
              </w:tc>
              <w:tc>
                <w:tcPr>
                  <w:tcW w:w="1959" w:type="dxa"/>
                  <w:shd w:val="clear" w:color="auto" w:fill="DBE5F1"/>
                  <w:vAlign w:val="center"/>
                </w:tcPr>
                <w:p w14:paraId="6A36501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0,656</w:t>
                  </w:r>
                </w:p>
              </w:tc>
            </w:tr>
            <w:tr w:rsidR="00600DEE" w14:paraId="3457D2E6" w14:textId="77777777" w:rsidTr="00505091">
              <w:trPr>
                <w:trHeight w:hRule="exact" w:val="236"/>
              </w:trPr>
              <w:tc>
                <w:tcPr>
                  <w:tcW w:w="2144" w:type="dxa"/>
                  <w:shd w:val="clear" w:color="auto" w:fill="DBE5F1"/>
                  <w:vAlign w:val="center"/>
                </w:tcPr>
                <w:p w14:paraId="6E01529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 i więcej</w:t>
                  </w:r>
                </w:p>
              </w:tc>
              <w:tc>
                <w:tcPr>
                  <w:tcW w:w="1070" w:type="dxa"/>
                  <w:shd w:val="clear" w:color="auto" w:fill="DBE5F1"/>
                  <w:vAlign w:val="center"/>
                </w:tcPr>
                <w:p w14:paraId="43CAE2D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0,413</w:t>
                  </w:r>
                </w:p>
              </w:tc>
              <w:tc>
                <w:tcPr>
                  <w:tcW w:w="1818" w:type="dxa"/>
                  <w:shd w:val="clear" w:color="auto" w:fill="DBE5F1"/>
                  <w:vAlign w:val="center"/>
                </w:tcPr>
                <w:p w14:paraId="596E417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0,665</w:t>
                  </w:r>
                </w:p>
              </w:tc>
              <w:tc>
                <w:tcPr>
                  <w:tcW w:w="1959" w:type="dxa"/>
                  <w:shd w:val="clear" w:color="auto" w:fill="DBE5F1"/>
                  <w:vAlign w:val="center"/>
                </w:tcPr>
                <w:p w14:paraId="75D2D58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1,004</w:t>
                  </w:r>
                </w:p>
              </w:tc>
            </w:tr>
          </w:tbl>
          <w:p w14:paraId="28429673"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1D928BE7" w14:textId="77777777"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15. Współczynnik lokalizacji drogi f</w:t>
            </w:r>
            <w:r>
              <w:rPr>
                <w:rFonts w:ascii="Calibri" w:eastAsia="Calibri" w:hAnsi="Calibri" w:cs="Calibri"/>
                <w:b/>
                <w:color w:val="4F81BD"/>
                <w:sz w:val="20"/>
                <w:szCs w:val="20"/>
                <w:vertAlign w:val="superscript"/>
              </w:rPr>
              <w:t>(1)</w:t>
            </w:r>
            <w:r>
              <w:rPr>
                <w:rFonts w:ascii="Calibri" w:eastAsia="Calibri" w:hAnsi="Calibri" w:cs="Calibri"/>
                <w:b/>
                <w:color w:val="4F81BD"/>
                <w:sz w:val="20"/>
                <w:szCs w:val="20"/>
                <w:vertAlign w:val="subscript"/>
              </w:rPr>
              <w:t>LDW</w:t>
            </w:r>
            <w:r>
              <w:rPr>
                <w:rFonts w:ascii="Calibri" w:eastAsia="Calibri" w:hAnsi="Calibri" w:cs="Calibri"/>
                <w:b/>
                <w:color w:val="4F81BD"/>
                <w:sz w:val="20"/>
                <w:szCs w:val="20"/>
              </w:rPr>
              <w:t>.</w:t>
            </w:r>
          </w:p>
          <w:tbl>
            <w:tblPr>
              <w:tblStyle w:val="affffffffffffffffc"/>
              <w:tblW w:w="698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113"/>
              <w:gridCol w:w="1118"/>
              <w:gridCol w:w="1883"/>
              <w:gridCol w:w="1868"/>
            </w:tblGrid>
            <w:tr w:rsidR="00600DEE" w14:paraId="34B5BAEA" w14:textId="77777777" w:rsidTr="00505091">
              <w:trPr>
                <w:trHeight w:hRule="exact" w:val="390"/>
              </w:trPr>
              <w:tc>
                <w:tcPr>
                  <w:tcW w:w="2113" w:type="dxa"/>
                  <w:shd w:val="clear" w:color="auto" w:fill="A6A6A6"/>
                  <w:vAlign w:val="center"/>
                </w:tcPr>
                <w:p w14:paraId="1A0DD365"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Województwo</w:t>
                  </w:r>
                </w:p>
              </w:tc>
              <w:tc>
                <w:tcPr>
                  <w:tcW w:w="1118" w:type="dxa"/>
                  <w:shd w:val="clear" w:color="auto" w:fill="A6A6A6"/>
                  <w:vAlign w:val="center"/>
                </w:tcPr>
                <w:p w14:paraId="1F737F31" w14:textId="77777777" w:rsidR="00600DEE" w:rsidRDefault="00641FB5">
                  <w:pPr>
                    <w:jc w:val="center"/>
                    <w:rPr>
                      <w:rFonts w:ascii="Calibri" w:eastAsia="Calibri" w:hAnsi="Calibri" w:cs="Calibri"/>
                      <w:b/>
                      <w:color w:val="FFFFFF"/>
                      <w:sz w:val="17"/>
                      <w:szCs w:val="17"/>
                    </w:rPr>
                  </w:pPr>
                  <w:r>
                    <w:rPr>
                      <w:rFonts w:ascii="Calibri" w:eastAsia="Calibri" w:hAnsi="Calibri" w:cs="Calibri"/>
                      <w:b/>
                      <w:i/>
                      <w:color w:val="FFFFFF"/>
                      <w:sz w:val="20"/>
                      <w:szCs w:val="20"/>
                    </w:rPr>
                    <w:t>f</w:t>
                  </w:r>
                  <w:r>
                    <w:rPr>
                      <w:rFonts w:ascii="Calibri" w:eastAsia="Calibri" w:hAnsi="Calibri" w:cs="Calibri"/>
                      <w:b/>
                      <w:i/>
                      <w:color w:val="FFFFFF"/>
                      <w:sz w:val="20"/>
                      <w:szCs w:val="20"/>
                      <w:vertAlign w:val="superscript"/>
                    </w:rPr>
                    <w:t>(1)</w:t>
                  </w:r>
                  <w:r>
                    <w:rPr>
                      <w:rFonts w:ascii="Calibri" w:eastAsia="Calibri" w:hAnsi="Calibri" w:cs="Calibri"/>
                      <w:b/>
                      <w:i/>
                      <w:color w:val="FFFFFF"/>
                      <w:sz w:val="20"/>
                      <w:szCs w:val="20"/>
                      <w:vertAlign w:val="subscript"/>
                    </w:rPr>
                    <w:t>LDW</w:t>
                  </w:r>
                </w:p>
              </w:tc>
              <w:tc>
                <w:tcPr>
                  <w:tcW w:w="1883" w:type="dxa"/>
                  <w:shd w:val="clear" w:color="auto" w:fill="A6A6A6"/>
                  <w:vAlign w:val="center"/>
                </w:tcPr>
                <w:p w14:paraId="2CE348CD"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Województwo</w:t>
                  </w:r>
                </w:p>
              </w:tc>
              <w:tc>
                <w:tcPr>
                  <w:tcW w:w="1868" w:type="dxa"/>
                  <w:shd w:val="clear" w:color="auto" w:fill="A6A6A6"/>
                  <w:vAlign w:val="center"/>
                </w:tcPr>
                <w:p w14:paraId="266CBDAF" w14:textId="77777777" w:rsidR="00600DEE" w:rsidRDefault="00641FB5">
                  <w:pPr>
                    <w:jc w:val="center"/>
                    <w:rPr>
                      <w:rFonts w:ascii="Calibri" w:eastAsia="Calibri" w:hAnsi="Calibri" w:cs="Calibri"/>
                      <w:b/>
                      <w:color w:val="FFFFFF"/>
                      <w:sz w:val="17"/>
                      <w:szCs w:val="17"/>
                    </w:rPr>
                  </w:pPr>
                  <w:r>
                    <w:rPr>
                      <w:rFonts w:ascii="Calibri" w:eastAsia="Calibri" w:hAnsi="Calibri" w:cs="Calibri"/>
                      <w:b/>
                      <w:i/>
                      <w:color w:val="FFFFFF"/>
                      <w:sz w:val="20"/>
                      <w:szCs w:val="20"/>
                    </w:rPr>
                    <w:t>f</w:t>
                  </w:r>
                  <w:r>
                    <w:rPr>
                      <w:rFonts w:ascii="Calibri" w:eastAsia="Calibri" w:hAnsi="Calibri" w:cs="Calibri"/>
                      <w:b/>
                      <w:i/>
                      <w:color w:val="FFFFFF"/>
                      <w:sz w:val="20"/>
                      <w:szCs w:val="20"/>
                      <w:vertAlign w:val="superscript"/>
                    </w:rPr>
                    <w:t>(1)</w:t>
                  </w:r>
                  <w:r>
                    <w:rPr>
                      <w:rFonts w:ascii="Calibri" w:eastAsia="Calibri" w:hAnsi="Calibri" w:cs="Calibri"/>
                      <w:b/>
                      <w:i/>
                      <w:color w:val="FFFFFF"/>
                      <w:sz w:val="20"/>
                      <w:szCs w:val="20"/>
                      <w:vertAlign w:val="subscript"/>
                    </w:rPr>
                    <w:t>LDW</w:t>
                  </w:r>
                </w:p>
              </w:tc>
            </w:tr>
            <w:tr w:rsidR="00600DEE" w14:paraId="72080102" w14:textId="77777777" w:rsidTr="00505091">
              <w:trPr>
                <w:trHeight w:hRule="exact" w:val="227"/>
              </w:trPr>
              <w:tc>
                <w:tcPr>
                  <w:tcW w:w="2113" w:type="dxa"/>
                  <w:shd w:val="clear" w:color="auto" w:fill="DBE5F1"/>
                  <w:vAlign w:val="center"/>
                </w:tcPr>
                <w:p w14:paraId="3AD082C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dolnośląskie</w:t>
                  </w:r>
                </w:p>
              </w:tc>
              <w:tc>
                <w:tcPr>
                  <w:tcW w:w="1118" w:type="dxa"/>
                  <w:shd w:val="clear" w:color="auto" w:fill="DBE5F1"/>
                  <w:vAlign w:val="center"/>
                </w:tcPr>
                <w:p w14:paraId="6C35784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2,342</w:t>
                  </w:r>
                </w:p>
              </w:tc>
              <w:tc>
                <w:tcPr>
                  <w:tcW w:w="1883" w:type="dxa"/>
                  <w:shd w:val="clear" w:color="auto" w:fill="DBE5F1"/>
                  <w:vAlign w:val="center"/>
                </w:tcPr>
                <w:p w14:paraId="5A54759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podkarpackie</w:t>
                  </w:r>
                </w:p>
              </w:tc>
              <w:tc>
                <w:tcPr>
                  <w:tcW w:w="1868" w:type="dxa"/>
                  <w:shd w:val="clear" w:color="auto" w:fill="DBE5F1"/>
                  <w:vAlign w:val="center"/>
                </w:tcPr>
                <w:p w14:paraId="7530F3D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2,430</w:t>
                  </w:r>
                </w:p>
              </w:tc>
            </w:tr>
            <w:tr w:rsidR="00600DEE" w14:paraId="22813B22" w14:textId="77777777" w:rsidTr="00505091">
              <w:trPr>
                <w:trHeight w:hRule="exact" w:val="227"/>
              </w:trPr>
              <w:tc>
                <w:tcPr>
                  <w:tcW w:w="2113" w:type="dxa"/>
                  <w:shd w:val="clear" w:color="auto" w:fill="DBE5F1"/>
                  <w:vAlign w:val="center"/>
                </w:tcPr>
                <w:p w14:paraId="381B8BA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kujawsko-pomorskie</w:t>
                  </w:r>
                </w:p>
              </w:tc>
              <w:tc>
                <w:tcPr>
                  <w:tcW w:w="1118" w:type="dxa"/>
                  <w:shd w:val="clear" w:color="auto" w:fill="DBE5F1"/>
                  <w:vAlign w:val="center"/>
                </w:tcPr>
                <w:p w14:paraId="13C9957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1,696</w:t>
                  </w:r>
                </w:p>
              </w:tc>
              <w:tc>
                <w:tcPr>
                  <w:tcW w:w="1883" w:type="dxa"/>
                  <w:shd w:val="clear" w:color="auto" w:fill="DBE5F1"/>
                  <w:vAlign w:val="center"/>
                </w:tcPr>
                <w:p w14:paraId="377772C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podlaskie</w:t>
                  </w:r>
                </w:p>
              </w:tc>
              <w:tc>
                <w:tcPr>
                  <w:tcW w:w="1868" w:type="dxa"/>
                  <w:shd w:val="clear" w:color="auto" w:fill="DBE5F1"/>
                  <w:vAlign w:val="center"/>
                </w:tcPr>
                <w:p w14:paraId="7C7B553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1,760</w:t>
                  </w:r>
                </w:p>
              </w:tc>
            </w:tr>
            <w:tr w:rsidR="00600DEE" w14:paraId="3FBDD39E" w14:textId="77777777" w:rsidTr="00505091">
              <w:trPr>
                <w:trHeight w:hRule="exact" w:val="227"/>
              </w:trPr>
              <w:tc>
                <w:tcPr>
                  <w:tcW w:w="2113" w:type="dxa"/>
                  <w:shd w:val="clear" w:color="auto" w:fill="DBE5F1"/>
                  <w:vAlign w:val="center"/>
                </w:tcPr>
                <w:p w14:paraId="52C64F8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lubelskie</w:t>
                  </w:r>
                </w:p>
              </w:tc>
              <w:tc>
                <w:tcPr>
                  <w:tcW w:w="1118" w:type="dxa"/>
                  <w:shd w:val="clear" w:color="auto" w:fill="DBE5F1"/>
                  <w:vAlign w:val="center"/>
                </w:tcPr>
                <w:p w14:paraId="1CE504F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2,405</w:t>
                  </w:r>
                </w:p>
              </w:tc>
              <w:tc>
                <w:tcPr>
                  <w:tcW w:w="1883" w:type="dxa"/>
                  <w:shd w:val="clear" w:color="auto" w:fill="DBE5F1"/>
                  <w:vAlign w:val="center"/>
                </w:tcPr>
                <w:p w14:paraId="18FD6B2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pomorskie</w:t>
                  </w:r>
                </w:p>
              </w:tc>
              <w:tc>
                <w:tcPr>
                  <w:tcW w:w="1868" w:type="dxa"/>
                  <w:shd w:val="clear" w:color="auto" w:fill="DBE5F1"/>
                  <w:vAlign w:val="center"/>
                </w:tcPr>
                <w:p w14:paraId="4D0479B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2,317</w:t>
                  </w:r>
                </w:p>
              </w:tc>
            </w:tr>
            <w:tr w:rsidR="00600DEE" w14:paraId="3D31CB4C" w14:textId="77777777" w:rsidTr="00505091">
              <w:trPr>
                <w:trHeight w:hRule="exact" w:val="227"/>
              </w:trPr>
              <w:tc>
                <w:tcPr>
                  <w:tcW w:w="2113" w:type="dxa"/>
                  <w:shd w:val="clear" w:color="auto" w:fill="DBE5F1"/>
                  <w:vAlign w:val="center"/>
                </w:tcPr>
                <w:p w14:paraId="706C3D7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lubuskie</w:t>
                  </w:r>
                </w:p>
              </w:tc>
              <w:tc>
                <w:tcPr>
                  <w:tcW w:w="1118" w:type="dxa"/>
                  <w:shd w:val="clear" w:color="auto" w:fill="DBE5F1"/>
                  <w:vAlign w:val="center"/>
                </w:tcPr>
                <w:p w14:paraId="037E319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1,742</w:t>
                  </w:r>
                </w:p>
              </w:tc>
              <w:tc>
                <w:tcPr>
                  <w:tcW w:w="1883" w:type="dxa"/>
                  <w:shd w:val="clear" w:color="auto" w:fill="DBE5F1"/>
                  <w:vAlign w:val="center"/>
                </w:tcPr>
                <w:p w14:paraId="1B40DBA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śląskie</w:t>
                  </w:r>
                </w:p>
              </w:tc>
              <w:tc>
                <w:tcPr>
                  <w:tcW w:w="1868" w:type="dxa"/>
                  <w:shd w:val="clear" w:color="auto" w:fill="DBE5F1"/>
                  <w:vAlign w:val="center"/>
                </w:tcPr>
                <w:p w14:paraId="223743D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2,833</w:t>
                  </w:r>
                </w:p>
              </w:tc>
            </w:tr>
            <w:tr w:rsidR="00600DEE" w14:paraId="481EF1E4" w14:textId="77777777" w:rsidTr="00505091">
              <w:trPr>
                <w:trHeight w:hRule="exact" w:val="227"/>
              </w:trPr>
              <w:tc>
                <w:tcPr>
                  <w:tcW w:w="2113" w:type="dxa"/>
                  <w:shd w:val="clear" w:color="auto" w:fill="DBE5F1"/>
                  <w:vAlign w:val="center"/>
                </w:tcPr>
                <w:p w14:paraId="3A50EDB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łódzkie</w:t>
                  </w:r>
                </w:p>
              </w:tc>
              <w:tc>
                <w:tcPr>
                  <w:tcW w:w="1118" w:type="dxa"/>
                  <w:shd w:val="clear" w:color="auto" w:fill="DBE5F1"/>
                  <w:vAlign w:val="center"/>
                </w:tcPr>
                <w:p w14:paraId="4DBB52E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2,701</w:t>
                  </w:r>
                </w:p>
              </w:tc>
              <w:tc>
                <w:tcPr>
                  <w:tcW w:w="1883" w:type="dxa"/>
                  <w:shd w:val="clear" w:color="auto" w:fill="DBE5F1"/>
                  <w:vAlign w:val="center"/>
                </w:tcPr>
                <w:p w14:paraId="26692DB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świętokrzyskie</w:t>
                  </w:r>
                </w:p>
              </w:tc>
              <w:tc>
                <w:tcPr>
                  <w:tcW w:w="1868" w:type="dxa"/>
                  <w:shd w:val="clear" w:color="auto" w:fill="DBE5F1"/>
                  <w:vAlign w:val="center"/>
                </w:tcPr>
                <w:p w14:paraId="2C0B49E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2,430</w:t>
                  </w:r>
                </w:p>
              </w:tc>
            </w:tr>
            <w:tr w:rsidR="00600DEE" w14:paraId="6F9A872C" w14:textId="77777777" w:rsidTr="00505091">
              <w:trPr>
                <w:trHeight w:hRule="exact" w:val="227"/>
              </w:trPr>
              <w:tc>
                <w:tcPr>
                  <w:tcW w:w="2113" w:type="dxa"/>
                  <w:shd w:val="clear" w:color="auto" w:fill="DBE5F1"/>
                  <w:vAlign w:val="center"/>
                </w:tcPr>
                <w:p w14:paraId="6632A2E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małopolskie</w:t>
                  </w:r>
                </w:p>
              </w:tc>
              <w:tc>
                <w:tcPr>
                  <w:tcW w:w="1118" w:type="dxa"/>
                  <w:shd w:val="clear" w:color="auto" w:fill="DBE5F1"/>
                  <w:vAlign w:val="center"/>
                </w:tcPr>
                <w:p w14:paraId="3FA0410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2,788</w:t>
                  </w:r>
                </w:p>
              </w:tc>
              <w:tc>
                <w:tcPr>
                  <w:tcW w:w="1883" w:type="dxa"/>
                  <w:shd w:val="clear" w:color="auto" w:fill="DBE5F1"/>
                  <w:vAlign w:val="center"/>
                </w:tcPr>
                <w:p w14:paraId="01EC4DF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warmińsko-mazurskie</w:t>
                  </w:r>
                </w:p>
              </w:tc>
              <w:tc>
                <w:tcPr>
                  <w:tcW w:w="1868" w:type="dxa"/>
                  <w:shd w:val="clear" w:color="auto" w:fill="DBE5F1"/>
                  <w:vAlign w:val="center"/>
                </w:tcPr>
                <w:p w14:paraId="6178BA9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2,617</w:t>
                  </w:r>
                </w:p>
              </w:tc>
            </w:tr>
            <w:tr w:rsidR="00600DEE" w14:paraId="5E8E4900" w14:textId="77777777" w:rsidTr="00505091">
              <w:trPr>
                <w:trHeight w:hRule="exact" w:val="227"/>
              </w:trPr>
              <w:tc>
                <w:tcPr>
                  <w:tcW w:w="2113" w:type="dxa"/>
                  <w:shd w:val="clear" w:color="auto" w:fill="DBE5F1"/>
                  <w:vAlign w:val="center"/>
                </w:tcPr>
                <w:p w14:paraId="164097C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mazowieckie</w:t>
                  </w:r>
                </w:p>
              </w:tc>
              <w:tc>
                <w:tcPr>
                  <w:tcW w:w="1118" w:type="dxa"/>
                  <w:shd w:val="clear" w:color="auto" w:fill="DBE5F1"/>
                  <w:vAlign w:val="center"/>
                </w:tcPr>
                <w:p w14:paraId="470C4DD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2,096</w:t>
                  </w:r>
                </w:p>
              </w:tc>
              <w:tc>
                <w:tcPr>
                  <w:tcW w:w="1883" w:type="dxa"/>
                  <w:shd w:val="clear" w:color="auto" w:fill="DBE5F1"/>
                  <w:vAlign w:val="center"/>
                </w:tcPr>
                <w:p w14:paraId="3E131E0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wielkopolskie</w:t>
                  </w:r>
                </w:p>
              </w:tc>
              <w:tc>
                <w:tcPr>
                  <w:tcW w:w="1868" w:type="dxa"/>
                  <w:shd w:val="clear" w:color="auto" w:fill="DBE5F1"/>
                  <w:vAlign w:val="center"/>
                </w:tcPr>
                <w:p w14:paraId="7E74B69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1,936</w:t>
                  </w:r>
                </w:p>
              </w:tc>
            </w:tr>
            <w:tr w:rsidR="00600DEE" w14:paraId="517E00A6" w14:textId="77777777" w:rsidTr="00505091">
              <w:trPr>
                <w:trHeight w:hRule="exact" w:val="227"/>
              </w:trPr>
              <w:tc>
                <w:tcPr>
                  <w:tcW w:w="2113" w:type="dxa"/>
                  <w:shd w:val="clear" w:color="auto" w:fill="DBE5F1"/>
                  <w:vAlign w:val="center"/>
                </w:tcPr>
                <w:p w14:paraId="1393660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opolskie</w:t>
                  </w:r>
                </w:p>
              </w:tc>
              <w:tc>
                <w:tcPr>
                  <w:tcW w:w="1118" w:type="dxa"/>
                  <w:shd w:val="clear" w:color="auto" w:fill="DBE5F1"/>
                  <w:vAlign w:val="center"/>
                </w:tcPr>
                <w:p w14:paraId="18BE235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2,063</w:t>
                  </w:r>
                </w:p>
              </w:tc>
              <w:tc>
                <w:tcPr>
                  <w:tcW w:w="1883" w:type="dxa"/>
                  <w:shd w:val="clear" w:color="auto" w:fill="DBE5F1"/>
                  <w:vAlign w:val="center"/>
                </w:tcPr>
                <w:p w14:paraId="515F742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zachodniopomorskie</w:t>
                  </w:r>
                </w:p>
              </w:tc>
              <w:tc>
                <w:tcPr>
                  <w:tcW w:w="1868" w:type="dxa"/>
                  <w:shd w:val="clear" w:color="auto" w:fill="DBE5F1"/>
                  <w:vAlign w:val="center"/>
                </w:tcPr>
                <w:p w14:paraId="55F9214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1,886</w:t>
                  </w:r>
                </w:p>
              </w:tc>
            </w:tr>
          </w:tbl>
          <w:p w14:paraId="69EBBD10"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Metoda wskaźników BRD</w:t>
            </w:r>
          </w:p>
          <w:p w14:paraId="13C10A13" w14:textId="7DED70A9" w:rsidR="00600DEE" w:rsidRDefault="00641FB5">
            <w:pPr>
              <w:pBdr>
                <w:top w:val="nil"/>
                <w:left w:val="nil"/>
                <w:bottom w:val="nil"/>
                <w:right w:val="nil"/>
                <w:between w:val="nil"/>
              </w:pBdr>
              <w:spacing w:before="120" w:after="120"/>
              <w:ind w:left="851" w:hanging="851"/>
              <w:jc w:val="both"/>
              <w:rPr>
                <w:rFonts w:ascii="Calibri" w:eastAsia="Calibri" w:hAnsi="Calibri" w:cs="Calibri"/>
                <w:b/>
                <w:color w:val="4F81BD"/>
                <w:sz w:val="20"/>
                <w:szCs w:val="20"/>
              </w:rPr>
            </w:pPr>
            <w:r>
              <w:rPr>
                <w:rFonts w:ascii="Calibri" w:eastAsia="Calibri" w:hAnsi="Calibri" w:cs="Calibri"/>
                <w:b/>
                <w:color w:val="4F81BD"/>
                <w:sz w:val="20"/>
                <w:szCs w:val="20"/>
              </w:rPr>
              <w:t>Tabela 16. Gęstość rannych (GR) w wypadkach dr</w:t>
            </w:r>
            <w:r w:rsidR="00897A74">
              <w:rPr>
                <w:rFonts w:ascii="Calibri" w:eastAsia="Calibri" w:hAnsi="Calibri" w:cs="Calibri"/>
                <w:b/>
                <w:color w:val="4F81BD"/>
                <w:sz w:val="20"/>
                <w:szCs w:val="20"/>
              </w:rPr>
              <w:t>ogowych dla ciągów drogowych</w:t>
            </w:r>
            <w:r w:rsidR="00897A74">
              <w:rPr>
                <w:rFonts w:ascii="Calibri" w:eastAsia="Calibri" w:hAnsi="Calibri" w:cs="Calibri"/>
                <w:b/>
                <w:color w:val="4F81BD"/>
                <w:sz w:val="20"/>
                <w:szCs w:val="20"/>
              </w:rPr>
              <w:br/>
              <w:t xml:space="preserve"> </w:t>
            </w:r>
            <w:r>
              <w:rPr>
                <w:rFonts w:ascii="Calibri" w:eastAsia="Calibri" w:hAnsi="Calibri" w:cs="Calibri"/>
                <w:b/>
                <w:color w:val="4F81BD"/>
                <w:sz w:val="20"/>
                <w:szCs w:val="20"/>
              </w:rPr>
              <w:t xml:space="preserve">jednojezdniowych [osób / km / rok] </w:t>
            </w:r>
          </w:p>
          <w:tbl>
            <w:tblPr>
              <w:tblStyle w:val="affffffffffffffffd"/>
              <w:tblW w:w="691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721"/>
              <w:gridCol w:w="1180"/>
              <w:gridCol w:w="1938"/>
              <w:gridCol w:w="2077"/>
            </w:tblGrid>
            <w:tr w:rsidR="00600DEE" w14:paraId="434CF95F" w14:textId="77777777" w:rsidTr="00505091">
              <w:trPr>
                <w:trHeight w:val="139"/>
              </w:trPr>
              <w:tc>
                <w:tcPr>
                  <w:tcW w:w="1721" w:type="dxa"/>
                  <w:vMerge w:val="restart"/>
                  <w:shd w:val="clear" w:color="auto" w:fill="A6A6A6"/>
                  <w:vAlign w:val="center"/>
                </w:tcPr>
                <w:p w14:paraId="6FAC26A8"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5195" w:type="dxa"/>
                  <w:gridSpan w:val="3"/>
                  <w:shd w:val="clear" w:color="auto" w:fill="A6A6A6"/>
                  <w:vAlign w:val="center"/>
                </w:tcPr>
                <w:p w14:paraId="3A53FE3B"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GR</w:t>
                  </w:r>
                </w:p>
              </w:tc>
            </w:tr>
            <w:tr w:rsidR="00600DEE" w14:paraId="002F629D" w14:textId="77777777" w:rsidTr="00505091">
              <w:trPr>
                <w:trHeight w:val="209"/>
              </w:trPr>
              <w:tc>
                <w:tcPr>
                  <w:tcW w:w="1721" w:type="dxa"/>
                  <w:vMerge/>
                  <w:shd w:val="clear" w:color="auto" w:fill="A6A6A6"/>
                  <w:vAlign w:val="center"/>
                </w:tcPr>
                <w:p w14:paraId="7B07867A"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7"/>
                      <w:szCs w:val="17"/>
                    </w:rPr>
                  </w:pPr>
                </w:p>
              </w:tc>
              <w:tc>
                <w:tcPr>
                  <w:tcW w:w="1180" w:type="dxa"/>
                  <w:shd w:val="clear" w:color="auto" w:fill="A6A6A6"/>
                  <w:vAlign w:val="center"/>
                </w:tcPr>
                <w:p w14:paraId="6ABEF5C5"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w:t>
                  </w:r>
                </w:p>
              </w:tc>
              <w:tc>
                <w:tcPr>
                  <w:tcW w:w="1938" w:type="dxa"/>
                  <w:shd w:val="clear" w:color="auto" w:fill="A6A6A6"/>
                  <w:vAlign w:val="center"/>
                </w:tcPr>
                <w:p w14:paraId="3AE785B8"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 G1 teren niezabudowany</w:t>
                  </w:r>
                </w:p>
              </w:tc>
              <w:tc>
                <w:tcPr>
                  <w:tcW w:w="2076" w:type="dxa"/>
                  <w:shd w:val="clear" w:color="auto" w:fill="A6A6A6"/>
                  <w:vAlign w:val="center"/>
                </w:tcPr>
                <w:p w14:paraId="5F01C70C"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 G1</w:t>
                  </w:r>
                </w:p>
                <w:p w14:paraId="623E0414"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teren zabudowany</w:t>
                  </w:r>
                </w:p>
              </w:tc>
            </w:tr>
            <w:tr w:rsidR="00600DEE" w14:paraId="68949828" w14:textId="77777777" w:rsidTr="00505091">
              <w:trPr>
                <w:trHeight w:val="216"/>
              </w:trPr>
              <w:tc>
                <w:tcPr>
                  <w:tcW w:w="1721" w:type="dxa"/>
                  <w:shd w:val="clear" w:color="auto" w:fill="DBE5F1"/>
                  <w:vAlign w:val="center"/>
                </w:tcPr>
                <w:p w14:paraId="34E6D15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1180" w:type="dxa"/>
                  <w:shd w:val="clear" w:color="auto" w:fill="DBE5F1"/>
                  <w:vAlign w:val="center"/>
                </w:tcPr>
                <w:p w14:paraId="15FABCB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0,175</w:t>
                  </w:r>
                </w:p>
              </w:tc>
              <w:tc>
                <w:tcPr>
                  <w:tcW w:w="1938" w:type="dxa"/>
                  <w:shd w:val="clear" w:color="auto" w:fill="DBE5F1"/>
                  <w:vAlign w:val="center"/>
                </w:tcPr>
                <w:p w14:paraId="4F25CDB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0,323</w:t>
                  </w:r>
                </w:p>
              </w:tc>
              <w:tc>
                <w:tcPr>
                  <w:tcW w:w="2076" w:type="dxa"/>
                  <w:shd w:val="clear" w:color="auto" w:fill="DBE5F1"/>
                  <w:vAlign w:val="center"/>
                </w:tcPr>
                <w:p w14:paraId="785178C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0,441</w:t>
                  </w:r>
                </w:p>
              </w:tc>
            </w:tr>
            <w:tr w:rsidR="00600DEE" w14:paraId="3038BD26" w14:textId="77777777" w:rsidTr="00505091">
              <w:trPr>
                <w:trHeight w:val="110"/>
              </w:trPr>
              <w:tc>
                <w:tcPr>
                  <w:tcW w:w="1721" w:type="dxa"/>
                  <w:shd w:val="clear" w:color="auto" w:fill="DBE5F1"/>
                  <w:vAlign w:val="center"/>
                </w:tcPr>
                <w:p w14:paraId="279E133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1180" w:type="dxa"/>
                  <w:shd w:val="clear" w:color="auto" w:fill="DBE5F1"/>
                  <w:vAlign w:val="center"/>
                </w:tcPr>
                <w:p w14:paraId="7654194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0,404</w:t>
                  </w:r>
                </w:p>
              </w:tc>
              <w:tc>
                <w:tcPr>
                  <w:tcW w:w="1938" w:type="dxa"/>
                  <w:shd w:val="clear" w:color="auto" w:fill="DBE5F1"/>
                  <w:vAlign w:val="center"/>
                </w:tcPr>
                <w:p w14:paraId="135A425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0,804</w:t>
                  </w:r>
                </w:p>
              </w:tc>
              <w:tc>
                <w:tcPr>
                  <w:tcW w:w="2076" w:type="dxa"/>
                  <w:shd w:val="clear" w:color="auto" w:fill="DBE5F1"/>
                  <w:vAlign w:val="center"/>
                </w:tcPr>
                <w:p w14:paraId="08AEAD3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1,042</w:t>
                  </w:r>
                </w:p>
              </w:tc>
            </w:tr>
            <w:tr w:rsidR="00600DEE" w14:paraId="5011B53A" w14:textId="77777777" w:rsidTr="00505091">
              <w:trPr>
                <w:trHeight w:val="168"/>
              </w:trPr>
              <w:tc>
                <w:tcPr>
                  <w:tcW w:w="1721" w:type="dxa"/>
                  <w:shd w:val="clear" w:color="auto" w:fill="DBE5F1"/>
                  <w:vAlign w:val="center"/>
                </w:tcPr>
                <w:p w14:paraId="0BBD394B" w14:textId="68F15E80" w:rsidR="00600DEE" w:rsidRDefault="00897A74">
                  <w:pPr>
                    <w:jc w:val="center"/>
                    <w:rPr>
                      <w:rFonts w:ascii="Calibri" w:eastAsia="Calibri" w:hAnsi="Calibri" w:cs="Calibri"/>
                      <w:color w:val="4F81BD"/>
                      <w:sz w:val="18"/>
                      <w:szCs w:val="18"/>
                    </w:rPr>
                  </w:pPr>
                  <w:r>
                    <w:rPr>
                      <w:rFonts w:ascii="Calibri" w:eastAsia="Calibri" w:hAnsi="Calibri" w:cs="Calibri"/>
                      <w:color w:val="4F81BD"/>
                      <w:sz w:val="18"/>
                      <w:szCs w:val="18"/>
                    </w:rPr>
                    <w:t>10 000</w:t>
                  </w:r>
                  <w:r w:rsidR="00641FB5">
                    <w:rPr>
                      <w:rFonts w:ascii="Calibri" w:eastAsia="Calibri" w:hAnsi="Calibri" w:cs="Calibri"/>
                      <w:color w:val="4F81BD"/>
                      <w:sz w:val="18"/>
                      <w:szCs w:val="18"/>
                    </w:rPr>
                    <w:t>-20 000</w:t>
                  </w:r>
                </w:p>
              </w:tc>
              <w:tc>
                <w:tcPr>
                  <w:tcW w:w="1180" w:type="dxa"/>
                  <w:shd w:val="clear" w:color="auto" w:fill="DBE5F1"/>
                  <w:vAlign w:val="center"/>
                </w:tcPr>
                <w:p w14:paraId="754BA79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0,742</w:t>
                  </w:r>
                </w:p>
              </w:tc>
              <w:tc>
                <w:tcPr>
                  <w:tcW w:w="1938" w:type="dxa"/>
                  <w:shd w:val="clear" w:color="auto" w:fill="DBE5F1"/>
                  <w:vAlign w:val="center"/>
                </w:tcPr>
                <w:p w14:paraId="726958A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1,527</w:t>
                  </w:r>
                </w:p>
              </w:tc>
              <w:tc>
                <w:tcPr>
                  <w:tcW w:w="2076" w:type="dxa"/>
                  <w:shd w:val="clear" w:color="auto" w:fill="DBE5F1"/>
                  <w:vAlign w:val="center"/>
                </w:tcPr>
                <w:p w14:paraId="4E7A977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1,932</w:t>
                  </w:r>
                </w:p>
              </w:tc>
            </w:tr>
            <w:tr w:rsidR="00600DEE" w14:paraId="2F5089C8" w14:textId="77777777" w:rsidTr="00505091">
              <w:trPr>
                <w:trHeight w:val="211"/>
              </w:trPr>
              <w:tc>
                <w:tcPr>
                  <w:tcW w:w="1721" w:type="dxa"/>
                  <w:shd w:val="clear" w:color="auto" w:fill="DBE5F1"/>
                  <w:vAlign w:val="center"/>
                </w:tcPr>
                <w:p w14:paraId="52625BB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 i więcej</w:t>
                  </w:r>
                </w:p>
              </w:tc>
              <w:tc>
                <w:tcPr>
                  <w:tcW w:w="1180" w:type="dxa"/>
                  <w:shd w:val="clear" w:color="auto" w:fill="DBE5F1"/>
                  <w:vAlign w:val="center"/>
                </w:tcPr>
                <w:p w14:paraId="2265800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1,113</w:t>
                  </w:r>
                </w:p>
              </w:tc>
              <w:tc>
                <w:tcPr>
                  <w:tcW w:w="1938" w:type="dxa"/>
                  <w:shd w:val="clear" w:color="auto" w:fill="DBE5F1"/>
                  <w:vAlign w:val="center"/>
                </w:tcPr>
                <w:p w14:paraId="2AED72B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2,246</w:t>
                  </w:r>
                </w:p>
              </w:tc>
              <w:tc>
                <w:tcPr>
                  <w:tcW w:w="2076" w:type="dxa"/>
                  <w:shd w:val="clear" w:color="auto" w:fill="DBE5F1"/>
                  <w:vAlign w:val="center"/>
                </w:tcPr>
                <w:p w14:paraId="7257D9E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2,882</w:t>
                  </w:r>
                </w:p>
              </w:tc>
            </w:tr>
          </w:tbl>
          <w:p w14:paraId="3FC27D1F"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76797A82" w14:textId="77777777" w:rsidR="00600DEE" w:rsidRDefault="00641FB5">
            <w:pPr>
              <w:pBdr>
                <w:top w:val="nil"/>
                <w:left w:val="nil"/>
                <w:bottom w:val="nil"/>
                <w:right w:val="nil"/>
                <w:between w:val="nil"/>
              </w:pBd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Tabela 17. Gęstość ciężko rannych (GCR) oraz gęstość zabitych (GZ) w wypadkach</w:t>
            </w:r>
            <w:r>
              <w:rPr>
                <w:rFonts w:ascii="Calibri" w:eastAsia="Calibri" w:hAnsi="Calibri" w:cs="Calibri"/>
                <w:b/>
                <w:color w:val="4F81BD"/>
                <w:sz w:val="20"/>
                <w:szCs w:val="20"/>
              </w:rPr>
              <w:br/>
              <w:t xml:space="preserve">drogowych dla ciągów drogowych jednojezdniowych [osób / km / rok] </w:t>
            </w:r>
          </w:p>
          <w:tbl>
            <w:tblPr>
              <w:tblStyle w:val="affffffffffffffffe"/>
              <w:tblW w:w="69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05"/>
              <w:gridCol w:w="998"/>
              <w:gridCol w:w="1400"/>
              <w:gridCol w:w="1938"/>
              <w:gridCol w:w="967"/>
            </w:tblGrid>
            <w:tr w:rsidR="00600DEE" w14:paraId="697098A4" w14:textId="77777777" w:rsidTr="00505091">
              <w:trPr>
                <w:trHeight w:hRule="exact" w:val="513"/>
              </w:trPr>
              <w:tc>
                <w:tcPr>
                  <w:tcW w:w="1605" w:type="dxa"/>
                  <w:vMerge w:val="restart"/>
                  <w:shd w:val="clear" w:color="auto" w:fill="A6A6A6"/>
                  <w:vAlign w:val="center"/>
                </w:tcPr>
                <w:p w14:paraId="2D5DCD6E"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4336" w:type="dxa"/>
                  <w:gridSpan w:val="3"/>
                  <w:shd w:val="clear" w:color="auto" w:fill="A6A6A6"/>
                  <w:vAlign w:val="center"/>
                </w:tcPr>
                <w:p w14:paraId="029EC6B6"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GCR</w:t>
                  </w:r>
                </w:p>
              </w:tc>
              <w:tc>
                <w:tcPr>
                  <w:tcW w:w="967" w:type="dxa"/>
                  <w:vMerge w:val="restart"/>
                  <w:shd w:val="clear" w:color="auto" w:fill="A6A6A6"/>
                  <w:vAlign w:val="center"/>
                </w:tcPr>
                <w:p w14:paraId="2039EE1D"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GZ</w:t>
                  </w:r>
                </w:p>
              </w:tc>
            </w:tr>
            <w:tr w:rsidR="00600DEE" w14:paraId="561E1576" w14:textId="77777777" w:rsidTr="00505091">
              <w:trPr>
                <w:trHeight w:val="385"/>
              </w:trPr>
              <w:tc>
                <w:tcPr>
                  <w:tcW w:w="1605" w:type="dxa"/>
                  <w:vMerge/>
                  <w:shd w:val="clear" w:color="auto" w:fill="A6A6A6"/>
                  <w:vAlign w:val="center"/>
                </w:tcPr>
                <w:p w14:paraId="1F9CAEB6"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7"/>
                      <w:szCs w:val="17"/>
                    </w:rPr>
                  </w:pPr>
                </w:p>
              </w:tc>
              <w:tc>
                <w:tcPr>
                  <w:tcW w:w="998" w:type="dxa"/>
                  <w:shd w:val="clear" w:color="auto" w:fill="A6A6A6"/>
                  <w:vAlign w:val="center"/>
                </w:tcPr>
                <w:p w14:paraId="58E73B81"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w:t>
                  </w:r>
                </w:p>
              </w:tc>
              <w:tc>
                <w:tcPr>
                  <w:tcW w:w="1400" w:type="dxa"/>
                  <w:shd w:val="clear" w:color="auto" w:fill="A6A6A6"/>
                  <w:vAlign w:val="center"/>
                </w:tcPr>
                <w:p w14:paraId="39E2B754"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 G1 teren niezabudowany</w:t>
                  </w:r>
                </w:p>
              </w:tc>
              <w:tc>
                <w:tcPr>
                  <w:tcW w:w="1936" w:type="dxa"/>
                  <w:shd w:val="clear" w:color="auto" w:fill="A6A6A6"/>
                  <w:vAlign w:val="center"/>
                </w:tcPr>
                <w:p w14:paraId="499FE7D5"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 G1 teren zabudowany</w:t>
                  </w:r>
                </w:p>
              </w:tc>
              <w:tc>
                <w:tcPr>
                  <w:tcW w:w="967" w:type="dxa"/>
                  <w:vMerge/>
                  <w:shd w:val="clear" w:color="auto" w:fill="A6A6A6"/>
                  <w:vAlign w:val="center"/>
                </w:tcPr>
                <w:p w14:paraId="168DB9D0"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7"/>
                      <w:szCs w:val="17"/>
                    </w:rPr>
                  </w:pPr>
                </w:p>
              </w:tc>
            </w:tr>
            <w:tr w:rsidR="00600DEE" w14:paraId="770DCA32" w14:textId="77777777" w:rsidTr="00505091">
              <w:trPr>
                <w:trHeight w:val="108"/>
              </w:trPr>
              <w:tc>
                <w:tcPr>
                  <w:tcW w:w="1605" w:type="dxa"/>
                  <w:shd w:val="clear" w:color="auto" w:fill="DBE5F1"/>
                  <w:vAlign w:val="center"/>
                </w:tcPr>
                <w:p w14:paraId="5B2A32D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998" w:type="dxa"/>
                  <w:shd w:val="clear" w:color="auto" w:fill="DBE5F1"/>
                  <w:vAlign w:val="center"/>
                </w:tcPr>
                <w:p w14:paraId="7CED86A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0,023</w:t>
                  </w:r>
                </w:p>
              </w:tc>
              <w:tc>
                <w:tcPr>
                  <w:tcW w:w="1400" w:type="dxa"/>
                  <w:shd w:val="clear" w:color="auto" w:fill="DBE5F1"/>
                  <w:vAlign w:val="center"/>
                </w:tcPr>
                <w:p w14:paraId="3F5363A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0,060</w:t>
                  </w:r>
                </w:p>
              </w:tc>
              <w:tc>
                <w:tcPr>
                  <w:tcW w:w="1936" w:type="dxa"/>
                  <w:shd w:val="clear" w:color="auto" w:fill="DBE5F1"/>
                  <w:vAlign w:val="center"/>
                </w:tcPr>
                <w:p w14:paraId="7D22ACF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0,082</w:t>
                  </w:r>
                </w:p>
              </w:tc>
              <w:tc>
                <w:tcPr>
                  <w:tcW w:w="967" w:type="dxa"/>
                  <w:shd w:val="clear" w:color="auto" w:fill="DBE5F1"/>
                  <w:vAlign w:val="center"/>
                </w:tcPr>
                <w:p w14:paraId="3651B15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0,060</w:t>
                  </w:r>
                </w:p>
              </w:tc>
            </w:tr>
            <w:tr w:rsidR="00600DEE" w14:paraId="26494F10" w14:textId="77777777" w:rsidTr="00505091">
              <w:trPr>
                <w:trHeight w:val="150"/>
              </w:trPr>
              <w:tc>
                <w:tcPr>
                  <w:tcW w:w="1605" w:type="dxa"/>
                  <w:shd w:val="clear" w:color="auto" w:fill="DBE5F1"/>
                  <w:vAlign w:val="center"/>
                </w:tcPr>
                <w:p w14:paraId="6712CDB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998" w:type="dxa"/>
                  <w:shd w:val="clear" w:color="auto" w:fill="DBE5F1"/>
                  <w:vAlign w:val="center"/>
                </w:tcPr>
                <w:p w14:paraId="576A882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0,077</w:t>
                  </w:r>
                </w:p>
              </w:tc>
              <w:tc>
                <w:tcPr>
                  <w:tcW w:w="1400" w:type="dxa"/>
                  <w:shd w:val="clear" w:color="auto" w:fill="DBE5F1"/>
                  <w:vAlign w:val="center"/>
                </w:tcPr>
                <w:p w14:paraId="2CF6DDA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0,199</w:t>
                  </w:r>
                </w:p>
              </w:tc>
              <w:tc>
                <w:tcPr>
                  <w:tcW w:w="1936" w:type="dxa"/>
                  <w:shd w:val="clear" w:color="auto" w:fill="DBE5F1"/>
                  <w:vAlign w:val="center"/>
                </w:tcPr>
                <w:p w14:paraId="15A1DEB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0,271</w:t>
                  </w:r>
                </w:p>
              </w:tc>
              <w:tc>
                <w:tcPr>
                  <w:tcW w:w="967" w:type="dxa"/>
                  <w:shd w:val="clear" w:color="auto" w:fill="DBE5F1"/>
                  <w:vAlign w:val="center"/>
                </w:tcPr>
                <w:p w14:paraId="7DEA72F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0,103</w:t>
                  </w:r>
                </w:p>
              </w:tc>
            </w:tr>
            <w:tr w:rsidR="00600DEE" w14:paraId="567CF7DB" w14:textId="77777777" w:rsidTr="00505091">
              <w:trPr>
                <w:trHeight w:val="204"/>
              </w:trPr>
              <w:tc>
                <w:tcPr>
                  <w:tcW w:w="1605" w:type="dxa"/>
                  <w:shd w:val="clear" w:color="auto" w:fill="DBE5F1"/>
                  <w:vAlign w:val="center"/>
                </w:tcPr>
                <w:p w14:paraId="656AF0D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10 000 -20 000</w:t>
                  </w:r>
                </w:p>
              </w:tc>
              <w:tc>
                <w:tcPr>
                  <w:tcW w:w="998" w:type="dxa"/>
                  <w:shd w:val="clear" w:color="auto" w:fill="DBE5F1"/>
                  <w:vAlign w:val="center"/>
                </w:tcPr>
                <w:p w14:paraId="52A6C57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0,157</w:t>
                  </w:r>
                </w:p>
              </w:tc>
              <w:tc>
                <w:tcPr>
                  <w:tcW w:w="1400" w:type="dxa"/>
                  <w:shd w:val="clear" w:color="auto" w:fill="DBE5F1"/>
                  <w:vAlign w:val="center"/>
                </w:tcPr>
                <w:p w14:paraId="62F16F9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0,408</w:t>
                  </w:r>
                </w:p>
              </w:tc>
              <w:tc>
                <w:tcPr>
                  <w:tcW w:w="1936" w:type="dxa"/>
                  <w:shd w:val="clear" w:color="auto" w:fill="DBE5F1"/>
                  <w:vAlign w:val="center"/>
                </w:tcPr>
                <w:p w14:paraId="6353EBF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0,556</w:t>
                  </w:r>
                </w:p>
              </w:tc>
              <w:tc>
                <w:tcPr>
                  <w:tcW w:w="967" w:type="dxa"/>
                  <w:shd w:val="clear" w:color="auto" w:fill="DBE5F1"/>
                  <w:vAlign w:val="center"/>
                </w:tcPr>
                <w:p w14:paraId="2591692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0,193</w:t>
                  </w:r>
                </w:p>
              </w:tc>
            </w:tr>
            <w:tr w:rsidR="00600DEE" w14:paraId="76203AF2" w14:textId="77777777" w:rsidTr="00505091">
              <w:trPr>
                <w:trHeight w:val="117"/>
              </w:trPr>
              <w:tc>
                <w:tcPr>
                  <w:tcW w:w="1605" w:type="dxa"/>
                  <w:shd w:val="clear" w:color="auto" w:fill="DBE5F1"/>
                  <w:vAlign w:val="center"/>
                </w:tcPr>
                <w:p w14:paraId="133D66D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 i więcej</w:t>
                  </w:r>
                </w:p>
              </w:tc>
              <w:tc>
                <w:tcPr>
                  <w:tcW w:w="998" w:type="dxa"/>
                  <w:shd w:val="clear" w:color="auto" w:fill="DBE5F1"/>
                  <w:vAlign w:val="center"/>
                </w:tcPr>
                <w:p w14:paraId="359F67F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0,217</w:t>
                  </w:r>
                </w:p>
              </w:tc>
              <w:tc>
                <w:tcPr>
                  <w:tcW w:w="1400" w:type="dxa"/>
                  <w:shd w:val="clear" w:color="auto" w:fill="DBE5F1"/>
                  <w:vAlign w:val="center"/>
                </w:tcPr>
                <w:p w14:paraId="3F63BC4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0,562</w:t>
                  </w:r>
                </w:p>
              </w:tc>
              <w:tc>
                <w:tcPr>
                  <w:tcW w:w="1936" w:type="dxa"/>
                  <w:shd w:val="clear" w:color="auto" w:fill="DBE5F1"/>
                  <w:vAlign w:val="center"/>
                </w:tcPr>
                <w:p w14:paraId="703BCCC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0,766</w:t>
                  </w:r>
                </w:p>
              </w:tc>
              <w:tc>
                <w:tcPr>
                  <w:tcW w:w="967" w:type="dxa"/>
                  <w:shd w:val="clear" w:color="auto" w:fill="DBE5F1"/>
                  <w:vAlign w:val="center"/>
                </w:tcPr>
                <w:p w14:paraId="412CFE2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0,291</w:t>
                  </w:r>
                </w:p>
              </w:tc>
            </w:tr>
          </w:tbl>
          <w:p w14:paraId="4D824901"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1A378534" w14:textId="77777777" w:rsidR="00600DEE" w:rsidRDefault="00641FB5">
            <w:pPr>
              <w:pBdr>
                <w:top w:val="nil"/>
                <w:left w:val="nil"/>
                <w:bottom w:val="nil"/>
                <w:right w:val="nil"/>
                <w:between w:val="nil"/>
              </w:pBdr>
              <w:spacing w:before="120" w:after="120"/>
              <w:jc w:val="both"/>
              <w:rPr>
                <w:rFonts w:ascii="Calibri" w:eastAsia="Calibri" w:hAnsi="Calibri" w:cs="Calibri"/>
                <w:b/>
                <w:color w:val="000000"/>
                <w:sz w:val="20"/>
                <w:szCs w:val="20"/>
              </w:rPr>
            </w:pPr>
            <w:r>
              <w:rPr>
                <w:rFonts w:ascii="Calibri" w:eastAsia="Calibri" w:hAnsi="Calibri" w:cs="Calibri"/>
                <w:b/>
                <w:color w:val="000000"/>
                <w:sz w:val="20"/>
                <w:szCs w:val="20"/>
              </w:rPr>
              <w:t>Obwodnice jednojezdniowe</w:t>
            </w:r>
          </w:p>
          <w:p w14:paraId="5EFDED90"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color w:val="000000"/>
                <w:sz w:val="20"/>
                <w:szCs w:val="20"/>
              </w:rPr>
              <w:t>Koszty skutków wypadków drogowych dla obwodnic jednojezdniowych dla wariantów W</w:t>
            </w:r>
            <w:r>
              <w:rPr>
                <w:rFonts w:ascii="Calibri" w:eastAsia="Calibri" w:hAnsi="Calibri" w:cs="Calibri"/>
                <w:color w:val="000000"/>
                <w:sz w:val="20"/>
                <w:szCs w:val="20"/>
                <w:vertAlign w:val="subscript"/>
              </w:rPr>
              <w:t>n</w:t>
            </w:r>
            <w:r>
              <w:rPr>
                <w:rFonts w:ascii="Calibri" w:eastAsia="Calibri" w:hAnsi="Calibri" w:cs="Calibri"/>
                <w:color w:val="000000"/>
                <w:sz w:val="20"/>
                <w:szCs w:val="20"/>
              </w:rPr>
              <w:t xml:space="preserve"> i W</w:t>
            </w:r>
            <w:r>
              <w:rPr>
                <w:rFonts w:ascii="Calibri" w:eastAsia="Calibri" w:hAnsi="Calibri" w:cs="Calibri"/>
                <w:color w:val="000000"/>
                <w:sz w:val="20"/>
                <w:szCs w:val="20"/>
                <w:vertAlign w:val="subscript"/>
              </w:rPr>
              <w:t xml:space="preserve">0 </w:t>
            </w:r>
            <w:r>
              <w:rPr>
                <w:rFonts w:ascii="Calibri" w:eastAsia="Calibri" w:hAnsi="Calibri" w:cs="Calibri"/>
                <w:color w:val="000000"/>
                <w:sz w:val="20"/>
                <w:szCs w:val="20"/>
              </w:rPr>
              <w:t>wylicza się jako sumy kosztów rannych, ciężko rannych, ofiar śmiertelnych oraz strat materialnych.</w:t>
            </w:r>
          </w:p>
          <w:p w14:paraId="4E8F86B4" w14:textId="77777777" w:rsidR="00600DEE" w:rsidRDefault="00641FB5">
            <w:pPr>
              <w:pBdr>
                <w:top w:val="nil"/>
                <w:left w:val="nil"/>
                <w:bottom w:val="nil"/>
                <w:right w:val="nil"/>
                <w:between w:val="nil"/>
              </w:pBdr>
              <w:spacing w:before="120" w:after="120"/>
              <w:ind w:left="993" w:hanging="993"/>
              <w:jc w:val="both"/>
              <w:rPr>
                <w:rFonts w:ascii="Calibri" w:eastAsia="Calibri" w:hAnsi="Calibri" w:cs="Calibri"/>
                <w:b/>
                <w:color w:val="4F81BD"/>
                <w:sz w:val="20"/>
                <w:szCs w:val="20"/>
              </w:rPr>
            </w:pPr>
            <w:r>
              <w:rPr>
                <w:rFonts w:ascii="Calibri" w:eastAsia="Calibri" w:hAnsi="Calibri" w:cs="Calibri"/>
                <w:b/>
                <w:color w:val="4F81BD"/>
                <w:sz w:val="20"/>
                <w:szCs w:val="20"/>
              </w:rPr>
              <w:t>Tabela 18. Gęstość wypadków drogowych (GW) dla obwodnic jednojezdniowych</w:t>
            </w:r>
            <w:r>
              <w:rPr>
                <w:rFonts w:ascii="Calibri" w:eastAsia="Calibri" w:hAnsi="Calibri" w:cs="Calibri"/>
                <w:b/>
                <w:color w:val="4F81BD"/>
                <w:sz w:val="20"/>
                <w:szCs w:val="20"/>
              </w:rPr>
              <w:br/>
              <w:t>[osób / km / rok]</w:t>
            </w:r>
          </w:p>
          <w:tbl>
            <w:tblPr>
              <w:tblStyle w:val="afffffffffffffffff"/>
              <w:tblW w:w="69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440"/>
              <w:gridCol w:w="1286"/>
              <w:gridCol w:w="1520"/>
              <w:gridCol w:w="1658"/>
            </w:tblGrid>
            <w:tr w:rsidR="00600DEE" w14:paraId="7EE2706E" w14:textId="77777777" w:rsidTr="00505091">
              <w:trPr>
                <w:trHeight w:val="414"/>
              </w:trPr>
              <w:tc>
                <w:tcPr>
                  <w:tcW w:w="2440" w:type="dxa"/>
                  <w:shd w:val="clear" w:color="auto" w:fill="A6A6A6"/>
                  <w:vAlign w:val="center"/>
                </w:tcPr>
                <w:p w14:paraId="732F759D"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1286" w:type="dxa"/>
                  <w:shd w:val="clear" w:color="auto" w:fill="A6A6A6"/>
                  <w:vAlign w:val="center"/>
                </w:tcPr>
                <w:p w14:paraId="7EBFFA26"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S1</w:t>
                  </w:r>
                </w:p>
              </w:tc>
              <w:tc>
                <w:tcPr>
                  <w:tcW w:w="1520" w:type="dxa"/>
                  <w:shd w:val="clear" w:color="auto" w:fill="A6A6A6"/>
                  <w:vAlign w:val="center"/>
                </w:tcPr>
                <w:p w14:paraId="25EC7639"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GP1</w:t>
                  </w:r>
                </w:p>
              </w:tc>
              <w:tc>
                <w:tcPr>
                  <w:tcW w:w="1658" w:type="dxa"/>
                  <w:shd w:val="clear" w:color="auto" w:fill="A6A6A6"/>
                  <w:vAlign w:val="center"/>
                </w:tcPr>
                <w:p w14:paraId="7B802A44"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G1</w:t>
                  </w:r>
                </w:p>
              </w:tc>
            </w:tr>
            <w:tr w:rsidR="00600DEE" w14:paraId="5E7214D0" w14:textId="77777777" w:rsidTr="00505091">
              <w:trPr>
                <w:trHeight w:val="272"/>
              </w:trPr>
              <w:tc>
                <w:tcPr>
                  <w:tcW w:w="2440" w:type="dxa"/>
                  <w:shd w:val="clear" w:color="auto" w:fill="DBE5F1"/>
                  <w:vAlign w:val="center"/>
                </w:tcPr>
                <w:p w14:paraId="5000245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1286" w:type="dxa"/>
                  <w:shd w:val="clear" w:color="auto" w:fill="DBE5F1"/>
                  <w:vAlign w:val="center"/>
                </w:tcPr>
                <w:p w14:paraId="3080267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0,024</w:t>
                  </w:r>
                </w:p>
              </w:tc>
              <w:tc>
                <w:tcPr>
                  <w:tcW w:w="1520" w:type="dxa"/>
                  <w:shd w:val="clear" w:color="auto" w:fill="DBE5F1"/>
                  <w:vAlign w:val="center"/>
                </w:tcPr>
                <w:p w14:paraId="3F50171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0,036</w:t>
                  </w:r>
                </w:p>
              </w:tc>
              <w:tc>
                <w:tcPr>
                  <w:tcW w:w="1658" w:type="dxa"/>
                  <w:shd w:val="clear" w:color="auto" w:fill="DBE5F1"/>
                  <w:vAlign w:val="center"/>
                </w:tcPr>
                <w:p w14:paraId="7E92BD3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0,047</w:t>
                  </w:r>
                </w:p>
              </w:tc>
            </w:tr>
            <w:tr w:rsidR="00600DEE" w14:paraId="3ECCA98A" w14:textId="77777777" w:rsidTr="00505091">
              <w:trPr>
                <w:trHeight w:val="287"/>
              </w:trPr>
              <w:tc>
                <w:tcPr>
                  <w:tcW w:w="2440" w:type="dxa"/>
                  <w:shd w:val="clear" w:color="auto" w:fill="DBE5F1"/>
                  <w:vAlign w:val="center"/>
                </w:tcPr>
                <w:p w14:paraId="599558F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1286" w:type="dxa"/>
                  <w:shd w:val="clear" w:color="auto" w:fill="DBE5F1"/>
                  <w:vAlign w:val="center"/>
                </w:tcPr>
                <w:p w14:paraId="5183AB3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0,075</w:t>
                  </w:r>
                </w:p>
              </w:tc>
              <w:tc>
                <w:tcPr>
                  <w:tcW w:w="1520" w:type="dxa"/>
                  <w:shd w:val="clear" w:color="auto" w:fill="DBE5F1"/>
                  <w:vAlign w:val="center"/>
                </w:tcPr>
                <w:p w14:paraId="434B430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0,111</w:t>
                  </w:r>
                </w:p>
              </w:tc>
              <w:tc>
                <w:tcPr>
                  <w:tcW w:w="1658" w:type="dxa"/>
                  <w:shd w:val="clear" w:color="auto" w:fill="DBE5F1"/>
                  <w:vAlign w:val="center"/>
                </w:tcPr>
                <w:p w14:paraId="39564CC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0,135</w:t>
                  </w:r>
                </w:p>
              </w:tc>
            </w:tr>
            <w:tr w:rsidR="00600DEE" w14:paraId="55DB76EE" w14:textId="77777777" w:rsidTr="00505091">
              <w:trPr>
                <w:trHeight w:val="383"/>
              </w:trPr>
              <w:tc>
                <w:tcPr>
                  <w:tcW w:w="2440" w:type="dxa"/>
                  <w:shd w:val="clear" w:color="auto" w:fill="DBE5F1"/>
                  <w:vAlign w:val="center"/>
                </w:tcPr>
                <w:p w14:paraId="4C90E9E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10 000 -20 000</w:t>
                  </w:r>
                </w:p>
              </w:tc>
              <w:tc>
                <w:tcPr>
                  <w:tcW w:w="1286" w:type="dxa"/>
                  <w:shd w:val="clear" w:color="auto" w:fill="DBE5F1"/>
                  <w:vAlign w:val="center"/>
                </w:tcPr>
                <w:p w14:paraId="6E6A036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0,157</w:t>
                  </w:r>
                </w:p>
              </w:tc>
              <w:tc>
                <w:tcPr>
                  <w:tcW w:w="1520" w:type="dxa"/>
                  <w:shd w:val="clear" w:color="auto" w:fill="DBE5F1"/>
                  <w:vAlign w:val="center"/>
                </w:tcPr>
                <w:p w14:paraId="74127BD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0,230</w:t>
                  </w:r>
                </w:p>
              </w:tc>
              <w:tc>
                <w:tcPr>
                  <w:tcW w:w="1658" w:type="dxa"/>
                  <w:shd w:val="clear" w:color="auto" w:fill="DBE5F1"/>
                  <w:vAlign w:val="center"/>
                </w:tcPr>
                <w:p w14:paraId="04268C2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0,278</w:t>
                  </w:r>
                </w:p>
              </w:tc>
            </w:tr>
            <w:tr w:rsidR="00600DEE" w14:paraId="023B65AD" w14:textId="77777777" w:rsidTr="00505091">
              <w:trPr>
                <w:trHeight w:val="205"/>
              </w:trPr>
              <w:tc>
                <w:tcPr>
                  <w:tcW w:w="2440" w:type="dxa"/>
                  <w:shd w:val="clear" w:color="auto" w:fill="DBE5F1"/>
                  <w:vAlign w:val="center"/>
                </w:tcPr>
                <w:p w14:paraId="5F6E5C3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20 000-30000 i więcej</w:t>
                  </w:r>
                </w:p>
              </w:tc>
              <w:tc>
                <w:tcPr>
                  <w:tcW w:w="1286" w:type="dxa"/>
                  <w:shd w:val="clear" w:color="auto" w:fill="DBE5F1"/>
                  <w:vAlign w:val="center"/>
                </w:tcPr>
                <w:p w14:paraId="27D5201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0,262</w:t>
                  </w:r>
                </w:p>
              </w:tc>
              <w:tc>
                <w:tcPr>
                  <w:tcW w:w="1520" w:type="dxa"/>
                  <w:shd w:val="clear" w:color="auto" w:fill="DBE5F1"/>
                  <w:vAlign w:val="center"/>
                </w:tcPr>
                <w:p w14:paraId="363E133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0,393</w:t>
                  </w:r>
                </w:p>
              </w:tc>
              <w:tc>
                <w:tcPr>
                  <w:tcW w:w="1658" w:type="dxa"/>
                  <w:shd w:val="clear" w:color="auto" w:fill="DBE5F1"/>
                  <w:vAlign w:val="center"/>
                </w:tcPr>
                <w:p w14:paraId="0672EEA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0,476</w:t>
                  </w:r>
                </w:p>
              </w:tc>
            </w:tr>
          </w:tbl>
          <w:p w14:paraId="3BB856DE"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29E96542" w14:textId="77777777" w:rsidR="00600DEE" w:rsidRDefault="00641FB5">
            <w:pPr>
              <w:pBdr>
                <w:top w:val="nil"/>
                <w:left w:val="nil"/>
                <w:bottom w:val="nil"/>
                <w:right w:val="nil"/>
                <w:between w:val="nil"/>
              </w:pBdr>
              <w:spacing w:before="120" w:after="120"/>
              <w:ind w:left="1134" w:hanging="1134"/>
              <w:jc w:val="both"/>
              <w:rPr>
                <w:rFonts w:ascii="Calibri" w:eastAsia="Calibri" w:hAnsi="Calibri" w:cs="Calibri"/>
                <w:b/>
                <w:color w:val="4F81BD"/>
                <w:sz w:val="20"/>
                <w:szCs w:val="20"/>
              </w:rPr>
            </w:pPr>
            <w:r>
              <w:rPr>
                <w:rFonts w:ascii="Calibri" w:eastAsia="Calibri" w:hAnsi="Calibri" w:cs="Calibri"/>
                <w:b/>
                <w:color w:val="4F81BD"/>
                <w:sz w:val="20"/>
                <w:szCs w:val="20"/>
              </w:rPr>
              <w:t>Tabela 19. Gęstość rannych (GR) w wypadkach drogowych dla obwodnic</w:t>
            </w:r>
            <w:r>
              <w:rPr>
                <w:rFonts w:ascii="Calibri" w:eastAsia="Calibri" w:hAnsi="Calibri" w:cs="Calibri"/>
                <w:b/>
                <w:color w:val="4F81BD"/>
                <w:sz w:val="20"/>
                <w:szCs w:val="20"/>
              </w:rPr>
              <w:br/>
              <w:t>jednojezdniowych [osób / km / rok]</w:t>
            </w:r>
          </w:p>
          <w:tbl>
            <w:tblPr>
              <w:tblStyle w:val="afffffffffffffffff0"/>
              <w:tblW w:w="693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452"/>
              <w:gridCol w:w="1293"/>
              <w:gridCol w:w="1527"/>
              <w:gridCol w:w="1666"/>
            </w:tblGrid>
            <w:tr w:rsidR="00600DEE" w14:paraId="1C2DA4F5" w14:textId="77777777" w:rsidTr="00505091">
              <w:trPr>
                <w:trHeight w:val="287"/>
              </w:trPr>
              <w:tc>
                <w:tcPr>
                  <w:tcW w:w="2452" w:type="dxa"/>
                  <w:shd w:val="clear" w:color="auto" w:fill="A6A6A6"/>
                  <w:vAlign w:val="center"/>
                </w:tcPr>
                <w:p w14:paraId="79DE60F3"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1293" w:type="dxa"/>
                  <w:shd w:val="clear" w:color="auto" w:fill="A6A6A6"/>
                  <w:vAlign w:val="center"/>
                </w:tcPr>
                <w:p w14:paraId="633A5185"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S1</w:t>
                  </w:r>
                </w:p>
              </w:tc>
              <w:tc>
                <w:tcPr>
                  <w:tcW w:w="1527" w:type="dxa"/>
                  <w:shd w:val="clear" w:color="auto" w:fill="A6A6A6"/>
                  <w:vAlign w:val="center"/>
                </w:tcPr>
                <w:p w14:paraId="4F565646"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GP1</w:t>
                  </w:r>
                </w:p>
              </w:tc>
              <w:tc>
                <w:tcPr>
                  <w:tcW w:w="1666" w:type="dxa"/>
                  <w:shd w:val="clear" w:color="auto" w:fill="A6A6A6"/>
                  <w:vAlign w:val="center"/>
                </w:tcPr>
                <w:p w14:paraId="3E38980B"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G1</w:t>
                  </w:r>
                </w:p>
              </w:tc>
            </w:tr>
            <w:tr w:rsidR="00600DEE" w14:paraId="0B7A71B4" w14:textId="77777777" w:rsidTr="00505091">
              <w:trPr>
                <w:trHeight w:val="176"/>
              </w:trPr>
              <w:tc>
                <w:tcPr>
                  <w:tcW w:w="2452" w:type="dxa"/>
                  <w:shd w:val="clear" w:color="auto" w:fill="DBE5F1"/>
                  <w:vAlign w:val="bottom"/>
                </w:tcPr>
                <w:p w14:paraId="1E1DFF0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1293" w:type="dxa"/>
                  <w:shd w:val="clear" w:color="auto" w:fill="DBE5F1"/>
                </w:tcPr>
                <w:p w14:paraId="7FCCA57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0,024</w:t>
                  </w:r>
                </w:p>
              </w:tc>
              <w:tc>
                <w:tcPr>
                  <w:tcW w:w="1527" w:type="dxa"/>
                  <w:shd w:val="clear" w:color="auto" w:fill="DBE5F1"/>
                </w:tcPr>
                <w:p w14:paraId="68F40FA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0,060</w:t>
                  </w:r>
                </w:p>
              </w:tc>
              <w:tc>
                <w:tcPr>
                  <w:tcW w:w="1666" w:type="dxa"/>
                  <w:shd w:val="clear" w:color="auto" w:fill="DBE5F1"/>
                </w:tcPr>
                <w:p w14:paraId="760A7D6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0,188</w:t>
                  </w:r>
                </w:p>
              </w:tc>
            </w:tr>
            <w:tr w:rsidR="00600DEE" w14:paraId="4536B8BB" w14:textId="77777777" w:rsidTr="00505091">
              <w:trPr>
                <w:trHeight w:val="189"/>
              </w:trPr>
              <w:tc>
                <w:tcPr>
                  <w:tcW w:w="2452" w:type="dxa"/>
                  <w:shd w:val="clear" w:color="auto" w:fill="DBE5F1"/>
                  <w:vAlign w:val="bottom"/>
                </w:tcPr>
                <w:p w14:paraId="7368B55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1293" w:type="dxa"/>
                  <w:shd w:val="clear" w:color="auto" w:fill="DBE5F1"/>
                </w:tcPr>
                <w:p w14:paraId="1302D31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0,083</w:t>
                  </w:r>
                </w:p>
              </w:tc>
              <w:tc>
                <w:tcPr>
                  <w:tcW w:w="1527" w:type="dxa"/>
                  <w:shd w:val="clear" w:color="auto" w:fill="DBE5F1"/>
                </w:tcPr>
                <w:p w14:paraId="6E6890E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0,206</w:t>
                  </w:r>
                </w:p>
              </w:tc>
              <w:tc>
                <w:tcPr>
                  <w:tcW w:w="1666" w:type="dxa"/>
                  <w:shd w:val="clear" w:color="auto" w:fill="DBE5F1"/>
                </w:tcPr>
                <w:p w14:paraId="3C8B408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0,672</w:t>
                  </w:r>
                </w:p>
              </w:tc>
            </w:tr>
            <w:tr w:rsidR="00600DEE" w14:paraId="470ED935" w14:textId="77777777" w:rsidTr="00505091">
              <w:trPr>
                <w:trHeight w:val="237"/>
              </w:trPr>
              <w:tc>
                <w:tcPr>
                  <w:tcW w:w="2452" w:type="dxa"/>
                  <w:shd w:val="clear" w:color="auto" w:fill="DBE5F1"/>
                  <w:vAlign w:val="bottom"/>
                </w:tcPr>
                <w:p w14:paraId="5F59C14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10 000 -20 000</w:t>
                  </w:r>
                </w:p>
              </w:tc>
              <w:tc>
                <w:tcPr>
                  <w:tcW w:w="1293" w:type="dxa"/>
                  <w:shd w:val="clear" w:color="auto" w:fill="DBE5F1"/>
                </w:tcPr>
                <w:p w14:paraId="1159082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0,159</w:t>
                  </w:r>
                </w:p>
              </w:tc>
              <w:tc>
                <w:tcPr>
                  <w:tcW w:w="1527" w:type="dxa"/>
                  <w:shd w:val="clear" w:color="auto" w:fill="DBE5F1"/>
                </w:tcPr>
                <w:p w14:paraId="1F9B8D7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0,385</w:t>
                  </w:r>
                </w:p>
              </w:tc>
              <w:tc>
                <w:tcPr>
                  <w:tcW w:w="1666" w:type="dxa"/>
                  <w:shd w:val="clear" w:color="auto" w:fill="DBE5F1"/>
                </w:tcPr>
                <w:p w14:paraId="2D8E4C3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1,200</w:t>
                  </w:r>
                </w:p>
              </w:tc>
            </w:tr>
            <w:tr w:rsidR="00600DEE" w14:paraId="1C1710BC" w14:textId="77777777" w:rsidTr="00505091">
              <w:trPr>
                <w:trHeight w:val="73"/>
              </w:trPr>
              <w:tc>
                <w:tcPr>
                  <w:tcW w:w="2452" w:type="dxa"/>
                  <w:shd w:val="clear" w:color="auto" w:fill="DBE5F1"/>
                  <w:vAlign w:val="bottom"/>
                </w:tcPr>
                <w:p w14:paraId="1FAFB06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 i więcej</w:t>
                  </w:r>
                </w:p>
              </w:tc>
              <w:tc>
                <w:tcPr>
                  <w:tcW w:w="1293" w:type="dxa"/>
                  <w:shd w:val="clear" w:color="auto" w:fill="DBE5F1"/>
                </w:tcPr>
                <w:p w14:paraId="32102E3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0,307</w:t>
                  </w:r>
                </w:p>
              </w:tc>
              <w:tc>
                <w:tcPr>
                  <w:tcW w:w="1527" w:type="dxa"/>
                  <w:shd w:val="clear" w:color="auto" w:fill="DBE5F1"/>
                </w:tcPr>
                <w:p w14:paraId="31C923E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0,561</w:t>
                  </w:r>
                </w:p>
              </w:tc>
              <w:tc>
                <w:tcPr>
                  <w:tcW w:w="1666" w:type="dxa"/>
                  <w:shd w:val="clear" w:color="auto" w:fill="DBE5F1"/>
                </w:tcPr>
                <w:p w14:paraId="0C726847"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1,602</w:t>
                  </w:r>
                </w:p>
              </w:tc>
            </w:tr>
          </w:tbl>
          <w:p w14:paraId="3BE9C4D4" w14:textId="77777777" w:rsidR="00600DEE" w:rsidRDefault="00641FB5">
            <w:pPr>
              <w:pBdr>
                <w:top w:val="nil"/>
                <w:left w:val="nil"/>
                <w:bottom w:val="nil"/>
                <w:right w:val="nil"/>
                <w:between w:val="nil"/>
              </w:pBdr>
              <w:spacing w:before="120" w:after="120"/>
              <w:jc w:val="both"/>
              <w:rPr>
                <w:rFonts w:ascii="Calibri" w:eastAsia="Calibri" w:hAnsi="Calibri" w:cs="Calibri"/>
                <w:color w:val="000000"/>
                <w:sz w:val="20"/>
                <w:szCs w:val="20"/>
              </w:rPr>
            </w:pPr>
            <w:r>
              <w:rPr>
                <w:rFonts w:ascii="Calibri" w:eastAsia="Calibri" w:hAnsi="Calibri" w:cs="Calibri"/>
                <w:b/>
                <w:i/>
                <w:color w:val="000000"/>
                <w:sz w:val="16"/>
                <w:szCs w:val="16"/>
              </w:rPr>
              <w:t>Źródło: Opracowanie własne na podstawie metody wskaźników BRD</w:t>
            </w:r>
            <w:r>
              <w:rPr>
                <w:rFonts w:ascii="Calibri" w:eastAsia="Calibri" w:hAnsi="Calibri" w:cs="Calibri"/>
                <w:color w:val="000000"/>
                <w:sz w:val="20"/>
                <w:szCs w:val="20"/>
              </w:rPr>
              <w:t xml:space="preserve"> </w:t>
            </w:r>
          </w:p>
          <w:p w14:paraId="1230CC44" w14:textId="77777777" w:rsidR="00600DEE" w:rsidRDefault="00600DEE">
            <w:pPr>
              <w:pBdr>
                <w:top w:val="nil"/>
                <w:left w:val="nil"/>
                <w:bottom w:val="nil"/>
                <w:right w:val="nil"/>
                <w:between w:val="nil"/>
              </w:pBdr>
              <w:spacing w:before="120" w:after="120"/>
              <w:jc w:val="both"/>
              <w:rPr>
                <w:rFonts w:ascii="Calibri" w:eastAsia="Calibri" w:hAnsi="Calibri" w:cs="Calibri"/>
                <w:b/>
                <w:color w:val="333399"/>
                <w:sz w:val="20"/>
                <w:szCs w:val="20"/>
              </w:rPr>
            </w:pPr>
          </w:p>
          <w:p w14:paraId="7518F89C" w14:textId="77777777" w:rsidR="00600DEE" w:rsidRDefault="00600DEE">
            <w:pPr>
              <w:pBdr>
                <w:top w:val="nil"/>
                <w:left w:val="nil"/>
                <w:bottom w:val="nil"/>
                <w:right w:val="nil"/>
                <w:between w:val="nil"/>
              </w:pBdr>
              <w:spacing w:before="120" w:after="120"/>
              <w:jc w:val="both"/>
              <w:rPr>
                <w:rFonts w:ascii="Calibri" w:eastAsia="Calibri" w:hAnsi="Calibri" w:cs="Calibri"/>
                <w:b/>
                <w:color w:val="333399"/>
                <w:sz w:val="20"/>
                <w:szCs w:val="20"/>
              </w:rPr>
            </w:pPr>
          </w:p>
          <w:p w14:paraId="5A066372" w14:textId="6749A91E" w:rsidR="00600DEE" w:rsidRDefault="00641FB5">
            <w:pPr>
              <w:pBdr>
                <w:top w:val="nil"/>
                <w:left w:val="nil"/>
                <w:bottom w:val="nil"/>
                <w:right w:val="nil"/>
                <w:between w:val="nil"/>
              </w:pBdr>
              <w:spacing w:before="120" w:after="120"/>
              <w:jc w:val="both"/>
              <w:rPr>
                <w:rFonts w:ascii="Calibri" w:eastAsia="Calibri" w:hAnsi="Calibri" w:cs="Calibri"/>
                <w:b/>
                <w:color w:val="4F81BD"/>
                <w:sz w:val="20"/>
                <w:szCs w:val="20"/>
              </w:rPr>
            </w:pPr>
            <w:r>
              <w:rPr>
                <w:rFonts w:ascii="Calibri" w:eastAsia="Calibri" w:hAnsi="Calibri" w:cs="Calibri"/>
                <w:b/>
                <w:color w:val="4F81BD"/>
                <w:sz w:val="20"/>
                <w:szCs w:val="20"/>
              </w:rPr>
              <w:t>Tabela 20. Gęstość zabitych (GZ) dla obwodnic jednojezdniowych [osób / km / rok]</w:t>
            </w:r>
          </w:p>
          <w:p w14:paraId="0FE9E1B5" w14:textId="77777777" w:rsidR="003B6BDE" w:rsidRDefault="003B6BDE" w:rsidP="003B6BDE">
            <w:pPr>
              <w:pBdr>
                <w:top w:val="nil"/>
                <w:left w:val="nil"/>
                <w:bottom w:val="nil"/>
                <w:right w:val="nil"/>
                <w:between w:val="nil"/>
              </w:pBdr>
              <w:jc w:val="both"/>
              <w:rPr>
                <w:rFonts w:ascii="Calibri" w:eastAsia="Calibri" w:hAnsi="Calibri" w:cs="Calibri"/>
                <w:b/>
                <w:color w:val="4F81BD"/>
                <w:sz w:val="20"/>
                <w:szCs w:val="20"/>
              </w:rPr>
            </w:pPr>
          </w:p>
          <w:tbl>
            <w:tblPr>
              <w:tblStyle w:val="afffffffffffffffff1"/>
              <w:tblW w:w="698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062"/>
              <w:gridCol w:w="1566"/>
              <w:gridCol w:w="1677"/>
              <w:gridCol w:w="1677"/>
            </w:tblGrid>
            <w:tr w:rsidR="00600DEE" w14:paraId="22C07482" w14:textId="77777777" w:rsidTr="00505091">
              <w:trPr>
                <w:trHeight w:hRule="exact" w:val="391"/>
              </w:trPr>
              <w:tc>
                <w:tcPr>
                  <w:tcW w:w="2062" w:type="dxa"/>
                  <w:shd w:val="clear" w:color="auto" w:fill="A6A6A6"/>
                  <w:vAlign w:val="center"/>
                </w:tcPr>
                <w:p w14:paraId="4221E01C"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1566" w:type="dxa"/>
                  <w:shd w:val="clear" w:color="auto" w:fill="A6A6A6"/>
                  <w:vAlign w:val="center"/>
                </w:tcPr>
                <w:p w14:paraId="289F67E4"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S1</w:t>
                  </w:r>
                </w:p>
              </w:tc>
              <w:tc>
                <w:tcPr>
                  <w:tcW w:w="1677" w:type="dxa"/>
                  <w:shd w:val="clear" w:color="auto" w:fill="A6A6A6"/>
                  <w:vAlign w:val="center"/>
                </w:tcPr>
                <w:p w14:paraId="066167E1"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GP1</w:t>
                  </w:r>
                </w:p>
              </w:tc>
              <w:tc>
                <w:tcPr>
                  <w:tcW w:w="1677" w:type="dxa"/>
                  <w:shd w:val="clear" w:color="auto" w:fill="A6A6A6"/>
                  <w:vAlign w:val="center"/>
                </w:tcPr>
                <w:p w14:paraId="61DAD23E"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G1</w:t>
                  </w:r>
                </w:p>
              </w:tc>
            </w:tr>
            <w:tr w:rsidR="00600DEE" w14:paraId="2B85DB6F" w14:textId="77777777" w:rsidTr="00505091">
              <w:trPr>
                <w:trHeight w:hRule="exact" w:val="391"/>
              </w:trPr>
              <w:tc>
                <w:tcPr>
                  <w:tcW w:w="2062" w:type="dxa"/>
                  <w:shd w:val="clear" w:color="auto" w:fill="DBE5F1"/>
                  <w:vAlign w:val="center"/>
                </w:tcPr>
                <w:p w14:paraId="4C426CDA"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0-5 000</w:t>
                  </w:r>
                </w:p>
              </w:tc>
              <w:tc>
                <w:tcPr>
                  <w:tcW w:w="1566" w:type="dxa"/>
                  <w:shd w:val="clear" w:color="auto" w:fill="DBE5F1"/>
                  <w:vAlign w:val="center"/>
                </w:tcPr>
                <w:p w14:paraId="2B56C7EE"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0,008</w:t>
                  </w:r>
                </w:p>
              </w:tc>
              <w:tc>
                <w:tcPr>
                  <w:tcW w:w="1677" w:type="dxa"/>
                  <w:shd w:val="clear" w:color="auto" w:fill="DBE5F1"/>
                  <w:vAlign w:val="center"/>
                </w:tcPr>
                <w:p w14:paraId="3B40BC0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0,011</w:t>
                  </w:r>
                </w:p>
              </w:tc>
              <w:tc>
                <w:tcPr>
                  <w:tcW w:w="1677" w:type="dxa"/>
                  <w:shd w:val="clear" w:color="auto" w:fill="DBE5F1"/>
                  <w:vAlign w:val="center"/>
                </w:tcPr>
                <w:p w14:paraId="3D7ACFE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0,016</w:t>
                  </w:r>
                </w:p>
              </w:tc>
            </w:tr>
            <w:tr w:rsidR="00600DEE" w14:paraId="56FD587C" w14:textId="77777777" w:rsidTr="00505091">
              <w:trPr>
                <w:trHeight w:hRule="exact" w:val="391"/>
              </w:trPr>
              <w:tc>
                <w:tcPr>
                  <w:tcW w:w="2062" w:type="dxa"/>
                  <w:shd w:val="clear" w:color="auto" w:fill="DBE5F1"/>
                  <w:vAlign w:val="center"/>
                </w:tcPr>
                <w:p w14:paraId="493FEBFE" w14:textId="6D72D7AE"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5 000-10 000</w:t>
                  </w:r>
                </w:p>
              </w:tc>
              <w:tc>
                <w:tcPr>
                  <w:tcW w:w="1566" w:type="dxa"/>
                  <w:shd w:val="clear" w:color="auto" w:fill="DBE5F1"/>
                  <w:vAlign w:val="center"/>
                </w:tcPr>
                <w:p w14:paraId="344D51B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0,018</w:t>
                  </w:r>
                </w:p>
              </w:tc>
              <w:tc>
                <w:tcPr>
                  <w:tcW w:w="1677" w:type="dxa"/>
                  <w:shd w:val="clear" w:color="auto" w:fill="DBE5F1"/>
                  <w:vAlign w:val="center"/>
                </w:tcPr>
                <w:p w14:paraId="1545405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0,024</w:t>
                  </w:r>
                </w:p>
              </w:tc>
              <w:tc>
                <w:tcPr>
                  <w:tcW w:w="1677" w:type="dxa"/>
                  <w:shd w:val="clear" w:color="auto" w:fill="DBE5F1"/>
                  <w:vAlign w:val="center"/>
                </w:tcPr>
                <w:p w14:paraId="1CC1EF1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0,037</w:t>
                  </w:r>
                </w:p>
              </w:tc>
            </w:tr>
            <w:tr w:rsidR="00600DEE" w14:paraId="6826727C" w14:textId="77777777" w:rsidTr="00505091">
              <w:trPr>
                <w:trHeight w:hRule="exact" w:val="391"/>
              </w:trPr>
              <w:tc>
                <w:tcPr>
                  <w:tcW w:w="2062" w:type="dxa"/>
                  <w:shd w:val="clear" w:color="auto" w:fill="DBE5F1"/>
                  <w:vAlign w:val="center"/>
                </w:tcPr>
                <w:p w14:paraId="503869CF" w14:textId="7765A2F5" w:rsidR="00600DEE" w:rsidRDefault="00746969">
                  <w:pPr>
                    <w:jc w:val="center"/>
                    <w:rPr>
                      <w:rFonts w:ascii="Calibri" w:eastAsia="Calibri" w:hAnsi="Calibri" w:cs="Calibri"/>
                      <w:color w:val="4F81BD"/>
                      <w:sz w:val="18"/>
                      <w:szCs w:val="18"/>
                    </w:rPr>
                  </w:pPr>
                  <w:r>
                    <w:rPr>
                      <w:rFonts w:ascii="Calibri" w:eastAsia="Calibri" w:hAnsi="Calibri" w:cs="Calibri"/>
                      <w:color w:val="4F81BD"/>
                      <w:sz w:val="18"/>
                      <w:szCs w:val="18"/>
                    </w:rPr>
                    <w:t>10 000</w:t>
                  </w:r>
                  <w:r w:rsidR="00641FB5">
                    <w:rPr>
                      <w:rFonts w:ascii="Calibri" w:eastAsia="Calibri" w:hAnsi="Calibri" w:cs="Calibri"/>
                      <w:color w:val="4F81BD"/>
                      <w:sz w:val="18"/>
                      <w:szCs w:val="18"/>
                    </w:rPr>
                    <w:t>-20 000</w:t>
                  </w:r>
                </w:p>
              </w:tc>
              <w:tc>
                <w:tcPr>
                  <w:tcW w:w="1566" w:type="dxa"/>
                  <w:shd w:val="clear" w:color="auto" w:fill="DBE5F1"/>
                  <w:vAlign w:val="center"/>
                </w:tcPr>
                <w:p w14:paraId="1F3FFF1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0,031</w:t>
                  </w:r>
                </w:p>
              </w:tc>
              <w:tc>
                <w:tcPr>
                  <w:tcW w:w="1677" w:type="dxa"/>
                  <w:shd w:val="clear" w:color="auto" w:fill="DBE5F1"/>
                  <w:vAlign w:val="center"/>
                </w:tcPr>
                <w:p w14:paraId="752A0DD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0,041</w:t>
                  </w:r>
                </w:p>
              </w:tc>
              <w:tc>
                <w:tcPr>
                  <w:tcW w:w="1677" w:type="dxa"/>
                  <w:shd w:val="clear" w:color="auto" w:fill="DBE5F1"/>
                  <w:vAlign w:val="center"/>
                </w:tcPr>
                <w:p w14:paraId="6961CDF0"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0,063</w:t>
                  </w:r>
                </w:p>
              </w:tc>
            </w:tr>
            <w:tr w:rsidR="00600DEE" w14:paraId="36A2C2F7" w14:textId="77777777" w:rsidTr="00505091">
              <w:trPr>
                <w:trHeight w:hRule="exact" w:val="391"/>
              </w:trPr>
              <w:tc>
                <w:tcPr>
                  <w:tcW w:w="2062" w:type="dxa"/>
                  <w:shd w:val="clear" w:color="auto" w:fill="DBE5F1"/>
                  <w:vAlign w:val="center"/>
                </w:tcPr>
                <w:p w14:paraId="2602FA6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 i więcej</w:t>
                  </w:r>
                </w:p>
              </w:tc>
              <w:tc>
                <w:tcPr>
                  <w:tcW w:w="1566" w:type="dxa"/>
                  <w:shd w:val="clear" w:color="auto" w:fill="DBE5F1"/>
                  <w:vAlign w:val="center"/>
                </w:tcPr>
                <w:p w14:paraId="5B4C345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0,050</w:t>
                  </w:r>
                </w:p>
              </w:tc>
              <w:tc>
                <w:tcPr>
                  <w:tcW w:w="1677" w:type="dxa"/>
                  <w:shd w:val="clear" w:color="auto" w:fill="DBE5F1"/>
                  <w:vAlign w:val="center"/>
                </w:tcPr>
                <w:p w14:paraId="1580533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0,067</w:t>
                  </w:r>
                </w:p>
              </w:tc>
              <w:tc>
                <w:tcPr>
                  <w:tcW w:w="1677" w:type="dxa"/>
                  <w:shd w:val="clear" w:color="auto" w:fill="DBE5F1"/>
                  <w:vAlign w:val="center"/>
                </w:tcPr>
                <w:p w14:paraId="7705DAAB"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0,103</w:t>
                  </w:r>
                </w:p>
              </w:tc>
            </w:tr>
          </w:tbl>
          <w:p w14:paraId="1D1E467D" w14:textId="77777777" w:rsidR="00600DEE" w:rsidRDefault="00641FB5">
            <w:pPr>
              <w:spacing w:before="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1285C970" w14:textId="77777777" w:rsidR="00600DEE" w:rsidRDefault="00600DEE">
            <w:pPr>
              <w:pBdr>
                <w:top w:val="nil"/>
                <w:left w:val="nil"/>
                <w:bottom w:val="nil"/>
                <w:right w:val="nil"/>
                <w:between w:val="nil"/>
              </w:pBdr>
              <w:ind w:left="1134" w:hanging="1134"/>
              <w:jc w:val="both"/>
              <w:rPr>
                <w:rFonts w:ascii="Calibri" w:eastAsia="Calibri" w:hAnsi="Calibri" w:cs="Calibri"/>
                <w:b/>
                <w:color w:val="4F81BD"/>
                <w:sz w:val="20"/>
                <w:szCs w:val="20"/>
              </w:rPr>
            </w:pPr>
          </w:p>
          <w:p w14:paraId="318D9339" w14:textId="7DC2E99F" w:rsidR="00600DEE" w:rsidRDefault="00641FB5">
            <w:pPr>
              <w:pBdr>
                <w:top w:val="nil"/>
                <w:left w:val="nil"/>
                <w:bottom w:val="nil"/>
                <w:right w:val="nil"/>
                <w:between w:val="nil"/>
              </w:pBdr>
              <w:spacing w:before="120" w:after="120"/>
              <w:ind w:left="1134" w:hanging="1134"/>
              <w:jc w:val="both"/>
              <w:rPr>
                <w:rFonts w:ascii="Calibri" w:eastAsia="Calibri" w:hAnsi="Calibri" w:cs="Calibri"/>
                <w:b/>
                <w:color w:val="4F81BD"/>
                <w:sz w:val="20"/>
                <w:szCs w:val="20"/>
              </w:rPr>
            </w:pPr>
            <w:r>
              <w:rPr>
                <w:rFonts w:ascii="Calibri" w:eastAsia="Calibri" w:hAnsi="Calibri" w:cs="Calibri"/>
                <w:b/>
                <w:color w:val="4F81BD"/>
                <w:sz w:val="20"/>
                <w:szCs w:val="20"/>
              </w:rPr>
              <w:t>Tabela 21. Gęstość ciężko rannych (GCR</w:t>
            </w:r>
            <w:r w:rsidR="00AA29A0">
              <w:rPr>
                <w:rFonts w:ascii="Calibri" w:eastAsia="Calibri" w:hAnsi="Calibri" w:cs="Calibri"/>
                <w:b/>
                <w:color w:val="4F81BD"/>
                <w:sz w:val="20"/>
                <w:szCs w:val="20"/>
              </w:rPr>
              <w:t xml:space="preserve">) dla obwodnic jednojezdniowych </w:t>
            </w:r>
            <w:r>
              <w:rPr>
                <w:rFonts w:ascii="Calibri" w:eastAsia="Calibri" w:hAnsi="Calibri" w:cs="Calibri"/>
                <w:b/>
                <w:color w:val="4F81BD"/>
                <w:sz w:val="20"/>
                <w:szCs w:val="20"/>
              </w:rPr>
              <w:t>[osób / km / rok]</w:t>
            </w:r>
          </w:p>
          <w:tbl>
            <w:tblPr>
              <w:tblStyle w:val="afffffffffffffffff2"/>
              <w:tblW w:w="698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092"/>
              <w:gridCol w:w="1537"/>
              <w:gridCol w:w="1677"/>
              <w:gridCol w:w="1677"/>
            </w:tblGrid>
            <w:tr w:rsidR="00600DEE" w14:paraId="45085D57" w14:textId="77777777" w:rsidTr="00505091">
              <w:trPr>
                <w:trHeight w:hRule="exact" w:val="310"/>
              </w:trPr>
              <w:tc>
                <w:tcPr>
                  <w:tcW w:w="2092" w:type="dxa"/>
                  <w:shd w:val="clear" w:color="auto" w:fill="A6A6A6"/>
                  <w:vAlign w:val="center"/>
                </w:tcPr>
                <w:p w14:paraId="1F55BAC4"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SDR</w:t>
                  </w:r>
                </w:p>
              </w:tc>
              <w:tc>
                <w:tcPr>
                  <w:tcW w:w="1537" w:type="dxa"/>
                  <w:shd w:val="clear" w:color="auto" w:fill="A6A6A6"/>
                  <w:vAlign w:val="center"/>
                </w:tcPr>
                <w:p w14:paraId="36EAA880"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S1</w:t>
                  </w:r>
                </w:p>
              </w:tc>
              <w:tc>
                <w:tcPr>
                  <w:tcW w:w="1677" w:type="dxa"/>
                  <w:shd w:val="clear" w:color="auto" w:fill="A6A6A6"/>
                  <w:vAlign w:val="center"/>
                </w:tcPr>
                <w:p w14:paraId="634F1249"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GP1</w:t>
                  </w:r>
                </w:p>
              </w:tc>
              <w:tc>
                <w:tcPr>
                  <w:tcW w:w="1677" w:type="dxa"/>
                  <w:shd w:val="clear" w:color="auto" w:fill="A6A6A6"/>
                  <w:vAlign w:val="center"/>
                </w:tcPr>
                <w:p w14:paraId="6B7D67EA"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G1</w:t>
                  </w:r>
                </w:p>
              </w:tc>
            </w:tr>
            <w:tr w:rsidR="00600DEE" w14:paraId="02BC98B3" w14:textId="77777777" w:rsidTr="00505091">
              <w:trPr>
                <w:trHeight w:hRule="exact" w:val="310"/>
              </w:trPr>
              <w:tc>
                <w:tcPr>
                  <w:tcW w:w="2092" w:type="dxa"/>
                  <w:shd w:val="clear" w:color="auto" w:fill="DBE5F1"/>
                  <w:vAlign w:val="center"/>
                </w:tcPr>
                <w:p w14:paraId="6CF1AAA5"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0-5000</w:t>
                  </w:r>
                </w:p>
              </w:tc>
              <w:tc>
                <w:tcPr>
                  <w:tcW w:w="1537" w:type="dxa"/>
                  <w:shd w:val="clear" w:color="auto" w:fill="DBE5F1"/>
                  <w:vAlign w:val="center"/>
                </w:tcPr>
                <w:p w14:paraId="0E2C663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0,015</w:t>
                  </w:r>
                </w:p>
              </w:tc>
              <w:tc>
                <w:tcPr>
                  <w:tcW w:w="1677" w:type="dxa"/>
                  <w:shd w:val="clear" w:color="auto" w:fill="DBE5F1"/>
                  <w:vAlign w:val="center"/>
                </w:tcPr>
                <w:p w14:paraId="58592F2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0,020</w:t>
                  </w:r>
                </w:p>
              </w:tc>
              <w:tc>
                <w:tcPr>
                  <w:tcW w:w="1677" w:type="dxa"/>
                  <w:shd w:val="clear" w:color="auto" w:fill="DBE5F1"/>
                  <w:vAlign w:val="center"/>
                </w:tcPr>
                <w:p w14:paraId="7072E4B3"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0,031</w:t>
                  </w:r>
                </w:p>
              </w:tc>
            </w:tr>
            <w:tr w:rsidR="00600DEE" w14:paraId="7D7F3A93" w14:textId="77777777" w:rsidTr="00505091">
              <w:trPr>
                <w:trHeight w:hRule="exact" w:val="310"/>
              </w:trPr>
              <w:tc>
                <w:tcPr>
                  <w:tcW w:w="2092" w:type="dxa"/>
                  <w:shd w:val="clear" w:color="auto" w:fill="DBE5F1"/>
                  <w:vAlign w:val="center"/>
                </w:tcPr>
                <w:p w14:paraId="183AAD46"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5000-10 000</w:t>
                  </w:r>
                </w:p>
              </w:tc>
              <w:tc>
                <w:tcPr>
                  <w:tcW w:w="1537" w:type="dxa"/>
                  <w:shd w:val="clear" w:color="auto" w:fill="DBE5F1"/>
                  <w:vAlign w:val="center"/>
                </w:tcPr>
                <w:p w14:paraId="1E160A49"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0,036</w:t>
                  </w:r>
                </w:p>
              </w:tc>
              <w:tc>
                <w:tcPr>
                  <w:tcW w:w="1677" w:type="dxa"/>
                  <w:shd w:val="clear" w:color="auto" w:fill="DBE5F1"/>
                  <w:vAlign w:val="center"/>
                </w:tcPr>
                <w:p w14:paraId="4E95514F"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0,046</w:t>
                  </w:r>
                </w:p>
              </w:tc>
              <w:tc>
                <w:tcPr>
                  <w:tcW w:w="1677" w:type="dxa"/>
                  <w:shd w:val="clear" w:color="auto" w:fill="DBE5F1"/>
                  <w:vAlign w:val="center"/>
                </w:tcPr>
                <w:p w14:paraId="515D25C8"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0,071</w:t>
                  </w:r>
                </w:p>
              </w:tc>
            </w:tr>
            <w:tr w:rsidR="00600DEE" w14:paraId="7CD3EBE9" w14:textId="77777777" w:rsidTr="00505091">
              <w:trPr>
                <w:trHeight w:hRule="exact" w:val="310"/>
              </w:trPr>
              <w:tc>
                <w:tcPr>
                  <w:tcW w:w="2092" w:type="dxa"/>
                  <w:shd w:val="clear" w:color="auto" w:fill="DBE5F1"/>
                  <w:vAlign w:val="center"/>
                </w:tcPr>
                <w:p w14:paraId="14F72034" w14:textId="57EA58CF" w:rsidR="00600DEE" w:rsidRDefault="00746969">
                  <w:pPr>
                    <w:jc w:val="center"/>
                    <w:rPr>
                      <w:rFonts w:ascii="Calibri" w:eastAsia="Calibri" w:hAnsi="Calibri" w:cs="Calibri"/>
                      <w:color w:val="4F81BD"/>
                      <w:sz w:val="18"/>
                      <w:szCs w:val="18"/>
                    </w:rPr>
                  </w:pPr>
                  <w:r>
                    <w:rPr>
                      <w:rFonts w:ascii="Calibri" w:eastAsia="Calibri" w:hAnsi="Calibri" w:cs="Calibri"/>
                      <w:color w:val="4F81BD"/>
                      <w:sz w:val="18"/>
                      <w:szCs w:val="18"/>
                    </w:rPr>
                    <w:t>10 000</w:t>
                  </w:r>
                  <w:r w:rsidR="00641FB5">
                    <w:rPr>
                      <w:rFonts w:ascii="Calibri" w:eastAsia="Calibri" w:hAnsi="Calibri" w:cs="Calibri"/>
                      <w:color w:val="4F81BD"/>
                      <w:sz w:val="18"/>
                      <w:szCs w:val="18"/>
                    </w:rPr>
                    <w:t>-20 000</w:t>
                  </w:r>
                </w:p>
              </w:tc>
              <w:tc>
                <w:tcPr>
                  <w:tcW w:w="1537" w:type="dxa"/>
                  <w:shd w:val="clear" w:color="auto" w:fill="DBE5F1"/>
                  <w:vAlign w:val="center"/>
                </w:tcPr>
                <w:p w14:paraId="679B15AC"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0,059</w:t>
                  </w:r>
                </w:p>
              </w:tc>
              <w:tc>
                <w:tcPr>
                  <w:tcW w:w="1677" w:type="dxa"/>
                  <w:shd w:val="clear" w:color="auto" w:fill="DBE5F1"/>
                  <w:vAlign w:val="center"/>
                </w:tcPr>
                <w:p w14:paraId="439B5CD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0,078</w:t>
                  </w:r>
                </w:p>
              </w:tc>
              <w:tc>
                <w:tcPr>
                  <w:tcW w:w="1677" w:type="dxa"/>
                  <w:shd w:val="clear" w:color="auto" w:fill="DBE5F1"/>
                  <w:vAlign w:val="center"/>
                </w:tcPr>
                <w:p w14:paraId="3A44CF5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0,121</w:t>
                  </w:r>
                </w:p>
              </w:tc>
            </w:tr>
            <w:tr w:rsidR="00600DEE" w14:paraId="621A5D32" w14:textId="77777777" w:rsidTr="00505091">
              <w:trPr>
                <w:trHeight w:hRule="exact" w:val="310"/>
              </w:trPr>
              <w:tc>
                <w:tcPr>
                  <w:tcW w:w="2092" w:type="dxa"/>
                  <w:shd w:val="clear" w:color="auto" w:fill="DBE5F1"/>
                  <w:vAlign w:val="center"/>
                </w:tcPr>
                <w:p w14:paraId="690E54A2"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20 000-30 000 i więcej</w:t>
                  </w:r>
                </w:p>
              </w:tc>
              <w:tc>
                <w:tcPr>
                  <w:tcW w:w="1537" w:type="dxa"/>
                  <w:shd w:val="clear" w:color="auto" w:fill="DBE5F1"/>
                  <w:vAlign w:val="center"/>
                </w:tcPr>
                <w:p w14:paraId="65D1C8F4"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0,096</w:t>
                  </w:r>
                </w:p>
              </w:tc>
              <w:tc>
                <w:tcPr>
                  <w:tcW w:w="1677" w:type="dxa"/>
                  <w:shd w:val="clear" w:color="auto" w:fill="DBE5F1"/>
                  <w:vAlign w:val="center"/>
                </w:tcPr>
                <w:p w14:paraId="3C172D61"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0,128</w:t>
                  </w:r>
                </w:p>
              </w:tc>
              <w:tc>
                <w:tcPr>
                  <w:tcW w:w="1677" w:type="dxa"/>
                  <w:shd w:val="clear" w:color="auto" w:fill="DBE5F1"/>
                  <w:vAlign w:val="center"/>
                </w:tcPr>
                <w:p w14:paraId="6034BBED" w14:textId="77777777" w:rsidR="00600DEE" w:rsidRDefault="00641FB5">
                  <w:pPr>
                    <w:jc w:val="center"/>
                    <w:rPr>
                      <w:rFonts w:ascii="Calibri" w:eastAsia="Calibri" w:hAnsi="Calibri" w:cs="Calibri"/>
                      <w:color w:val="4F81BD"/>
                      <w:sz w:val="18"/>
                      <w:szCs w:val="18"/>
                    </w:rPr>
                  </w:pPr>
                  <w:r>
                    <w:rPr>
                      <w:rFonts w:ascii="Calibri" w:eastAsia="Calibri" w:hAnsi="Calibri" w:cs="Calibri"/>
                      <w:color w:val="4F81BD"/>
                      <w:sz w:val="18"/>
                      <w:szCs w:val="18"/>
                    </w:rPr>
                    <w:t>0,197</w:t>
                  </w:r>
                </w:p>
              </w:tc>
            </w:tr>
          </w:tbl>
          <w:p w14:paraId="287628CC" w14:textId="77777777" w:rsidR="00600DEE" w:rsidRDefault="00641FB5">
            <w:pPr>
              <w:spacing w:before="120" w:after="120"/>
              <w:ind w:right="170"/>
              <w:jc w:val="both"/>
              <w:rPr>
                <w:rFonts w:ascii="Calibri" w:eastAsia="Calibri" w:hAnsi="Calibri" w:cs="Calibri"/>
                <w:b/>
                <w:i/>
                <w:sz w:val="16"/>
                <w:szCs w:val="16"/>
              </w:rPr>
            </w:pPr>
            <w:r>
              <w:rPr>
                <w:rFonts w:ascii="Calibri" w:eastAsia="Calibri" w:hAnsi="Calibri" w:cs="Calibri"/>
                <w:b/>
                <w:i/>
                <w:sz w:val="16"/>
                <w:szCs w:val="16"/>
              </w:rPr>
              <w:t>Źródło: Opracowanie własne na podstawie metody wskaźników BRD</w:t>
            </w:r>
          </w:p>
          <w:p w14:paraId="5807E796" w14:textId="77777777" w:rsidR="00600DEE" w:rsidRDefault="00641FB5">
            <w:pPr>
              <w:spacing w:before="120" w:after="120"/>
              <w:jc w:val="both"/>
              <w:rPr>
                <w:rFonts w:ascii="Calibri" w:eastAsia="Calibri" w:hAnsi="Calibri" w:cs="Calibri"/>
                <w:b/>
                <w:color w:val="323299"/>
              </w:rPr>
            </w:pPr>
            <w:r>
              <w:rPr>
                <w:rFonts w:ascii="Calibri" w:eastAsia="Calibri" w:hAnsi="Calibri" w:cs="Calibri"/>
                <w:sz w:val="20"/>
                <w:szCs w:val="20"/>
              </w:rPr>
              <w:t>Całkowite koszty wypadków drogowych wylicza się przy pomocy wzoru przedstawionego w tabeli 20 z dokumentu głównego.</w:t>
            </w:r>
          </w:p>
        </w:tc>
        <w:tc>
          <w:tcPr>
            <w:tcW w:w="7201" w:type="dxa"/>
            <w:tcBorders>
              <w:left w:val="single" w:sz="4" w:space="0" w:color="000000"/>
            </w:tcBorders>
            <w:tcMar>
              <w:left w:w="284" w:type="dxa"/>
              <w:right w:w="284" w:type="dxa"/>
            </w:tcMar>
          </w:tcPr>
          <w:p w14:paraId="424C384A"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method described below should only be used for CBA purposes for non-urban road projects. The full application of the method of forecasting road safety indicators (commissioned by GDDKiA) is also possible.</w:t>
            </w:r>
          </w:p>
          <w:p w14:paraId="01183DB6"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this method, the main road safety indicators refer to the measurement of social losses:</w:t>
            </w:r>
          </w:p>
          <w:p w14:paraId="1A0425E4"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total number of accidents (</w:t>
            </w:r>
            <w:r w:rsidRPr="0045151D">
              <w:rPr>
                <w:rFonts w:ascii="Calibri" w:eastAsia="Calibri" w:hAnsi="Calibri" w:cs="Calibri"/>
                <w:b/>
                <w:color w:val="000000"/>
                <w:sz w:val="20"/>
                <w:szCs w:val="20"/>
                <w:lang w:val="en-GB"/>
              </w:rPr>
              <w:t>LW</w:t>
            </w:r>
            <w:r w:rsidRPr="0045151D">
              <w:rPr>
                <w:rFonts w:ascii="Calibri" w:eastAsia="Calibri" w:hAnsi="Calibri" w:cs="Calibri"/>
                <w:color w:val="000000"/>
                <w:sz w:val="20"/>
                <w:szCs w:val="20"/>
                <w:lang w:val="en-GB"/>
              </w:rPr>
              <w:t>),</w:t>
            </w:r>
          </w:p>
          <w:p w14:paraId="2C2E6D34"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total number of injured (</w:t>
            </w:r>
            <w:r w:rsidRPr="0045151D">
              <w:rPr>
                <w:rFonts w:ascii="Calibri" w:eastAsia="Calibri" w:hAnsi="Calibri" w:cs="Calibri"/>
                <w:b/>
                <w:color w:val="000000"/>
                <w:sz w:val="20"/>
                <w:szCs w:val="20"/>
                <w:lang w:val="en-GB"/>
              </w:rPr>
              <w:t>LR</w:t>
            </w:r>
            <w:r w:rsidRPr="0045151D">
              <w:rPr>
                <w:rFonts w:ascii="Calibri" w:eastAsia="Calibri" w:hAnsi="Calibri" w:cs="Calibri"/>
                <w:color w:val="000000"/>
                <w:sz w:val="20"/>
                <w:szCs w:val="20"/>
                <w:lang w:val="en-GB"/>
              </w:rPr>
              <w:t>),</w:t>
            </w:r>
          </w:p>
          <w:p w14:paraId="0C202CE9"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total number of seriously injured (</w:t>
            </w:r>
            <w:r w:rsidRPr="0045151D">
              <w:rPr>
                <w:rFonts w:ascii="Calibri" w:eastAsia="Calibri" w:hAnsi="Calibri" w:cs="Calibri"/>
                <w:b/>
                <w:color w:val="000000"/>
                <w:sz w:val="20"/>
                <w:szCs w:val="20"/>
                <w:lang w:val="en-GB"/>
              </w:rPr>
              <w:t>LCR</w:t>
            </w:r>
            <w:r w:rsidRPr="0045151D">
              <w:rPr>
                <w:rFonts w:ascii="Calibri" w:eastAsia="Calibri" w:hAnsi="Calibri" w:cs="Calibri"/>
                <w:color w:val="000000"/>
                <w:sz w:val="20"/>
                <w:szCs w:val="20"/>
                <w:lang w:val="en-GB"/>
              </w:rPr>
              <w:t>)</w:t>
            </w:r>
            <w:r w:rsidRPr="0045151D">
              <w:rPr>
                <w:rFonts w:ascii="Calibri" w:eastAsia="Calibri" w:hAnsi="Calibri" w:cs="Calibri"/>
                <w:b/>
                <w:color w:val="000000"/>
                <w:sz w:val="20"/>
                <w:szCs w:val="20"/>
                <w:lang w:val="en-GB"/>
              </w:rPr>
              <w:t>,</w:t>
            </w:r>
          </w:p>
          <w:p w14:paraId="4967ADA4"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total number of fatalities</w:t>
            </w:r>
            <w:r w:rsidRPr="0045151D">
              <w:rPr>
                <w:rFonts w:ascii="Calibri" w:eastAsia="Calibri" w:hAnsi="Calibri" w:cs="Calibri"/>
                <w:b/>
                <w:color w:val="000000"/>
                <w:sz w:val="20"/>
                <w:szCs w:val="20"/>
                <w:lang w:val="en-GB"/>
              </w:rPr>
              <w:t xml:space="preserve"> </w:t>
            </w:r>
            <w:r w:rsidRPr="0045151D">
              <w:rPr>
                <w:rFonts w:ascii="Calibri" w:eastAsia="Calibri" w:hAnsi="Calibri" w:cs="Calibri"/>
                <w:color w:val="000000"/>
                <w:sz w:val="20"/>
                <w:szCs w:val="20"/>
                <w:lang w:val="en-GB"/>
              </w:rPr>
              <w:t>(</w:t>
            </w:r>
            <w:r w:rsidRPr="0045151D">
              <w:rPr>
                <w:rFonts w:ascii="Calibri" w:eastAsia="Calibri" w:hAnsi="Calibri" w:cs="Calibri"/>
                <w:b/>
                <w:color w:val="000000"/>
                <w:sz w:val="20"/>
                <w:szCs w:val="20"/>
                <w:lang w:val="en-GB"/>
              </w:rPr>
              <w:t>LZ</w:t>
            </w:r>
            <w:r w:rsidRPr="0045151D">
              <w:rPr>
                <w:rFonts w:ascii="Calibri" w:eastAsia="Calibri" w:hAnsi="Calibri" w:cs="Calibri"/>
                <w:color w:val="000000"/>
                <w:sz w:val="20"/>
                <w:szCs w:val="20"/>
                <w:lang w:val="en-GB"/>
              </w:rPr>
              <w:t>).</w:t>
            </w:r>
          </w:p>
          <w:p w14:paraId="297D373F"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basis for the calculation of the current and projected number of accidents, fatalities and injured in road accidents in a given year for both investment option Wn as well as non-investment option W0 is the determination of the so-called secondary indicators of social risk:</w:t>
            </w:r>
          </w:p>
          <w:p w14:paraId="43BD32C5"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density of accidents (</w:t>
            </w:r>
            <w:r w:rsidRPr="0045151D">
              <w:rPr>
                <w:rFonts w:ascii="Calibri" w:eastAsia="Calibri" w:hAnsi="Calibri" w:cs="Calibri"/>
                <w:b/>
                <w:color w:val="000000"/>
                <w:sz w:val="20"/>
                <w:szCs w:val="20"/>
                <w:lang w:val="en-GB"/>
              </w:rPr>
              <w:t>GW</w:t>
            </w:r>
            <w:r w:rsidRPr="0045151D">
              <w:rPr>
                <w:rFonts w:ascii="Calibri" w:eastAsia="Calibri" w:hAnsi="Calibri" w:cs="Calibri"/>
                <w:color w:val="000000"/>
                <w:sz w:val="20"/>
                <w:szCs w:val="20"/>
                <w:lang w:val="en-GB"/>
              </w:rPr>
              <w:t>),</w:t>
            </w:r>
          </w:p>
          <w:p w14:paraId="4C5182F6"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density of injured (</w:t>
            </w:r>
            <w:r w:rsidRPr="0045151D">
              <w:rPr>
                <w:rFonts w:ascii="Calibri" w:eastAsia="Calibri" w:hAnsi="Calibri" w:cs="Calibri"/>
                <w:b/>
                <w:color w:val="000000"/>
                <w:sz w:val="20"/>
                <w:szCs w:val="20"/>
                <w:lang w:val="en-GB"/>
              </w:rPr>
              <w:t>GR</w:t>
            </w:r>
            <w:r w:rsidRPr="0045151D">
              <w:rPr>
                <w:rFonts w:ascii="Calibri" w:eastAsia="Calibri" w:hAnsi="Calibri" w:cs="Calibri"/>
                <w:color w:val="000000"/>
                <w:sz w:val="20"/>
                <w:szCs w:val="20"/>
                <w:lang w:val="en-GB"/>
              </w:rPr>
              <w:t>),</w:t>
            </w:r>
          </w:p>
          <w:p w14:paraId="6E19F793"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density of seriously injured (</w:t>
            </w:r>
            <w:r w:rsidRPr="0045151D">
              <w:rPr>
                <w:rFonts w:ascii="Calibri" w:eastAsia="Calibri" w:hAnsi="Calibri" w:cs="Calibri"/>
                <w:b/>
                <w:color w:val="000000"/>
                <w:sz w:val="20"/>
                <w:szCs w:val="20"/>
                <w:lang w:val="en-GB"/>
              </w:rPr>
              <w:t>GCR</w:t>
            </w:r>
            <w:r w:rsidRPr="0045151D">
              <w:rPr>
                <w:rFonts w:ascii="Calibri" w:eastAsia="Calibri" w:hAnsi="Calibri" w:cs="Calibri"/>
                <w:color w:val="000000"/>
                <w:sz w:val="20"/>
                <w:szCs w:val="20"/>
                <w:lang w:val="en-GB"/>
              </w:rPr>
              <w:t>),</w:t>
            </w:r>
          </w:p>
          <w:p w14:paraId="753BA4EE"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density of fatalities (</w:t>
            </w:r>
            <w:r w:rsidRPr="0045151D">
              <w:rPr>
                <w:rFonts w:ascii="Calibri" w:eastAsia="Calibri" w:hAnsi="Calibri" w:cs="Calibri"/>
                <w:b/>
                <w:color w:val="000000"/>
                <w:sz w:val="20"/>
                <w:szCs w:val="20"/>
                <w:lang w:val="en-GB"/>
              </w:rPr>
              <w:t>GZ</w:t>
            </w:r>
            <w:r w:rsidRPr="0045151D">
              <w:rPr>
                <w:rFonts w:ascii="Calibri" w:eastAsia="Calibri" w:hAnsi="Calibri" w:cs="Calibri"/>
                <w:color w:val="000000"/>
                <w:sz w:val="20"/>
                <w:szCs w:val="20"/>
                <w:lang w:val="en-GB"/>
              </w:rPr>
              <w:t>).</w:t>
            </w:r>
          </w:p>
          <w:p w14:paraId="0C333946"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above mentioned indicators are presented in the tables below (from table 9 to table 20), derived from the road safety indicators method, using the following inputs:</w:t>
            </w:r>
          </w:p>
          <w:p w14:paraId="2428DAD1"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types of investment (road section, bypass),</w:t>
            </w:r>
          </w:p>
          <w:p w14:paraId="4E5F5A18"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number of carriageways (dual carriageway, single carriageway),</w:t>
            </w:r>
          </w:p>
          <w:p w14:paraId="3B102036"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road class (the study distinguishes the following ones: A, S (and S2+1), GP, G),</w:t>
            </w:r>
          </w:p>
          <w:p w14:paraId="74B09B1E"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traffic forecast, Average Annual Daily Traffic (AADT),</w:t>
            </w:r>
          </w:p>
          <w:p w14:paraId="363BD67E"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location (region), applies to single carriageway roads,</w:t>
            </w:r>
          </w:p>
          <w:p w14:paraId="30A07EB5" w14:textId="6612B6EE"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built-up area (</w:t>
            </w:r>
            <w:r w:rsidR="00EB716F">
              <w:rPr>
                <w:rFonts w:ascii="Calibri" w:eastAsia="Calibri" w:hAnsi="Calibri" w:cs="Calibri"/>
                <w:b/>
                <w:color w:val="000000"/>
                <w:sz w:val="20"/>
                <w:szCs w:val="20"/>
                <w:lang w:val="en-GB"/>
              </w:rPr>
              <w:t>z</w:t>
            </w:r>
            <w:r w:rsidRPr="0045151D">
              <w:rPr>
                <w:rFonts w:ascii="Calibri" w:eastAsia="Calibri" w:hAnsi="Calibri" w:cs="Calibri"/>
                <w:color w:val="000000"/>
                <w:sz w:val="20"/>
                <w:szCs w:val="20"/>
                <w:lang w:val="en-GB"/>
              </w:rPr>
              <w:t>) / undeveloped area (</w:t>
            </w:r>
            <w:r w:rsidR="00EB716F">
              <w:rPr>
                <w:rFonts w:ascii="Calibri" w:eastAsia="Calibri" w:hAnsi="Calibri" w:cs="Calibri"/>
                <w:b/>
                <w:color w:val="000000"/>
                <w:sz w:val="20"/>
                <w:szCs w:val="20"/>
                <w:lang w:val="en-GB"/>
              </w:rPr>
              <w:t>n</w:t>
            </w:r>
            <w:r w:rsidRPr="0045151D">
              <w:rPr>
                <w:rFonts w:ascii="Calibri" w:eastAsia="Calibri" w:hAnsi="Calibri" w:cs="Calibri"/>
                <w:color w:val="000000"/>
                <w:sz w:val="20"/>
                <w:szCs w:val="20"/>
                <w:lang w:val="en-GB"/>
              </w:rPr>
              <w:t>)</w:t>
            </w:r>
            <w:r w:rsidR="003E14E4">
              <w:rPr>
                <w:rFonts w:ascii="Calibri" w:eastAsia="Calibri" w:hAnsi="Calibri" w:cs="Calibri"/>
                <w:color w:val="000000"/>
                <w:sz w:val="20"/>
                <w:szCs w:val="20"/>
                <w:vertAlign w:val="superscript"/>
                <w:lang w:val="en-GB"/>
              </w:rPr>
              <w:t>29</w:t>
            </w:r>
            <w:r w:rsidRPr="0045151D">
              <w:rPr>
                <w:rFonts w:ascii="Calibri" w:eastAsia="Calibri" w:hAnsi="Calibri" w:cs="Calibri"/>
                <w:color w:val="000000"/>
                <w:sz w:val="20"/>
                <w:szCs w:val="20"/>
                <w:lang w:val="en-GB"/>
              </w:rPr>
              <w:t>.</w:t>
            </w:r>
          </w:p>
          <w:p w14:paraId="1829C4EA"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number of accidents </w:t>
            </w:r>
            <w:r w:rsidRPr="0045151D">
              <w:rPr>
                <w:rFonts w:ascii="Calibri" w:eastAsia="Calibri" w:hAnsi="Calibri" w:cs="Calibri"/>
                <w:b/>
                <w:color w:val="000000"/>
                <w:sz w:val="20"/>
                <w:szCs w:val="20"/>
                <w:lang w:val="en-GB"/>
              </w:rPr>
              <w:t>a</w:t>
            </w:r>
            <w:r w:rsidRPr="0045151D">
              <w:rPr>
                <w:rFonts w:ascii="Calibri" w:eastAsia="Calibri" w:hAnsi="Calibri" w:cs="Calibri"/>
                <w:b/>
                <w:color w:val="000000"/>
                <w:sz w:val="20"/>
                <w:szCs w:val="20"/>
                <w:vertAlign w:val="subscript"/>
                <w:lang w:val="en-GB"/>
              </w:rPr>
              <w:t>wt</w:t>
            </w:r>
            <w:r w:rsidRPr="0045151D">
              <w:rPr>
                <w:rFonts w:ascii="Calibri" w:eastAsia="Calibri" w:hAnsi="Calibri" w:cs="Calibri"/>
                <w:color w:val="000000"/>
                <w:sz w:val="20"/>
                <w:szCs w:val="20"/>
                <w:lang w:val="en-GB"/>
              </w:rPr>
              <w:t xml:space="preserve"> in a given year t on the section of length L is calculated using the formula:</w:t>
            </w:r>
          </w:p>
          <w:p w14:paraId="624C3EA3" w14:textId="77777777" w:rsidR="003E14E4" w:rsidRPr="003E14E4" w:rsidRDefault="003E14E4" w:rsidP="003E14E4">
            <w:pPr>
              <w:pStyle w:val="anxnormal"/>
              <w:spacing w:after="120"/>
              <w:ind w:left="0"/>
              <w:rPr>
                <w:rFonts w:asciiTheme="minorHAnsi" w:hAnsiTheme="minorHAnsi"/>
                <w:b/>
                <w:lang w:val="en-US"/>
              </w:rPr>
            </w:pPr>
            <w:r w:rsidRPr="003E14E4">
              <w:rPr>
                <w:rFonts w:asciiTheme="minorHAnsi" w:hAnsiTheme="minorHAnsi"/>
                <w:b/>
                <w:lang w:val="en-US"/>
              </w:rPr>
              <w:t>a</w:t>
            </w:r>
            <w:r w:rsidRPr="003E14E4">
              <w:rPr>
                <w:rFonts w:asciiTheme="minorHAnsi" w:hAnsiTheme="minorHAnsi"/>
                <w:b/>
                <w:vertAlign w:val="subscript"/>
                <w:lang w:val="en-US"/>
              </w:rPr>
              <w:t>wt</w:t>
            </w:r>
            <w:r w:rsidRPr="003E14E4">
              <w:rPr>
                <w:rFonts w:asciiTheme="minorHAnsi" w:hAnsiTheme="minorHAnsi"/>
                <w:b/>
                <w:lang w:val="en-US"/>
              </w:rPr>
              <w:t xml:space="preserve"> = GW</w:t>
            </w:r>
            <w:r w:rsidRPr="00731E4E">
              <w:rPr>
                <w:rFonts w:asciiTheme="minorHAnsi" w:hAnsiTheme="minorHAnsi"/>
                <w:b/>
              </w:rPr>
              <w:sym w:font="Symbol" w:char="F0D7"/>
            </w:r>
            <w:r w:rsidRPr="003E14E4">
              <w:rPr>
                <w:rFonts w:asciiTheme="minorHAnsi" w:hAnsiTheme="minorHAnsi"/>
                <w:b/>
                <w:lang w:val="en-US"/>
              </w:rPr>
              <w:t>L</w:t>
            </w:r>
            <w:r w:rsidRPr="00731E4E">
              <w:rPr>
                <w:rFonts w:asciiTheme="minorHAnsi" w:hAnsiTheme="minorHAnsi"/>
                <w:b/>
              </w:rPr>
              <w:sym w:font="Symbol" w:char="F0D7"/>
            </w:r>
            <w:r w:rsidRPr="003E14E4">
              <w:rPr>
                <w:rFonts w:asciiTheme="minorHAnsi" w:hAnsiTheme="minorHAnsi"/>
                <w:b/>
                <w:i/>
                <w:lang w:val="en-US"/>
              </w:rPr>
              <w:t>f</w:t>
            </w:r>
            <w:r w:rsidRPr="003E14E4">
              <w:rPr>
                <w:rFonts w:asciiTheme="minorHAnsi" w:hAnsiTheme="minorHAnsi"/>
                <w:b/>
                <w:i/>
                <w:vertAlign w:val="subscript"/>
                <w:lang w:val="en-US"/>
              </w:rPr>
              <w:t>HP</w:t>
            </w:r>
          </w:p>
          <w:p w14:paraId="20FE9175"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i/>
                <w:color w:val="000000"/>
                <w:sz w:val="20"/>
                <w:szCs w:val="20"/>
                <w:lang w:val="en-GB"/>
              </w:rPr>
              <w:t>where:</w:t>
            </w:r>
            <w:r w:rsidRPr="0045151D">
              <w:rPr>
                <w:rFonts w:ascii="Calibri" w:eastAsia="Calibri" w:hAnsi="Calibri" w:cs="Calibri"/>
                <w:color w:val="000000"/>
                <w:sz w:val="20"/>
                <w:szCs w:val="20"/>
                <w:lang w:val="en-GB"/>
              </w:rPr>
              <w:t xml:space="preserve"> GW – density of accidents [accidents / km / year], L—section length in km, f</w:t>
            </w:r>
            <w:r w:rsidRPr="0045151D">
              <w:rPr>
                <w:rFonts w:ascii="Calibri" w:eastAsia="Calibri" w:hAnsi="Calibri" w:cs="Calibri"/>
                <w:color w:val="000000"/>
                <w:sz w:val="20"/>
                <w:szCs w:val="20"/>
                <w:vertAlign w:val="subscript"/>
                <w:lang w:val="en-GB"/>
              </w:rPr>
              <w:t>HP</w:t>
            </w:r>
            <w:r w:rsidRPr="0045151D">
              <w:rPr>
                <w:rFonts w:ascii="Calibri" w:eastAsia="Calibri" w:hAnsi="Calibri" w:cs="Calibri"/>
                <w:color w:val="000000"/>
                <w:sz w:val="20"/>
                <w:szCs w:val="20"/>
                <w:lang w:val="en-GB"/>
              </w:rPr>
              <w:t xml:space="preserve"> – factor of impact of forecast horizon.</w:t>
            </w:r>
          </w:p>
          <w:p w14:paraId="611EF7F7" w14:textId="7D420273" w:rsidR="00600DEE" w:rsidRPr="0045151D" w:rsidRDefault="00EB716F">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EB716F">
              <w:rPr>
                <w:rFonts w:asciiTheme="minorHAnsi" w:hAnsiTheme="minorHAnsi"/>
                <w:sz w:val="20"/>
                <w:szCs w:val="20"/>
                <w:lang w:val="en-GB"/>
              </w:rPr>
              <w:t xml:space="preserve">The number of accidents </w:t>
            </w:r>
            <w:r w:rsidRPr="00EB716F">
              <w:rPr>
                <w:rFonts w:asciiTheme="minorHAnsi" w:hAnsiTheme="minorHAnsi"/>
                <w:b/>
                <w:sz w:val="20"/>
                <w:szCs w:val="20"/>
                <w:lang w:val="en-GB"/>
              </w:rPr>
              <w:t>a</w:t>
            </w:r>
            <w:r w:rsidRPr="00EB716F">
              <w:rPr>
                <w:rFonts w:asciiTheme="minorHAnsi" w:hAnsiTheme="minorHAnsi"/>
                <w:b/>
                <w:sz w:val="20"/>
                <w:szCs w:val="20"/>
                <w:vertAlign w:val="subscript"/>
                <w:lang w:val="en-GB"/>
              </w:rPr>
              <w:t>wt</w:t>
            </w:r>
            <w:r w:rsidRPr="0056349F">
              <w:rPr>
                <w:rFonts w:asciiTheme="minorHAnsi" w:hAnsiTheme="minorHAnsi"/>
                <w:lang w:val="en-GB"/>
              </w:rPr>
              <w:t xml:space="preserve"> </w:t>
            </w:r>
            <w:r w:rsidR="00641FB5" w:rsidRPr="0045151D">
              <w:rPr>
                <w:rFonts w:ascii="Calibri" w:eastAsia="Calibri" w:hAnsi="Calibri" w:cs="Calibri"/>
                <w:color w:val="000000"/>
                <w:sz w:val="20"/>
                <w:szCs w:val="20"/>
                <w:lang w:val="en-GB"/>
              </w:rPr>
              <w:t>corresponds</w:t>
            </w:r>
            <w:r>
              <w:rPr>
                <w:rFonts w:ascii="Calibri" w:eastAsia="Calibri" w:hAnsi="Calibri" w:cs="Calibri"/>
                <w:color w:val="000000"/>
                <w:sz w:val="20"/>
                <w:szCs w:val="20"/>
                <w:lang w:val="en-GB"/>
              </w:rPr>
              <w:t xml:space="preserve"> also</w:t>
            </w:r>
            <w:r w:rsidR="00641FB5" w:rsidRPr="0045151D">
              <w:rPr>
                <w:rFonts w:ascii="Calibri" w:eastAsia="Calibri" w:hAnsi="Calibri" w:cs="Calibri"/>
                <w:color w:val="000000"/>
                <w:sz w:val="20"/>
                <w:szCs w:val="20"/>
                <w:lang w:val="en-GB"/>
              </w:rPr>
              <w:t xml:space="preserve"> to the number of accidents with material loses (a</w:t>
            </w:r>
            <w:r w:rsidR="00641FB5" w:rsidRPr="0045151D">
              <w:rPr>
                <w:rFonts w:ascii="Calibri" w:eastAsia="Calibri" w:hAnsi="Calibri" w:cs="Calibri"/>
                <w:color w:val="000000"/>
                <w:sz w:val="20"/>
                <w:szCs w:val="20"/>
                <w:vertAlign w:val="subscript"/>
                <w:lang w:val="en-GB"/>
              </w:rPr>
              <w:t xml:space="preserve">mt  </w:t>
            </w:r>
            <w:r w:rsidR="00641FB5" w:rsidRPr="0045151D">
              <w:rPr>
                <w:rFonts w:ascii="Calibri" w:eastAsia="Calibri" w:hAnsi="Calibri" w:cs="Calibri"/>
                <w:color w:val="000000"/>
                <w:sz w:val="20"/>
                <w:szCs w:val="20"/>
                <w:lang w:val="en-GB"/>
              </w:rPr>
              <w:t xml:space="preserve">in the formula </w:t>
            </w:r>
            <w:r w:rsidRPr="00EB716F">
              <w:rPr>
                <w:rFonts w:asciiTheme="minorHAnsi" w:hAnsiTheme="minorHAnsi"/>
                <w:color w:val="222222"/>
                <w:sz w:val="20"/>
                <w:szCs w:val="20"/>
                <w:lang w:val="en-US"/>
              </w:rPr>
              <w:t xml:space="preserve">presented </w:t>
            </w:r>
            <w:r w:rsidRPr="00EB716F">
              <w:rPr>
                <w:rStyle w:val="hps"/>
                <w:rFonts w:asciiTheme="minorHAnsi" w:hAnsiTheme="minorHAnsi"/>
                <w:color w:val="222222"/>
                <w:sz w:val="20"/>
                <w:szCs w:val="20"/>
                <w:lang w:val="en-US"/>
              </w:rPr>
              <w:t>in Table</w:t>
            </w:r>
            <w:r w:rsidRPr="00EB716F">
              <w:rPr>
                <w:rFonts w:asciiTheme="minorHAnsi" w:hAnsiTheme="minorHAnsi"/>
                <w:color w:val="222222"/>
                <w:sz w:val="20"/>
                <w:szCs w:val="20"/>
                <w:lang w:val="en-US"/>
              </w:rPr>
              <w:t> </w:t>
            </w:r>
            <w:r>
              <w:rPr>
                <w:rStyle w:val="hps"/>
                <w:rFonts w:asciiTheme="minorHAnsi" w:hAnsiTheme="minorHAnsi"/>
                <w:color w:val="222222"/>
                <w:sz w:val="20"/>
                <w:szCs w:val="20"/>
                <w:lang w:val="en-US"/>
              </w:rPr>
              <w:t>19</w:t>
            </w:r>
            <w:r w:rsidRPr="00EB716F">
              <w:rPr>
                <w:rStyle w:val="hps"/>
                <w:rFonts w:asciiTheme="minorHAnsi" w:hAnsiTheme="minorHAnsi"/>
                <w:color w:val="222222"/>
                <w:sz w:val="20"/>
                <w:szCs w:val="20"/>
                <w:lang w:val="en-US"/>
              </w:rPr>
              <w:t xml:space="preserve"> of the main document</w:t>
            </w:r>
            <w:r w:rsidR="00641FB5" w:rsidRPr="00EB716F">
              <w:rPr>
                <w:rFonts w:ascii="Calibri" w:eastAsia="Calibri" w:hAnsi="Calibri" w:cs="Calibri"/>
                <w:color w:val="000000"/>
                <w:sz w:val="20"/>
                <w:szCs w:val="20"/>
                <w:lang w:val="en-GB"/>
              </w:rPr>
              <w:t>).</w:t>
            </w:r>
          </w:p>
          <w:p w14:paraId="7C1B9CFD"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number of injured </w:t>
            </w:r>
            <w:r w:rsidRPr="0045151D">
              <w:rPr>
                <w:rFonts w:ascii="Calibri" w:eastAsia="Calibri" w:hAnsi="Calibri" w:cs="Calibri"/>
                <w:b/>
                <w:color w:val="000000"/>
                <w:sz w:val="20"/>
                <w:szCs w:val="20"/>
                <w:lang w:val="en-GB"/>
              </w:rPr>
              <w:t>a</w:t>
            </w:r>
            <w:r w:rsidRPr="0045151D">
              <w:rPr>
                <w:rFonts w:ascii="Calibri" w:eastAsia="Calibri" w:hAnsi="Calibri" w:cs="Calibri"/>
                <w:b/>
                <w:color w:val="000000"/>
                <w:sz w:val="20"/>
                <w:szCs w:val="20"/>
                <w:vertAlign w:val="subscript"/>
                <w:lang w:val="en-GB"/>
              </w:rPr>
              <w:t>rt</w:t>
            </w:r>
            <w:r w:rsidRPr="0045151D">
              <w:rPr>
                <w:rFonts w:ascii="Calibri" w:eastAsia="Calibri" w:hAnsi="Calibri" w:cs="Calibri"/>
                <w:color w:val="000000"/>
                <w:sz w:val="20"/>
                <w:szCs w:val="20"/>
                <w:lang w:val="en-GB"/>
              </w:rPr>
              <w:t xml:space="preserve"> in a given year t on the section of length L is calculated using the formula: </w:t>
            </w:r>
          </w:p>
          <w:p w14:paraId="0E4E7080" w14:textId="77777777" w:rsidR="003E14E4" w:rsidRPr="003E14E4" w:rsidRDefault="003E14E4" w:rsidP="003E14E4">
            <w:pPr>
              <w:pStyle w:val="anxnormal"/>
              <w:spacing w:after="120"/>
              <w:ind w:left="0"/>
              <w:rPr>
                <w:rFonts w:asciiTheme="minorHAnsi" w:hAnsiTheme="minorHAnsi"/>
                <w:b/>
                <w:lang w:val="en-US"/>
              </w:rPr>
            </w:pPr>
            <w:r w:rsidRPr="003E14E4">
              <w:rPr>
                <w:rFonts w:asciiTheme="minorHAnsi" w:hAnsiTheme="minorHAnsi"/>
                <w:b/>
                <w:lang w:val="en-US"/>
              </w:rPr>
              <w:t>a</w:t>
            </w:r>
            <w:r w:rsidRPr="003E14E4">
              <w:rPr>
                <w:rFonts w:asciiTheme="minorHAnsi" w:hAnsiTheme="minorHAnsi"/>
                <w:b/>
                <w:vertAlign w:val="subscript"/>
                <w:lang w:val="en-US"/>
              </w:rPr>
              <w:t>rt</w:t>
            </w:r>
            <w:r w:rsidRPr="003E14E4">
              <w:rPr>
                <w:rFonts w:asciiTheme="minorHAnsi" w:hAnsiTheme="minorHAnsi"/>
                <w:b/>
                <w:lang w:val="en-US"/>
              </w:rPr>
              <w:t xml:space="preserve"> =GR</w:t>
            </w:r>
            <w:r w:rsidRPr="00731E4E">
              <w:rPr>
                <w:rFonts w:asciiTheme="minorHAnsi" w:hAnsiTheme="minorHAnsi"/>
                <w:b/>
              </w:rPr>
              <w:sym w:font="Symbol" w:char="F0D7"/>
            </w:r>
            <w:r w:rsidRPr="003E14E4">
              <w:rPr>
                <w:rFonts w:asciiTheme="minorHAnsi" w:hAnsiTheme="minorHAnsi"/>
                <w:b/>
                <w:lang w:val="en-US"/>
              </w:rPr>
              <w:t>L</w:t>
            </w:r>
            <w:r w:rsidRPr="00731E4E">
              <w:rPr>
                <w:rFonts w:asciiTheme="minorHAnsi" w:hAnsiTheme="minorHAnsi"/>
                <w:b/>
              </w:rPr>
              <w:sym w:font="Symbol" w:char="F0D7"/>
            </w:r>
            <w:r w:rsidRPr="003E14E4">
              <w:rPr>
                <w:rFonts w:asciiTheme="minorHAnsi" w:hAnsiTheme="minorHAnsi"/>
                <w:b/>
                <w:i/>
                <w:lang w:val="en-US"/>
              </w:rPr>
              <w:t>f</w:t>
            </w:r>
            <w:r w:rsidRPr="003E14E4">
              <w:rPr>
                <w:rFonts w:asciiTheme="minorHAnsi" w:hAnsiTheme="minorHAnsi"/>
                <w:b/>
                <w:i/>
                <w:vertAlign w:val="subscript"/>
                <w:lang w:val="en-US"/>
              </w:rPr>
              <w:t xml:space="preserve">HP </w:t>
            </w:r>
          </w:p>
          <w:p w14:paraId="404B8922"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i/>
                <w:color w:val="000000"/>
                <w:sz w:val="20"/>
                <w:szCs w:val="20"/>
                <w:lang w:val="en-GB"/>
              </w:rPr>
              <w:t>where:</w:t>
            </w:r>
            <w:r w:rsidRPr="0045151D">
              <w:rPr>
                <w:rFonts w:ascii="Calibri" w:eastAsia="Calibri" w:hAnsi="Calibri" w:cs="Calibri"/>
                <w:color w:val="000000"/>
                <w:sz w:val="20"/>
                <w:szCs w:val="20"/>
                <w:lang w:val="en-GB"/>
              </w:rPr>
              <w:t xml:space="preserve"> GR – density of injured [persons / km / year], L—section length in km, f</w:t>
            </w:r>
            <w:r w:rsidRPr="0045151D">
              <w:rPr>
                <w:rFonts w:ascii="Calibri" w:eastAsia="Calibri" w:hAnsi="Calibri" w:cs="Calibri"/>
                <w:color w:val="000000"/>
                <w:sz w:val="20"/>
                <w:szCs w:val="20"/>
                <w:vertAlign w:val="subscript"/>
                <w:lang w:val="en-GB"/>
              </w:rPr>
              <w:t>HP</w:t>
            </w:r>
            <w:r w:rsidRPr="0045151D">
              <w:rPr>
                <w:rFonts w:ascii="Calibri" w:eastAsia="Calibri" w:hAnsi="Calibri" w:cs="Calibri"/>
                <w:color w:val="000000"/>
                <w:sz w:val="20"/>
                <w:szCs w:val="20"/>
                <w:lang w:val="en-GB"/>
              </w:rPr>
              <w:t xml:space="preserve"> – factor of impact of forecast horizon.</w:t>
            </w:r>
          </w:p>
          <w:p w14:paraId="2CD8A249"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number of fatalities </w:t>
            </w:r>
            <w:r w:rsidRPr="0045151D">
              <w:rPr>
                <w:rFonts w:ascii="Calibri" w:eastAsia="Calibri" w:hAnsi="Calibri" w:cs="Calibri"/>
                <w:b/>
                <w:color w:val="000000"/>
                <w:sz w:val="20"/>
                <w:szCs w:val="20"/>
                <w:lang w:val="en-GB"/>
              </w:rPr>
              <w:t>a</w:t>
            </w:r>
            <w:r w:rsidRPr="0045151D">
              <w:rPr>
                <w:rFonts w:ascii="Calibri" w:eastAsia="Calibri" w:hAnsi="Calibri" w:cs="Calibri"/>
                <w:b/>
                <w:color w:val="000000"/>
                <w:sz w:val="20"/>
                <w:szCs w:val="20"/>
                <w:vertAlign w:val="subscript"/>
                <w:lang w:val="en-GB"/>
              </w:rPr>
              <w:t>zt</w:t>
            </w:r>
            <w:r w:rsidRPr="0045151D">
              <w:rPr>
                <w:rFonts w:ascii="Calibri" w:eastAsia="Calibri" w:hAnsi="Calibri" w:cs="Calibri"/>
                <w:color w:val="000000"/>
                <w:sz w:val="20"/>
                <w:szCs w:val="20"/>
                <w:lang w:val="en-GB"/>
              </w:rPr>
              <w:t xml:space="preserve"> in a given year t on the section of length L is calculated using the formula: </w:t>
            </w:r>
          </w:p>
          <w:p w14:paraId="0E0A9D62" w14:textId="77777777" w:rsidR="003E14E4" w:rsidRPr="003E14E4" w:rsidRDefault="003E14E4" w:rsidP="003E14E4">
            <w:pPr>
              <w:pStyle w:val="anxnormal"/>
              <w:spacing w:after="120"/>
              <w:ind w:left="0"/>
              <w:rPr>
                <w:rFonts w:asciiTheme="minorHAnsi" w:hAnsiTheme="minorHAnsi"/>
                <w:b/>
                <w:i/>
                <w:vertAlign w:val="subscript"/>
                <w:lang w:val="en-US"/>
              </w:rPr>
            </w:pPr>
            <w:r w:rsidRPr="003E14E4">
              <w:rPr>
                <w:rFonts w:asciiTheme="minorHAnsi" w:hAnsiTheme="minorHAnsi"/>
                <w:b/>
                <w:lang w:val="en-US"/>
              </w:rPr>
              <w:t>a</w:t>
            </w:r>
            <w:r w:rsidRPr="003E14E4">
              <w:rPr>
                <w:rFonts w:asciiTheme="minorHAnsi" w:hAnsiTheme="minorHAnsi"/>
                <w:b/>
                <w:vertAlign w:val="subscript"/>
                <w:lang w:val="en-US"/>
              </w:rPr>
              <w:t>zt</w:t>
            </w:r>
            <w:r w:rsidRPr="003E14E4">
              <w:rPr>
                <w:rFonts w:asciiTheme="minorHAnsi" w:hAnsiTheme="minorHAnsi"/>
                <w:b/>
                <w:lang w:val="en-US"/>
              </w:rPr>
              <w:t xml:space="preserve"> = GZ L</w:t>
            </w:r>
            <w:r w:rsidRPr="00731E4E">
              <w:rPr>
                <w:rFonts w:asciiTheme="minorHAnsi" w:hAnsiTheme="minorHAnsi"/>
                <w:b/>
              </w:rPr>
              <w:sym w:font="Symbol" w:char="F0D7"/>
            </w:r>
            <w:r w:rsidRPr="003E14E4">
              <w:rPr>
                <w:rFonts w:asciiTheme="minorHAnsi" w:hAnsiTheme="minorHAnsi"/>
                <w:b/>
                <w:i/>
                <w:lang w:val="en-US"/>
              </w:rPr>
              <w:t>f</w:t>
            </w:r>
            <w:r w:rsidRPr="003E14E4">
              <w:rPr>
                <w:rFonts w:asciiTheme="minorHAnsi" w:hAnsiTheme="minorHAnsi"/>
                <w:b/>
                <w:i/>
                <w:vertAlign w:val="subscript"/>
                <w:lang w:val="en-US"/>
              </w:rPr>
              <w:t xml:space="preserve">HP </w:t>
            </w:r>
          </w:p>
          <w:p w14:paraId="7F0D27D9" w14:textId="71AF8774"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i/>
                <w:color w:val="000000"/>
                <w:sz w:val="20"/>
                <w:szCs w:val="20"/>
                <w:lang w:val="en-GB"/>
              </w:rPr>
              <w:t>where:</w:t>
            </w:r>
            <w:r w:rsidRPr="0045151D">
              <w:rPr>
                <w:rFonts w:ascii="Calibri" w:eastAsia="Calibri" w:hAnsi="Calibri" w:cs="Calibri"/>
                <w:color w:val="000000"/>
                <w:sz w:val="20"/>
                <w:szCs w:val="20"/>
                <w:lang w:val="en-GB"/>
              </w:rPr>
              <w:t xml:space="preserve"> GZ—density of fatalities [persons / km / year], L—section length in km,</w:t>
            </w:r>
            <w:r w:rsidRPr="003E14E4">
              <w:rPr>
                <w:rFonts w:ascii="Calibri" w:eastAsia="Calibri" w:hAnsi="Calibri" w:cs="Calibri"/>
                <w:color w:val="000000"/>
                <w:sz w:val="16"/>
                <w:szCs w:val="20"/>
                <w:lang w:val="en-GB"/>
              </w:rPr>
              <w:t xml:space="preserve"> </w:t>
            </w:r>
            <w:r w:rsidR="003E14E4" w:rsidRPr="003E14E4">
              <w:rPr>
                <w:rFonts w:asciiTheme="minorHAnsi" w:hAnsiTheme="minorHAnsi"/>
                <w:b/>
                <w:i/>
                <w:sz w:val="20"/>
                <w:lang w:val="en-US"/>
              </w:rPr>
              <w:t>f</w:t>
            </w:r>
            <w:r w:rsidR="003E14E4" w:rsidRPr="003E14E4">
              <w:rPr>
                <w:rFonts w:asciiTheme="minorHAnsi" w:hAnsiTheme="minorHAnsi"/>
                <w:b/>
                <w:i/>
                <w:sz w:val="20"/>
                <w:vertAlign w:val="subscript"/>
                <w:lang w:val="en-US"/>
              </w:rPr>
              <w:t>HP</w:t>
            </w:r>
            <w:r w:rsidRPr="003E14E4">
              <w:rPr>
                <w:rFonts w:ascii="Calibri" w:eastAsia="Calibri" w:hAnsi="Calibri" w:cs="Calibri"/>
                <w:color w:val="000000"/>
                <w:sz w:val="16"/>
                <w:szCs w:val="20"/>
                <w:lang w:val="en-GB"/>
              </w:rPr>
              <w:t xml:space="preserve"> </w:t>
            </w:r>
            <w:r w:rsidRPr="0045151D">
              <w:rPr>
                <w:rFonts w:ascii="Calibri" w:eastAsia="Calibri" w:hAnsi="Calibri" w:cs="Calibri"/>
                <w:color w:val="000000"/>
                <w:sz w:val="20"/>
                <w:szCs w:val="20"/>
                <w:lang w:val="en-GB"/>
              </w:rPr>
              <w:t>– factor of impact of forecast horizon.</w:t>
            </w:r>
          </w:p>
          <w:p w14:paraId="36BEAEFC"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number of seriously injured </w:t>
            </w:r>
            <w:r w:rsidRPr="0045151D">
              <w:rPr>
                <w:rFonts w:ascii="Calibri" w:eastAsia="Calibri" w:hAnsi="Calibri" w:cs="Calibri"/>
                <w:b/>
                <w:color w:val="000000"/>
                <w:sz w:val="20"/>
                <w:szCs w:val="20"/>
                <w:lang w:val="en-GB"/>
              </w:rPr>
              <w:t>a</w:t>
            </w:r>
            <w:r w:rsidRPr="0045151D">
              <w:rPr>
                <w:rFonts w:ascii="Calibri" w:eastAsia="Calibri" w:hAnsi="Calibri" w:cs="Calibri"/>
                <w:b/>
                <w:color w:val="000000"/>
                <w:sz w:val="20"/>
                <w:szCs w:val="20"/>
                <w:vertAlign w:val="subscript"/>
                <w:lang w:val="en-GB"/>
              </w:rPr>
              <w:t>crt</w:t>
            </w:r>
            <w:r w:rsidRPr="0045151D">
              <w:rPr>
                <w:rFonts w:ascii="Calibri" w:eastAsia="Calibri" w:hAnsi="Calibri" w:cs="Calibri"/>
                <w:color w:val="000000"/>
                <w:sz w:val="20"/>
                <w:szCs w:val="20"/>
                <w:lang w:val="en-GB"/>
              </w:rPr>
              <w:t xml:space="preserve"> in a given year t on the section of length L is calculated using the formula: </w:t>
            </w:r>
          </w:p>
          <w:p w14:paraId="7912253C" w14:textId="77777777" w:rsidR="003E14E4" w:rsidRPr="00731E4E" w:rsidRDefault="003E14E4" w:rsidP="003E14E4">
            <w:pPr>
              <w:pStyle w:val="anxnormal"/>
              <w:spacing w:after="120"/>
              <w:ind w:left="0"/>
              <w:rPr>
                <w:rFonts w:asciiTheme="minorHAnsi" w:hAnsiTheme="minorHAnsi"/>
                <w:b/>
                <w:i/>
                <w:vertAlign w:val="subscript"/>
                <w:lang w:val="en-GB"/>
              </w:rPr>
            </w:pPr>
            <w:r w:rsidRPr="00731E4E">
              <w:rPr>
                <w:rFonts w:asciiTheme="minorHAnsi" w:hAnsiTheme="minorHAnsi"/>
                <w:b/>
                <w:lang w:val="en-GB"/>
              </w:rPr>
              <w:t>a</w:t>
            </w:r>
            <w:r w:rsidRPr="00731E4E">
              <w:rPr>
                <w:rFonts w:asciiTheme="minorHAnsi" w:hAnsiTheme="minorHAnsi"/>
                <w:b/>
                <w:vertAlign w:val="subscript"/>
                <w:lang w:val="en-GB"/>
              </w:rPr>
              <w:t>crt</w:t>
            </w:r>
            <w:r w:rsidRPr="00731E4E">
              <w:rPr>
                <w:rFonts w:asciiTheme="minorHAnsi" w:hAnsiTheme="minorHAnsi"/>
                <w:b/>
                <w:lang w:val="en-GB"/>
              </w:rPr>
              <w:t xml:space="preserve"> =GCR</w:t>
            </w:r>
            <w:r w:rsidRPr="00731E4E">
              <w:rPr>
                <w:rFonts w:asciiTheme="minorHAnsi" w:hAnsiTheme="minorHAnsi"/>
                <w:b/>
                <w:lang w:val="en-GB"/>
              </w:rPr>
              <w:sym w:font="Symbol" w:char="F0D7"/>
            </w:r>
            <w:r w:rsidRPr="00731E4E">
              <w:rPr>
                <w:rFonts w:asciiTheme="minorHAnsi" w:hAnsiTheme="minorHAnsi"/>
                <w:b/>
                <w:lang w:val="en-GB"/>
              </w:rPr>
              <w:t>L</w:t>
            </w:r>
            <w:r w:rsidRPr="00731E4E">
              <w:rPr>
                <w:rFonts w:asciiTheme="minorHAnsi" w:hAnsiTheme="minorHAnsi"/>
                <w:b/>
                <w:lang w:val="en-GB"/>
              </w:rPr>
              <w:sym w:font="Symbol" w:char="F0D7"/>
            </w:r>
            <w:r w:rsidRPr="00731E4E">
              <w:rPr>
                <w:rFonts w:asciiTheme="minorHAnsi" w:hAnsiTheme="minorHAnsi"/>
                <w:b/>
                <w:i/>
                <w:lang w:val="en-GB"/>
              </w:rPr>
              <w:t>f</w:t>
            </w:r>
            <w:r w:rsidRPr="00731E4E">
              <w:rPr>
                <w:rFonts w:asciiTheme="minorHAnsi" w:hAnsiTheme="minorHAnsi"/>
                <w:b/>
                <w:i/>
                <w:vertAlign w:val="subscript"/>
                <w:lang w:val="en-GB"/>
              </w:rPr>
              <w:t xml:space="preserve">HP </w:t>
            </w:r>
          </w:p>
          <w:p w14:paraId="15637E58"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i/>
                <w:color w:val="000000"/>
                <w:sz w:val="20"/>
                <w:szCs w:val="20"/>
                <w:lang w:val="en-GB"/>
              </w:rPr>
              <w:t>where:</w:t>
            </w:r>
            <w:r w:rsidRPr="0045151D">
              <w:rPr>
                <w:rFonts w:ascii="Calibri" w:eastAsia="Calibri" w:hAnsi="Calibri" w:cs="Calibri"/>
                <w:color w:val="000000"/>
                <w:sz w:val="20"/>
                <w:szCs w:val="20"/>
                <w:lang w:val="en-GB"/>
              </w:rPr>
              <w:t xml:space="preserve"> GCR—density of seriously injured [people / km / year], L—section length in km, </w:t>
            </w:r>
            <w:r w:rsidRPr="0045151D">
              <w:rPr>
                <w:rFonts w:ascii="Calibri" w:eastAsia="Calibri" w:hAnsi="Calibri" w:cs="Calibri"/>
                <w:b/>
                <w:i/>
                <w:color w:val="000000"/>
                <w:sz w:val="20"/>
                <w:szCs w:val="20"/>
                <w:lang w:val="en-GB"/>
              </w:rPr>
              <w:t>f</w:t>
            </w:r>
            <w:r w:rsidRPr="0045151D">
              <w:rPr>
                <w:rFonts w:ascii="Calibri" w:eastAsia="Calibri" w:hAnsi="Calibri" w:cs="Calibri"/>
                <w:color w:val="000000"/>
                <w:sz w:val="20"/>
                <w:szCs w:val="20"/>
                <w:vertAlign w:val="subscript"/>
                <w:lang w:val="en-GB"/>
              </w:rPr>
              <w:t>HP</w:t>
            </w:r>
            <w:r w:rsidRPr="0045151D">
              <w:rPr>
                <w:rFonts w:ascii="Calibri" w:eastAsia="Calibri" w:hAnsi="Calibri" w:cs="Calibri"/>
                <w:color w:val="000000"/>
                <w:sz w:val="20"/>
                <w:szCs w:val="20"/>
                <w:lang w:val="en-GB"/>
              </w:rPr>
              <w:t xml:space="preserve"> – factor of impact of forecast horizon.</w:t>
            </w:r>
          </w:p>
          <w:p w14:paraId="24F2BAD4"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Number of slightly injured (</w:t>
            </w:r>
            <w:r w:rsidRPr="0045151D">
              <w:rPr>
                <w:rFonts w:ascii="Calibri" w:eastAsia="Calibri" w:hAnsi="Calibri" w:cs="Calibri"/>
                <w:b/>
                <w:color w:val="000000"/>
                <w:sz w:val="20"/>
                <w:szCs w:val="20"/>
                <w:lang w:val="en-GB"/>
              </w:rPr>
              <w:t>a</w:t>
            </w:r>
            <w:r w:rsidRPr="0045151D">
              <w:rPr>
                <w:rFonts w:ascii="Calibri" w:eastAsia="Calibri" w:hAnsi="Calibri" w:cs="Calibri"/>
                <w:b/>
                <w:color w:val="000000"/>
                <w:sz w:val="20"/>
                <w:szCs w:val="20"/>
                <w:vertAlign w:val="subscript"/>
                <w:lang w:val="en-GB"/>
              </w:rPr>
              <w:t>lrt</w:t>
            </w:r>
            <w:r w:rsidRPr="0045151D">
              <w:rPr>
                <w:rFonts w:ascii="Calibri" w:eastAsia="Calibri" w:hAnsi="Calibri" w:cs="Calibri"/>
                <w:color w:val="000000"/>
                <w:sz w:val="20"/>
                <w:szCs w:val="20"/>
                <w:lang w:val="en-GB"/>
              </w:rPr>
              <w:t xml:space="preserve">) should be  calculated as </w:t>
            </w:r>
            <w:r w:rsidRPr="0045151D">
              <w:rPr>
                <w:rFonts w:ascii="Calibri" w:eastAsia="Calibri" w:hAnsi="Calibri" w:cs="Calibri"/>
                <w:b/>
                <w:color w:val="000000"/>
                <w:sz w:val="20"/>
                <w:szCs w:val="20"/>
                <w:lang w:val="en-GB"/>
              </w:rPr>
              <w:t>a</w:t>
            </w:r>
            <w:r w:rsidRPr="0045151D">
              <w:rPr>
                <w:rFonts w:ascii="Calibri" w:eastAsia="Calibri" w:hAnsi="Calibri" w:cs="Calibri"/>
                <w:b/>
                <w:color w:val="000000"/>
                <w:sz w:val="20"/>
                <w:szCs w:val="20"/>
                <w:vertAlign w:val="subscript"/>
                <w:lang w:val="en-GB"/>
              </w:rPr>
              <w:t>rt</w:t>
            </w:r>
            <w:r w:rsidRPr="0045151D">
              <w:rPr>
                <w:rFonts w:ascii="Calibri" w:eastAsia="Calibri" w:hAnsi="Calibri" w:cs="Calibri"/>
                <w:color w:val="000000"/>
                <w:sz w:val="20"/>
                <w:szCs w:val="20"/>
                <w:lang w:val="en-GB"/>
              </w:rPr>
              <w:t>-</w:t>
            </w:r>
            <w:r w:rsidRPr="0045151D">
              <w:rPr>
                <w:rFonts w:ascii="Calibri" w:eastAsia="Calibri" w:hAnsi="Calibri" w:cs="Calibri"/>
                <w:b/>
                <w:color w:val="000000"/>
                <w:sz w:val="20"/>
                <w:szCs w:val="20"/>
                <w:lang w:val="en-GB"/>
              </w:rPr>
              <w:t xml:space="preserve"> a</w:t>
            </w:r>
            <w:r w:rsidRPr="0045151D">
              <w:rPr>
                <w:rFonts w:ascii="Calibri" w:eastAsia="Calibri" w:hAnsi="Calibri" w:cs="Calibri"/>
                <w:b/>
                <w:color w:val="000000"/>
                <w:sz w:val="20"/>
                <w:szCs w:val="20"/>
                <w:vertAlign w:val="subscript"/>
                <w:lang w:val="en-GB"/>
              </w:rPr>
              <w:t xml:space="preserve">crt </w:t>
            </w:r>
            <w:r w:rsidRPr="0045151D">
              <w:rPr>
                <w:rFonts w:ascii="Calibri" w:eastAsia="Calibri" w:hAnsi="Calibri" w:cs="Calibri"/>
                <w:color w:val="000000"/>
                <w:sz w:val="20"/>
                <w:szCs w:val="20"/>
                <w:lang w:val="en-GB"/>
              </w:rPr>
              <w:t xml:space="preserve"> difference.</w:t>
            </w:r>
          </w:p>
          <w:p w14:paraId="0EF62E16"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values shown in the tables below (from table 10 to table 20) correspond to the year 2010. For the base year and purpose of forecasting, the time horizon factor (tab. 9) included in the formulas above should be taken into account. This factor takes into account socio-economic changes in Poland and planned actions to improve road safety over time.</w:t>
            </w:r>
          </w:p>
          <w:p w14:paraId="1552B805" w14:textId="1E397902" w:rsidR="00600DEE" w:rsidRPr="0045151D" w:rsidRDefault="00641FB5">
            <w:pPr>
              <w:pBdr>
                <w:top w:val="nil"/>
                <w:left w:val="nil"/>
                <w:bottom w:val="nil"/>
                <w:right w:val="nil"/>
                <w:between w:val="nil"/>
              </w:pBdr>
              <w:spacing w:before="120" w:after="120"/>
              <w:jc w:val="both"/>
              <w:rPr>
                <w:rFonts w:ascii="Calibri" w:eastAsia="Calibri" w:hAnsi="Calibri" w:cs="Calibri"/>
                <w:b/>
                <w:i/>
                <w:color w:val="4F81BD"/>
                <w:sz w:val="20"/>
                <w:szCs w:val="20"/>
                <w:lang w:val="en-GB"/>
              </w:rPr>
            </w:pPr>
            <w:r w:rsidRPr="0045151D">
              <w:rPr>
                <w:rFonts w:ascii="Calibri" w:eastAsia="Calibri" w:hAnsi="Calibri" w:cs="Calibri"/>
                <w:b/>
                <w:color w:val="4F81BD"/>
                <w:sz w:val="20"/>
                <w:szCs w:val="20"/>
                <w:lang w:val="en-GB"/>
              </w:rPr>
              <w:t>Table 9. Time horizon factor f</w:t>
            </w:r>
            <w:r w:rsidRPr="0045151D">
              <w:rPr>
                <w:rFonts w:ascii="Calibri" w:eastAsia="Calibri" w:hAnsi="Calibri" w:cs="Calibri"/>
                <w:b/>
                <w:color w:val="4F81BD"/>
                <w:sz w:val="20"/>
                <w:szCs w:val="20"/>
                <w:vertAlign w:val="subscript"/>
                <w:lang w:val="en-GB"/>
              </w:rPr>
              <w:t xml:space="preserve">HP </w:t>
            </w:r>
            <w:r w:rsidRPr="0045151D">
              <w:rPr>
                <w:rFonts w:ascii="Calibri" w:eastAsia="Calibri" w:hAnsi="Calibri" w:cs="Calibri"/>
                <w:b/>
                <w:i/>
                <w:color w:val="4F81BD"/>
                <w:sz w:val="20"/>
                <w:szCs w:val="20"/>
                <w:lang w:val="en-GB"/>
              </w:rPr>
              <w:t>(same table as for Method I)</w:t>
            </w:r>
          </w:p>
          <w:p w14:paraId="1DE4126D" w14:textId="77777777" w:rsidR="00AB1BC5" w:rsidRPr="0045151D" w:rsidRDefault="00AB1BC5" w:rsidP="00AB1BC5">
            <w:pPr>
              <w:pBdr>
                <w:top w:val="nil"/>
                <w:left w:val="nil"/>
                <w:bottom w:val="nil"/>
                <w:right w:val="nil"/>
                <w:between w:val="nil"/>
              </w:pBdr>
              <w:spacing w:before="120"/>
              <w:jc w:val="both"/>
              <w:rPr>
                <w:rFonts w:ascii="Calibri" w:eastAsia="Calibri" w:hAnsi="Calibri" w:cs="Calibri"/>
                <w:b/>
                <w:color w:val="4F81BD"/>
                <w:sz w:val="20"/>
                <w:szCs w:val="20"/>
                <w:lang w:val="en-GB"/>
              </w:rPr>
            </w:pPr>
          </w:p>
          <w:tbl>
            <w:tblPr>
              <w:tblStyle w:val="afffffffffffffffff3"/>
              <w:tblW w:w="65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195"/>
              <w:gridCol w:w="1275"/>
              <w:gridCol w:w="1794"/>
              <w:gridCol w:w="1293"/>
            </w:tblGrid>
            <w:tr w:rsidR="00600DEE" w:rsidRPr="007463B9" w14:paraId="4556F7EB" w14:textId="77777777" w:rsidTr="00AB1BC5">
              <w:trPr>
                <w:trHeight w:hRule="exact" w:val="284"/>
              </w:trPr>
              <w:tc>
                <w:tcPr>
                  <w:tcW w:w="2195" w:type="dxa"/>
                  <w:shd w:val="clear" w:color="auto" w:fill="A6A6A6"/>
                  <w:vAlign w:val="center"/>
                </w:tcPr>
                <w:p w14:paraId="216A49DF"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Year forecast</w:t>
                  </w:r>
                </w:p>
              </w:tc>
              <w:tc>
                <w:tcPr>
                  <w:tcW w:w="1275" w:type="dxa"/>
                  <w:shd w:val="clear" w:color="auto" w:fill="A6A6A6"/>
                  <w:vAlign w:val="center"/>
                </w:tcPr>
                <w:p w14:paraId="05A0B061"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i/>
                      <w:color w:val="FFFFFF"/>
                      <w:sz w:val="22"/>
                      <w:szCs w:val="22"/>
                      <w:lang w:val="en-GB"/>
                    </w:rPr>
                    <w:t>f</w:t>
                  </w:r>
                  <w:r w:rsidRPr="0045151D">
                    <w:rPr>
                      <w:rFonts w:ascii="Calibri" w:eastAsia="Calibri" w:hAnsi="Calibri" w:cs="Calibri"/>
                      <w:b/>
                      <w:i/>
                      <w:color w:val="FFFFFF"/>
                      <w:sz w:val="22"/>
                      <w:szCs w:val="22"/>
                      <w:vertAlign w:val="subscript"/>
                      <w:lang w:val="en-GB"/>
                    </w:rPr>
                    <w:t>HP</w:t>
                  </w:r>
                </w:p>
              </w:tc>
              <w:tc>
                <w:tcPr>
                  <w:tcW w:w="1794" w:type="dxa"/>
                  <w:shd w:val="clear" w:color="auto" w:fill="A6A6A6"/>
                  <w:vAlign w:val="center"/>
                </w:tcPr>
                <w:p w14:paraId="009B2DD8"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Year forecast</w:t>
                  </w:r>
                </w:p>
              </w:tc>
              <w:tc>
                <w:tcPr>
                  <w:tcW w:w="1293" w:type="dxa"/>
                  <w:shd w:val="clear" w:color="auto" w:fill="A6A6A6"/>
                  <w:vAlign w:val="center"/>
                </w:tcPr>
                <w:p w14:paraId="5C3A5836"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i/>
                      <w:color w:val="FFFFFF"/>
                      <w:sz w:val="22"/>
                      <w:szCs w:val="22"/>
                      <w:lang w:val="en-GB"/>
                    </w:rPr>
                    <w:t>f</w:t>
                  </w:r>
                  <w:r w:rsidRPr="0045151D">
                    <w:rPr>
                      <w:rFonts w:ascii="Calibri" w:eastAsia="Calibri" w:hAnsi="Calibri" w:cs="Calibri"/>
                      <w:b/>
                      <w:i/>
                      <w:color w:val="FFFFFF"/>
                      <w:sz w:val="22"/>
                      <w:szCs w:val="22"/>
                      <w:vertAlign w:val="subscript"/>
                      <w:lang w:val="en-GB"/>
                    </w:rPr>
                    <w:t>HP</w:t>
                  </w:r>
                </w:p>
              </w:tc>
            </w:tr>
            <w:tr w:rsidR="00600DEE" w:rsidRPr="007463B9" w14:paraId="50032AB8" w14:textId="77777777" w:rsidTr="00AB1BC5">
              <w:trPr>
                <w:trHeight w:hRule="exact" w:val="284"/>
              </w:trPr>
              <w:tc>
                <w:tcPr>
                  <w:tcW w:w="2195" w:type="dxa"/>
                  <w:shd w:val="clear" w:color="auto" w:fill="DBE5F1"/>
                  <w:vAlign w:val="center"/>
                </w:tcPr>
                <w:p w14:paraId="3471D1A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2009 - 2010</w:t>
                  </w:r>
                </w:p>
              </w:tc>
              <w:tc>
                <w:tcPr>
                  <w:tcW w:w="1275" w:type="dxa"/>
                  <w:shd w:val="clear" w:color="auto" w:fill="DBE5F1"/>
                  <w:vAlign w:val="center"/>
                </w:tcPr>
                <w:p w14:paraId="0D85DBD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w:t>
                  </w:r>
                </w:p>
              </w:tc>
              <w:tc>
                <w:tcPr>
                  <w:tcW w:w="1794" w:type="dxa"/>
                  <w:shd w:val="clear" w:color="auto" w:fill="DBE5F1"/>
                  <w:vAlign w:val="center"/>
                </w:tcPr>
                <w:p w14:paraId="634FF34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2030 - 2033</w:t>
                  </w:r>
                </w:p>
              </w:tc>
              <w:tc>
                <w:tcPr>
                  <w:tcW w:w="1293" w:type="dxa"/>
                  <w:shd w:val="clear" w:color="auto" w:fill="DBE5F1"/>
                  <w:vAlign w:val="center"/>
                </w:tcPr>
                <w:p w14:paraId="0D35477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w:t>
                  </w:r>
                </w:p>
              </w:tc>
            </w:tr>
            <w:tr w:rsidR="00600DEE" w:rsidRPr="007463B9" w14:paraId="097149B2" w14:textId="77777777" w:rsidTr="00AB1BC5">
              <w:trPr>
                <w:trHeight w:hRule="exact" w:val="284"/>
              </w:trPr>
              <w:tc>
                <w:tcPr>
                  <w:tcW w:w="2195" w:type="dxa"/>
                  <w:shd w:val="clear" w:color="auto" w:fill="DBE5F1"/>
                  <w:vAlign w:val="center"/>
                </w:tcPr>
                <w:p w14:paraId="248ABF2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2011 - 2016 </w:t>
                  </w:r>
                </w:p>
              </w:tc>
              <w:tc>
                <w:tcPr>
                  <w:tcW w:w="1275" w:type="dxa"/>
                  <w:shd w:val="clear" w:color="auto" w:fill="DBE5F1"/>
                  <w:vAlign w:val="center"/>
                </w:tcPr>
                <w:p w14:paraId="79D4A4C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0.9</w:t>
                  </w:r>
                </w:p>
              </w:tc>
              <w:tc>
                <w:tcPr>
                  <w:tcW w:w="1794" w:type="dxa"/>
                  <w:shd w:val="clear" w:color="auto" w:fill="DBE5F1"/>
                  <w:vAlign w:val="center"/>
                </w:tcPr>
                <w:p w14:paraId="6DC2E73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2034 - 2039</w:t>
                  </w:r>
                </w:p>
              </w:tc>
              <w:tc>
                <w:tcPr>
                  <w:tcW w:w="1293" w:type="dxa"/>
                  <w:shd w:val="clear" w:color="auto" w:fill="DBE5F1"/>
                  <w:vAlign w:val="center"/>
                </w:tcPr>
                <w:p w14:paraId="692D49B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w:t>
                  </w:r>
                </w:p>
              </w:tc>
            </w:tr>
            <w:tr w:rsidR="00600DEE" w:rsidRPr="007463B9" w14:paraId="6DB143C6" w14:textId="77777777" w:rsidTr="00AB1BC5">
              <w:trPr>
                <w:trHeight w:hRule="exact" w:val="284"/>
              </w:trPr>
              <w:tc>
                <w:tcPr>
                  <w:tcW w:w="2195" w:type="dxa"/>
                  <w:shd w:val="clear" w:color="auto" w:fill="DBE5F1"/>
                  <w:vAlign w:val="center"/>
                </w:tcPr>
                <w:p w14:paraId="5A24FA3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2017 - 2021</w:t>
                  </w:r>
                </w:p>
              </w:tc>
              <w:tc>
                <w:tcPr>
                  <w:tcW w:w="1275" w:type="dxa"/>
                  <w:shd w:val="clear" w:color="auto" w:fill="DBE5F1"/>
                  <w:vAlign w:val="center"/>
                </w:tcPr>
                <w:p w14:paraId="579F236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w:t>
                  </w:r>
                </w:p>
              </w:tc>
              <w:tc>
                <w:tcPr>
                  <w:tcW w:w="1794" w:type="dxa"/>
                  <w:shd w:val="clear" w:color="auto" w:fill="DBE5F1"/>
                  <w:vAlign w:val="center"/>
                </w:tcPr>
                <w:p w14:paraId="0F1E456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2040 - 2045</w:t>
                  </w:r>
                </w:p>
              </w:tc>
              <w:tc>
                <w:tcPr>
                  <w:tcW w:w="1293" w:type="dxa"/>
                  <w:shd w:val="clear" w:color="auto" w:fill="DBE5F1"/>
                  <w:vAlign w:val="center"/>
                </w:tcPr>
                <w:p w14:paraId="1759DE4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w:t>
                  </w:r>
                </w:p>
              </w:tc>
            </w:tr>
            <w:tr w:rsidR="00600DEE" w:rsidRPr="007463B9" w14:paraId="314B590C" w14:textId="77777777" w:rsidTr="00AB1BC5">
              <w:trPr>
                <w:trHeight w:hRule="exact" w:val="284"/>
              </w:trPr>
              <w:tc>
                <w:tcPr>
                  <w:tcW w:w="2195" w:type="dxa"/>
                  <w:shd w:val="clear" w:color="auto" w:fill="DBE5F1"/>
                  <w:vAlign w:val="center"/>
                </w:tcPr>
                <w:p w14:paraId="4481F80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2022 - 2025</w:t>
                  </w:r>
                </w:p>
              </w:tc>
              <w:tc>
                <w:tcPr>
                  <w:tcW w:w="1275" w:type="dxa"/>
                  <w:shd w:val="clear" w:color="auto" w:fill="DBE5F1"/>
                  <w:vAlign w:val="center"/>
                </w:tcPr>
                <w:p w14:paraId="4915943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w:t>
                  </w:r>
                </w:p>
              </w:tc>
              <w:tc>
                <w:tcPr>
                  <w:tcW w:w="1794" w:type="dxa"/>
                  <w:shd w:val="clear" w:color="auto" w:fill="DBE5F1"/>
                  <w:vAlign w:val="center"/>
                </w:tcPr>
                <w:p w14:paraId="5BE4C49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2046 - 2050</w:t>
                  </w:r>
                </w:p>
              </w:tc>
              <w:tc>
                <w:tcPr>
                  <w:tcW w:w="1293" w:type="dxa"/>
                  <w:shd w:val="clear" w:color="auto" w:fill="DBE5F1"/>
                  <w:vAlign w:val="center"/>
                </w:tcPr>
                <w:p w14:paraId="7257E72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w:t>
                  </w:r>
                </w:p>
              </w:tc>
            </w:tr>
            <w:tr w:rsidR="00600DEE" w:rsidRPr="007463B9" w14:paraId="3EB6BBB7" w14:textId="77777777" w:rsidTr="00AB1BC5">
              <w:trPr>
                <w:trHeight w:hRule="exact" w:val="284"/>
              </w:trPr>
              <w:tc>
                <w:tcPr>
                  <w:tcW w:w="2195" w:type="dxa"/>
                  <w:shd w:val="clear" w:color="auto" w:fill="DBE5F1"/>
                  <w:vAlign w:val="center"/>
                </w:tcPr>
                <w:p w14:paraId="32A3FCB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2026 - 2029</w:t>
                  </w:r>
                </w:p>
              </w:tc>
              <w:tc>
                <w:tcPr>
                  <w:tcW w:w="1275" w:type="dxa"/>
                  <w:shd w:val="clear" w:color="auto" w:fill="DBE5F1"/>
                  <w:vAlign w:val="center"/>
                </w:tcPr>
                <w:p w14:paraId="5822229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w:t>
                  </w:r>
                </w:p>
              </w:tc>
              <w:tc>
                <w:tcPr>
                  <w:tcW w:w="1794" w:type="dxa"/>
                  <w:shd w:val="clear" w:color="auto" w:fill="DBE5F1"/>
                </w:tcPr>
                <w:p w14:paraId="3096B4BB" w14:textId="77777777" w:rsidR="00600DEE" w:rsidRPr="0045151D" w:rsidRDefault="00600DEE">
                  <w:pPr>
                    <w:jc w:val="both"/>
                    <w:rPr>
                      <w:rFonts w:ascii="Calibri" w:eastAsia="Calibri" w:hAnsi="Calibri" w:cs="Calibri"/>
                      <w:color w:val="4F81BD"/>
                      <w:sz w:val="18"/>
                      <w:szCs w:val="18"/>
                      <w:lang w:val="en-GB"/>
                    </w:rPr>
                  </w:pPr>
                </w:p>
              </w:tc>
              <w:tc>
                <w:tcPr>
                  <w:tcW w:w="1293" w:type="dxa"/>
                  <w:shd w:val="clear" w:color="auto" w:fill="DBE5F1"/>
                </w:tcPr>
                <w:p w14:paraId="20A03FA7" w14:textId="77777777" w:rsidR="00600DEE" w:rsidRPr="0045151D" w:rsidRDefault="00600DEE">
                  <w:pPr>
                    <w:rPr>
                      <w:rFonts w:ascii="Calibri" w:eastAsia="Calibri" w:hAnsi="Calibri" w:cs="Calibri"/>
                      <w:color w:val="4F81BD"/>
                      <w:sz w:val="18"/>
                      <w:szCs w:val="18"/>
                      <w:lang w:val="en-GB"/>
                    </w:rPr>
                  </w:pPr>
                </w:p>
              </w:tc>
            </w:tr>
          </w:tbl>
          <w:p w14:paraId="034C315A"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i/>
                <w:color w:val="000000"/>
                <w:sz w:val="16"/>
                <w:szCs w:val="16"/>
                <w:lang w:val="en-GB"/>
              </w:rPr>
            </w:pPr>
            <w:r w:rsidRPr="0045151D">
              <w:rPr>
                <w:rFonts w:ascii="Calibri" w:eastAsia="Calibri" w:hAnsi="Calibri" w:cs="Calibri"/>
                <w:b/>
                <w:i/>
                <w:color w:val="000000"/>
                <w:sz w:val="16"/>
                <w:szCs w:val="16"/>
                <w:lang w:val="en-GB"/>
              </w:rPr>
              <w:t>Source: Own calculations based on the method of RS indicators</w:t>
            </w:r>
          </w:p>
          <w:p w14:paraId="1D0E0351"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The following tables refer to two types of investments: </w:t>
            </w:r>
          </w:p>
          <w:p w14:paraId="3DA2080E" w14:textId="77777777" w:rsidR="00600DEE" w:rsidRPr="0045151D"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 xml:space="preserve">linear investments, road sections (dual carriageway and single carriageway, over 10 km of length) </w:t>
            </w:r>
          </w:p>
          <w:p w14:paraId="0C1BD276" w14:textId="77777777" w:rsidR="00600DEE" w:rsidRDefault="00641FB5" w:rsidP="00D5736B">
            <w:pPr>
              <w:numPr>
                <w:ilvl w:val="0"/>
                <w:numId w:val="67"/>
              </w:numPr>
              <w:pBdr>
                <w:top w:val="nil"/>
                <w:left w:val="nil"/>
                <w:bottom w:val="nil"/>
                <w:right w:val="nil"/>
                <w:between w:val="nil"/>
              </w:pBdr>
              <w:spacing w:before="120" w:after="120"/>
              <w:ind w:left="707" w:hanging="707"/>
              <w:jc w:val="both"/>
              <w:rPr>
                <w:rFonts w:ascii="Calibri" w:eastAsia="Calibri" w:hAnsi="Calibri" w:cs="Calibri"/>
                <w:color w:val="000000"/>
                <w:sz w:val="20"/>
                <w:szCs w:val="20"/>
              </w:rPr>
            </w:pPr>
            <w:r>
              <w:rPr>
                <w:rFonts w:ascii="Calibri" w:eastAsia="Calibri" w:hAnsi="Calibri" w:cs="Calibri"/>
                <w:color w:val="000000"/>
                <w:sz w:val="20"/>
                <w:szCs w:val="20"/>
              </w:rPr>
              <w:t>bypasses (single carriageway).</w:t>
            </w:r>
          </w:p>
          <w:p w14:paraId="2265B663"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The values presented in the tables correspond to the relevant range of AADT; these estimates may be used for CBA purposes. However,interpolation is also possible, particularly in case of slight variations in AADT values.</w:t>
            </w:r>
          </w:p>
          <w:p w14:paraId="3312AC50"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000000"/>
                <w:sz w:val="20"/>
                <w:szCs w:val="20"/>
                <w:lang w:val="en-GB"/>
              </w:rPr>
            </w:pPr>
          </w:p>
          <w:p w14:paraId="6E694350"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Dual carriageway road sections</w:t>
            </w:r>
          </w:p>
          <w:p w14:paraId="5748547D"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Accident costs on dual carriageway roads sections for Wn and W0</w:t>
            </w:r>
            <w:r w:rsidRPr="0045151D">
              <w:rPr>
                <w:rFonts w:ascii="Calibri" w:eastAsia="Calibri" w:hAnsi="Calibri" w:cs="Calibri"/>
                <w:color w:val="000000"/>
                <w:sz w:val="20"/>
                <w:szCs w:val="20"/>
                <w:vertAlign w:val="subscript"/>
                <w:lang w:val="en-GB"/>
              </w:rPr>
              <w:t xml:space="preserve"> </w:t>
            </w:r>
            <w:r w:rsidRPr="0045151D">
              <w:rPr>
                <w:rFonts w:ascii="Calibri" w:eastAsia="Calibri" w:hAnsi="Calibri" w:cs="Calibri"/>
                <w:color w:val="000000"/>
                <w:sz w:val="20"/>
                <w:szCs w:val="20"/>
                <w:lang w:val="en-GB"/>
              </w:rPr>
              <w:t>options are calculated as the sum of costs of slightly injured, seriously injured, fatalities and material loses.</w:t>
            </w:r>
          </w:p>
          <w:p w14:paraId="0CDE2624" w14:textId="77777777" w:rsidR="00600DEE" w:rsidRPr="0045151D" w:rsidRDefault="00600DEE">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4169E7AE" w14:textId="77777777" w:rsidR="00600DEE" w:rsidRPr="0045151D" w:rsidRDefault="00641FB5">
            <w:pPr>
              <w:pBdr>
                <w:top w:val="nil"/>
                <w:left w:val="nil"/>
                <w:bottom w:val="nil"/>
                <w:right w:val="nil"/>
                <w:between w:val="nil"/>
              </w:pBdr>
              <w:spacing w:before="120" w:after="120"/>
              <w:ind w:left="848" w:hanging="85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10. The density of road traffic accidents (GW) for dual carriageway roads</w:t>
            </w:r>
            <w:r w:rsidRPr="0045151D">
              <w:rPr>
                <w:rFonts w:ascii="Calibri" w:eastAsia="Calibri" w:hAnsi="Calibri" w:cs="Calibri"/>
                <w:b/>
                <w:color w:val="4F81BD"/>
                <w:sz w:val="20"/>
                <w:szCs w:val="20"/>
                <w:lang w:val="en-GB"/>
              </w:rPr>
              <w:br/>
              <w:t>[accidents/km/year]</w:t>
            </w:r>
          </w:p>
          <w:tbl>
            <w:tblPr>
              <w:tblStyle w:val="afffffffffffffffff4"/>
              <w:tblW w:w="69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56"/>
              <w:gridCol w:w="1307"/>
              <w:gridCol w:w="1307"/>
              <w:gridCol w:w="1307"/>
              <w:gridCol w:w="1363"/>
            </w:tblGrid>
            <w:tr w:rsidR="00600DEE" w:rsidRPr="007463B9" w14:paraId="407B2E81" w14:textId="77777777" w:rsidTr="00AB1BC5">
              <w:trPr>
                <w:trHeight w:hRule="exact" w:val="255"/>
              </w:trPr>
              <w:tc>
                <w:tcPr>
                  <w:tcW w:w="1657" w:type="dxa"/>
                  <w:shd w:val="clear" w:color="auto" w:fill="A6A6A6"/>
                  <w:vAlign w:val="center"/>
                </w:tcPr>
                <w:p w14:paraId="16E9C552"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AADT</w:t>
                  </w:r>
                </w:p>
              </w:tc>
              <w:tc>
                <w:tcPr>
                  <w:tcW w:w="1307" w:type="dxa"/>
                  <w:shd w:val="clear" w:color="auto" w:fill="A6A6A6"/>
                  <w:vAlign w:val="center"/>
                </w:tcPr>
                <w:p w14:paraId="21439CBA"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S2 +1</w:t>
                  </w:r>
                </w:p>
              </w:tc>
              <w:tc>
                <w:tcPr>
                  <w:tcW w:w="1307" w:type="dxa"/>
                  <w:shd w:val="clear" w:color="auto" w:fill="A6A6A6"/>
                  <w:vAlign w:val="center"/>
                </w:tcPr>
                <w:p w14:paraId="39E05F6A"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 A</w:t>
                  </w:r>
                </w:p>
              </w:tc>
              <w:tc>
                <w:tcPr>
                  <w:tcW w:w="1307" w:type="dxa"/>
                  <w:shd w:val="clear" w:color="auto" w:fill="A6A6A6"/>
                  <w:vAlign w:val="center"/>
                </w:tcPr>
                <w:p w14:paraId="6FB94929"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GPn *</w:t>
                  </w:r>
                </w:p>
              </w:tc>
              <w:tc>
                <w:tcPr>
                  <w:tcW w:w="1363" w:type="dxa"/>
                  <w:shd w:val="clear" w:color="auto" w:fill="A6A6A6"/>
                  <w:vAlign w:val="center"/>
                </w:tcPr>
                <w:p w14:paraId="32389A10"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GPz **</w:t>
                  </w:r>
                </w:p>
              </w:tc>
            </w:tr>
            <w:tr w:rsidR="00600DEE" w:rsidRPr="007463B9" w14:paraId="3E8E0B11" w14:textId="77777777" w:rsidTr="00AB1BC5">
              <w:trPr>
                <w:trHeight w:hRule="exact" w:val="255"/>
              </w:trPr>
              <w:tc>
                <w:tcPr>
                  <w:tcW w:w="1657" w:type="dxa"/>
                  <w:shd w:val="clear" w:color="auto" w:fill="DBE5F1"/>
                  <w:vAlign w:val="bottom"/>
                </w:tcPr>
                <w:p w14:paraId="50B3EAC5" w14:textId="536E14DB"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307" w:type="dxa"/>
                  <w:shd w:val="clear" w:color="auto" w:fill="DBE5F1"/>
                  <w:vAlign w:val="bottom"/>
                </w:tcPr>
                <w:p w14:paraId="2142749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0.040</w:t>
                  </w:r>
                </w:p>
              </w:tc>
              <w:tc>
                <w:tcPr>
                  <w:tcW w:w="1307" w:type="dxa"/>
                  <w:shd w:val="clear" w:color="auto" w:fill="DBE5F1"/>
                  <w:vAlign w:val="bottom"/>
                </w:tcPr>
                <w:p w14:paraId="0D7F835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0.029</w:t>
                  </w:r>
                </w:p>
              </w:tc>
              <w:tc>
                <w:tcPr>
                  <w:tcW w:w="1307" w:type="dxa"/>
                  <w:shd w:val="clear" w:color="auto" w:fill="DBE5F1"/>
                  <w:vAlign w:val="bottom"/>
                </w:tcPr>
                <w:p w14:paraId="6FDEB38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0.396</w:t>
                  </w:r>
                </w:p>
              </w:tc>
              <w:tc>
                <w:tcPr>
                  <w:tcW w:w="1363" w:type="dxa"/>
                  <w:shd w:val="clear" w:color="auto" w:fill="DBE5F1"/>
                  <w:vAlign w:val="bottom"/>
                </w:tcPr>
                <w:p w14:paraId="4D9A968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0.739</w:t>
                  </w:r>
                </w:p>
              </w:tc>
            </w:tr>
            <w:tr w:rsidR="00600DEE" w:rsidRPr="007463B9" w14:paraId="646ED7EF" w14:textId="77777777" w:rsidTr="00AB1BC5">
              <w:trPr>
                <w:trHeight w:hRule="exact" w:val="255"/>
              </w:trPr>
              <w:tc>
                <w:tcPr>
                  <w:tcW w:w="1657" w:type="dxa"/>
                  <w:shd w:val="clear" w:color="auto" w:fill="DBE5F1"/>
                  <w:vAlign w:val="bottom"/>
                </w:tcPr>
                <w:p w14:paraId="6A4B6A55" w14:textId="5B1A8CA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307" w:type="dxa"/>
                  <w:shd w:val="clear" w:color="auto" w:fill="DBE5F1"/>
                  <w:vAlign w:val="bottom"/>
                </w:tcPr>
                <w:p w14:paraId="6A3B32F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0.113</w:t>
                  </w:r>
                </w:p>
              </w:tc>
              <w:tc>
                <w:tcPr>
                  <w:tcW w:w="1307" w:type="dxa"/>
                  <w:shd w:val="clear" w:color="auto" w:fill="DBE5F1"/>
                  <w:vAlign w:val="bottom"/>
                </w:tcPr>
                <w:p w14:paraId="7C1E2F4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0.081</w:t>
                  </w:r>
                </w:p>
              </w:tc>
              <w:tc>
                <w:tcPr>
                  <w:tcW w:w="1307" w:type="dxa"/>
                  <w:shd w:val="clear" w:color="auto" w:fill="DBE5F1"/>
                  <w:vAlign w:val="bottom"/>
                </w:tcPr>
                <w:p w14:paraId="2D07931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0.460</w:t>
                  </w:r>
                </w:p>
              </w:tc>
              <w:tc>
                <w:tcPr>
                  <w:tcW w:w="1363" w:type="dxa"/>
                  <w:shd w:val="clear" w:color="auto" w:fill="DBE5F1"/>
                  <w:vAlign w:val="bottom"/>
                </w:tcPr>
                <w:p w14:paraId="16A21E3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0.819</w:t>
                  </w:r>
                </w:p>
              </w:tc>
            </w:tr>
            <w:tr w:rsidR="00600DEE" w:rsidRPr="007463B9" w14:paraId="1FDA7361" w14:textId="77777777" w:rsidTr="00AB1BC5">
              <w:trPr>
                <w:trHeight w:hRule="exact" w:val="255"/>
              </w:trPr>
              <w:tc>
                <w:tcPr>
                  <w:tcW w:w="1657" w:type="dxa"/>
                  <w:shd w:val="clear" w:color="auto" w:fill="DBE5F1"/>
                  <w:vAlign w:val="bottom"/>
                </w:tcPr>
                <w:p w14:paraId="0B5EDA7F" w14:textId="0B001CB5"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10 000-20 000</w:t>
                  </w:r>
                </w:p>
              </w:tc>
              <w:tc>
                <w:tcPr>
                  <w:tcW w:w="1307" w:type="dxa"/>
                  <w:shd w:val="clear" w:color="auto" w:fill="DBE5F1"/>
                  <w:vAlign w:val="bottom"/>
                </w:tcPr>
                <w:p w14:paraId="50F0F87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0.294</w:t>
                  </w:r>
                </w:p>
              </w:tc>
              <w:tc>
                <w:tcPr>
                  <w:tcW w:w="1307" w:type="dxa"/>
                  <w:shd w:val="clear" w:color="auto" w:fill="DBE5F1"/>
                  <w:vAlign w:val="bottom"/>
                </w:tcPr>
                <w:p w14:paraId="47793EF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0.220</w:t>
                  </w:r>
                </w:p>
              </w:tc>
              <w:tc>
                <w:tcPr>
                  <w:tcW w:w="1307" w:type="dxa"/>
                  <w:shd w:val="clear" w:color="auto" w:fill="DBE5F1"/>
                  <w:vAlign w:val="bottom"/>
                </w:tcPr>
                <w:p w14:paraId="1171004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0.603</w:t>
                  </w:r>
                </w:p>
              </w:tc>
              <w:tc>
                <w:tcPr>
                  <w:tcW w:w="1363" w:type="dxa"/>
                  <w:shd w:val="clear" w:color="auto" w:fill="DBE5F1"/>
                  <w:vAlign w:val="bottom"/>
                </w:tcPr>
                <w:p w14:paraId="3724F51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0.974</w:t>
                  </w:r>
                </w:p>
              </w:tc>
            </w:tr>
            <w:tr w:rsidR="00600DEE" w:rsidRPr="007463B9" w14:paraId="454E311F" w14:textId="77777777" w:rsidTr="00AB1BC5">
              <w:trPr>
                <w:trHeight w:hRule="exact" w:val="255"/>
              </w:trPr>
              <w:tc>
                <w:tcPr>
                  <w:tcW w:w="1657" w:type="dxa"/>
                  <w:shd w:val="clear" w:color="auto" w:fill="DBE5F1"/>
                  <w:vAlign w:val="bottom"/>
                </w:tcPr>
                <w:p w14:paraId="1A8920CA" w14:textId="4D60A133"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w:t>
                  </w:r>
                </w:p>
              </w:tc>
              <w:tc>
                <w:tcPr>
                  <w:tcW w:w="1307" w:type="dxa"/>
                  <w:shd w:val="clear" w:color="auto" w:fill="DBE5F1"/>
                  <w:vAlign w:val="bottom"/>
                </w:tcPr>
                <w:p w14:paraId="19BBA2F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0.554</w:t>
                  </w:r>
                </w:p>
              </w:tc>
              <w:tc>
                <w:tcPr>
                  <w:tcW w:w="1307" w:type="dxa"/>
                  <w:shd w:val="clear" w:color="auto" w:fill="DBE5F1"/>
                  <w:vAlign w:val="bottom"/>
                </w:tcPr>
                <w:p w14:paraId="4E68102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0.396</w:t>
                  </w:r>
                </w:p>
              </w:tc>
              <w:tc>
                <w:tcPr>
                  <w:tcW w:w="1307" w:type="dxa"/>
                  <w:shd w:val="clear" w:color="auto" w:fill="DBE5F1"/>
                  <w:vAlign w:val="bottom"/>
                </w:tcPr>
                <w:p w14:paraId="093FD4D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0.810</w:t>
                  </w:r>
                </w:p>
              </w:tc>
              <w:tc>
                <w:tcPr>
                  <w:tcW w:w="1363" w:type="dxa"/>
                  <w:shd w:val="clear" w:color="auto" w:fill="DBE5F1"/>
                  <w:vAlign w:val="bottom"/>
                </w:tcPr>
                <w:p w14:paraId="70D5634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1.161</w:t>
                  </w:r>
                </w:p>
              </w:tc>
            </w:tr>
            <w:tr w:rsidR="00600DEE" w:rsidRPr="007463B9" w14:paraId="402E46B7" w14:textId="77777777" w:rsidTr="00AB1BC5">
              <w:trPr>
                <w:trHeight w:hRule="exact" w:val="255"/>
              </w:trPr>
              <w:tc>
                <w:tcPr>
                  <w:tcW w:w="1657" w:type="dxa"/>
                  <w:shd w:val="clear" w:color="auto" w:fill="DBE5F1"/>
                  <w:vAlign w:val="bottom"/>
                </w:tcPr>
                <w:p w14:paraId="63BF5132" w14:textId="2416E59F"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30 000-40 000</w:t>
                  </w:r>
                </w:p>
              </w:tc>
              <w:tc>
                <w:tcPr>
                  <w:tcW w:w="1307" w:type="dxa"/>
                  <w:shd w:val="clear" w:color="auto" w:fill="DBE5F1"/>
                  <w:vAlign w:val="bottom"/>
                </w:tcPr>
                <w:p w14:paraId="3D9ACA5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0.800</w:t>
                  </w:r>
                </w:p>
              </w:tc>
              <w:tc>
                <w:tcPr>
                  <w:tcW w:w="1307" w:type="dxa"/>
                  <w:shd w:val="clear" w:color="auto" w:fill="DBE5F1"/>
                  <w:vAlign w:val="bottom"/>
                </w:tcPr>
                <w:p w14:paraId="76509FD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0.571</w:t>
                  </w:r>
                </w:p>
              </w:tc>
              <w:tc>
                <w:tcPr>
                  <w:tcW w:w="1307" w:type="dxa"/>
                  <w:shd w:val="clear" w:color="auto" w:fill="DBE5F1"/>
                  <w:vAlign w:val="bottom"/>
                </w:tcPr>
                <w:p w14:paraId="0E1155E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1.016</w:t>
                  </w:r>
                </w:p>
              </w:tc>
              <w:tc>
                <w:tcPr>
                  <w:tcW w:w="1363" w:type="dxa"/>
                  <w:shd w:val="clear" w:color="auto" w:fill="DBE5F1"/>
                  <w:vAlign w:val="bottom"/>
                </w:tcPr>
                <w:p w14:paraId="4A191B0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1.309</w:t>
                  </w:r>
                </w:p>
              </w:tc>
            </w:tr>
            <w:tr w:rsidR="00600DEE" w:rsidRPr="007463B9" w14:paraId="18F3BAAF" w14:textId="77777777" w:rsidTr="00AB1BC5">
              <w:trPr>
                <w:trHeight w:hRule="exact" w:val="255"/>
              </w:trPr>
              <w:tc>
                <w:tcPr>
                  <w:tcW w:w="1657" w:type="dxa"/>
                  <w:shd w:val="clear" w:color="auto" w:fill="DBE5F1"/>
                  <w:vAlign w:val="bottom"/>
                </w:tcPr>
                <w:p w14:paraId="4A5BA14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above 40 000</w:t>
                  </w:r>
                </w:p>
              </w:tc>
              <w:tc>
                <w:tcPr>
                  <w:tcW w:w="1307" w:type="dxa"/>
                  <w:shd w:val="clear" w:color="auto" w:fill="DBE5F1"/>
                  <w:vAlign w:val="bottom"/>
                </w:tcPr>
                <w:p w14:paraId="3847604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1.255</w:t>
                  </w:r>
                </w:p>
              </w:tc>
              <w:tc>
                <w:tcPr>
                  <w:tcW w:w="1307" w:type="dxa"/>
                  <w:shd w:val="clear" w:color="auto" w:fill="DBE5F1"/>
                  <w:vAlign w:val="bottom"/>
                </w:tcPr>
                <w:p w14:paraId="25469B0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0.877</w:t>
                  </w:r>
                </w:p>
              </w:tc>
              <w:tc>
                <w:tcPr>
                  <w:tcW w:w="1307" w:type="dxa"/>
                  <w:shd w:val="clear" w:color="auto" w:fill="DBE5F1"/>
                  <w:vAlign w:val="bottom"/>
                </w:tcPr>
                <w:p w14:paraId="20B63DB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1.447</w:t>
                  </w:r>
                </w:p>
              </w:tc>
              <w:tc>
                <w:tcPr>
                  <w:tcW w:w="1363" w:type="dxa"/>
                  <w:shd w:val="clear" w:color="auto" w:fill="DBE5F1"/>
                  <w:vAlign w:val="bottom"/>
                </w:tcPr>
                <w:p w14:paraId="0A69D3E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1.535</w:t>
                  </w:r>
                </w:p>
              </w:tc>
            </w:tr>
          </w:tbl>
          <w:p w14:paraId="594D9D05" w14:textId="77777777" w:rsidR="00600DEE" w:rsidRPr="0045151D" w:rsidRDefault="00641FB5">
            <w:pPr>
              <w:spacing w:before="120" w:after="120"/>
              <w:ind w:right="170"/>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118DB3AB" w14:textId="77777777" w:rsidR="00600DEE" w:rsidRPr="0045151D" w:rsidRDefault="00641FB5">
            <w:pPr>
              <w:spacing w:before="120" w:after="120"/>
              <w:ind w:right="170"/>
              <w:jc w:val="both"/>
              <w:rPr>
                <w:rFonts w:ascii="Calibri" w:eastAsia="Calibri" w:hAnsi="Calibri" w:cs="Calibri"/>
                <w:i/>
                <w:sz w:val="16"/>
                <w:szCs w:val="16"/>
                <w:lang w:val="en-GB"/>
              </w:rPr>
            </w:pPr>
            <w:r w:rsidRPr="0045151D">
              <w:rPr>
                <w:rFonts w:ascii="Calibri" w:eastAsia="Calibri" w:hAnsi="Calibri" w:cs="Calibri"/>
                <w:i/>
                <w:sz w:val="16"/>
                <w:szCs w:val="16"/>
                <w:lang w:val="en-GB"/>
              </w:rPr>
              <w:t>* Applies to undeveloped areas</w:t>
            </w:r>
          </w:p>
          <w:p w14:paraId="04325B5A" w14:textId="77777777" w:rsidR="00600DEE" w:rsidRPr="0045151D" w:rsidRDefault="00641FB5">
            <w:pPr>
              <w:spacing w:before="120" w:after="120"/>
              <w:ind w:right="170"/>
              <w:jc w:val="both"/>
              <w:rPr>
                <w:rFonts w:ascii="Calibri" w:eastAsia="Calibri" w:hAnsi="Calibri" w:cs="Calibri"/>
                <w:i/>
                <w:sz w:val="16"/>
                <w:szCs w:val="16"/>
                <w:lang w:val="en-GB"/>
              </w:rPr>
            </w:pPr>
            <w:r w:rsidRPr="0045151D">
              <w:rPr>
                <w:rFonts w:ascii="Calibri" w:eastAsia="Calibri" w:hAnsi="Calibri" w:cs="Calibri"/>
                <w:i/>
                <w:sz w:val="16"/>
                <w:szCs w:val="16"/>
                <w:lang w:val="en-GB"/>
              </w:rPr>
              <w:t>**Applies to built-up areas</w:t>
            </w:r>
          </w:p>
          <w:p w14:paraId="1AE72FF7" w14:textId="7F4C4A8D" w:rsidR="00600DEE" w:rsidRPr="0045151D" w:rsidRDefault="00641FB5" w:rsidP="00AB1BC5">
            <w:pPr>
              <w:pBdr>
                <w:top w:val="nil"/>
                <w:left w:val="nil"/>
                <w:bottom w:val="nil"/>
                <w:right w:val="nil"/>
                <w:between w:val="nil"/>
              </w:pBdr>
              <w:spacing w:before="120" w:after="180"/>
              <w:ind w:left="1132" w:hanging="1132"/>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11. The density of injured (GR) for dual carriageway r</w:t>
            </w:r>
            <w:r w:rsidR="003D2AC3">
              <w:rPr>
                <w:rFonts w:ascii="Calibri" w:eastAsia="Calibri" w:hAnsi="Calibri" w:cs="Calibri"/>
                <w:b/>
                <w:color w:val="4F81BD"/>
                <w:sz w:val="20"/>
                <w:szCs w:val="20"/>
                <w:lang w:val="en-GB"/>
              </w:rPr>
              <w:t xml:space="preserve">oads </w:t>
            </w:r>
            <w:r w:rsidRPr="0045151D">
              <w:rPr>
                <w:rFonts w:ascii="Calibri" w:eastAsia="Calibri" w:hAnsi="Calibri" w:cs="Calibri"/>
                <w:b/>
                <w:color w:val="4F81BD"/>
                <w:sz w:val="20"/>
                <w:szCs w:val="20"/>
                <w:lang w:val="en-GB"/>
              </w:rPr>
              <w:t>[persons/km/year]</w:t>
            </w:r>
          </w:p>
          <w:tbl>
            <w:tblPr>
              <w:tblStyle w:val="afffffffffffffffff5"/>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588"/>
              <w:gridCol w:w="1403"/>
              <w:gridCol w:w="1403"/>
              <w:gridCol w:w="1403"/>
              <w:gridCol w:w="1142"/>
            </w:tblGrid>
            <w:tr w:rsidR="00600DEE" w:rsidRPr="007463B9" w14:paraId="78239442" w14:textId="77777777" w:rsidTr="00AB1BC5">
              <w:trPr>
                <w:trHeight w:val="255"/>
              </w:trPr>
              <w:tc>
                <w:tcPr>
                  <w:tcW w:w="1588" w:type="dxa"/>
                  <w:shd w:val="clear" w:color="auto" w:fill="A6A6A6"/>
                  <w:vAlign w:val="center"/>
                </w:tcPr>
                <w:p w14:paraId="3227C6E9"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AADT</w:t>
                  </w:r>
                </w:p>
              </w:tc>
              <w:tc>
                <w:tcPr>
                  <w:tcW w:w="1403" w:type="dxa"/>
                  <w:shd w:val="clear" w:color="auto" w:fill="A6A6A6"/>
                  <w:vAlign w:val="center"/>
                </w:tcPr>
                <w:p w14:paraId="3B06AA9E"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S2 +1</w:t>
                  </w:r>
                </w:p>
              </w:tc>
              <w:tc>
                <w:tcPr>
                  <w:tcW w:w="1403" w:type="dxa"/>
                  <w:shd w:val="clear" w:color="auto" w:fill="A6A6A6"/>
                  <w:vAlign w:val="center"/>
                </w:tcPr>
                <w:p w14:paraId="09CC3E4D"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 A</w:t>
                  </w:r>
                </w:p>
              </w:tc>
              <w:tc>
                <w:tcPr>
                  <w:tcW w:w="1403" w:type="dxa"/>
                  <w:shd w:val="clear" w:color="auto" w:fill="A6A6A6"/>
                  <w:vAlign w:val="center"/>
                </w:tcPr>
                <w:p w14:paraId="7B7ECDB6"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GPn *</w:t>
                  </w:r>
                </w:p>
              </w:tc>
              <w:tc>
                <w:tcPr>
                  <w:tcW w:w="1142" w:type="dxa"/>
                  <w:shd w:val="clear" w:color="auto" w:fill="A6A6A6"/>
                  <w:vAlign w:val="center"/>
                </w:tcPr>
                <w:p w14:paraId="4AA6B2BB"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GPz **</w:t>
                  </w:r>
                </w:p>
              </w:tc>
            </w:tr>
            <w:tr w:rsidR="00600DEE" w:rsidRPr="007463B9" w14:paraId="7FB520F1" w14:textId="77777777" w:rsidTr="00AB1BC5">
              <w:trPr>
                <w:trHeight w:val="255"/>
              </w:trPr>
              <w:tc>
                <w:tcPr>
                  <w:tcW w:w="1588" w:type="dxa"/>
                  <w:shd w:val="clear" w:color="auto" w:fill="DBE5F1"/>
                  <w:vAlign w:val="bottom"/>
                </w:tcPr>
                <w:p w14:paraId="07FBB08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 xml:space="preserve">0-5 000 </w:t>
                  </w:r>
                </w:p>
              </w:tc>
              <w:tc>
                <w:tcPr>
                  <w:tcW w:w="1403" w:type="dxa"/>
                  <w:shd w:val="clear" w:color="auto" w:fill="DBE5F1"/>
                  <w:vAlign w:val="bottom"/>
                </w:tcPr>
                <w:p w14:paraId="5DAED02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0.051</w:t>
                  </w:r>
                </w:p>
              </w:tc>
              <w:tc>
                <w:tcPr>
                  <w:tcW w:w="1403" w:type="dxa"/>
                  <w:shd w:val="clear" w:color="auto" w:fill="DBE5F1"/>
                  <w:vAlign w:val="bottom"/>
                </w:tcPr>
                <w:p w14:paraId="1675389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0.034</w:t>
                  </w:r>
                </w:p>
              </w:tc>
              <w:tc>
                <w:tcPr>
                  <w:tcW w:w="1403" w:type="dxa"/>
                  <w:shd w:val="clear" w:color="auto" w:fill="DBE5F1"/>
                  <w:vAlign w:val="bottom"/>
                </w:tcPr>
                <w:p w14:paraId="2A090EC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0.519</w:t>
                  </w:r>
                </w:p>
              </w:tc>
              <w:tc>
                <w:tcPr>
                  <w:tcW w:w="1142" w:type="dxa"/>
                  <w:shd w:val="clear" w:color="auto" w:fill="DBE5F1"/>
                  <w:vAlign w:val="bottom"/>
                </w:tcPr>
                <w:p w14:paraId="3889209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0.981</w:t>
                  </w:r>
                </w:p>
              </w:tc>
            </w:tr>
            <w:tr w:rsidR="00600DEE" w:rsidRPr="007463B9" w14:paraId="7D8BEED5" w14:textId="77777777" w:rsidTr="00AB1BC5">
              <w:trPr>
                <w:trHeight w:val="255"/>
              </w:trPr>
              <w:tc>
                <w:tcPr>
                  <w:tcW w:w="1588" w:type="dxa"/>
                  <w:shd w:val="clear" w:color="auto" w:fill="DBE5F1"/>
                  <w:vAlign w:val="bottom"/>
                </w:tcPr>
                <w:p w14:paraId="62BDABB2" w14:textId="5BB438F5"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403" w:type="dxa"/>
                  <w:shd w:val="clear" w:color="auto" w:fill="DBE5F1"/>
                  <w:vAlign w:val="bottom"/>
                </w:tcPr>
                <w:p w14:paraId="2170A61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0.144</w:t>
                  </w:r>
                </w:p>
              </w:tc>
              <w:tc>
                <w:tcPr>
                  <w:tcW w:w="1403" w:type="dxa"/>
                  <w:shd w:val="clear" w:color="auto" w:fill="DBE5F1"/>
                  <w:vAlign w:val="bottom"/>
                </w:tcPr>
                <w:p w14:paraId="79A1167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0.096</w:t>
                  </w:r>
                </w:p>
              </w:tc>
              <w:tc>
                <w:tcPr>
                  <w:tcW w:w="1403" w:type="dxa"/>
                  <w:shd w:val="clear" w:color="auto" w:fill="DBE5F1"/>
                  <w:vAlign w:val="bottom"/>
                </w:tcPr>
                <w:p w14:paraId="33E90B4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0.604</w:t>
                  </w:r>
                </w:p>
              </w:tc>
              <w:tc>
                <w:tcPr>
                  <w:tcW w:w="1142" w:type="dxa"/>
                  <w:shd w:val="clear" w:color="auto" w:fill="DBE5F1"/>
                  <w:vAlign w:val="bottom"/>
                </w:tcPr>
                <w:p w14:paraId="0E62C0D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1.090</w:t>
                  </w:r>
                </w:p>
              </w:tc>
            </w:tr>
            <w:tr w:rsidR="00600DEE" w:rsidRPr="007463B9" w14:paraId="0B203C4B" w14:textId="77777777" w:rsidTr="00AB1BC5">
              <w:trPr>
                <w:trHeight w:val="255"/>
              </w:trPr>
              <w:tc>
                <w:tcPr>
                  <w:tcW w:w="1588" w:type="dxa"/>
                  <w:shd w:val="clear" w:color="auto" w:fill="DBE5F1"/>
                  <w:vAlign w:val="bottom"/>
                </w:tcPr>
                <w:p w14:paraId="7C566A92" w14:textId="57744177" w:rsidR="00600DEE" w:rsidRPr="0045151D" w:rsidRDefault="00897A74">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10 000</w:t>
                  </w:r>
                  <w:r w:rsidR="00641FB5" w:rsidRPr="0045151D">
                    <w:rPr>
                      <w:rFonts w:ascii="Calibri" w:eastAsia="Calibri" w:hAnsi="Calibri" w:cs="Calibri"/>
                      <w:color w:val="4F81BD"/>
                      <w:sz w:val="18"/>
                      <w:szCs w:val="18"/>
                      <w:lang w:val="en-GB"/>
                    </w:rPr>
                    <w:t>-20 000</w:t>
                  </w:r>
                </w:p>
              </w:tc>
              <w:tc>
                <w:tcPr>
                  <w:tcW w:w="1403" w:type="dxa"/>
                  <w:shd w:val="clear" w:color="auto" w:fill="DBE5F1"/>
                  <w:vAlign w:val="bottom"/>
                </w:tcPr>
                <w:p w14:paraId="1A43535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0.381</w:t>
                  </w:r>
                </w:p>
              </w:tc>
              <w:tc>
                <w:tcPr>
                  <w:tcW w:w="1403" w:type="dxa"/>
                  <w:shd w:val="clear" w:color="auto" w:fill="DBE5F1"/>
                  <w:vAlign w:val="bottom"/>
                </w:tcPr>
                <w:p w14:paraId="23E1AEB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0.256</w:t>
                  </w:r>
                </w:p>
              </w:tc>
              <w:tc>
                <w:tcPr>
                  <w:tcW w:w="1403" w:type="dxa"/>
                  <w:shd w:val="clear" w:color="auto" w:fill="DBE5F1"/>
                  <w:vAlign w:val="bottom"/>
                </w:tcPr>
                <w:p w14:paraId="23F76D9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0.797</w:t>
                  </w:r>
                </w:p>
              </w:tc>
              <w:tc>
                <w:tcPr>
                  <w:tcW w:w="1142" w:type="dxa"/>
                  <w:shd w:val="clear" w:color="auto" w:fill="DBE5F1"/>
                  <w:vAlign w:val="bottom"/>
                </w:tcPr>
                <w:p w14:paraId="66349AB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1.303</w:t>
                  </w:r>
                </w:p>
              </w:tc>
            </w:tr>
            <w:tr w:rsidR="00600DEE" w:rsidRPr="007463B9" w14:paraId="0C3990EC" w14:textId="77777777" w:rsidTr="00AB1BC5">
              <w:trPr>
                <w:trHeight w:val="255"/>
              </w:trPr>
              <w:tc>
                <w:tcPr>
                  <w:tcW w:w="1588" w:type="dxa"/>
                  <w:shd w:val="clear" w:color="auto" w:fill="DBE5F1"/>
                  <w:vAlign w:val="bottom"/>
                </w:tcPr>
                <w:p w14:paraId="6EB5CC9B" w14:textId="34A38189"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w:t>
                  </w:r>
                </w:p>
              </w:tc>
              <w:tc>
                <w:tcPr>
                  <w:tcW w:w="1403" w:type="dxa"/>
                  <w:shd w:val="clear" w:color="auto" w:fill="DBE5F1"/>
                  <w:vAlign w:val="bottom"/>
                </w:tcPr>
                <w:p w14:paraId="4F773B7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0.953</w:t>
                  </w:r>
                </w:p>
              </w:tc>
              <w:tc>
                <w:tcPr>
                  <w:tcW w:w="1403" w:type="dxa"/>
                  <w:shd w:val="clear" w:color="auto" w:fill="DBE5F1"/>
                  <w:vAlign w:val="bottom"/>
                </w:tcPr>
                <w:p w14:paraId="2C31001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0.504</w:t>
                  </w:r>
                </w:p>
              </w:tc>
              <w:tc>
                <w:tcPr>
                  <w:tcW w:w="1403" w:type="dxa"/>
                  <w:shd w:val="clear" w:color="auto" w:fill="DBE5F1"/>
                  <w:vAlign w:val="bottom"/>
                </w:tcPr>
                <w:p w14:paraId="6EDD9DF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1.303</w:t>
                  </w:r>
                </w:p>
              </w:tc>
              <w:tc>
                <w:tcPr>
                  <w:tcW w:w="1142" w:type="dxa"/>
                  <w:shd w:val="clear" w:color="auto" w:fill="DBE5F1"/>
                  <w:vAlign w:val="bottom"/>
                </w:tcPr>
                <w:p w14:paraId="4700FEB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1.559</w:t>
                  </w:r>
                </w:p>
              </w:tc>
            </w:tr>
            <w:tr w:rsidR="00600DEE" w:rsidRPr="007463B9" w14:paraId="39DFF575" w14:textId="77777777" w:rsidTr="00AB1BC5">
              <w:trPr>
                <w:trHeight w:val="255"/>
              </w:trPr>
              <w:tc>
                <w:tcPr>
                  <w:tcW w:w="1588" w:type="dxa"/>
                  <w:shd w:val="clear" w:color="auto" w:fill="DBE5F1"/>
                  <w:vAlign w:val="bottom"/>
                </w:tcPr>
                <w:p w14:paraId="177975AB" w14:textId="21A68348"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30 000-40 000</w:t>
                  </w:r>
                </w:p>
              </w:tc>
              <w:tc>
                <w:tcPr>
                  <w:tcW w:w="1403" w:type="dxa"/>
                  <w:shd w:val="clear" w:color="auto" w:fill="DBE5F1"/>
                  <w:vAlign w:val="bottom"/>
                </w:tcPr>
                <w:p w14:paraId="29A3E2F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1.058</w:t>
                  </w:r>
                </w:p>
              </w:tc>
              <w:tc>
                <w:tcPr>
                  <w:tcW w:w="1403" w:type="dxa"/>
                  <w:shd w:val="clear" w:color="auto" w:fill="DBE5F1"/>
                  <w:vAlign w:val="bottom"/>
                </w:tcPr>
                <w:p w14:paraId="0F47AA6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0.713</w:t>
                  </w:r>
                </w:p>
              </w:tc>
              <w:tc>
                <w:tcPr>
                  <w:tcW w:w="1403" w:type="dxa"/>
                  <w:shd w:val="clear" w:color="auto" w:fill="DBE5F1"/>
                  <w:vAlign w:val="bottom"/>
                </w:tcPr>
                <w:p w14:paraId="4B61D90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1.407</w:t>
                  </w:r>
                </w:p>
              </w:tc>
              <w:tc>
                <w:tcPr>
                  <w:tcW w:w="1142" w:type="dxa"/>
                  <w:shd w:val="clear" w:color="auto" w:fill="DBE5F1"/>
                  <w:vAlign w:val="bottom"/>
                </w:tcPr>
                <w:p w14:paraId="03CF118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1.657</w:t>
                  </w:r>
                </w:p>
              </w:tc>
            </w:tr>
            <w:tr w:rsidR="00600DEE" w:rsidRPr="007463B9" w14:paraId="740059A3" w14:textId="77777777" w:rsidTr="00AB1BC5">
              <w:trPr>
                <w:trHeight w:val="255"/>
              </w:trPr>
              <w:tc>
                <w:tcPr>
                  <w:tcW w:w="1588" w:type="dxa"/>
                  <w:shd w:val="clear" w:color="auto" w:fill="DBE5F1"/>
                  <w:vAlign w:val="bottom"/>
                </w:tcPr>
                <w:p w14:paraId="5FD850A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above 40 000</w:t>
                  </w:r>
                </w:p>
              </w:tc>
              <w:tc>
                <w:tcPr>
                  <w:tcW w:w="1403" w:type="dxa"/>
                  <w:shd w:val="clear" w:color="auto" w:fill="DBE5F1"/>
                  <w:vAlign w:val="bottom"/>
                </w:tcPr>
                <w:p w14:paraId="089C38D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1.631</w:t>
                  </w:r>
                </w:p>
              </w:tc>
              <w:tc>
                <w:tcPr>
                  <w:tcW w:w="1403" w:type="dxa"/>
                  <w:shd w:val="clear" w:color="auto" w:fill="DBE5F1"/>
                  <w:vAlign w:val="bottom"/>
                </w:tcPr>
                <w:p w14:paraId="6C3D863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1.120</w:t>
                  </w:r>
                </w:p>
              </w:tc>
              <w:tc>
                <w:tcPr>
                  <w:tcW w:w="1403" w:type="dxa"/>
                  <w:shd w:val="clear" w:color="auto" w:fill="DBE5F1"/>
                  <w:vAlign w:val="bottom"/>
                </w:tcPr>
                <w:p w14:paraId="0F51E9D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1.956</w:t>
                  </w:r>
                </w:p>
              </w:tc>
              <w:tc>
                <w:tcPr>
                  <w:tcW w:w="1142" w:type="dxa"/>
                  <w:shd w:val="clear" w:color="auto" w:fill="DBE5F1"/>
                  <w:vAlign w:val="bottom"/>
                </w:tcPr>
                <w:p w14:paraId="548456B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2.075</w:t>
                  </w:r>
                </w:p>
              </w:tc>
            </w:tr>
          </w:tbl>
          <w:p w14:paraId="4C7BBF45" w14:textId="77777777"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42659A0D" w14:textId="77777777" w:rsidR="00600DEE" w:rsidRPr="0045151D" w:rsidRDefault="00641FB5">
            <w:pPr>
              <w:spacing w:before="120" w:after="120"/>
              <w:ind w:right="170"/>
              <w:jc w:val="both"/>
              <w:rPr>
                <w:rFonts w:ascii="Calibri" w:eastAsia="Calibri" w:hAnsi="Calibri" w:cs="Calibri"/>
                <w:i/>
                <w:sz w:val="16"/>
                <w:szCs w:val="16"/>
                <w:lang w:val="en-GB"/>
              </w:rPr>
            </w:pPr>
            <w:r w:rsidRPr="0045151D">
              <w:rPr>
                <w:rFonts w:ascii="Calibri" w:eastAsia="Calibri" w:hAnsi="Calibri" w:cs="Calibri"/>
                <w:i/>
                <w:sz w:val="16"/>
                <w:szCs w:val="16"/>
                <w:lang w:val="en-GB"/>
              </w:rPr>
              <w:t>* Applies to undeveloped areas</w:t>
            </w:r>
          </w:p>
          <w:p w14:paraId="4ED3B259" w14:textId="77777777" w:rsidR="00600DEE" w:rsidRPr="0045151D" w:rsidRDefault="00641FB5">
            <w:pPr>
              <w:spacing w:before="120" w:after="120"/>
              <w:ind w:right="170"/>
              <w:jc w:val="both"/>
              <w:rPr>
                <w:rFonts w:ascii="Calibri" w:eastAsia="Calibri" w:hAnsi="Calibri" w:cs="Calibri"/>
                <w:i/>
                <w:sz w:val="16"/>
                <w:szCs w:val="16"/>
                <w:lang w:val="en-GB"/>
              </w:rPr>
            </w:pPr>
            <w:r w:rsidRPr="0045151D">
              <w:rPr>
                <w:rFonts w:ascii="Calibri" w:eastAsia="Calibri" w:hAnsi="Calibri" w:cs="Calibri"/>
                <w:i/>
                <w:sz w:val="16"/>
                <w:szCs w:val="16"/>
                <w:lang w:val="en-GB"/>
              </w:rPr>
              <w:t>**Applies to built-up areas</w:t>
            </w:r>
          </w:p>
          <w:p w14:paraId="2A6DE111"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54600FC2"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0449635E"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54188691" w14:textId="77777777" w:rsidR="00600DEE" w:rsidRPr="0045151D" w:rsidRDefault="00641FB5">
            <w:pPr>
              <w:pBdr>
                <w:top w:val="nil"/>
                <w:left w:val="nil"/>
                <w:bottom w:val="nil"/>
                <w:right w:val="nil"/>
                <w:between w:val="nil"/>
              </w:pBdr>
              <w:spacing w:before="120" w:after="120"/>
              <w:ind w:left="1132" w:hanging="1132"/>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12. The density of fatalities (GZ) for dual carriageway roads</w:t>
            </w:r>
            <w:r w:rsidRPr="0045151D">
              <w:rPr>
                <w:rFonts w:ascii="Calibri" w:eastAsia="Calibri" w:hAnsi="Calibri" w:cs="Calibri"/>
                <w:b/>
                <w:color w:val="4F81BD"/>
                <w:sz w:val="20"/>
                <w:szCs w:val="20"/>
                <w:lang w:val="en-GB"/>
              </w:rPr>
              <w:br/>
              <w:t>[persons/km/year]</w:t>
            </w:r>
          </w:p>
          <w:tbl>
            <w:tblPr>
              <w:tblStyle w:val="afffffffffffffffff6"/>
              <w:tblW w:w="683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565"/>
              <w:gridCol w:w="1284"/>
              <w:gridCol w:w="1284"/>
              <w:gridCol w:w="1284"/>
              <w:gridCol w:w="1421"/>
            </w:tblGrid>
            <w:tr w:rsidR="00600DEE" w:rsidRPr="007463B9" w14:paraId="1E5D8773" w14:textId="77777777" w:rsidTr="00542062">
              <w:trPr>
                <w:trHeight w:hRule="exact" w:val="227"/>
                <w:jc w:val="center"/>
              </w:trPr>
              <w:tc>
                <w:tcPr>
                  <w:tcW w:w="1565" w:type="dxa"/>
                  <w:shd w:val="clear" w:color="auto" w:fill="A6A6A6"/>
                  <w:vAlign w:val="center"/>
                </w:tcPr>
                <w:p w14:paraId="4BEF4B22"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AADT</w:t>
                  </w:r>
                </w:p>
              </w:tc>
              <w:tc>
                <w:tcPr>
                  <w:tcW w:w="1284" w:type="dxa"/>
                  <w:shd w:val="clear" w:color="auto" w:fill="A6A6A6"/>
                  <w:vAlign w:val="center"/>
                </w:tcPr>
                <w:p w14:paraId="362224C1"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S2 +1</w:t>
                  </w:r>
                </w:p>
              </w:tc>
              <w:tc>
                <w:tcPr>
                  <w:tcW w:w="1284" w:type="dxa"/>
                  <w:shd w:val="clear" w:color="auto" w:fill="A6A6A6"/>
                  <w:vAlign w:val="center"/>
                </w:tcPr>
                <w:p w14:paraId="56E8CBF1"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 A</w:t>
                  </w:r>
                </w:p>
              </w:tc>
              <w:tc>
                <w:tcPr>
                  <w:tcW w:w="1284" w:type="dxa"/>
                  <w:shd w:val="clear" w:color="auto" w:fill="A6A6A6"/>
                  <w:vAlign w:val="center"/>
                </w:tcPr>
                <w:p w14:paraId="3BE4AF7F"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GPn *</w:t>
                  </w:r>
                </w:p>
              </w:tc>
              <w:tc>
                <w:tcPr>
                  <w:tcW w:w="1421" w:type="dxa"/>
                  <w:shd w:val="clear" w:color="auto" w:fill="A6A6A6"/>
                  <w:vAlign w:val="center"/>
                </w:tcPr>
                <w:p w14:paraId="4F2D77E6"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GPz **</w:t>
                  </w:r>
                </w:p>
              </w:tc>
            </w:tr>
            <w:tr w:rsidR="00600DEE" w:rsidRPr="007463B9" w14:paraId="562743EA" w14:textId="77777777" w:rsidTr="00542062">
              <w:trPr>
                <w:trHeight w:hRule="exact" w:val="227"/>
                <w:jc w:val="center"/>
              </w:trPr>
              <w:tc>
                <w:tcPr>
                  <w:tcW w:w="1565" w:type="dxa"/>
                  <w:shd w:val="clear" w:color="auto" w:fill="DBE5F1"/>
                  <w:vAlign w:val="bottom"/>
                </w:tcPr>
                <w:p w14:paraId="052218E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284" w:type="dxa"/>
                  <w:shd w:val="clear" w:color="auto" w:fill="DBE5F1"/>
                  <w:vAlign w:val="bottom"/>
                </w:tcPr>
                <w:p w14:paraId="08220C6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0.036</w:t>
                  </w:r>
                </w:p>
              </w:tc>
              <w:tc>
                <w:tcPr>
                  <w:tcW w:w="1284" w:type="dxa"/>
                  <w:shd w:val="clear" w:color="auto" w:fill="DBE5F1"/>
                  <w:vAlign w:val="bottom"/>
                </w:tcPr>
                <w:p w14:paraId="1D42343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0.022</w:t>
                  </w:r>
                </w:p>
              </w:tc>
              <w:tc>
                <w:tcPr>
                  <w:tcW w:w="1284" w:type="dxa"/>
                  <w:shd w:val="clear" w:color="auto" w:fill="DBE5F1"/>
                  <w:vAlign w:val="bottom"/>
                </w:tcPr>
                <w:p w14:paraId="0FD909C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0.179</w:t>
                  </w:r>
                </w:p>
              </w:tc>
              <w:tc>
                <w:tcPr>
                  <w:tcW w:w="1421" w:type="dxa"/>
                  <w:shd w:val="clear" w:color="auto" w:fill="DBE5F1"/>
                  <w:vAlign w:val="bottom"/>
                </w:tcPr>
                <w:p w14:paraId="1459DAB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0.113</w:t>
                  </w:r>
                </w:p>
              </w:tc>
            </w:tr>
            <w:tr w:rsidR="00600DEE" w:rsidRPr="007463B9" w14:paraId="6881EC81" w14:textId="77777777" w:rsidTr="00542062">
              <w:trPr>
                <w:trHeight w:hRule="exact" w:val="227"/>
                <w:jc w:val="center"/>
              </w:trPr>
              <w:tc>
                <w:tcPr>
                  <w:tcW w:w="1565" w:type="dxa"/>
                  <w:shd w:val="clear" w:color="auto" w:fill="DBE5F1"/>
                  <w:vAlign w:val="bottom"/>
                </w:tcPr>
                <w:p w14:paraId="3B6547C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284" w:type="dxa"/>
                  <w:shd w:val="clear" w:color="auto" w:fill="DBE5F1"/>
                  <w:vAlign w:val="bottom"/>
                </w:tcPr>
                <w:p w14:paraId="377F094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0.073</w:t>
                  </w:r>
                </w:p>
              </w:tc>
              <w:tc>
                <w:tcPr>
                  <w:tcW w:w="1284" w:type="dxa"/>
                  <w:shd w:val="clear" w:color="auto" w:fill="DBE5F1"/>
                  <w:vAlign w:val="bottom"/>
                </w:tcPr>
                <w:p w14:paraId="1F94229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0.052</w:t>
                  </w:r>
                </w:p>
              </w:tc>
              <w:tc>
                <w:tcPr>
                  <w:tcW w:w="1284" w:type="dxa"/>
                  <w:shd w:val="clear" w:color="auto" w:fill="DBE5F1"/>
                  <w:vAlign w:val="bottom"/>
                </w:tcPr>
                <w:p w14:paraId="1100CCD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0.189</w:t>
                  </w:r>
                </w:p>
              </w:tc>
              <w:tc>
                <w:tcPr>
                  <w:tcW w:w="1421" w:type="dxa"/>
                  <w:shd w:val="clear" w:color="auto" w:fill="DBE5F1"/>
                  <w:vAlign w:val="bottom"/>
                </w:tcPr>
                <w:p w14:paraId="66BFD60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0.117</w:t>
                  </w:r>
                </w:p>
              </w:tc>
            </w:tr>
            <w:tr w:rsidR="00600DEE" w:rsidRPr="007463B9" w14:paraId="2C24BAC8" w14:textId="77777777" w:rsidTr="00542062">
              <w:trPr>
                <w:trHeight w:hRule="exact" w:val="227"/>
                <w:jc w:val="center"/>
              </w:trPr>
              <w:tc>
                <w:tcPr>
                  <w:tcW w:w="1565" w:type="dxa"/>
                  <w:shd w:val="clear" w:color="auto" w:fill="DBE5F1"/>
                  <w:vAlign w:val="bottom"/>
                </w:tcPr>
                <w:p w14:paraId="5B5B12A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10 000 -20 000</w:t>
                  </w:r>
                </w:p>
              </w:tc>
              <w:tc>
                <w:tcPr>
                  <w:tcW w:w="1284" w:type="dxa"/>
                  <w:shd w:val="clear" w:color="auto" w:fill="DBE5F1"/>
                  <w:vAlign w:val="bottom"/>
                </w:tcPr>
                <w:p w14:paraId="4FE6E82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0.104</w:t>
                  </w:r>
                </w:p>
              </w:tc>
              <w:tc>
                <w:tcPr>
                  <w:tcW w:w="1284" w:type="dxa"/>
                  <w:shd w:val="clear" w:color="auto" w:fill="DBE5F1"/>
                  <w:vAlign w:val="bottom"/>
                </w:tcPr>
                <w:p w14:paraId="68642FE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0.083</w:t>
                  </w:r>
                </w:p>
              </w:tc>
              <w:tc>
                <w:tcPr>
                  <w:tcW w:w="1284" w:type="dxa"/>
                  <w:shd w:val="clear" w:color="auto" w:fill="DBE5F1"/>
                  <w:vAlign w:val="bottom"/>
                </w:tcPr>
                <w:p w14:paraId="668F6D3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0.209</w:t>
                  </w:r>
                </w:p>
              </w:tc>
              <w:tc>
                <w:tcPr>
                  <w:tcW w:w="1421" w:type="dxa"/>
                  <w:shd w:val="clear" w:color="auto" w:fill="DBE5F1"/>
                  <w:vAlign w:val="bottom"/>
                </w:tcPr>
                <w:p w14:paraId="275CBF5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0.124</w:t>
                  </w:r>
                </w:p>
              </w:tc>
            </w:tr>
            <w:tr w:rsidR="00600DEE" w:rsidRPr="007463B9" w14:paraId="06D66979" w14:textId="77777777" w:rsidTr="00542062">
              <w:trPr>
                <w:trHeight w:hRule="exact" w:val="227"/>
                <w:jc w:val="center"/>
              </w:trPr>
              <w:tc>
                <w:tcPr>
                  <w:tcW w:w="1565" w:type="dxa"/>
                  <w:shd w:val="clear" w:color="auto" w:fill="DBE5F1"/>
                  <w:vAlign w:val="bottom"/>
                </w:tcPr>
                <w:p w14:paraId="181E462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w:t>
                  </w:r>
                </w:p>
              </w:tc>
              <w:tc>
                <w:tcPr>
                  <w:tcW w:w="1284" w:type="dxa"/>
                  <w:shd w:val="clear" w:color="auto" w:fill="DBE5F1"/>
                  <w:vAlign w:val="bottom"/>
                </w:tcPr>
                <w:p w14:paraId="5C76022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0.135</w:t>
                  </w:r>
                </w:p>
              </w:tc>
              <w:tc>
                <w:tcPr>
                  <w:tcW w:w="1284" w:type="dxa"/>
                  <w:shd w:val="clear" w:color="auto" w:fill="DBE5F1"/>
                  <w:vAlign w:val="bottom"/>
                </w:tcPr>
                <w:p w14:paraId="363EB1D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0.104</w:t>
                  </w:r>
                </w:p>
              </w:tc>
              <w:tc>
                <w:tcPr>
                  <w:tcW w:w="1284" w:type="dxa"/>
                  <w:shd w:val="clear" w:color="auto" w:fill="DBE5F1"/>
                  <w:vAlign w:val="bottom"/>
                </w:tcPr>
                <w:p w14:paraId="1E3A87F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0.233</w:t>
                  </w:r>
                </w:p>
              </w:tc>
              <w:tc>
                <w:tcPr>
                  <w:tcW w:w="1421" w:type="dxa"/>
                  <w:shd w:val="clear" w:color="auto" w:fill="DBE5F1"/>
                  <w:vAlign w:val="bottom"/>
                </w:tcPr>
                <w:p w14:paraId="467EBAF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0.131</w:t>
                  </w:r>
                </w:p>
              </w:tc>
            </w:tr>
            <w:tr w:rsidR="00600DEE" w:rsidRPr="007463B9" w14:paraId="66D3F136" w14:textId="77777777" w:rsidTr="00542062">
              <w:trPr>
                <w:trHeight w:hRule="exact" w:val="227"/>
                <w:jc w:val="center"/>
              </w:trPr>
              <w:tc>
                <w:tcPr>
                  <w:tcW w:w="1565" w:type="dxa"/>
                  <w:shd w:val="clear" w:color="auto" w:fill="DBE5F1"/>
                  <w:vAlign w:val="bottom"/>
                </w:tcPr>
                <w:p w14:paraId="6A990A1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30 000-40 000</w:t>
                  </w:r>
                </w:p>
              </w:tc>
              <w:tc>
                <w:tcPr>
                  <w:tcW w:w="1284" w:type="dxa"/>
                  <w:shd w:val="clear" w:color="auto" w:fill="DBE5F1"/>
                  <w:vAlign w:val="bottom"/>
                </w:tcPr>
                <w:p w14:paraId="0C250AF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0.154</w:t>
                  </w:r>
                </w:p>
              </w:tc>
              <w:tc>
                <w:tcPr>
                  <w:tcW w:w="1284" w:type="dxa"/>
                  <w:shd w:val="clear" w:color="auto" w:fill="DBE5F1"/>
                  <w:vAlign w:val="bottom"/>
                </w:tcPr>
                <w:p w14:paraId="0422942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0.118</w:t>
                  </w:r>
                </w:p>
              </w:tc>
              <w:tc>
                <w:tcPr>
                  <w:tcW w:w="1284" w:type="dxa"/>
                  <w:shd w:val="clear" w:color="auto" w:fill="DBE5F1"/>
                  <w:vAlign w:val="bottom"/>
                </w:tcPr>
                <w:p w14:paraId="3D9B522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0.254</w:t>
                  </w:r>
                </w:p>
              </w:tc>
              <w:tc>
                <w:tcPr>
                  <w:tcW w:w="1421" w:type="dxa"/>
                  <w:shd w:val="clear" w:color="auto" w:fill="DBE5F1"/>
                  <w:vAlign w:val="bottom"/>
                </w:tcPr>
                <w:p w14:paraId="0AAB407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0.137</w:t>
                  </w:r>
                </w:p>
              </w:tc>
            </w:tr>
            <w:tr w:rsidR="00600DEE" w:rsidRPr="007463B9" w14:paraId="61E445E7" w14:textId="77777777" w:rsidTr="00542062">
              <w:trPr>
                <w:trHeight w:hRule="exact" w:val="227"/>
                <w:jc w:val="center"/>
              </w:trPr>
              <w:tc>
                <w:tcPr>
                  <w:tcW w:w="1565" w:type="dxa"/>
                  <w:shd w:val="clear" w:color="auto" w:fill="DBE5F1"/>
                  <w:vAlign w:val="bottom"/>
                </w:tcPr>
                <w:p w14:paraId="6BD98D5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above 40 000</w:t>
                  </w:r>
                </w:p>
              </w:tc>
              <w:tc>
                <w:tcPr>
                  <w:tcW w:w="1284" w:type="dxa"/>
                  <w:shd w:val="clear" w:color="auto" w:fill="DBE5F1"/>
                  <w:vAlign w:val="bottom"/>
                </w:tcPr>
                <w:p w14:paraId="1411267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0.177</w:t>
                  </w:r>
                </w:p>
              </w:tc>
              <w:tc>
                <w:tcPr>
                  <w:tcW w:w="1284" w:type="dxa"/>
                  <w:shd w:val="clear" w:color="auto" w:fill="DBE5F1"/>
                  <w:vAlign w:val="bottom"/>
                </w:tcPr>
                <w:p w14:paraId="70FC880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0.141</w:t>
                  </w:r>
                </w:p>
              </w:tc>
              <w:tc>
                <w:tcPr>
                  <w:tcW w:w="1284" w:type="dxa"/>
                  <w:shd w:val="clear" w:color="auto" w:fill="DBE5F1"/>
                  <w:vAlign w:val="bottom"/>
                </w:tcPr>
                <w:p w14:paraId="22FC541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0.280</w:t>
                  </w:r>
                </w:p>
              </w:tc>
              <w:tc>
                <w:tcPr>
                  <w:tcW w:w="1421" w:type="dxa"/>
                  <w:shd w:val="clear" w:color="auto" w:fill="DBE5F1"/>
                  <w:vAlign w:val="bottom"/>
                </w:tcPr>
                <w:p w14:paraId="4533738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0.143</w:t>
                  </w:r>
                </w:p>
              </w:tc>
            </w:tr>
          </w:tbl>
          <w:p w14:paraId="0D5AA7C8" w14:textId="77777777"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69E3569B" w14:textId="77777777" w:rsidR="00600DEE" w:rsidRPr="0045151D" w:rsidRDefault="00641FB5">
            <w:pPr>
              <w:spacing w:before="120" w:after="120"/>
              <w:ind w:right="170"/>
              <w:jc w:val="both"/>
              <w:rPr>
                <w:rFonts w:ascii="Calibri" w:eastAsia="Calibri" w:hAnsi="Calibri" w:cs="Calibri"/>
                <w:i/>
                <w:sz w:val="16"/>
                <w:szCs w:val="16"/>
                <w:lang w:val="en-GB"/>
              </w:rPr>
            </w:pPr>
            <w:r w:rsidRPr="0045151D">
              <w:rPr>
                <w:rFonts w:ascii="Calibri" w:eastAsia="Calibri" w:hAnsi="Calibri" w:cs="Calibri"/>
                <w:i/>
                <w:sz w:val="16"/>
                <w:szCs w:val="16"/>
                <w:lang w:val="en-GB"/>
              </w:rPr>
              <w:t>* Applies to undeveloped areas</w:t>
            </w:r>
          </w:p>
          <w:p w14:paraId="517E65EE" w14:textId="77777777" w:rsidR="00600DEE" w:rsidRPr="0045151D" w:rsidRDefault="00641FB5">
            <w:pPr>
              <w:spacing w:before="120" w:after="120"/>
              <w:ind w:right="170"/>
              <w:jc w:val="both"/>
              <w:rPr>
                <w:rFonts w:ascii="Calibri" w:eastAsia="Calibri" w:hAnsi="Calibri" w:cs="Calibri"/>
                <w:i/>
                <w:sz w:val="16"/>
                <w:szCs w:val="16"/>
                <w:lang w:val="en-GB"/>
              </w:rPr>
            </w:pPr>
            <w:r w:rsidRPr="0045151D">
              <w:rPr>
                <w:rFonts w:ascii="Calibri" w:eastAsia="Calibri" w:hAnsi="Calibri" w:cs="Calibri"/>
                <w:i/>
                <w:sz w:val="16"/>
                <w:szCs w:val="16"/>
                <w:lang w:val="en-GB"/>
              </w:rPr>
              <w:t>**Applies to built-up areas</w:t>
            </w:r>
          </w:p>
          <w:p w14:paraId="79192B55" w14:textId="77777777" w:rsidR="00600DEE" w:rsidRPr="0045151D" w:rsidRDefault="00641FB5">
            <w:pPr>
              <w:pBdr>
                <w:top w:val="nil"/>
                <w:left w:val="nil"/>
                <w:bottom w:val="nil"/>
                <w:right w:val="nil"/>
                <w:between w:val="nil"/>
              </w:pBdr>
              <w:spacing w:before="120" w:after="120"/>
              <w:ind w:left="848" w:hanging="848"/>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13. The density of seriously injured (GCR) for dual carriageway roads</w:t>
            </w:r>
            <w:r w:rsidRPr="0045151D">
              <w:rPr>
                <w:rFonts w:ascii="Calibri" w:eastAsia="Calibri" w:hAnsi="Calibri" w:cs="Calibri"/>
                <w:b/>
                <w:color w:val="4F81BD"/>
                <w:sz w:val="20"/>
                <w:szCs w:val="20"/>
                <w:lang w:val="en-GB"/>
              </w:rPr>
              <w:br/>
              <w:t xml:space="preserve">  [persons/km/year]</w:t>
            </w:r>
          </w:p>
          <w:tbl>
            <w:tblPr>
              <w:tblStyle w:val="afffffffffffffffff7"/>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582"/>
              <w:gridCol w:w="1284"/>
              <w:gridCol w:w="1284"/>
              <w:gridCol w:w="1284"/>
              <w:gridCol w:w="1505"/>
            </w:tblGrid>
            <w:tr w:rsidR="00600DEE" w:rsidRPr="007463B9" w14:paraId="1FE447E4" w14:textId="77777777" w:rsidTr="00542062">
              <w:trPr>
                <w:trHeight w:hRule="exact" w:val="227"/>
              </w:trPr>
              <w:tc>
                <w:tcPr>
                  <w:tcW w:w="1582" w:type="dxa"/>
                  <w:shd w:val="clear" w:color="auto" w:fill="A6A6A6"/>
                  <w:vAlign w:val="center"/>
                </w:tcPr>
                <w:p w14:paraId="55A04DD8"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AADT</w:t>
                  </w:r>
                </w:p>
              </w:tc>
              <w:tc>
                <w:tcPr>
                  <w:tcW w:w="1284" w:type="dxa"/>
                  <w:shd w:val="clear" w:color="auto" w:fill="A6A6A6"/>
                  <w:vAlign w:val="center"/>
                </w:tcPr>
                <w:p w14:paraId="01D73BF4"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S2 +1</w:t>
                  </w:r>
                </w:p>
              </w:tc>
              <w:tc>
                <w:tcPr>
                  <w:tcW w:w="1284" w:type="dxa"/>
                  <w:shd w:val="clear" w:color="auto" w:fill="A6A6A6"/>
                  <w:vAlign w:val="center"/>
                </w:tcPr>
                <w:p w14:paraId="3923A302"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 A</w:t>
                  </w:r>
                </w:p>
              </w:tc>
              <w:tc>
                <w:tcPr>
                  <w:tcW w:w="1284" w:type="dxa"/>
                  <w:shd w:val="clear" w:color="auto" w:fill="A6A6A6"/>
                  <w:vAlign w:val="center"/>
                </w:tcPr>
                <w:p w14:paraId="27315361"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GPn *</w:t>
                  </w:r>
                </w:p>
              </w:tc>
              <w:tc>
                <w:tcPr>
                  <w:tcW w:w="1505" w:type="dxa"/>
                  <w:shd w:val="clear" w:color="auto" w:fill="A6A6A6"/>
                  <w:vAlign w:val="center"/>
                </w:tcPr>
                <w:p w14:paraId="2A587DF1"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GPz **</w:t>
                  </w:r>
                </w:p>
              </w:tc>
            </w:tr>
            <w:tr w:rsidR="00600DEE" w:rsidRPr="007463B9" w14:paraId="522AA965" w14:textId="77777777" w:rsidTr="00542062">
              <w:trPr>
                <w:trHeight w:hRule="exact" w:val="227"/>
              </w:trPr>
              <w:tc>
                <w:tcPr>
                  <w:tcW w:w="1582" w:type="dxa"/>
                  <w:shd w:val="clear" w:color="auto" w:fill="DBE5F1"/>
                  <w:vAlign w:val="bottom"/>
                </w:tcPr>
                <w:p w14:paraId="13A6B84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284" w:type="dxa"/>
                  <w:shd w:val="clear" w:color="auto" w:fill="DBE5F1"/>
                </w:tcPr>
                <w:p w14:paraId="7DF8CD2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0.044</w:t>
                  </w:r>
                </w:p>
              </w:tc>
              <w:tc>
                <w:tcPr>
                  <w:tcW w:w="1284" w:type="dxa"/>
                  <w:shd w:val="clear" w:color="auto" w:fill="DBE5F1"/>
                </w:tcPr>
                <w:p w14:paraId="4CE2CB4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0.027</w:t>
                  </w:r>
                </w:p>
              </w:tc>
              <w:tc>
                <w:tcPr>
                  <w:tcW w:w="1284" w:type="dxa"/>
                  <w:shd w:val="clear" w:color="auto" w:fill="DBE5F1"/>
                </w:tcPr>
                <w:p w14:paraId="339C22C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0.198</w:t>
                  </w:r>
                </w:p>
              </w:tc>
              <w:tc>
                <w:tcPr>
                  <w:tcW w:w="1505" w:type="dxa"/>
                  <w:shd w:val="clear" w:color="auto" w:fill="DBE5F1"/>
                </w:tcPr>
                <w:p w14:paraId="07EE0B0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0.264</w:t>
                  </w:r>
                </w:p>
              </w:tc>
            </w:tr>
            <w:tr w:rsidR="00600DEE" w:rsidRPr="007463B9" w14:paraId="3C3FA2E0" w14:textId="77777777" w:rsidTr="00542062">
              <w:trPr>
                <w:trHeight w:hRule="exact" w:val="227"/>
              </w:trPr>
              <w:tc>
                <w:tcPr>
                  <w:tcW w:w="1582" w:type="dxa"/>
                  <w:shd w:val="clear" w:color="auto" w:fill="DBE5F1"/>
                  <w:vAlign w:val="bottom"/>
                </w:tcPr>
                <w:p w14:paraId="49B15FF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284" w:type="dxa"/>
                  <w:shd w:val="clear" w:color="auto" w:fill="DBE5F1"/>
                </w:tcPr>
                <w:p w14:paraId="34BB12C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0.078</w:t>
                  </w:r>
                </w:p>
              </w:tc>
              <w:tc>
                <w:tcPr>
                  <w:tcW w:w="1284" w:type="dxa"/>
                  <w:shd w:val="clear" w:color="auto" w:fill="DBE5F1"/>
                </w:tcPr>
                <w:p w14:paraId="07CCD8F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0.055</w:t>
                  </w:r>
                </w:p>
              </w:tc>
              <w:tc>
                <w:tcPr>
                  <w:tcW w:w="1284" w:type="dxa"/>
                  <w:shd w:val="clear" w:color="auto" w:fill="DBE5F1"/>
                </w:tcPr>
                <w:p w14:paraId="58ABCEF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0.212</w:t>
                  </w:r>
                </w:p>
              </w:tc>
              <w:tc>
                <w:tcPr>
                  <w:tcW w:w="1505" w:type="dxa"/>
                  <w:shd w:val="clear" w:color="auto" w:fill="DBE5F1"/>
                </w:tcPr>
                <w:p w14:paraId="5230FBF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0.278</w:t>
                  </w:r>
                </w:p>
              </w:tc>
            </w:tr>
            <w:tr w:rsidR="00600DEE" w:rsidRPr="007463B9" w14:paraId="1FF1E88D" w14:textId="77777777" w:rsidTr="00542062">
              <w:trPr>
                <w:trHeight w:hRule="exact" w:val="227"/>
              </w:trPr>
              <w:tc>
                <w:tcPr>
                  <w:tcW w:w="1582" w:type="dxa"/>
                  <w:shd w:val="clear" w:color="auto" w:fill="DBE5F1"/>
                  <w:vAlign w:val="bottom"/>
                </w:tcPr>
                <w:p w14:paraId="70584B4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10 000 -20 000</w:t>
                  </w:r>
                </w:p>
              </w:tc>
              <w:tc>
                <w:tcPr>
                  <w:tcW w:w="1284" w:type="dxa"/>
                  <w:shd w:val="clear" w:color="auto" w:fill="DBE5F1"/>
                </w:tcPr>
                <w:p w14:paraId="064CF62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0.122</w:t>
                  </w:r>
                </w:p>
              </w:tc>
              <w:tc>
                <w:tcPr>
                  <w:tcW w:w="1284" w:type="dxa"/>
                  <w:shd w:val="clear" w:color="auto" w:fill="DBE5F1"/>
                </w:tcPr>
                <w:p w14:paraId="518D014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0.093</w:t>
                  </w:r>
                </w:p>
              </w:tc>
              <w:tc>
                <w:tcPr>
                  <w:tcW w:w="1284" w:type="dxa"/>
                  <w:shd w:val="clear" w:color="auto" w:fill="DBE5F1"/>
                </w:tcPr>
                <w:p w14:paraId="2976CDF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0.238</w:t>
                  </w:r>
                </w:p>
              </w:tc>
              <w:tc>
                <w:tcPr>
                  <w:tcW w:w="1505" w:type="dxa"/>
                  <w:shd w:val="clear" w:color="auto" w:fill="DBE5F1"/>
                </w:tcPr>
                <w:p w14:paraId="4DC8806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0.301</w:t>
                  </w:r>
                </w:p>
              </w:tc>
            </w:tr>
            <w:tr w:rsidR="00600DEE" w:rsidRPr="007463B9" w14:paraId="55414079" w14:textId="77777777" w:rsidTr="00542062">
              <w:trPr>
                <w:trHeight w:hRule="exact" w:val="227"/>
              </w:trPr>
              <w:tc>
                <w:tcPr>
                  <w:tcW w:w="1582" w:type="dxa"/>
                  <w:shd w:val="clear" w:color="auto" w:fill="DBE5F1"/>
                  <w:vAlign w:val="bottom"/>
                </w:tcPr>
                <w:p w14:paraId="1E731E8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w:t>
                  </w:r>
                </w:p>
              </w:tc>
              <w:tc>
                <w:tcPr>
                  <w:tcW w:w="1284" w:type="dxa"/>
                  <w:shd w:val="clear" w:color="auto" w:fill="DBE5F1"/>
                </w:tcPr>
                <w:p w14:paraId="4165CD9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0.167</w:t>
                  </w:r>
                </w:p>
              </w:tc>
              <w:tc>
                <w:tcPr>
                  <w:tcW w:w="1284" w:type="dxa"/>
                  <w:shd w:val="clear" w:color="auto" w:fill="DBE5F1"/>
                </w:tcPr>
                <w:p w14:paraId="798D29C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0.125</w:t>
                  </w:r>
                </w:p>
              </w:tc>
              <w:tc>
                <w:tcPr>
                  <w:tcW w:w="1284" w:type="dxa"/>
                  <w:shd w:val="clear" w:color="auto" w:fill="DBE5F1"/>
                </w:tcPr>
                <w:p w14:paraId="378927F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0.275</w:t>
                  </w:r>
                </w:p>
              </w:tc>
              <w:tc>
                <w:tcPr>
                  <w:tcW w:w="1505" w:type="dxa"/>
                  <w:shd w:val="clear" w:color="auto" w:fill="DBE5F1"/>
                </w:tcPr>
                <w:p w14:paraId="23CEF2B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0.325</w:t>
                  </w:r>
                </w:p>
              </w:tc>
            </w:tr>
            <w:tr w:rsidR="00600DEE" w:rsidRPr="007463B9" w14:paraId="28F61BBB" w14:textId="77777777" w:rsidTr="00542062">
              <w:trPr>
                <w:trHeight w:hRule="exact" w:val="227"/>
              </w:trPr>
              <w:tc>
                <w:tcPr>
                  <w:tcW w:w="1582" w:type="dxa"/>
                  <w:shd w:val="clear" w:color="auto" w:fill="DBE5F1"/>
                  <w:vAlign w:val="bottom"/>
                </w:tcPr>
                <w:p w14:paraId="4353496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30 000-40 000</w:t>
                  </w:r>
                </w:p>
              </w:tc>
              <w:tc>
                <w:tcPr>
                  <w:tcW w:w="1284" w:type="dxa"/>
                  <w:shd w:val="clear" w:color="auto" w:fill="DBE5F1"/>
                </w:tcPr>
                <w:p w14:paraId="6D34FB3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0.199</w:t>
                  </w:r>
                </w:p>
              </w:tc>
              <w:tc>
                <w:tcPr>
                  <w:tcW w:w="1284" w:type="dxa"/>
                  <w:shd w:val="clear" w:color="auto" w:fill="DBE5F1"/>
                </w:tcPr>
                <w:p w14:paraId="2497642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0.148</w:t>
                  </w:r>
                </w:p>
              </w:tc>
              <w:tc>
                <w:tcPr>
                  <w:tcW w:w="1284" w:type="dxa"/>
                  <w:shd w:val="clear" w:color="auto" w:fill="DBE5F1"/>
                </w:tcPr>
                <w:p w14:paraId="5EE9CB9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0.306</w:t>
                  </w:r>
                </w:p>
              </w:tc>
              <w:tc>
                <w:tcPr>
                  <w:tcW w:w="1505" w:type="dxa"/>
                  <w:shd w:val="clear" w:color="auto" w:fill="DBE5F1"/>
                </w:tcPr>
                <w:p w14:paraId="4A33314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0.343</w:t>
                  </w:r>
                </w:p>
              </w:tc>
            </w:tr>
            <w:tr w:rsidR="00600DEE" w:rsidRPr="007463B9" w14:paraId="2DF01161" w14:textId="77777777" w:rsidTr="00542062">
              <w:trPr>
                <w:trHeight w:hRule="exact" w:val="227"/>
              </w:trPr>
              <w:tc>
                <w:tcPr>
                  <w:tcW w:w="1582" w:type="dxa"/>
                  <w:shd w:val="clear" w:color="auto" w:fill="DBE5F1"/>
                  <w:vAlign w:val="bottom"/>
                </w:tcPr>
                <w:p w14:paraId="04928B7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above 40 000</w:t>
                  </w:r>
                </w:p>
              </w:tc>
              <w:tc>
                <w:tcPr>
                  <w:tcW w:w="1284" w:type="dxa"/>
                  <w:shd w:val="clear" w:color="auto" w:fill="DBE5F1"/>
                </w:tcPr>
                <w:p w14:paraId="04FDD08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0.242</w:t>
                  </w:r>
                </w:p>
              </w:tc>
              <w:tc>
                <w:tcPr>
                  <w:tcW w:w="1284" w:type="dxa"/>
                  <w:shd w:val="clear" w:color="auto" w:fill="DBE5F1"/>
                </w:tcPr>
                <w:p w14:paraId="183521D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0.187</w:t>
                  </w:r>
                </w:p>
              </w:tc>
              <w:tc>
                <w:tcPr>
                  <w:tcW w:w="1284" w:type="dxa"/>
                  <w:shd w:val="clear" w:color="auto" w:fill="DBE5F1"/>
                </w:tcPr>
                <w:p w14:paraId="495FC5F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0.359</w:t>
                  </w:r>
                </w:p>
              </w:tc>
              <w:tc>
                <w:tcPr>
                  <w:tcW w:w="1505" w:type="dxa"/>
                  <w:shd w:val="clear" w:color="auto" w:fill="DBE5F1"/>
                </w:tcPr>
                <w:p w14:paraId="7A3A698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0.368</w:t>
                  </w:r>
                </w:p>
              </w:tc>
            </w:tr>
          </w:tbl>
          <w:p w14:paraId="6DD770E8" w14:textId="77777777"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7D1356BC" w14:textId="77777777" w:rsidR="00600DEE" w:rsidRPr="0045151D" w:rsidRDefault="00641FB5">
            <w:pPr>
              <w:spacing w:before="120" w:after="120"/>
              <w:ind w:right="170"/>
              <w:jc w:val="both"/>
              <w:rPr>
                <w:rFonts w:ascii="Calibri" w:eastAsia="Calibri" w:hAnsi="Calibri" w:cs="Calibri"/>
                <w:i/>
                <w:sz w:val="16"/>
                <w:szCs w:val="16"/>
                <w:lang w:val="en-GB"/>
              </w:rPr>
            </w:pPr>
            <w:r w:rsidRPr="0045151D">
              <w:rPr>
                <w:rFonts w:ascii="Calibri" w:eastAsia="Calibri" w:hAnsi="Calibri" w:cs="Calibri"/>
                <w:i/>
                <w:sz w:val="16"/>
                <w:szCs w:val="16"/>
                <w:lang w:val="en-GB"/>
              </w:rPr>
              <w:t>* Applies to undeveloped areas</w:t>
            </w:r>
          </w:p>
          <w:p w14:paraId="69F35E35" w14:textId="77777777" w:rsidR="00600DEE" w:rsidRPr="0045151D" w:rsidRDefault="00641FB5">
            <w:pPr>
              <w:spacing w:before="120" w:after="120"/>
              <w:ind w:right="170"/>
              <w:jc w:val="both"/>
              <w:rPr>
                <w:rFonts w:ascii="Calibri" w:eastAsia="Calibri" w:hAnsi="Calibri" w:cs="Calibri"/>
                <w:i/>
                <w:sz w:val="16"/>
                <w:szCs w:val="16"/>
                <w:lang w:val="en-GB"/>
              </w:rPr>
            </w:pPr>
            <w:r w:rsidRPr="0045151D">
              <w:rPr>
                <w:rFonts w:ascii="Calibri" w:eastAsia="Calibri" w:hAnsi="Calibri" w:cs="Calibri"/>
                <w:i/>
                <w:sz w:val="16"/>
                <w:szCs w:val="16"/>
                <w:lang w:val="en-GB"/>
              </w:rPr>
              <w:t>**Applies to built-up areas</w:t>
            </w:r>
          </w:p>
          <w:p w14:paraId="38721775" w14:textId="77777777" w:rsidR="00600DEE" w:rsidRPr="0045151D" w:rsidRDefault="00641FB5">
            <w:pPr>
              <w:pBdr>
                <w:top w:val="nil"/>
                <w:left w:val="nil"/>
                <w:bottom w:val="nil"/>
                <w:right w:val="nil"/>
                <w:between w:val="nil"/>
              </w:pBdr>
              <w:spacing w:after="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 xml:space="preserve">Single carriageway road sections </w:t>
            </w:r>
          </w:p>
          <w:p w14:paraId="0BFAB52E"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Accident costs on single carriageway road sections for Wn and W0 options are calculated as the sum of the costs of slightly injured, seriously injured, fatalities and material loses.</w:t>
            </w:r>
          </w:p>
          <w:p w14:paraId="2C0558BD"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In the case of single carriageway roads, the density of accidents GW</w:t>
            </w:r>
            <w:r w:rsidRPr="0045151D">
              <w:rPr>
                <w:rFonts w:ascii="Calibri" w:eastAsia="Calibri" w:hAnsi="Calibri" w:cs="Calibri"/>
                <w:color w:val="000000"/>
                <w:sz w:val="20"/>
                <w:szCs w:val="20"/>
                <w:vertAlign w:val="superscript"/>
                <w:lang w:val="en-GB"/>
              </w:rPr>
              <w:t>(1)</w:t>
            </w:r>
            <w:r w:rsidRPr="0045151D">
              <w:rPr>
                <w:rFonts w:ascii="Calibri" w:eastAsia="Calibri" w:hAnsi="Calibri" w:cs="Calibri"/>
                <w:b/>
                <w:i/>
                <w:color w:val="000000"/>
                <w:sz w:val="20"/>
                <w:szCs w:val="20"/>
                <w:lang w:val="en-GB"/>
              </w:rPr>
              <w:t xml:space="preserve"> </w:t>
            </w:r>
            <w:r w:rsidRPr="0045151D">
              <w:rPr>
                <w:rFonts w:ascii="Calibri" w:eastAsia="Calibri" w:hAnsi="Calibri" w:cs="Calibri"/>
                <w:color w:val="000000"/>
                <w:sz w:val="20"/>
                <w:szCs w:val="20"/>
                <w:lang w:val="en-GB"/>
              </w:rPr>
              <w:t xml:space="preserve"> should be calculated in accordance with the following formula, which takes into account the factor of the road regional location </w:t>
            </w:r>
            <w:r w:rsidRPr="0045151D">
              <w:rPr>
                <w:rFonts w:ascii="Calibri" w:eastAsia="Calibri" w:hAnsi="Calibri" w:cs="Calibri"/>
                <w:b/>
                <w:i/>
                <w:color w:val="000000"/>
                <w:sz w:val="20"/>
                <w:szCs w:val="20"/>
                <w:lang w:val="en-GB"/>
              </w:rPr>
              <w:t>f</w:t>
            </w:r>
            <w:r w:rsidRPr="0045151D">
              <w:rPr>
                <w:rFonts w:ascii="Calibri" w:eastAsia="Calibri" w:hAnsi="Calibri" w:cs="Calibri"/>
                <w:b/>
                <w:i/>
                <w:color w:val="000000"/>
                <w:sz w:val="20"/>
                <w:szCs w:val="20"/>
                <w:vertAlign w:val="superscript"/>
                <w:lang w:val="en-GB"/>
              </w:rPr>
              <w:t>(1)</w:t>
            </w:r>
            <w:r w:rsidRPr="0045151D">
              <w:rPr>
                <w:rFonts w:ascii="Calibri" w:eastAsia="Calibri" w:hAnsi="Calibri" w:cs="Calibri"/>
                <w:b/>
                <w:i/>
                <w:color w:val="000000"/>
                <w:sz w:val="20"/>
                <w:szCs w:val="20"/>
                <w:vertAlign w:val="subscript"/>
                <w:lang w:val="en-GB"/>
              </w:rPr>
              <w:t>LDW</w:t>
            </w:r>
            <w:r w:rsidRPr="0045151D">
              <w:rPr>
                <w:rFonts w:ascii="Calibri" w:eastAsia="Calibri" w:hAnsi="Calibri" w:cs="Calibri"/>
                <w:b/>
                <w:i/>
                <w:color w:val="000000"/>
                <w:sz w:val="20"/>
                <w:szCs w:val="20"/>
                <w:lang w:val="en-GB"/>
              </w:rPr>
              <w:t>:</w:t>
            </w:r>
          </w:p>
          <w:p w14:paraId="642A18E2"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i/>
                <w:color w:val="000000"/>
                <w:sz w:val="20"/>
                <w:szCs w:val="20"/>
                <w:vertAlign w:val="subscript"/>
                <w:lang w:val="en-GB"/>
              </w:rPr>
            </w:pPr>
            <w:r w:rsidRPr="0045151D">
              <w:rPr>
                <w:rFonts w:ascii="Calibri" w:eastAsia="Calibri" w:hAnsi="Calibri" w:cs="Calibri"/>
                <w:b/>
                <w:color w:val="000000"/>
                <w:sz w:val="20"/>
                <w:szCs w:val="20"/>
                <w:lang w:val="en-GB"/>
              </w:rPr>
              <w:t>GW</w:t>
            </w:r>
            <w:r w:rsidRPr="0045151D">
              <w:rPr>
                <w:rFonts w:ascii="Calibri" w:eastAsia="Calibri" w:hAnsi="Calibri" w:cs="Calibri"/>
                <w:b/>
                <w:i/>
                <w:color w:val="000000"/>
                <w:sz w:val="20"/>
                <w:szCs w:val="20"/>
                <w:vertAlign w:val="superscript"/>
                <w:lang w:val="en-GB"/>
              </w:rPr>
              <w:t>(1)</w:t>
            </w:r>
            <w:r w:rsidRPr="0045151D">
              <w:rPr>
                <w:rFonts w:ascii="Calibri" w:eastAsia="Calibri" w:hAnsi="Calibri" w:cs="Calibri"/>
                <w:b/>
                <w:i/>
                <w:color w:val="000000"/>
                <w:sz w:val="20"/>
                <w:szCs w:val="20"/>
                <w:lang w:val="en-GB"/>
              </w:rPr>
              <w:t xml:space="preserve"> = </w:t>
            </w:r>
            <w:r w:rsidRPr="0045151D">
              <w:rPr>
                <w:rFonts w:ascii="Calibri" w:eastAsia="Calibri" w:hAnsi="Calibri" w:cs="Calibri"/>
                <w:b/>
                <w:color w:val="000000"/>
                <w:sz w:val="20"/>
                <w:szCs w:val="20"/>
                <w:lang w:val="en-GB"/>
              </w:rPr>
              <w:t xml:space="preserve">gw </w:t>
            </w:r>
            <w:r w:rsidRPr="0045151D">
              <w:rPr>
                <w:rFonts w:ascii="Calibri" w:eastAsia="Calibri" w:hAnsi="Calibri" w:cs="Calibri"/>
                <w:b/>
                <w:i/>
                <w:color w:val="000000"/>
                <w:sz w:val="20"/>
                <w:szCs w:val="20"/>
                <w:lang w:val="en-GB"/>
              </w:rPr>
              <w:t>* f</w:t>
            </w:r>
            <w:r w:rsidRPr="0045151D">
              <w:rPr>
                <w:rFonts w:ascii="Calibri" w:eastAsia="Calibri" w:hAnsi="Calibri" w:cs="Calibri"/>
                <w:b/>
                <w:i/>
                <w:color w:val="000000"/>
                <w:sz w:val="20"/>
                <w:szCs w:val="20"/>
                <w:vertAlign w:val="superscript"/>
                <w:lang w:val="en-GB"/>
              </w:rPr>
              <w:t>(1)</w:t>
            </w:r>
            <w:r w:rsidRPr="0045151D">
              <w:rPr>
                <w:rFonts w:ascii="Calibri" w:eastAsia="Calibri" w:hAnsi="Calibri" w:cs="Calibri"/>
                <w:b/>
                <w:i/>
                <w:color w:val="000000"/>
                <w:sz w:val="20"/>
                <w:szCs w:val="20"/>
                <w:vertAlign w:val="subscript"/>
                <w:lang w:val="en-GB"/>
              </w:rPr>
              <w:t>LDW</w:t>
            </w:r>
          </w:p>
          <w:p w14:paraId="3E098838" w14:textId="77777777" w:rsidR="00600DEE" w:rsidRPr="0045151D" w:rsidRDefault="00600DEE">
            <w:pPr>
              <w:pBdr>
                <w:top w:val="nil"/>
                <w:left w:val="nil"/>
                <w:bottom w:val="nil"/>
                <w:right w:val="nil"/>
                <w:between w:val="nil"/>
              </w:pBdr>
              <w:spacing w:before="120" w:after="120"/>
              <w:jc w:val="both"/>
              <w:rPr>
                <w:rFonts w:ascii="Calibri" w:eastAsia="Calibri" w:hAnsi="Calibri" w:cs="Calibri"/>
                <w:color w:val="000000"/>
                <w:sz w:val="20"/>
                <w:szCs w:val="20"/>
                <w:lang w:val="en-GB"/>
              </w:rPr>
            </w:pPr>
          </w:p>
          <w:p w14:paraId="0EBB9853" w14:textId="77777777" w:rsidR="00600DEE" w:rsidRPr="0045151D" w:rsidRDefault="00641FB5">
            <w:pPr>
              <w:pBdr>
                <w:top w:val="nil"/>
                <w:left w:val="nil"/>
                <w:bottom w:val="nil"/>
                <w:right w:val="nil"/>
                <w:between w:val="nil"/>
              </w:pBdr>
              <w:spacing w:before="120" w:after="120"/>
              <w:ind w:left="990" w:hanging="992"/>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14. Traffic accidents density factor gw for single carriageway roads</w:t>
            </w:r>
            <w:r w:rsidRPr="0045151D">
              <w:rPr>
                <w:rFonts w:ascii="Calibri" w:eastAsia="Calibri" w:hAnsi="Calibri" w:cs="Calibri"/>
                <w:b/>
                <w:color w:val="4F81BD"/>
                <w:sz w:val="20"/>
                <w:szCs w:val="20"/>
                <w:lang w:val="en-GB"/>
              </w:rPr>
              <w:br/>
              <w:t>[persons/km/year]</w:t>
            </w:r>
          </w:p>
          <w:tbl>
            <w:tblPr>
              <w:tblStyle w:val="afffffffffffffffff8"/>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195"/>
              <w:gridCol w:w="1275"/>
              <w:gridCol w:w="1626"/>
              <w:gridCol w:w="1843"/>
            </w:tblGrid>
            <w:tr w:rsidR="00600DEE" w:rsidRPr="007463B9" w14:paraId="228840CF" w14:textId="77777777" w:rsidTr="00661345">
              <w:trPr>
                <w:trHeight w:hRule="exact" w:val="340"/>
              </w:trPr>
              <w:tc>
                <w:tcPr>
                  <w:tcW w:w="2195" w:type="dxa"/>
                  <w:vMerge w:val="restart"/>
                  <w:shd w:val="clear" w:color="auto" w:fill="A6A6A6"/>
                  <w:vAlign w:val="center"/>
                </w:tcPr>
                <w:p w14:paraId="4DCF62AC"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AADT</w:t>
                  </w:r>
                </w:p>
              </w:tc>
              <w:tc>
                <w:tcPr>
                  <w:tcW w:w="1275" w:type="dxa"/>
                  <w:vMerge w:val="restart"/>
                  <w:shd w:val="clear" w:color="auto" w:fill="A6A6A6"/>
                  <w:vAlign w:val="center"/>
                </w:tcPr>
                <w:p w14:paraId="28093501"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S1</w:t>
                  </w:r>
                </w:p>
              </w:tc>
              <w:tc>
                <w:tcPr>
                  <w:tcW w:w="3469" w:type="dxa"/>
                  <w:gridSpan w:val="2"/>
                  <w:shd w:val="clear" w:color="auto" w:fill="A6A6A6"/>
                  <w:vAlign w:val="center"/>
                </w:tcPr>
                <w:p w14:paraId="04433D03"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GP1, G1</w:t>
                  </w:r>
                </w:p>
              </w:tc>
            </w:tr>
            <w:tr w:rsidR="00600DEE" w:rsidRPr="007463B9" w14:paraId="1EDB7D8C" w14:textId="77777777">
              <w:trPr>
                <w:trHeight w:val="144"/>
              </w:trPr>
              <w:tc>
                <w:tcPr>
                  <w:tcW w:w="2195" w:type="dxa"/>
                  <w:vMerge/>
                  <w:shd w:val="clear" w:color="auto" w:fill="A6A6A6"/>
                  <w:vAlign w:val="center"/>
                </w:tcPr>
                <w:p w14:paraId="602AF8D3"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7"/>
                      <w:szCs w:val="17"/>
                      <w:lang w:val="en-GB"/>
                    </w:rPr>
                  </w:pPr>
                </w:p>
              </w:tc>
              <w:tc>
                <w:tcPr>
                  <w:tcW w:w="1275" w:type="dxa"/>
                  <w:vMerge/>
                  <w:shd w:val="clear" w:color="auto" w:fill="A6A6A6"/>
                  <w:vAlign w:val="center"/>
                </w:tcPr>
                <w:p w14:paraId="6B989642"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7"/>
                      <w:szCs w:val="17"/>
                      <w:lang w:val="en-GB"/>
                    </w:rPr>
                  </w:pPr>
                </w:p>
              </w:tc>
              <w:tc>
                <w:tcPr>
                  <w:tcW w:w="1626" w:type="dxa"/>
                  <w:shd w:val="clear" w:color="auto" w:fill="A6A6A6"/>
                  <w:vAlign w:val="center"/>
                </w:tcPr>
                <w:p w14:paraId="57C9597C"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Undeveloped area</w:t>
                  </w:r>
                </w:p>
              </w:tc>
              <w:tc>
                <w:tcPr>
                  <w:tcW w:w="1843" w:type="dxa"/>
                  <w:shd w:val="clear" w:color="auto" w:fill="A6A6A6"/>
                  <w:vAlign w:val="center"/>
                </w:tcPr>
                <w:p w14:paraId="627ADF75"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Built-up  area</w:t>
                  </w:r>
                </w:p>
              </w:tc>
            </w:tr>
            <w:tr w:rsidR="00600DEE" w:rsidRPr="007463B9" w14:paraId="1FBBDDC2" w14:textId="77777777" w:rsidTr="003B4C7E">
              <w:trPr>
                <w:trHeight w:hRule="exact" w:val="227"/>
              </w:trPr>
              <w:tc>
                <w:tcPr>
                  <w:tcW w:w="2195" w:type="dxa"/>
                  <w:shd w:val="clear" w:color="auto" w:fill="DBE5F1"/>
                  <w:vAlign w:val="center"/>
                </w:tcPr>
                <w:p w14:paraId="656C28D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275" w:type="dxa"/>
                  <w:shd w:val="clear" w:color="auto" w:fill="DBE5F1"/>
                  <w:vAlign w:val="center"/>
                </w:tcPr>
                <w:p w14:paraId="0168B1A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w:t>
                  </w:r>
                </w:p>
              </w:tc>
              <w:tc>
                <w:tcPr>
                  <w:tcW w:w="1626" w:type="dxa"/>
                  <w:shd w:val="clear" w:color="auto" w:fill="DBE5F1"/>
                  <w:vAlign w:val="center"/>
                </w:tcPr>
                <w:p w14:paraId="287427D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0.113</w:t>
                  </w:r>
                </w:p>
              </w:tc>
              <w:tc>
                <w:tcPr>
                  <w:tcW w:w="1843" w:type="dxa"/>
                  <w:shd w:val="clear" w:color="auto" w:fill="DBE5F1"/>
                  <w:vAlign w:val="center"/>
                </w:tcPr>
                <w:p w14:paraId="0B282FB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0.170</w:t>
                  </w:r>
                </w:p>
              </w:tc>
            </w:tr>
            <w:tr w:rsidR="00600DEE" w:rsidRPr="007463B9" w14:paraId="392CCF17" w14:textId="77777777" w:rsidTr="003B4C7E">
              <w:trPr>
                <w:trHeight w:hRule="exact" w:val="227"/>
              </w:trPr>
              <w:tc>
                <w:tcPr>
                  <w:tcW w:w="2195" w:type="dxa"/>
                  <w:shd w:val="clear" w:color="auto" w:fill="DBE5F1"/>
                  <w:vAlign w:val="center"/>
                </w:tcPr>
                <w:p w14:paraId="05371BE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275" w:type="dxa"/>
                  <w:shd w:val="clear" w:color="auto" w:fill="DBE5F1"/>
                  <w:vAlign w:val="center"/>
                </w:tcPr>
                <w:p w14:paraId="2E35520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0.152</w:t>
                  </w:r>
                </w:p>
              </w:tc>
              <w:tc>
                <w:tcPr>
                  <w:tcW w:w="1626" w:type="dxa"/>
                  <w:shd w:val="clear" w:color="auto" w:fill="DBE5F1"/>
                  <w:vAlign w:val="center"/>
                </w:tcPr>
                <w:p w14:paraId="4E97C89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0.244</w:t>
                  </w:r>
                </w:p>
              </w:tc>
              <w:tc>
                <w:tcPr>
                  <w:tcW w:w="1843" w:type="dxa"/>
                  <w:shd w:val="clear" w:color="auto" w:fill="DBE5F1"/>
                  <w:vAlign w:val="center"/>
                </w:tcPr>
                <w:p w14:paraId="2FF7315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0.369</w:t>
                  </w:r>
                </w:p>
              </w:tc>
            </w:tr>
            <w:tr w:rsidR="00600DEE" w:rsidRPr="007463B9" w14:paraId="282BEB48" w14:textId="77777777" w:rsidTr="003B4C7E">
              <w:trPr>
                <w:trHeight w:hRule="exact" w:val="227"/>
              </w:trPr>
              <w:tc>
                <w:tcPr>
                  <w:tcW w:w="2195" w:type="dxa"/>
                  <w:shd w:val="clear" w:color="auto" w:fill="DBE5F1"/>
                  <w:vAlign w:val="center"/>
                </w:tcPr>
                <w:p w14:paraId="07118232" w14:textId="44E85C2E" w:rsidR="00600DEE" w:rsidRPr="0045151D" w:rsidRDefault="00897A74">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10 000</w:t>
                  </w:r>
                  <w:r w:rsidR="00641FB5" w:rsidRPr="0045151D">
                    <w:rPr>
                      <w:rFonts w:ascii="Calibri" w:eastAsia="Calibri" w:hAnsi="Calibri" w:cs="Calibri"/>
                      <w:color w:val="4F81BD"/>
                      <w:sz w:val="18"/>
                      <w:szCs w:val="18"/>
                      <w:lang w:val="en-GB"/>
                    </w:rPr>
                    <w:t>-20 000</w:t>
                  </w:r>
                </w:p>
              </w:tc>
              <w:tc>
                <w:tcPr>
                  <w:tcW w:w="1275" w:type="dxa"/>
                  <w:shd w:val="clear" w:color="auto" w:fill="DBE5F1"/>
                  <w:vAlign w:val="center"/>
                </w:tcPr>
                <w:p w14:paraId="45BC6DA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0.270</w:t>
                  </w:r>
                </w:p>
              </w:tc>
              <w:tc>
                <w:tcPr>
                  <w:tcW w:w="1626" w:type="dxa"/>
                  <w:shd w:val="clear" w:color="auto" w:fill="DBE5F1"/>
                  <w:vAlign w:val="center"/>
                </w:tcPr>
                <w:p w14:paraId="68C7E0C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0.435</w:t>
                  </w:r>
                </w:p>
              </w:tc>
              <w:tc>
                <w:tcPr>
                  <w:tcW w:w="1843" w:type="dxa"/>
                  <w:shd w:val="clear" w:color="auto" w:fill="DBE5F1"/>
                  <w:vAlign w:val="center"/>
                </w:tcPr>
                <w:p w14:paraId="57064FB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0.656</w:t>
                  </w:r>
                </w:p>
              </w:tc>
            </w:tr>
            <w:tr w:rsidR="00600DEE" w:rsidRPr="007463B9" w14:paraId="1E2D131C" w14:textId="77777777" w:rsidTr="003B4C7E">
              <w:trPr>
                <w:trHeight w:hRule="exact" w:val="227"/>
              </w:trPr>
              <w:tc>
                <w:tcPr>
                  <w:tcW w:w="2195" w:type="dxa"/>
                  <w:shd w:val="clear" w:color="auto" w:fill="DBE5F1"/>
                  <w:vAlign w:val="center"/>
                </w:tcPr>
                <w:p w14:paraId="37EDE28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 and more</w:t>
                  </w:r>
                </w:p>
              </w:tc>
              <w:tc>
                <w:tcPr>
                  <w:tcW w:w="1275" w:type="dxa"/>
                  <w:shd w:val="clear" w:color="auto" w:fill="DBE5F1"/>
                  <w:vAlign w:val="center"/>
                </w:tcPr>
                <w:p w14:paraId="3C191A4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0.413</w:t>
                  </w:r>
                </w:p>
              </w:tc>
              <w:tc>
                <w:tcPr>
                  <w:tcW w:w="1626" w:type="dxa"/>
                  <w:shd w:val="clear" w:color="auto" w:fill="DBE5F1"/>
                  <w:vAlign w:val="center"/>
                </w:tcPr>
                <w:p w14:paraId="2A130F6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0.665</w:t>
                  </w:r>
                </w:p>
              </w:tc>
              <w:tc>
                <w:tcPr>
                  <w:tcW w:w="1843" w:type="dxa"/>
                  <w:shd w:val="clear" w:color="auto" w:fill="DBE5F1"/>
                  <w:vAlign w:val="center"/>
                </w:tcPr>
                <w:p w14:paraId="3843DAC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1.004</w:t>
                  </w:r>
                </w:p>
              </w:tc>
            </w:tr>
          </w:tbl>
          <w:p w14:paraId="4242D497" w14:textId="77777777"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18E28045"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15. Road location factor f</w:t>
            </w:r>
            <w:r w:rsidRPr="0045151D">
              <w:rPr>
                <w:rFonts w:ascii="Calibri" w:eastAsia="Calibri" w:hAnsi="Calibri" w:cs="Calibri"/>
                <w:b/>
                <w:color w:val="4F81BD"/>
                <w:sz w:val="20"/>
                <w:szCs w:val="20"/>
                <w:vertAlign w:val="superscript"/>
                <w:lang w:val="en-GB"/>
              </w:rPr>
              <w:t>(1)</w:t>
            </w:r>
            <w:r w:rsidRPr="0045151D">
              <w:rPr>
                <w:rFonts w:ascii="Calibri" w:eastAsia="Calibri" w:hAnsi="Calibri" w:cs="Calibri"/>
                <w:b/>
                <w:color w:val="4F81BD"/>
                <w:sz w:val="20"/>
                <w:szCs w:val="20"/>
                <w:vertAlign w:val="subscript"/>
                <w:lang w:val="en-GB"/>
              </w:rPr>
              <w:t>LDW</w:t>
            </w:r>
            <w:r w:rsidRPr="0045151D">
              <w:rPr>
                <w:rFonts w:ascii="Calibri" w:eastAsia="Calibri" w:hAnsi="Calibri" w:cs="Calibri"/>
                <w:b/>
                <w:color w:val="4F81BD"/>
                <w:sz w:val="20"/>
                <w:szCs w:val="20"/>
                <w:lang w:val="en-GB"/>
              </w:rPr>
              <w:t>.</w:t>
            </w:r>
          </w:p>
          <w:tbl>
            <w:tblPr>
              <w:tblStyle w:val="afffffffffffffffff9"/>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928"/>
              <w:gridCol w:w="1305"/>
              <w:gridCol w:w="2618"/>
              <w:gridCol w:w="1088"/>
            </w:tblGrid>
            <w:tr w:rsidR="00600DEE" w:rsidRPr="00132C08" w14:paraId="7B7574D3" w14:textId="77777777" w:rsidTr="003B4C7E">
              <w:trPr>
                <w:trHeight w:hRule="exact" w:val="227"/>
              </w:trPr>
              <w:tc>
                <w:tcPr>
                  <w:tcW w:w="1928" w:type="dxa"/>
                  <w:shd w:val="clear" w:color="auto" w:fill="A6A6A6"/>
                  <w:vAlign w:val="center"/>
                </w:tcPr>
                <w:p w14:paraId="445FA19F" w14:textId="77777777" w:rsidR="00600DEE" w:rsidRPr="007463B9" w:rsidRDefault="00641FB5">
                  <w:pPr>
                    <w:jc w:val="center"/>
                    <w:rPr>
                      <w:rFonts w:ascii="Calibri" w:eastAsia="Calibri" w:hAnsi="Calibri" w:cs="Calibri"/>
                      <w:b/>
                      <w:color w:val="FFFFFF"/>
                      <w:sz w:val="17"/>
                      <w:szCs w:val="17"/>
                    </w:rPr>
                  </w:pPr>
                  <w:r w:rsidRPr="007463B9">
                    <w:rPr>
                      <w:rFonts w:ascii="Calibri" w:eastAsia="Calibri" w:hAnsi="Calibri" w:cs="Calibri"/>
                      <w:b/>
                      <w:color w:val="FFFFFF"/>
                      <w:sz w:val="17"/>
                      <w:szCs w:val="17"/>
                    </w:rPr>
                    <w:t>Voivodeship</w:t>
                  </w:r>
                </w:p>
              </w:tc>
              <w:tc>
                <w:tcPr>
                  <w:tcW w:w="1305" w:type="dxa"/>
                  <w:shd w:val="clear" w:color="auto" w:fill="A6A6A6"/>
                  <w:vAlign w:val="center"/>
                </w:tcPr>
                <w:p w14:paraId="23C82056" w14:textId="77777777" w:rsidR="00600DEE" w:rsidRPr="007463B9" w:rsidRDefault="00641FB5">
                  <w:pPr>
                    <w:jc w:val="center"/>
                    <w:rPr>
                      <w:rFonts w:ascii="Calibri" w:eastAsia="Calibri" w:hAnsi="Calibri" w:cs="Calibri"/>
                      <w:b/>
                      <w:color w:val="FFFFFF"/>
                      <w:sz w:val="17"/>
                      <w:szCs w:val="17"/>
                    </w:rPr>
                  </w:pPr>
                  <w:r w:rsidRPr="007463B9">
                    <w:rPr>
                      <w:rFonts w:ascii="Calibri" w:eastAsia="Calibri" w:hAnsi="Calibri" w:cs="Calibri"/>
                      <w:b/>
                      <w:i/>
                      <w:color w:val="FFFFFF"/>
                      <w:sz w:val="20"/>
                      <w:szCs w:val="20"/>
                    </w:rPr>
                    <w:t>f</w:t>
                  </w:r>
                  <w:r w:rsidRPr="007463B9">
                    <w:rPr>
                      <w:rFonts w:ascii="Calibri" w:eastAsia="Calibri" w:hAnsi="Calibri" w:cs="Calibri"/>
                      <w:b/>
                      <w:i/>
                      <w:color w:val="FFFFFF"/>
                      <w:sz w:val="20"/>
                      <w:szCs w:val="20"/>
                      <w:vertAlign w:val="superscript"/>
                    </w:rPr>
                    <w:t>(1)</w:t>
                  </w:r>
                  <w:r w:rsidRPr="007463B9">
                    <w:rPr>
                      <w:rFonts w:ascii="Calibri" w:eastAsia="Calibri" w:hAnsi="Calibri" w:cs="Calibri"/>
                      <w:b/>
                      <w:i/>
                      <w:color w:val="FFFFFF"/>
                      <w:sz w:val="20"/>
                      <w:szCs w:val="20"/>
                      <w:vertAlign w:val="subscript"/>
                    </w:rPr>
                    <w:t>LDW</w:t>
                  </w:r>
                </w:p>
              </w:tc>
              <w:tc>
                <w:tcPr>
                  <w:tcW w:w="2618" w:type="dxa"/>
                  <w:shd w:val="clear" w:color="auto" w:fill="A6A6A6"/>
                  <w:vAlign w:val="center"/>
                </w:tcPr>
                <w:p w14:paraId="4F8D5956" w14:textId="77777777" w:rsidR="00600DEE" w:rsidRPr="007463B9" w:rsidRDefault="00641FB5">
                  <w:pPr>
                    <w:jc w:val="center"/>
                    <w:rPr>
                      <w:rFonts w:ascii="Calibri" w:eastAsia="Calibri" w:hAnsi="Calibri" w:cs="Calibri"/>
                      <w:b/>
                      <w:color w:val="FFFFFF"/>
                      <w:sz w:val="17"/>
                      <w:szCs w:val="17"/>
                    </w:rPr>
                  </w:pPr>
                  <w:r w:rsidRPr="007463B9">
                    <w:rPr>
                      <w:rFonts w:ascii="Calibri" w:eastAsia="Calibri" w:hAnsi="Calibri" w:cs="Calibri"/>
                      <w:b/>
                      <w:color w:val="FFFFFF"/>
                      <w:sz w:val="17"/>
                      <w:szCs w:val="17"/>
                    </w:rPr>
                    <w:t>Voivodeship</w:t>
                  </w:r>
                </w:p>
              </w:tc>
              <w:tc>
                <w:tcPr>
                  <w:tcW w:w="1088" w:type="dxa"/>
                  <w:shd w:val="clear" w:color="auto" w:fill="A6A6A6"/>
                  <w:vAlign w:val="center"/>
                </w:tcPr>
                <w:p w14:paraId="7CA906C3" w14:textId="77777777" w:rsidR="00600DEE" w:rsidRPr="007463B9" w:rsidRDefault="00641FB5">
                  <w:pPr>
                    <w:jc w:val="center"/>
                    <w:rPr>
                      <w:rFonts w:ascii="Calibri" w:eastAsia="Calibri" w:hAnsi="Calibri" w:cs="Calibri"/>
                      <w:b/>
                      <w:color w:val="FFFFFF"/>
                      <w:sz w:val="17"/>
                      <w:szCs w:val="17"/>
                    </w:rPr>
                  </w:pPr>
                  <w:r w:rsidRPr="007463B9">
                    <w:rPr>
                      <w:rFonts w:ascii="Calibri" w:eastAsia="Calibri" w:hAnsi="Calibri" w:cs="Calibri"/>
                      <w:b/>
                      <w:i/>
                      <w:color w:val="FFFFFF"/>
                      <w:sz w:val="20"/>
                      <w:szCs w:val="20"/>
                    </w:rPr>
                    <w:t>f</w:t>
                  </w:r>
                  <w:r w:rsidRPr="007463B9">
                    <w:rPr>
                      <w:rFonts w:ascii="Calibri" w:eastAsia="Calibri" w:hAnsi="Calibri" w:cs="Calibri"/>
                      <w:b/>
                      <w:i/>
                      <w:color w:val="FFFFFF"/>
                      <w:sz w:val="20"/>
                      <w:szCs w:val="20"/>
                      <w:vertAlign w:val="superscript"/>
                    </w:rPr>
                    <w:t>(1)</w:t>
                  </w:r>
                  <w:r w:rsidRPr="007463B9">
                    <w:rPr>
                      <w:rFonts w:ascii="Calibri" w:eastAsia="Calibri" w:hAnsi="Calibri" w:cs="Calibri"/>
                      <w:b/>
                      <w:i/>
                      <w:color w:val="FFFFFF"/>
                      <w:sz w:val="20"/>
                      <w:szCs w:val="20"/>
                      <w:vertAlign w:val="subscript"/>
                    </w:rPr>
                    <w:t>LDW</w:t>
                  </w:r>
                </w:p>
              </w:tc>
            </w:tr>
            <w:tr w:rsidR="00600DEE" w:rsidRPr="00132C08" w14:paraId="489FAC8B" w14:textId="77777777" w:rsidTr="003B4C7E">
              <w:trPr>
                <w:trHeight w:hRule="exact" w:val="227"/>
              </w:trPr>
              <w:tc>
                <w:tcPr>
                  <w:tcW w:w="1928" w:type="dxa"/>
                  <w:shd w:val="clear" w:color="auto" w:fill="DBE5F1"/>
                  <w:vAlign w:val="center"/>
                </w:tcPr>
                <w:p w14:paraId="640FCAF2"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dolnośląskie</w:t>
                  </w:r>
                </w:p>
              </w:tc>
              <w:tc>
                <w:tcPr>
                  <w:tcW w:w="1305" w:type="dxa"/>
                  <w:shd w:val="clear" w:color="auto" w:fill="DBE5F1"/>
                  <w:vAlign w:val="center"/>
                </w:tcPr>
                <w:p w14:paraId="4CE98F56"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2.342</w:t>
                  </w:r>
                </w:p>
              </w:tc>
              <w:tc>
                <w:tcPr>
                  <w:tcW w:w="2618" w:type="dxa"/>
                  <w:shd w:val="clear" w:color="auto" w:fill="DBE5F1"/>
                  <w:vAlign w:val="center"/>
                </w:tcPr>
                <w:p w14:paraId="372CC5E3"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podkarpackie</w:t>
                  </w:r>
                </w:p>
              </w:tc>
              <w:tc>
                <w:tcPr>
                  <w:tcW w:w="1088" w:type="dxa"/>
                  <w:shd w:val="clear" w:color="auto" w:fill="DBE5F1"/>
                  <w:vAlign w:val="center"/>
                </w:tcPr>
                <w:p w14:paraId="4BB061AB"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2.430</w:t>
                  </w:r>
                </w:p>
              </w:tc>
            </w:tr>
            <w:tr w:rsidR="00600DEE" w:rsidRPr="00132C08" w14:paraId="6542AAC0" w14:textId="77777777" w:rsidTr="003B4C7E">
              <w:trPr>
                <w:trHeight w:hRule="exact" w:val="227"/>
              </w:trPr>
              <w:tc>
                <w:tcPr>
                  <w:tcW w:w="1928" w:type="dxa"/>
                  <w:shd w:val="clear" w:color="auto" w:fill="DBE5F1"/>
                  <w:vAlign w:val="center"/>
                </w:tcPr>
                <w:p w14:paraId="30AB3F04"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kujawsko-pomorskie</w:t>
                  </w:r>
                </w:p>
              </w:tc>
              <w:tc>
                <w:tcPr>
                  <w:tcW w:w="1305" w:type="dxa"/>
                  <w:shd w:val="clear" w:color="auto" w:fill="DBE5F1"/>
                  <w:vAlign w:val="center"/>
                </w:tcPr>
                <w:p w14:paraId="349D5339"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1.696</w:t>
                  </w:r>
                </w:p>
              </w:tc>
              <w:tc>
                <w:tcPr>
                  <w:tcW w:w="2618" w:type="dxa"/>
                  <w:shd w:val="clear" w:color="auto" w:fill="DBE5F1"/>
                  <w:vAlign w:val="center"/>
                </w:tcPr>
                <w:p w14:paraId="128E7239"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podlaskie</w:t>
                  </w:r>
                </w:p>
              </w:tc>
              <w:tc>
                <w:tcPr>
                  <w:tcW w:w="1088" w:type="dxa"/>
                  <w:shd w:val="clear" w:color="auto" w:fill="DBE5F1"/>
                  <w:vAlign w:val="center"/>
                </w:tcPr>
                <w:p w14:paraId="7DC0B73D"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1.760</w:t>
                  </w:r>
                </w:p>
              </w:tc>
            </w:tr>
            <w:tr w:rsidR="00600DEE" w:rsidRPr="00132C08" w14:paraId="7AA05B3F" w14:textId="77777777" w:rsidTr="003B4C7E">
              <w:trPr>
                <w:trHeight w:hRule="exact" w:val="227"/>
              </w:trPr>
              <w:tc>
                <w:tcPr>
                  <w:tcW w:w="1928" w:type="dxa"/>
                  <w:shd w:val="clear" w:color="auto" w:fill="DBE5F1"/>
                  <w:vAlign w:val="center"/>
                </w:tcPr>
                <w:p w14:paraId="499D70E0"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lubelskie</w:t>
                  </w:r>
                </w:p>
              </w:tc>
              <w:tc>
                <w:tcPr>
                  <w:tcW w:w="1305" w:type="dxa"/>
                  <w:shd w:val="clear" w:color="auto" w:fill="DBE5F1"/>
                  <w:vAlign w:val="center"/>
                </w:tcPr>
                <w:p w14:paraId="38001525"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2.405</w:t>
                  </w:r>
                </w:p>
              </w:tc>
              <w:tc>
                <w:tcPr>
                  <w:tcW w:w="2618" w:type="dxa"/>
                  <w:shd w:val="clear" w:color="auto" w:fill="DBE5F1"/>
                  <w:vAlign w:val="center"/>
                </w:tcPr>
                <w:p w14:paraId="76380920"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pomorskie</w:t>
                  </w:r>
                </w:p>
              </w:tc>
              <w:tc>
                <w:tcPr>
                  <w:tcW w:w="1088" w:type="dxa"/>
                  <w:shd w:val="clear" w:color="auto" w:fill="DBE5F1"/>
                  <w:vAlign w:val="center"/>
                </w:tcPr>
                <w:p w14:paraId="5EC304EA"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2.317</w:t>
                  </w:r>
                </w:p>
              </w:tc>
            </w:tr>
            <w:tr w:rsidR="00600DEE" w:rsidRPr="00132C08" w14:paraId="1BAB9EB0" w14:textId="77777777" w:rsidTr="003B4C7E">
              <w:trPr>
                <w:trHeight w:hRule="exact" w:val="227"/>
              </w:trPr>
              <w:tc>
                <w:tcPr>
                  <w:tcW w:w="1928" w:type="dxa"/>
                  <w:shd w:val="clear" w:color="auto" w:fill="DBE5F1"/>
                  <w:vAlign w:val="center"/>
                </w:tcPr>
                <w:p w14:paraId="74D982B5"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lubuskie</w:t>
                  </w:r>
                </w:p>
              </w:tc>
              <w:tc>
                <w:tcPr>
                  <w:tcW w:w="1305" w:type="dxa"/>
                  <w:shd w:val="clear" w:color="auto" w:fill="DBE5F1"/>
                  <w:vAlign w:val="center"/>
                </w:tcPr>
                <w:p w14:paraId="57785FA6"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1.742</w:t>
                  </w:r>
                </w:p>
              </w:tc>
              <w:tc>
                <w:tcPr>
                  <w:tcW w:w="2618" w:type="dxa"/>
                  <w:shd w:val="clear" w:color="auto" w:fill="DBE5F1"/>
                  <w:vAlign w:val="center"/>
                </w:tcPr>
                <w:p w14:paraId="3FFA53EC"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śląskie</w:t>
                  </w:r>
                </w:p>
              </w:tc>
              <w:tc>
                <w:tcPr>
                  <w:tcW w:w="1088" w:type="dxa"/>
                  <w:shd w:val="clear" w:color="auto" w:fill="DBE5F1"/>
                  <w:vAlign w:val="center"/>
                </w:tcPr>
                <w:p w14:paraId="01725ECD"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2.833</w:t>
                  </w:r>
                </w:p>
              </w:tc>
            </w:tr>
            <w:tr w:rsidR="00600DEE" w:rsidRPr="00132C08" w14:paraId="2EB50C3A" w14:textId="77777777" w:rsidTr="003B4C7E">
              <w:trPr>
                <w:trHeight w:hRule="exact" w:val="227"/>
              </w:trPr>
              <w:tc>
                <w:tcPr>
                  <w:tcW w:w="1928" w:type="dxa"/>
                  <w:shd w:val="clear" w:color="auto" w:fill="DBE5F1"/>
                  <w:vAlign w:val="center"/>
                </w:tcPr>
                <w:p w14:paraId="21F392F8"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łódzkie</w:t>
                  </w:r>
                </w:p>
              </w:tc>
              <w:tc>
                <w:tcPr>
                  <w:tcW w:w="1305" w:type="dxa"/>
                  <w:shd w:val="clear" w:color="auto" w:fill="DBE5F1"/>
                  <w:vAlign w:val="center"/>
                </w:tcPr>
                <w:p w14:paraId="1859E895"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2.701</w:t>
                  </w:r>
                </w:p>
              </w:tc>
              <w:tc>
                <w:tcPr>
                  <w:tcW w:w="2618" w:type="dxa"/>
                  <w:shd w:val="clear" w:color="auto" w:fill="DBE5F1"/>
                  <w:vAlign w:val="center"/>
                </w:tcPr>
                <w:p w14:paraId="4C3C6BF7"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świętokrzyskie</w:t>
                  </w:r>
                </w:p>
              </w:tc>
              <w:tc>
                <w:tcPr>
                  <w:tcW w:w="1088" w:type="dxa"/>
                  <w:shd w:val="clear" w:color="auto" w:fill="DBE5F1"/>
                  <w:vAlign w:val="center"/>
                </w:tcPr>
                <w:p w14:paraId="4506BE08"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2.430</w:t>
                  </w:r>
                </w:p>
              </w:tc>
            </w:tr>
            <w:tr w:rsidR="00600DEE" w:rsidRPr="00132C08" w14:paraId="13638AB3" w14:textId="77777777" w:rsidTr="003B4C7E">
              <w:trPr>
                <w:trHeight w:hRule="exact" w:val="227"/>
              </w:trPr>
              <w:tc>
                <w:tcPr>
                  <w:tcW w:w="1928" w:type="dxa"/>
                  <w:shd w:val="clear" w:color="auto" w:fill="DBE5F1"/>
                  <w:vAlign w:val="center"/>
                </w:tcPr>
                <w:p w14:paraId="72A2E64F"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małopolskie</w:t>
                  </w:r>
                </w:p>
              </w:tc>
              <w:tc>
                <w:tcPr>
                  <w:tcW w:w="1305" w:type="dxa"/>
                  <w:shd w:val="clear" w:color="auto" w:fill="DBE5F1"/>
                  <w:vAlign w:val="center"/>
                </w:tcPr>
                <w:p w14:paraId="6E6A4B59"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2.788</w:t>
                  </w:r>
                </w:p>
              </w:tc>
              <w:tc>
                <w:tcPr>
                  <w:tcW w:w="2618" w:type="dxa"/>
                  <w:shd w:val="clear" w:color="auto" w:fill="DBE5F1"/>
                  <w:vAlign w:val="center"/>
                </w:tcPr>
                <w:p w14:paraId="7ED98FD6"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warmińsko-mazurskie</w:t>
                  </w:r>
                </w:p>
              </w:tc>
              <w:tc>
                <w:tcPr>
                  <w:tcW w:w="1088" w:type="dxa"/>
                  <w:shd w:val="clear" w:color="auto" w:fill="DBE5F1"/>
                  <w:vAlign w:val="center"/>
                </w:tcPr>
                <w:p w14:paraId="7B700457"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2.617</w:t>
                  </w:r>
                </w:p>
              </w:tc>
            </w:tr>
            <w:tr w:rsidR="00600DEE" w:rsidRPr="00132C08" w14:paraId="7A7027C6" w14:textId="77777777" w:rsidTr="003B4C7E">
              <w:trPr>
                <w:trHeight w:hRule="exact" w:val="227"/>
              </w:trPr>
              <w:tc>
                <w:tcPr>
                  <w:tcW w:w="1928" w:type="dxa"/>
                  <w:shd w:val="clear" w:color="auto" w:fill="DBE5F1"/>
                  <w:vAlign w:val="center"/>
                </w:tcPr>
                <w:p w14:paraId="6CCCA9B3"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mazowieckie</w:t>
                  </w:r>
                </w:p>
              </w:tc>
              <w:tc>
                <w:tcPr>
                  <w:tcW w:w="1305" w:type="dxa"/>
                  <w:shd w:val="clear" w:color="auto" w:fill="DBE5F1"/>
                  <w:vAlign w:val="center"/>
                </w:tcPr>
                <w:p w14:paraId="02972C78"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2.096</w:t>
                  </w:r>
                </w:p>
              </w:tc>
              <w:tc>
                <w:tcPr>
                  <w:tcW w:w="2618" w:type="dxa"/>
                  <w:shd w:val="clear" w:color="auto" w:fill="DBE5F1"/>
                  <w:vAlign w:val="center"/>
                </w:tcPr>
                <w:p w14:paraId="7C91B58E"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wielkopolskie</w:t>
                  </w:r>
                </w:p>
              </w:tc>
              <w:tc>
                <w:tcPr>
                  <w:tcW w:w="1088" w:type="dxa"/>
                  <w:shd w:val="clear" w:color="auto" w:fill="DBE5F1"/>
                  <w:vAlign w:val="center"/>
                </w:tcPr>
                <w:p w14:paraId="7CEF111B"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1.936</w:t>
                  </w:r>
                </w:p>
              </w:tc>
            </w:tr>
            <w:tr w:rsidR="00600DEE" w:rsidRPr="00132C08" w14:paraId="2235FBE0" w14:textId="77777777" w:rsidTr="003B4C7E">
              <w:trPr>
                <w:trHeight w:hRule="exact" w:val="227"/>
              </w:trPr>
              <w:tc>
                <w:tcPr>
                  <w:tcW w:w="1928" w:type="dxa"/>
                  <w:shd w:val="clear" w:color="auto" w:fill="DBE5F1"/>
                  <w:vAlign w:val="center"/>
                </w:tcPr>
                <w:p w14:paraId="3BB2D795"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opolskie</w:t>
                  </w:r>
                </w:p>
              </w:tc>
              <w:tc>
                <w:tcPr>
                  <w:tcW w:w="1305" w:type="dxa"/>
                  <w:shd w:val="clear" w:color="auto" w:fill="DBE5F1"/>
                  <w:vAlign w:val="center"/>
                </w:tcPr>
                <w:p w14:paraId="57054452"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2.063</w:t>
                  </w:r>
                </w:p>
              </w:tc>
              <w:tc>
                <w:tcPr>
                  <w:tcW w:w="2618" w:type="dxa"/>
                  <w:shd w:val="clear" w:color="auto" w:fill="DBE5F1"/>
                  <w:vAlign w:val="center"/>
                </w:tcPr>
                <w:p w14:paraId="001AEBCA"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zachodniopomorskie</w:t>
                  </w:r>
                </w:p>
              </w:tc>
              <w:tc>
                <w:tcPr>
                  <w:tcW w:w="1088" w:type="dxa"/>
                  <w:shd w:val="clear" w:color="auto" w:fill="DBE5F1"/>
                  <w:vAlign w:val="center"/>
                </w:tcPr>
                <w:p w14:paraId="23D44A60" w14:textId="77777777" w:rsidR="00600DEE" w:rsidRPr="007463B9" w:rsidRDefault="00641FB5">
                  <w:pPr>
                    <w:jc w:val="center"/>
                    <w:rPr>
                      <w:rFonts w:ascii="Calibri" w:eastAsia="Calibri" w:hAnsi="Calibri" w:cs="Calibri"/>
                      <w:color w:val="4F81BD"/>
                      <w:sz w:val="18"/>
                      <w:szCs w:val="18"/>
                    </w:rPr>
                  </w:pPr>
                  <w:r w:rsidRPr="007463B9">
                    <w:rPr>
                      <w:rFonts w:ascii="Calibri" w:eastAsia="Calibri" w:hAnsi="Calibri" w:cs="Calibri"/>
                      <w:color w:val="4F81BD"/>
                      <w:sz w:val="18"/>
                      <w:szCs w:val="18"/>
                    </w:rPr>
                    <w:t>1.886</w:t>
                  </w:r>
                </w:p>
              </w:tc>
            </w:tr>
          </w:tbl>
          <w:p w14:paraId="0C0C8EAE" w14:textId="77777777" w:rsidR="00600DEE" w:rsidRPr="007463B9" w:rsidRDefault="00641FB5">
            <w:pPr>
              <w:spacing w:before="120" w:after="120"/>
              <w:ind w:right="170"/>
              <w:jc w:val="both"/>
              <w:rPr>
                <w:rFonts w:ascii="Calibri" w:eastAsia="Calibri" w:hAnsi="Calibri" w:cs="Calibri"/>
                <w:b/>
                <w:i/>
                <w:sz w:val="16"/>
                <w:szCs w:val="16"/>
              </w:rPr>
            </w:pPr>
            <w:r w:rsidRPr="007463B9">
              <w:rPr>
                <w:rFonts w:ascii="Calibri" w:eastAsia="Calibri" w:hAnsi="Calibri" w:cs="Calibri"/>
                <w:b/>
                <w:i/>
                <w:sz w:val="16"/>
                <w:szCs w:val="16"/>
              </w:rPr>
              <w:t>Source: Method of RS indicators</w:t>
            </w:r>
          </w:p>
          <w:p w14:paraId="58CA5591" w14:textId="77777777" w:rsidR="00600DEE" w:rsidRPr="0045151D" w:rsidRDefault="00641FB5">
            <w:pPr>
              <w:pBdr>
                <w:top w:val="nil"/>
                <w:left w:val="nil"/>
                <w:bottom w:val="nil"/>
                <w:right w:val="nil"/>
                <w:between w:val="nil"/>
              </w:pBdr>
              <w:spacing w:before="120" w:after="120"/>
              <w:ind w:left="1132" w:hanging="1132"/>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16. Densities of injured (GR) on single carriageway roads</w:t>
            </w:r>
            <w:r w:rsidRPr="0045151D">
              <w:rPr>
                <w:rFonts w:ascii="Calibri" w:eastAsia="Calibri" w:hAnsi="Calibri" w:cs="Calibri"/>
                <w:b/>
                <w:color w:val="4F81BD"/>
                <w:sz w:val="20"/>
                <w:szCs w:val="20"/>
                <w:lang w:val="en-GB"/>
              </w:rPr>
              <w:br/>
              <w:t xml:space="preserve"> [persons/km/year]</w:t>
            </w:r>
          </w:p>
          <w:tbl>
            <w:tblPr>
              <w:tblStyle w:val="afffffffffffffffffa"/>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15"/>
              <w:gridCol w:w="1004"/>
              <w:gridCol w:w="2052"/>
              <w:gridCol w:w="2268"/>
            </w:tblGrid>
            <w:tr w:rsidR="00600DEE" w14:paraId="1648C7C7" w14:textId="77777777" w:rsidTr="00746969">
              <w:trPr>
                <w:trHeight w:val="120"/>
              </w:trPr>
              <w:tc>
                <w:tcPr>
                  <w:tcW w:w="1615" w:type="dxa"/>
                  <w:vMerge w:val="restart"/>
                  <w:shd w:val="clear" w:color="auto" w:fill="A6A6A6"/>
                  <w:vAlign w:val="center"/>
                </w:tcPr>
                <w:p w14:paraId="654189E5" w14:textId="77777777" w:rsidR="00600DEE" w:rsidRDefault="00641FB5" w:rsidP="00746969">
                  <w:pPr>
                    <w:jc w:val="center"/>
                    <w:rPr>
                      <w:rFonts w:ascii="Calibri" w:eastAsia="Calibri" w:hAnsi="Calibri" w:cs="Calibri"/>
                      <w:b/>
                      <w:color w:val="FFFFFF"/>
                      <w:sz w:val="17"/>
                      <w:szCs w:val="17"/>
                    </w:rPr>
                  </w:pPr>
                  <w:r>
                    <w:rPr>
                      <w:rFonts w:ascii="Calibri" w:eastAsia="Calibri" w:hAnsi="Calibri" w:cs="Calibri"/>
                      <w:b/>
                      <w:color w:val="FFFFFF"/>
                      <w:sz w:val="17"/>
                      <w:szCs w:val="17"/>
                    </w:rPr>
                    <w:t>AADT</w:t>
                  </w:r>
                </w:p>
              </w:tc>
              <w:tc>
                <w:tcPr>
                  <w:tcW w:w="5324" w:type="dxa"/>
                  <w:gridSpan w:val="3"/>
                  <w:shd w:val="clear" w:color="auto" w:fill="A6A6A6"/>
                  <w:vAlign w:val="center"/>
                </w:tcPr>
                <w:p w14:paraId="1E53F773" w14:textId="300B55EE" w:rsidR="00600DEE" w:rsidRDefault="00641FB5" w:rsidP="00746969">
                  <w:pPr>
                    <w:jc w:val="center"/>
                    <w:rPr>
                      <w:rFonts w:ascii="Calibri" w:eastAsia="Calibri" w:hAnsi="Calibri" w:cs="Calibri"/>
                      <w:b/>
                      <w:color w:val="FFFFFF"/>
                      <w:sz w:val="17"/>
                      <w:szCs w:val="17"/>
                    </w:rPr>
                  </w:pPr>
                  <w:r>
                    <w:rPr>
                      <w:rFonts w:ascii="Calibri" w:eastAsia="Calibri" w:hAnsi="Calibri" w:cs="Calibri"/>
                      <w:b/>
                      <w:color w:val="FFFFFF"/>
                      <w:sz w:val="17"/>
                      <w:szCs w:val="17"/>
                    </w:rPr>
                    <w:t>GR</w:t>
                  </w:r>
                </w:p>
              </w:tc>
            </w:tr>
            <w:tr w:rsidR="00600DEE" w:rsidRPr="007463B9" w14:paraId="03F4F47B" w14:textId="77777777" w:rsidTr="00746969">
              <w:trPr>
                <w:trHeight w:val="194"/>
              </w:trPr>
              <w:tc>
                <w:tcPr>
                  <w:tcW w:w="1615" w:type="dxa"/>
                  <w:vMerge/>
                  <w:shd w:val="clear" w:color="auto" w:fill="A6A6A6"/>
                  <w:vAlign w:val="center"/>
                </w:tcPr>
                <w:p w14:paraId="0124DE56" w14:textId="77777777" w:rsidR="00600DEE" w:rsidRDefault="00600DEE" w:rsidP="00746969">
                  <w:pPr>
                    <w:widowControl w:val="0"/>
                    <w:pBdr>
                      <w:top w:val="nil"/>
                      <w:left w:val="nil"/>
                      <w:bottom w:val="nil"/>
                      <w:right w:val="nil"/>
                      <w:between w:val="nil"/>
                    </w:pBdr>
                    <w:spacing w:line="276" w:lineRule="auto"/>
                    <w:jc w:val="center"/>
                    <w:rPr>
                      <w:rFonts w:ascii="Calibri" w:eastAsia="Calibri" w:hAnsi="Calibri" w:cs="Calibri"/>
                      <w:b/>
                      <w:color w:val="FFFFFF"/>
                      <w:sz w:val="17"/>
                      <w:szCs w:val="17"/>
                    </w:rPr>
                  </w:pPr>
                </w:p>
              </w:tc>
              <w:tc>
                <w:tcPr>
                  <w:tcW w:w="1004" w:type="dxa"/>
                  <w:shd w:val="clear" w:color="auto" w:fill="A6A6A6"/>
                  <w:vAlign w:val="center"/>
                </w:tcPr>
                <w:p w14:paraId="7E722FD4" w14:textId="77777777" w:rsidR="00600DEE" w:rsidRDefault="00641FB5" w:rsidP="00746969">
                  <w:pPr>
                    <w:jc w:val="center"/>
                    <w:rPr>
                      <w:rFonts w:ascii="Calibri" w:eastAsia="Calibri" w:hAnsi="Calibri" w:cs="Calibri"/>
                      <w:b/>
                      <w:color w:val="FFFFFF"/>
                      <w:sz w:val="17"/>
                      <w:szCs w:val="17"/>
                    </w:rPr>
                  </w:pPr>
                  <w:r>
                    <w:rPr>
                      <w:rFonts w:ascii="Calibri" w:eastAsia="Calibri" w:hAnsi="Calibri" w:cs="Calibri"/>
                      <w:b/>
                      <w:color w:val="FFFFFF"/>
                      <w:sz w:val="17"/>
                      <w:szCs w:val="17"/>
                    </w:rPr>
                    <w:t>S1</w:t>
                  </w:r>
                </w:p>
              </w:tc>
              <w:tc>
                <w:tcPr>
                  <w:tcW w:w="2052" w:type="dxa"/>
                  <w:shd w:val="clear" w:color="auto" w:fill="A6A6A6"/>
                  <w:vAlign w:val="center"/>
                </w:tcPr>
                <w:p w14:paraId="7DA1C6C2" w14:textId="77777777" w:rsidR="00600DEE" w:rsidRDefault="00641FB5" w:rsidP="00746969">
                  <w:pPr>
                    <w:jc w:val="center"/>
                    <w:rPr>
                      <w:rFonts w:ascii="Calibri" w:eastAsia="Calibri" w:hAnsi="Calibri" w:cs="Calibri"/>
                      <w:b/>
                      <w:color w:val="FFFFFF"/>
                      <w:sz w:val="17"/>
                      <w:szCs w:val="17"/>
                    </w:rPr>
                  </w:pPr>
                  <w:r>
                    <w:rPr>
                      <w:rFonts w:ascii="Calibri" w:eastAsia="Calibri" w:hAnsi="Calibri" w:cs="Calibri"/>
                      <w:b/>
                      <w:color w:val="FFFFFF"/>
                      <w:sz w:val="17"/>
                      <w:szCs w:val="17"/>
                    </w:rPr>
                    <w:t>GP1, G1 undeveloped area</w:t>
                  </w:r>
                </w:p>
              </w:tc>
              <w:tc>
                <w:tcPr>
                  <w:tcW w:w="2268" w:type="dxa"/>
                  <w:shd w:val="clear" w:color="auto" w:fill="A6A6A6"/>
                  <w:vAlign w:val="center"/>
                </w:tcPr>
                <w:p w14:paraId="4252F7B0" w14:textId="77777777" w:rsidR="00600DEE" w:rsidRPr="0045151D" w:rsidRDefault="00641FB5" w:rsidP="00746969">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 G1 built-up  area</w:t>
                  </w:r>
                </w:p>
              </w:tc>
            </w:tr>
            <w:tr w:rsidR="00600DEE" w:rsidRPr="007463B9" w14:paraId="2F8DA99C" w14:textId="77777777" w:rsidTr="00746969">
              <w:trPr>
                <w:trHeight w:val="111"/>
              </w:trPr>
              <w:tc>
                <w:tcPr>
                  <w:tcW w:w="1615" w:type="dxa"/>
                  <w:shd w:val="clear" w:color="auto" w:fill="DBE5F1"/>
                  <w:vAlign w:val="center"/>
                </w:tcPr>
                <w:p w14:paraId="6753C87B"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004" w:type="dxa"/>
                  <w:shd w:val="clear" w:color="auto" w:fill="DBE5F1"/>
                  <w:vAlign w:val="center"/>
                </w:tcPr>
                <w:p w14:paraId="143F008F"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0.175</w:t>
                  </w:r>
                </w:p>
              </w:tc>
              <w:tc>
                <w:tcPr>
                  <w:tcW w:w="2052" w:type="dxa"/>
                  <w:shd w:val="clear" w:color="auto" w:fill="DBE5F1"/>
                  <w:vAlign w:val="center"/>
                </w:tcPr>
                <w:p w14:paraId="50053AAD"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0.323</w:t>
                  </w:r>
                </w:p>
              </w:tc>
              <w:tc>
                <w:tcPr>
                  <w:tcW w:w="2268" w:type="dxa"/>
                  <w:shd w:val="clear" w:color="auto" w:fill="DBE5F1"/>
                  <w:vAlign w:val="center"/>
                </w:tcPr>
                <w:p w14:paraId="73A8D8AF"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0.441</w:t>
                  </w:r>
                </w:p>
              </w:tc>
            </w:tr>
            <w:tr w:rsidR="00600DEE" w:rsidRPr="007463B9" w14:paraId="0810E02D" w14:textId="77777777" w:rsidTr="00746969">
              <w:trPr>
                <w:trHeight w:val="172"/>
              </w:trPr>
              <w:tc>
                <w:tcPr>
                  <w:tcW w:w="1615" w:type="dxa"/>
                  <w:shd w:val="clear" w:color="auto" w:fill="DBE5F1"/>
                  <w:vAlign w:val="center"/>
                </w:tcPr>
                <w:p w14:paraId="68B09F36"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004" w:type="dxa"/>
                  <w:shd w:val="clear" w:color="auto" w:fill="DBE5F1"/>
                  <w:vAlign w:val="center"/>
                </w:tcPr>
                <w:p w14:paraId="5AD8B6C7"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0.404</w:t>
                  </w:r>
                </w:p>
              </w:tc>
              <w:tc>
                <w:tcPr>
                  <w:tcW w:w="2052" w:type="dxa"/>
                  <w:shd w:val="clear" w:color="auto" w:fill="DBE5F1"/>
                  <w:vAlign w:val="center"/>
                </w:tcPr>
                <w:p w14:paraId="46E8DA2B"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0.804</w:t>
                  </w:r>
                </w:p>
              </w:tc>
              <w:tc>
                <w:tcPr>
                  <w:tcW w:w="2268" w:type="dxa"/>
                  <w:shd w:val="clear" w:color="auto" w:fill="DBE5F1"/>
                  <w:vAlign w:val="center"/>
                </w:tcPr>
                <w:p w14:paraId="6E067058"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1.042</w:t>
                  </w:r>
                </w:p>
              </w:tc>
            </w:tr>
            <w:tr w:rsidR="00600DEE" w:rsidRPr="007463B9" w14:paraId="4A24A51C" w14:textId="77777777" w:rsidTr="00746969">
              <w:trPr>
                <w:trHeight w:val="90"/>
              </w:trPr>
              <w:tc>
                <w:tcPr>
                  <w:tcW w:w="1615" w:type="dxa"/>
                  <w:shd w:val="clear" w:color="auto" w:fill="DBE5F1"/>
                  <w:vAlign w:val="center"/>
                </w:tcPr>
                <w:p w14:paraId="0A74C9BC" w14:textId="592B2B5A" w:rsidR="00600DEE" w:rsidRPr="0045151D" w:rsidRDefault="00897A74" w:rsidP="00746969">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10 000</w:t>
                  </w:r>
                  <w:r w:rsidR="00641FB5" w:rsidRPr="0045151D">
                    <w:rPr>
                      <w:rFonts w:ascii="Calibri" w:eastAsia="Calibri" w:hAnsi="Calibri" w:cs="Calibri"/>
                      <w:color w:val="4F81BD"/>
                      <w:sz w:val="18"/>
                      <w:szCs w:val="18"/>
                      <w:lang w:val="en-GB"/>
                    </w:rPr>
                    <w:t>-20 000</w:t>
                  </w:r>
                </w:p>
              </w:tc>
              <w:tc>
                <w:tcPr>
                  <w:tcW w:w="1004" w:type="dxa"/>
                  <w:shd w:val="clear" w:color="auto" w:fill="DBE5F1"/>
                  <w:vAlign w:val="center"/>
                </w:tcPr>
                <w:p w14:paraId="3D6BEB4B"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0.742</w:t>
                  </w:r>
                </w:p>
              </w:tc>
              <w:tc>
                <w:tcPr>
                  <w:tcW w:w="2052" w:type="dxa"/>
                  <w:shd w:val="clear" w:color="auto" w:fill="DBE5F1"/>
                  <w:vAlign w:val="center"/>
                </w:tcPr>
                <w:p w14:paraId="702E6659"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1.527</w:t>
                  </w:r>
                </w:p>
              </w:tc>
              <w:tc>
                <w:tcPr>
                  <w:tcW w:w="2268" w:type="dxa"/>
                  <w:shd w:val="clear" w:color="auto" w:fill="DBE5F1"/>
                  <w:vAlign w:val="center"/>
                </w:tcPr>
                <w:p w14:paraId="3F1956D3"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1.932</w:t>
                  </w:r>
                </w:p>
              </w:tc>
            </w:tr>
            <w:tr w:rsidR="00600DEE" w:rsidRPr="007463B9" w14:paraId="509B3740" w14:textId="77777777" w:rsidTr="00746969">
              <w:trPr>
                <w:trHeight w:val="375"/>
              </w:trPr>
              <w:tc>
                <w:tcPr>
                  <w:tcW w:w="1615" w:type="dxa"/>
                  <w:shd w:val="clear" w:color="auto" w:fill="DBE5F1"/>
                  <w:vAlign w:val="center"/>
                </w:tcPr>
                <w:p w14:paraId="7ADEEF72" w14:textId="3DEC533D"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 and more</w:t>
                  </w:r>
                </w:p>
              </w:tc>
              <w:tc>
                <w:tcPr>
                  <w:tcW w:w="1004" w:type="dxa"/>
                  <w:shd w:val="clear" w:color="auto" w:fill="DBE5F1"/>
                  <w:vAlign w:val="center"/>
                </w:tcPr>
                <w:p w14:paraId="5594E52B"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1.113</w:t>
                  </w:r>
                </w:p>
              </w:tc>
              <w:tc>
                <w:tcPr>
                  <w:tcW w:w="2052" w:type="dxa"/>
                  <w:shd w:val="clear" w:color="auto" w:fill="DBE5F1"/>
                  <w:vAlign w:val="center"/>
                </w:tcPr>
                <w:p w14:paraId="4C288D18"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2.246</w:t>
                  </w:r>
                </w:p>
              </w:tc>
              <w:tc>
                <w:tcPr>
                  <w:tcW w:w="2268" w:type="dxa"/>
                  <w:shd w:val="clear" w:color="auto" w:fill="DBE5F1"/>
                  <w:vAlign w:val="center"/>
                </w:tcPr>
                <w:p w14:paraId="4AB9AFD4" w14:textId="77777777" w:rsidR="00600DEE" w:rsidRPr="0045151D" w:rsidRDefault="00641FB5" w:rsidP="00746969">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2.882</w:t>
                  </w:r>
                </w:p>
              </w:tc>
            </w:tr>
          </w:tbl>
          <w:p w14:paraId="6DA366EB" w14:textId="77777777"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30B028F4" w14:textId="77777777" w:rsidR="00600DEE" w:rsidRPr="0045151D" w:rsidRDefault="00600DEE">
            <w:pPr>
              <w:spacing w:before="120" w:after="120"/>
              <w:ind w:right="170"/>
              <w:jc w:val="both"/>
              <w:rPr>
                <w:rFonts w:ascii="Calibri" w:eastAsia="Calibri" w:hAnsi="Calibri" w:cs="Calibri"/>
                <w:b/>
                <w:i/>
                <w:sz w:val="16"/>
                <w:szCs w:val="16"/>
                <w:lang w:val="en-GB"/>
              </w:rPr>
            </w:pPr>
          </w:p>
          <w:p w14:paraId="711FDB8D" w14:textId="77777777" w:rsidR="00600DEE" w:rsidRPr="0045151D" w:rsidRDefault="00600DEE">
            <w:pPr>
              <w:spacing w:before="120" w:after="120"/>
              <w:ind w:right="170"/>
              <w:jc w:val="both"/>
              <w:rPr>
                <w:rFonts w:ascii="Calibri" w:eastAsia="Calibri" w:hAnsi="Calibri" w:cs="Calibri"/>
                <w:b/>
                <w:i/>
                <w:sz w:val="16"/>
                <w:szCs w:val="16"/>
                <w:lang w:val="en-GB"/>
              </w:rPr>
            </w:pPr>
          </w:p>
          <w:p w14:paraId="2F663208" w14:textId="77777777" w:rsidR="00600DEE" w:rsidRPr="0045151D" w:rsidRDefault="00641FB5" w:rsidP="003B6BDE">
            <w:pPr>
              <w:pBdr>
                <w:top w:val="nil"/>
                <w:left w:val="nil"/>
                <w:bottom w:val="nil"/>
                <w:right w:val="nil"/>
                <w:between w:val="nil"/>
              </w:pBdr>
              <w:spacing w:before="120" w:after="60"/>
              <w:ind w:left="848" w:hanging="848"/>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17. Densities of seriously injured (GCR) and of fatalities (GZ) on single</w:t>
            </w:r>
            <w:r w:rsidRPr="0045151D">
              <w:rPr>
                <w:rFonts w:ascii="Calibri" w:eastAsia="Calibri" w:hAnsi="Calibri" w:cs="Calibri"/>
                <w:b/>
                <w:color w:val="4F81BD"/>
                <w:sz w:val="20"/>
                <w:szCs w:val="20"/>
                <w:lang w:val="en-GB"/>
              </w:rPr>
              <w:br/>
              <w:t xml:space="preserve">  carriageway roads [persons/km/year]</w:t>
            </w:r>
          </w:p>
          <w:tbl>
            <w:tblPr>
              <w:tblStyle w:val="afffffffffffffffffb"/>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15"/>
              <w:gridCol w:w="1004"/>
              <w:gridCol w:w="1343"/>
              <w:gridCol w:w="2126"/>
              <w:gridCol w:w="851"/>
            </w:tblGrid>
            <w:tr w:rsidR="00600DEE" w14:paraId="3BCA0B57" w14:textId="77777777" w:rsidTr="003B6BDE">
              <w:trPr>
                <w:trHeight w:hRule="exact" w:val="397"/>
              </w:trPr>
              <w:tc>
                <w:tcPr>
                  <w:tcW w:w="1615" w:type="dxa"/>
                  <w:vMerge w:val="restart"/>
                  <w:shd w:val="clear" w:color="auto" w:fill="A6A6A6"/>
                  <w:vAlign w:val="center"/>
                </w:tcPr>
                <w:p w14:paraId="7E9A3312"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AADT</w:t>
                  </w:r>
                </w:p>
              </w:tc>
              <w:tc>
                <w:tcPr>
                  <w:tcW w:w="4473" w:type="dxa"/>
                  <w:gridSpan w:val="3"/>
                  <w:shd w:val="clear" w:color="auto" w:fill="A6A6A6"/>
                  <w:vAlign w:val="center"/>
                </w:tcPr>
                <w:p w14:paraId="7CA63564"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GCR</w:t>
                  </w:r>
                </w:p>
              </w:tc>
              <w:tc>
                <w:tcPr>
                  <w:tcW w:w="851" w:type="dxa"/>
                  <w:vMerge w:val="restart"/>
                  <w:shd w:val="clear" w:color="auto" w:fill="A6A6A6"/>
                  <w:vAlign w:val="center"/>
                </w:tcPr>
                <w:p w14:paraId="0F5B4746"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GZ</w:t>
                  </w:r>
                </w:p>
              </w:tc>
            </w:tr>
            <w:tr w:rsidR="00600DEE" w:rsidRPr="007463B9" w14:paraId="6976A197" w14:textId="77777777">
              <w:trPr>
                <w:trHeight w:val="426"/>
              </w:trPr>
              <w:tc>
                <w:tcPr>
                  <w:tcW w:w="1615" w:type="dxa"/>
                  <w:vMerge/>
                  <w:shd w:val="clear" w:color="auto" w:fill="A6A6A6"/>
                  <w:vAlign w:val="center"/>
                </w:tcPr>
                <w:p w14:paraId="5121EA50" w14:textId="77777777" w:rsidR="00600DEE" w:rsidRDefault="00600DEE">
                  <w:pPr>
                    <w:widowControl w:val="0"/>
                    <w:pBdr>
                      <w:top w:val="nil"/>
                      <w:left w:val="nil"/>
                      <w:bottom w:val="nil"/>
                      <w:right w:val="nil"/>
                      <w:between w:val="nil"/>
                    </w:pBdr>
                    <w:spacing w:line="276" w:lineRule="auto"/>
                    <w:rPr>
                      <w:rFonts w:ascii="Calibri" w:eastAsia="Calibri" w:hAnsi="Calibri" w:cs="Calibri"/>
                      <w:b/>
                      <w:color w:val="FFFFFF"/>
                      <w:sz w:val="17"/>
                      <w:szCs w:val="17"/>
                    </w:rPr>
                  </w:pPr>
                </w:p>
              </w:tc>
              <w:tc>
                <w:tcPr>
                  <w:tcW w:w="1004" w:type="dxa"/>
                  <w:shd w:val="clear" w:color="auto" w:fill="A6A6A6"/>
                  <w:vAlign w:val="center"/>
                </w:tcPr>
                <w:p w14:paraId="1D26D382"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S1</w:t>
                  </w:r>
                </w:p>
              </w:tc>
              <w:tc>
                <w:tcPr>
                  <w:tcW w:w="1343" w:type="dxa"/>
                  <w:shd w:val="clear" w:color="auto" w:fill="A6A6A6"/>
                  <w:vAlign w:val="center"/>
                </w:tcPr>
                <w:p w14:paraId="758CF0E6" w14:textId="77777777" w:rsidR="00600DEE" w:rsidRDefault="00641FB5">
                  <w:pPr>
                    <w:jc w:val="center"/>
                    <w:rPr>
                      <w:rFonts w:ascii="Calibri" w:eastAsia="Calibri" w:hAnsi="Calibri" w:cs="Calibri"/>
                      <w:b/>
                      <w:color w:val="FFFFFF"/>
                      <w:sz w:val="17"/>
                      <w:szCs w:val="17"/>
                    </w:rPr>
                  </w:pPr>
                  <w:r>
                    <w:rPr>
                      <w:rFonts w:ascii="Calibri" w:eastAsia="Calibri" w:hAnsi="Calibri" w:cs="Calibri"/>
                      <w:b/>
                      <w:color w:val="FFFFFF"/>
                      <w:sz w:val="17"/>
                      <w:szCs w:val="17"/>
                    </w:rPr>
                    <w:t>GP1, G1 undeveloped area</w:t>
                  </w:r>
                </w:p>
              </w:tc>
              <w:tc>
                <w:tcPr>
                  <w:tcW w:w="2126" w:type="dxa"/>
                  <w:shd w:val="clear" w:color="auto" w:fill="A6A6A6"/>
                  <w:vAlign w:val="center"/>
                </w:tcPr>
                <w:p w14:paraId="3B029D1E"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GP1, G1  built-up arear</w:t>
                  </w:r>
                </w:p>
              </w:tc>
              <w:tc>
                <w:tcPr>
                  <w:tcW w:w="851" w:type="dxa"/>
                  <w:vMerge/>
                  <w:shd w:val="clear" w:color="auto" w:fill="A6A6A6"/>
                  <w:vAlign w:val="center"/>
                </w:tcPr>
                <w:p w14:paraId="6E526196" w14:textId="77777777" w:rsidR="00600DEE" w:rsidRPr="0045151D" w:rsidRDefault="00600DEE">
                  <w:pPr>
                    <w:widowControl w:val="0"/>
                    <w:pBdr>
                      <w:top w:val="nil"/>
                      <w:left w:val="nil"/>
                      <w:bottom w:val="nil"/>
                      <w:right w:val="nil"/>
                      <w:between w:val="nil"/>
                    </w:pBdr>
                    <w:spacing w:line="276" w:lineRule="auto"/>
                    <w:rPr>
                      <w:rFonts w:ascii="Calibri" w:eastAsia="Calibri" w:hAnsi="Calibri" w:cs="Calibri"/>
                      <w:b/>
                      <w:color w:val="FFFFFF"/>
                      <w:sz w:val="17"/>
                      <w:szCs w:val="17"/>
                      <w:lang w:val="en-GB"/>
                    </w:rPr>
                  </w:pPr>
                </w:p>
              </w:tc>
            </w:tr>
            <w:tr w:rsidR="00600DEE" w:rsidRPr="007463B9" w14:paraId="603C2B10" w14:textId="77777777">
              <w:trPr>
                <w:trHeight w:val="120"/>
              </w:trPr>
              <w:tc>
                <w:tcPr>
                  <w:tcW w:w="1615" w:type="dxa"/>
                  <w:shd w:val="clear" w:color="auto" w:fill="DBE5F1"/>
                  <w:vAlign w:val="center"/>
                </w:tcPr>
                <w:p w14:paraId="0721FF7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004" w:type="dxa"/>
                  <w:shd w:val="clear" w:color="auto" w:fill="DBE5F1"/>
                  <w:vAlign w:val="center"/>
                </w:tcPr>
                <w:p w14:paraId="3E532BE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0.023</w:t>
                  </w:r>
                </w:p>
              </w:tc>
              <w:tc>
                <w:tcPr>
                  <w:tcW w:w="1343" w:type="dxa"/>
                  <w:shd w:val="clear" w:color="auto" w:fill="DBE5F1"/>
                  <w:vAlign w:val="center"/>
                </w:tcPr>
                <w:p w14:paraId="17C7764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0.060</w:t>
                  </w:r>
                </w:p>
              </w:tc>
              <w:tc>
                <w:tcPr>
                  <w:tcW w:w="2126" w:type="dxa"/>
                  <w:shd w:val="clear" w:color="auto" w:fill="DBE5F1"/>
                  <w:vAlign w:val="center"/>
                </w:tcPr>
                <w:p w14:paraId="5A10B72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0.082</w:t>
                  </w:r>
                </w:p>
              </w:tc>
              <w:tc>
                <w:tcPr>
                  <w:tcW w:w="851" w:type="dxa"/>
                  <w:shd w:val="clear" w:color="auto" w:fill="DBE5F1"/>
                  <w:vAlign w:val="center"/>
                </w:tcPr>
                <w:p w14:paraId="4E4FA36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0.060</w:t>
                  </w:r>
                </w:p>
              </w:tc>
            </w:tr>
            <w:tr w:rsidR="00600DEE" w:rsidRPr="007463B9" w14:paraId="4D11BF26" w14:textId="77777777">
              <w:trPr>
                <w:trHeight w:val="70"/>
              </w:trPr>
              <w:tc>
                <w:tcPr>
                  <w:tcW w:w="1615" w:type="dxa"/>
                  <w:shd w:val="clear" w:color="auto" w:fill="DBE5F1"/>
                  <w:vAlign w:val="center"/>
                </w:tcPr>
                <w:p w14:paraId="7F4CE8B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004" w:type="dxa"/>
                  <w:shd w:val="clear" w:color="auto" w:fill="DBE5F1"/>
                  <w:vAlign w:val="center"/>
                </w:tcPr>
                <w:p w14:paraId="4487AD0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0.077</w:t>
                  </w:r>
                </w:p>
              </w:tc>
              <w:tc>
                <w:tcPr>
                  <w:tcW w:w="1343" w:type="dxa"/>
                  <w:shd w:val="clear" w:color="auto" w:fill="DBE5F1"/>
                  <w:vAlign w:val="center"/>
                </w:tcPr>
                <w:p w14:paraId="2405165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0.199</w:t>
                  </w:r>
                </w:p>
              </w:tc>
              <w:tc>
                <w:tcPr>
                  <w:tcW w:w="2126" w:type="dxa"/>
                  <w:shd w:val="clear" w:color="auto" w:fill="DBE5F1"/>
                  <w:vAlign w:val="center"/>
                </w:tcPr>
                <w:p w14:paraId="7237080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0.271</w:t>
                  </w:r>
                </w:p>
              </w:tc>
              <w:tc>
                <w:tcPr>
                  <w:tcW w:w="851" w:type="dxa"/>
                  <w:shd w:val="clear" w:color="auto" w:fill="DBE5F1"/>
                  <w:vAlign w:val="center"/>
                </w:tcPr>
                <w:p w14:paraId="443C017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0.103</w:t>
                  </w:r>
                </w:p>
              </w:tc>
            </w:tr>
            <w:tr w:rsidR="00600DEE" w:rsidRPr="007463B9" w14:paraId="3D5FC728" w14:textId="77777777">
              <w:trPr>
                <w:trHeight w:val="84"/>
              </w:trPr>
              <w:tc>
                <w:tcPr>
                  <w:tcW w:w="1615" w:type="dxa"/>
                  <w:shd w:val="clear" w:color="auto" w:fill="DBE5F1"/>
                  <w:vAlign w:val="center"/>
                </w:tcPr>
                <w:p w14:paraId="3CDEEB1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10 000 -20 000</w:t>
                  </w:r>
                </w:p>
              </w:tc>
              <w:tc>
                <w:tcPr>
                  <w:tcW w:w="1004" w:type="dxa"/>
                  <w:shd w:val="clear" w:color="auto" w:fill="DBE5F1"/>
                  <w:vAlign w:val="center"/>
                </w:tcPr>
                <w:p w14:paraId="4EEEE7B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0.157</w:t>
                  </w:r>
                </w:p>
              </w:tc>
              <w:tc>
                <w:tcPr>
                  <w:tcW w:w="1343" w:type="dxa"/>
                  <w:shd w:val="clear" w:color="auto" w:fill="DBE5F1"/>
                  <w:vAlign w:val="center"/>
                </w:tcPr>
                <w:p w14:paraId="3E3B4C9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0.408</w:t>
                  </w:r>
                </w:p>
              </w:tc>
              <w:tc>
                <w:tcPr>
                  <w:tcW w:w="2126" w:type="dxa"/>
                  <w:shd w:val="clear" w:color="auto" w:fill="DBE5F1"/>
                  <w:vAlign w:val="center"/>
                </w:tcPr>
                <w:p w14:paraId="03F5134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0.556</w:t>
                  </w:r>
                </w:p>
              </w:tc>
              <w:tc>
                <w:tcPr>
                  <w:tcW w:w="851" w:type="dxa"/>
                  <w:shd w:val="clear" w:color="auto" w:fill="DBE5F1"/>
                  <w:vAlign w:val="center"/>
                </w:tcPr>
                <w:p w14:paraId="6BF1FC0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0.193</w:t>
                  </w:r>
                </w:p>
              </w:tc>
            </w:tr>
            <w:tr w:rsidR="00600DEE" w:rsidRPr="007463B9" w14:paraId="50F1D531" w14:textId="77777777">
              <w:trPr>
                <w:trHeight w:val="144"/>
              </w:trPr>
              <w:tc>
                <w:tcPr>
                  <w:tcW w:w="1615" w:type="dxa"/>
                  <w:shd w:val="clear" w:color="auto" w:fill="DBE5F1"/>
                  <w:vAlign w:val="center"/>
                </w:tcPr>
                <w:p w14:paraId="1E681F2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 and more</w:t>
                  </w:r>
                </w:p>
              </w:tc>
              <w:tc>
                <w:tcPr>
                  <w:tcW w:w="1004" w:type="dxa"/>
                  <w:shd w:val="clear" w:color="auto" w:fill="DBE5F1"/>
                  <w:vAlign w:val="center"/>
                </w:tcPr>
                <w:p w14:paraId="1B80CC6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0.217</w:t>
                  </w:r>
                </w:p>
              </w:tc>
              <w:tc>
                <w:tcPr>
                  <w:tcW w:w="1343" w:type="dxa"/>
                  <w:shd w:val="clear" w:color="auto" w:fill="DBE5F1"/>
                  <w:vAlign w:val="center"/>
                </w:tcPr>
                <w:p w14:paraId="372F4B9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0.562</w:t>
                  </w:r>
                </w:p>
              </w:tc>
              <w:tc>
                <w:tcPr>
                  <w:tcW w:w="2126" w:type="dxa"/>
                  <w:shd w:val="clear" w:color="auto" w:fill="DBE5F1"/>
                  <w:vAlign w:val="center"/>
                </w:tcPr>
                <w:p w14:paraId="2C73991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0.766</w:t>
                  </w:r>
                </w:p>
              </w:tc>
              <w:tc>
                <w:tcPr>
                  <w:tcW w:w="851" w:type="dxa"/>
                  <w:shd w:val="clear" w:color="auto" w:fill="DBE5F1"/>
                  <w:vAlign w:val="center"/>
                </w:tcPr>
                <w:p w14:paraId="69C54B9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0.291</w:t>
                  </w:r>
                </w:p>
              </w:tc>
            </w:tr>
          </w:tbl>
          <w:p w14:paraId="688CA3DF" w14:textId="77777777"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76779181" w14:textId="77777777" w:rsidR="00600DEE" w:rsidRPr="0045151D" w:rsidRDefault="00641FB5">
            <w:pPr>
              <w:pBdr>
                <w:top w:val="nil"/>
                <w:left w:val="nil"/>
                <w:bottom w:val="nil"/>
                <w:right w:val="nil"/>
                <w:between w:val="nil"/>
              </w:pBdr>
              <w:spacing w:before="120" w:after="120"/>
              <w:jc w:val="both"/>
              <w:rPr>
                <w:rFonts w:ascii="Calibri" w:eastAsia="Calibri" w:hAnsi="Calibri" w:cs="Calibri"/>
                <w:b/>
                <w:color w:val="000000"/>
                <w:sz w:val="20"/>
                <w:szCs w:val="20"/>
                <w:lang w:val="en-GB"/>
              </w:rPr>
            </w:pPr>
            <w:r w:rsidRPr="0045151D">
              <w:rPr>
                <w:rFonts w:ascii="Calibri" w:eastAsia="Calibri" w:hAnsi="Calibri" w:cs="Calibri"/>
                <w:b/>
                <w:color w:val="000000"/>
                <w:sz w:val="20"/>
                <w:szCs w:val="20"/>
                <w:lang w:val="en-GB"/>
              </w:rPr>
              <w:t>Single carriageway bypasses</w:t>
            </w:r>
          </w:p>
          <w:p w14:paraId="6415E67D" w14:textId="77777777" w:rsidR="00600DEE" w:rsidRPr="0045151D" w:rsidRDefault="00641FB5">
            <w:pPr>
              <w:pBdr>
                <w:top w:val="nil"/>
                <w:left w:val="nil"/>
                <w:bottom w:val="nil"/>
                <w:right w:val="nil"/>
                <w:between w:val="nil"/>
              </w:pBdr>
              <w:spacing w:before="120"/>
              <w:jc w:val="both"/>
              <w:rPr>
                <w:rFonts w:ascii="Calibri" w:eastAsia="Calibri" w:hAnsi="Calibri" w:cs="Calibri"/>
                <w:color w:val="000000"/>
                <w:sz w:val="20"/>
                <w:szCs w:val="20"/>
                <w:lang w:val="en-GB"/>
              </w:rPr>
            </w:pPr>
            <w:r w:rsidRPr="0045151D">
              <w:rPr>
                <w:rFonts w:ascii="Calibri" w:eastAsia="Calibri" w:hAnsi="Calibri" w:cs="Calibri"/>
                <w:color w:val="000000"/>
                <w:sz w:val="20"/>
                <w:szCs w:val="20"/>
                <w:lang w:val="en-GB"/>
              </w:rPr>
              <w:t>Accident costs on single carriageway bypasses for Wn and W0 options are calculated as the sum of the costs of injured, seriously injured, fatalities and material loses.</w:t>
            </w:r>
          </w:p>
          <w:p w14:paraId="051C6155" w14:textId="77777777" w:rsidR="00600DEE" w:rsidRPr="0045151D" w:rsidRDefault="00641FB5">
            <w:pPr>
              <w:pBdr>
                <w:top w:val="nil"/>
                <w:left w:val="nil"/>
                <w:bottom w:val="nil"/>
                <w:right w:val="nil"/>
                <w:between w:val="nil"/>
              </w:pBdr>
              <w:spacing w:before="120" w:after="120"/>
              <w:ind w:left="848" w:hanging="848"/>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18. The density of road traffic accidents (GW) for single carriageway</w:t>
            </w:r>
            <w:r w:rsidRPr="0045151D">
              <w:rPr>
                <w:rFonts w:ascii="Calibri" w:eastAsia="Calibri" w:hAnsi="Calibri" w:cs="Calibri"/>
                <w:b/>
                <w:color w:val="4F81BD"/>
                <w:sz w:val="20"/>
                <w:szCs w:val="20"/>
                <w:lang w:val="en-GB"/>
              </w:rPr>
              <w:br/>
              <w:t xml:space="preserve">  bypasses [persons/km/year]</w:t>
            </w:r>
          </w:p>
          <w:tbl>
            <w:tblPr>
              <w:tblStyle w:val="afffffffffffffffffc"/>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484"/>
              <w:gridCol w:w="1336"/>
              <w:gridCol w:w="1559"/>
              <w:gridCol w:w="1560"/>
            </w:tblGrid>
            <w:tr w:rsidR="00600DEE" w:rsidRPr="007463B9" w14:paraId="306DC441" w14:textId="77777777">
              <w:trPr>
                <w:trHeight w:val="221"/>
              </w:trPr>
              <w:tc>
                <w:tcPr>
                  <w:tcW w:w="2484" w:type="dxa"/>
                  <w:shd w:val="clear" w:color="auto" w:fill="A6A6A6"/>
                  <w:vAlign w:val="center"/>
                </w:tcPr>
                <w:p w14:paraId="2CCEAD35"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AADT</w:t>
                  </w:r>
                </w:p>
              </w:tc>
              <w:tc>
                <w:tcPr>
                  <w:tcW w:w="1336" w:type="dxa"/>
                  <w:shd w:val="clear" w:color="auto" w:fill="A6A6A6"/>
                  <w:vAlign w:val="center"/>
                </w:tcPr>
                <w:p w14:paraId="0FD78DFE"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S1</w:t>
                  </w:r>
                </w:p>
              </w:tc>
              <w:tc>
                <w:tcPr>
                  <w:tcW w:w="1559" w:type="dxa"/>
                  <w:shd w:val="clear" w:color="auto" w:fill="A6A6A6"/>
                  <w:vAlign w:val="center"/>
                </w:tcPr>
                <w:p w14:paraId="5B6F048A"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GP1</w:t>
                  </w:r>
                </w:p>
              </w:tc>
              <w:tc>
                <w:tcPr>
                  <w:tcW w:w="1560" w:type="dxa"/>
                  <w:shd w:val="clear" w:color="auto" w:fill="A6A6A6"/>
                  <w:vAlign w:val="center"/>
                </w:tcPr>
                <w:p w14:paraId="4D0E15F9"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G1</w:t>
                  </w:r>
                </w:p>
              </w:tc>
            </w:tr>
            <w:tr w:rsidR="00600DEE" w:rsidRPr="007463B9" w14:paraId="26AED333" w14:textId="77777777">
              <w:trPr>
                <w:trHeight w:val="236"/>
              </w:trPr>
              <w:tc>
                <w:tcPr>
                  <w:tcW w:w="2484" w:type="dxa"/>
                  <w:shd w:val="clear" w:color="auto" w:fill="DBE5F1"/>
                  <w:vAlign w:val="center"/>
                </w:tcPr>
                <w:p w14:paraId="7E0EC06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336" w:type="dxa"/>
                  <w:shd w:val="clear" w:color="auto" w:fill="DBE5F1"/>
                  <w:vAlign w:val="center"/>
                </w:tcPr>
                <w:p w14:paraId="16F965D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0.024</w:t>
                  </w:r>
                </w:p>
              </w:tc>
              <w:tc>
                <w:tcPr>
                  <w:tcW w:w="1559" w:type="dxa"/>
                  <w:shd w:val="clear" w:color="auto" w:fill="DBE5F1"/>
                  <w:vAlign w:val="center"/>
                </w:tcPr>
                <w:p w14:paraId="78C4211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0.036</w:t>
                  </w:r>
                </w:p>
              </w:tc>
              <w:tc>
                <w:tcPr>
                  <w:tcW w:w="1560" w:type="dxa"/>
                  <w:shd w:val="clear" w:color="auto" w:fill="DBE5F1"/>
                  <w:vAlign w:val="center"/>
                </w:tcPr>
                <w:p w14:paraId="1736A6E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0.047</w:t>
                  </w:r>
                </w:p>
              </w:tc>
            </w:tr>
            <w:tr w:rsidR="00600DEE" w:rsidRPr="007463B9" w14:paraId="71C6552A" w14:textId="77777777">
              <w:trPr>
                <w:trHeight w:val="171"/>
              </w:trPr>
              <w:tc>
                <w:tcPr>
                  <w:tcW w:w="2484" w:type="dxa"/>
                  <w:shd w:val="clear" w:color="auto" w:fill="DBE5F1"/>
                  <w:vAlign w:val="center"/>
                </w:tcPr>
                <w:p w14:paraId="1BE9241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336" w:type="dxa"/>
                  <w:shd w:val="clear" w:color="auto" w:fill="DBE5F1"/>
                  <w:vAlign w:val="center"/>
                </w:tcPr>
                <w:p w14:paraId="5A1A7B0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0.075</w:t>
                  </w:r>
                </w:p>
              </w:tc>
              <w:tc>
                <w:tcPr>
                  <w:tcW w:w="1559" w:type="dxa"/>
                  <w:shd w:val="clear" w:color="auto" w:fill="DBE5F1"/>
                  <w:vAlign w:val="center"/>
                </w:tcPr>
                <w:p w14:paraId="44EE418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0.111</w:t>
                  </w:r>
                </w:p>
              </w:tc>
              <w:tc>
                <w:tcPr>
                  <w:tcW w:w="1560" w:type="dxa"/>
                  <w:shd w:val="clear" w:color="auto" w:fill="DBE5F1"/>
                  <w:vAlign w:val="center"/>
                </w:tcPr>
                <w:p w14:paraId="035512F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0.135</w:t>
                  </w:r>
                </w:p>
              </w:tc>
            </w:tr>
            <w:tr w:rsidR="00600DEE" w:rsidRPr="007463B9" w14:paraId="5FA0BD7B" w14:textId="77777777">
              <w:trPr>
                <w:trHeight w:val="90"/>
              </w:trPr>
              <w:tc>
                <w:tcPr>
                  <w:tcW w:w="2484" w:type="dxa"/>
                  <w:shd w:val="clear" w:color="auto" w:fill="DBE5F1"/>
                  <w:vAlign w:val="center"/>
                </w:tcPr>
                <w:p w14:paraId="60BE239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10 000 -20 000</w:t>
                  </w:r>
                </w:p>
              </w:tc>
              <w:tc>
                <w:tcPr>
                  <w:tcW w:w="1336" w:type="dxa"/>
                  <w:shd w:val="clear" w:color="auto" w:fill="DBE5F1"/>
                  <w:vAlign w:val="center"/>
                </w:tcPr>
                <w:p w14:paraId="796962C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0.157</w:t>
                  </w:r>
                </w:p>
              </w:tc>
              <w:tc>
                <w:tcPr>
                  <w:tcW w:w="1559" w:type="dxa"/>
                  <w:shd w:val="clear" w:color="auto" w:fill="DBE5F1"/>
                  <w:vAlign w:val="center"/>
                </w:tcPr>
                <w:p w14:paraId="5B003CB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0.230</w:t>
                  </w:r>
                </w:p>
              </w:tc>
              <w:tc>
                <w:tcPr>
                  <w:tcW w:w="1560" w:type="dxa"/>
                  <w:shd w:val="clear" w:color="auto" w:fill="DBE5F1"/>
                  <w:vAlign w:val="center"/>
                </w:tcPr>
                <w:p w14:paraId="33264E9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0.278</w:t>
                  </w:r>
                </w:p>
              </w:tc>
            </w:tr>
            <w:tr w:rsidR="00600DEE" w:rsidRPr="007463B9" w14:paraId="0332EE71" w14:textId="77777777">
              <w:trPr>
                <w:trHeight w:val="122"/>
              </w:trPr>
              <w:tc>
                <w:tcPr>
                  <w:tcW w:w="2484" w:type="dxa"/>
                  <w:shd w:val="clear" w:color="auto" w:fill="DBE5F1"/>
                  <w:vAlign w:val="center"/>
                </w:tcPr>
                <w:p w14:paraId="3492095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 and more</w:t>
                  </w:r>
                </w:p>
              </w:tc>
              <w:tc>
                <w:tcPr>
                  <w:tcW w:w="1336" w:type="dxa"/>
                  <w:shd w:val="clear" w:color="auto" w:fill="DBE5F1"/>
                  <w:vAlign w:val="center"/>
                </w:tcPr>
                <w:p w14:paraId="617D8A3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0.262</w:t>
                  </w:r>
                </w:p>
              </w:tc>
              <w:tc>
                <w:tcPr>
                  <w:tcW w:w="1559" w:type="dxa"/>
                  <w:shd w:val="clear" w:color="auto" w:fill="DBE5F1"/>
                  <w:vAlign w:val="center"/>
                </w:tcPr>
                <w:p w14:paraId="282CA65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0.393</w:t>
                  </w:r>
                </w:p>
              </w:tc>
              <w:tc>
                <w:tcPr>
                  <w:tcW w:w="1560" w:type="dxa"/>
                  <w:shd w:val="clear" w:color="auto" w:fill="DBE5F1"/>
                  <w:vAlign w:val="center"/>
                </w:tcPr>
                <w:p w14:paraId="53F543B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0.476</w:t>
                  </w:r>
                </w:p>
              </w:tc>
            </w:tr>
          </w:tbl>
          <w:p w14:paraId="53F2124E" w14:textId="77777777"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08B52F74" w14:textId="77777777" w:rsidR="00600DEE" w:rsidRPr="0045151D" w:rsidRDefault="00641FB5">
            <w:pPr>
              <w:pBdr>
                <w:top w:val="nil"/>
                <w:left w:val="nil"/>
                <w:bottom w:val="nil"/>
                <w:right w:val="nil"/>
                <w:between w:val="nil"/>
              </w:pBdr>
              <w:spacing w:before="120" w:after="120"/>
              <w:ind w:left="848" w:hanging="848"/>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19. The density of road injuries (GR) for single carriageway bypasses</w:t>
            </w:r>
            <w:r w:rsidRPr="0045151D">
              <w:rPr>
                <w:rFonts w:ascii="Calibri" w:eastAsia="Calibri" w:hAnsi="Calibri" w:cs="Calibri"/>
                <w:b/>
                <w:color w:val="4F81BD"/>
                <w:sz w:val="20"/>
                <w:szCs w:val="20"/>
                <w:lang w:val="en-GB"/>
              </w:rPr>
              <w:br/>
              <w:t xml:space="preserve">  [persons/km/year] </w:t>
            </w:r>
          </w:p>
          <w:tbl>
            <w:tblPr>
              <w:tblStyle w:val="afffffffffffffffffd"/>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484"/>
              <w:gridCol w:w="1336"/>
              <w:gridCol w:w="1559"/>
              <w:gridCol w:w="1560"/>
            </w:tblGrid>
            <w:tr w:rsidR="00600DEE" w:rsidRPr="007463B9" w14:paraId="6FB016E3" w14:textId="77777777">
              <w:trPr>
                <w:trHeight w:val="125"/>
              </w:trPr>
              <w:tc>
                <w:tcPr>
                  <w:tcW w:w="2484" w:type="dxa"/>
                  <w:shd w:val="clear" w:color="auto" w:fill="A6A6A6"/>
                  <w:vAlign w:val="center"/>
                </w:tcPr>
                <w:p w14:paraId="29EA3BF3"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AADT</w:t>
                  </w:r>
                </w:p>
              </w:tc>
              <w:tc>
                <w:tcPr>
                  <w:tcW w:w="1336" w:type="dxa"/>
                  <w:shd w:val="clear" w:color="auto" w:fill="A6A6A6"/>
                  <w:vAlign w:val="center"/>
                </w:tcPr>
                <w:p w14:paraId="1A0AA5B5"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S1</w:t>
                  </w:r>
                </w:p>
              </w:tc>
              <w:tc>
                <w:tcPr>
                  <w:tcW w:w="1559" w:type="dxa"/>
                  <w:shd w:val="clear" w:color="auto" w:fill="A6A6A6"/>
                  <w:vAlign w:val="center"/>
                </w:tcPr>
                <w:p w14:paraId="2583CEB9"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GP1</w:t>
                  </w:r>
                </w:p>
              </w:tc>
              <w:tc>
                <w:tcPr>
                  <w:tcW w:w="1560" w:type="dxa"/>
                  <w:shd w:val="clear" w:color="auto" w:fill="A6A6A6"/>
                  <w:vAlign w:val="center"/>
                </w:tcPr>
                <w:p w14:paraId="4C9E4B00"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G1</w:t>
                  </w:r>
                </w:p>
              </w:tc>
            </w:tr>
            <w:tr w:rsidR="00600DEE" w:rsidRPr="007463B9" w14:paraId="34600C7B" w14:textId="77777777">
              <w:trPr>
                <w:trHeight w:val="236"/>
              </w:trPr>
              <w:tc>
                <w:tcPr>
                  <w:tcW w:w="2484" w:type="dxa"/>
                  <w:shd w:val="clear" w:color="auto" w:fill="DBE5F1"/>
                  <w:vAlign w:val="bottom"/>
                </w:tcPr>
                <w:p w14:paraId="516B052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336" w:type="dxa"/>
                  <w:shd w:val="clear" w:color="auto" w:fill="DBE5F1"/>
                </w:tcPr>
                <w:p w14:paraId="11B1078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0.024</w:t>
                  </w:r>
                </w:p>
              </w:tc>
              <w:tc>
                <w:tcPr>
                  <w:tcW w:w="1559" w:type="dxa"/>
                  <w:shd w:val="clear" w:color="auto" w:fill="DBE5F1"/>
                </w:tcPr>
                <w:p w14:paraId="4F7A8A8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0.060</w:t>
                  </w:r>
                </w:p>
              </w:tc>
              <w:tc>
                <w:tcPr>
                  <w:tcW w:w="1560" w:type="dxa"/>
                  <w:shd w:val="clear" w:color="auto" w:fill="DBE5F1"/>
                </w:tcPr>
                <w:p w14:paraId="2B2137A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0.188</w:t>
                  </w:r>
                </w:p>
              </w:tc>
            </w:tr>
            <w:tr w:rsidR="00600DEE" w:rsidRPr="007463B9" w14:paraId="48E285DC" w14:textId="77777777">
              <w:trPr>
                <w:trHeight w:val="90"/>
              </w:trPr>
              <w:tc>
                <w:tcPr>
                  <w:tcW w:w="2484" w:type="dxa"/>
                  <w:shd w:val="clear" w:color="auto" w:fill="DBE5F1"/>
                  <w:vAlign w:val="bottom"/>
                </w:tcPr>
                <w:p w14:paraId="63CBA13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336" w:type="dxa"/>
                  <w:shd w:val="clear" w:color="auto" w:fill="DBE5F1"/>
                </w:tcPr>
                <w:p w14:paraId="15F5000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0.083</w:t>
                  </w:r>
                </w:p>
              </w:tc>
              <w:tc>
                <w:tcPr>
                  <w:tcW w:w="1559" w:type="dxa"/>
                  <w:shd w:val="clear" w:color="auto" w:fill="DBE5F1"/>
                </w:tcPr>
                <w:p w14:paraId="730F74E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0.206</w:t>
                  </w:r>
                </w:p>
              </w:tc>
              <w:tc>
                <w:tcPr>
                  <w:tcW w:w="1560" w:type="dxa"/>
                  <w:shd w:val="clear" w:color="auto" w:fill="DBE5F1"/>
                </w:tcPr>
                <w:p w14:paraId="3304594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0.672</w:t>
                  </w:r>
                </w:p>
              </w:tc>
            </w:tr>
            <w:tr w:rsidR="00600DEE" w:rsidRPr="007463B9" w14:paraId="74B8152F" w14:textId="77777777">
              <w:trPr>
                <w:trHeight w:val="149"/>
              </w:trPr>
              <w:tc>
                <w:tcPr>
                  <w:tcW w:w="2484" w:type="dxa"/>
                  <w:shd w:val="clear" w:color="auto" w:fill="DBE5F1"/>
                  <w:vAlign w:val="bottom"/>
                </w:tcPr>
                <w:p w14:paraId="35362D2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10 000 -20 000</w:t>
                  </w:r>
                </w:p>
              </w:tc>
              <w:tc>
                <w:tcPr>
                  <w:tcW w:w="1336" w:type="dxa"/>
                  <w:shd w:val="clear" w:color="auto" w:fill="DBE5F1"/>
                </w:tcPr>
                <w:p w14:paraId="7A6FF28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0.159</w:t>
                  </w:r>
                </w:p>
              </w:tc>
              <w:tc>
                <w:tcPr>
                  <w:tcW w:w="1559" w:type="dxa"/>
                  <w:shd w:val="clear" w:color="auto" w:fill="DBE5F1"/>
                </w:tcPr>
                <w:p w14:paraId="33B84DC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0.385</w:t>
                  </w:r>
                </w:p>
              </w:tc>
              <w:tc>
                <w:tcPr>
                  <w:tcW w:w="1560" w:type="dxa"/>
                  <w:shd w:val="clear" w:color="auto" w:fill="DBE5F1"/>
                </w:tcPr>
                <w:p w14:paraId="408CCD9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1.200</w:t>
                  </w:r>
                </w:p>
              </w:tc>
            </w:tr>
            <w:tr w:rsidR="00600DEE" w:rsidRPr="007463B9" w14:paraId="45766C2D" w14:textId="77777777">
              <w:trPr>
                <w:trHeight w:val="70"/>
              </w:trPr>
              <w:tc>
                <w:tcPr>
                  <w:tcW w:w="2484" w:type="dxa"/>
                  <w:shd w:val="clear" w:color="auto" w:fill="DBE5F1"/>
                  <w:vAlign w:val="bottom"/>
                </w:tcPr>
                <w:p w14:paraId="5511AB8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 and more</w:t>
                  </w:r>
                </w:p>
              </w:tc>
              <w:tc>
                <w:tcPr>
                  <w:tcW w:w="1336" w:type="dxa"/>
                  <w:shd w:val="clear" w:color="auto" w:fill="DBE5F1"/>
                </w:tcPr>
                <w:p w14:paraId="21EE32D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0.307</w:t>
                  </w:r>
                </w:p>
              </w:tc>
              <w:tc>
                <w:tcPr>
                  <w:tcW w:w="1559" w:type="dxa"/>
                  <w:shd w:val="clear" w:color="auto" w:fill="DBE5F1"/>
                </w:tcPr>
                <w:p w14:paraId="4A20F89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0.561</w:t>
                  </w:r>
                </w:p>
              </w:tc>
              <w:tc>
                <w:tcPr>
                  <w:tcW w:w="1560" w:type="dxa"/>
                  <w:shd w:val="clear" w:color="auto" w:fill="DBE5F1"/>
                </w:tcPr>
                <w:p w14:paraId="6DED58D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1.602</w:t>
                  </w:r>
                </w:p>
              </w:tc>
            </w:tr>
          </w:tbl>
          <w:p w14:paraId="6B20D130" w14:textId="77777777"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65060C48"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34120B16" w14:textId="77777777" w:rsidR="00600DEE" w:rsidRPr="0045151D" w:rsidRDefault="00600DEE">
            <w:pPr>
              <w:pBdr>
                <w:top w:val="nil"/>
                <w:left w:val="nil"/>
                <w:bottom w:val="nil"/>
                <w:right w:val="nil"/>
                <w:between w:val="nil"/>
              </w:pBdr>
              <w:spacing w:before="120" w:after="120"/>
              <w:jc w:val="both"/>
              <w:rPr>
                <w:rFonts w:ascii="Calibri" w:eastAsia="Calibri" w:hAnsi="Calibri" w:cs="Calibri"/>
                <w:b/>
                <w:color w:val="333399"/>
                <w:sz w:val="20"/>
                <w:szCs w:val="20"/>
                <w:lang w:val="en-GB"/>
              </w:rPr>
            </w:pPr>
          </w:p>
          <w:p w14:paraId="3340182B" w14:textId="29A9A7E4" w:rsidR="00600DEE" w:rsidRPr="0045151D" w:rsidRDefault="00641FB5">
            <w:pPr>
              <w:pBdr>
                <w:top w:val="nil"/>
                <w:left w:val="nil"/>
                <w:bottom w:val="nil"/>
                <w:right w:val="nil"/>
                <w:between w:val="nil"/>
              </w:pBdr>
              <w:spacing w:before="120" w:after="120"/>
              <w:ind w:left="990" w:hanging="990"/>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20. The density of fatalities (GZ) f</w:t>
            </w:r>
            <w:r w:rsidR="00AA29A0">
              <w:rPr>
                <w:rFonts w:ascii="Calibri" w:eastAsia="Calibri" w:hAnsi="Calibri" w:cs="Calibri"/>
                <w:b/>
                <w:color w:val="4F81BD"/>
                <w:sz w:val="20"/>
                <w:szCs w:val="20"/>
                <w:lang w:val="en-GB"/>
              </w:rPr>
              <w:t>or single carriageway bypasses</w:t>
            </w:r>
            <w:r w:rsidR="00AA29A0">
              <w:rPr>
                <w:rFonts w:ascii="Calibri" w:eastAsia="Calibri" w:hAnsi="Calibri" w:cs="Calibri"/>
                <w:b/>
                <w:color w:val="4F81BD"/>
                <w:sz w:val="20"/>
                <w:szCs w:val="20"/>
                <w:lang w:val="en-GB"/>
              </w:rPr>
              <w:br/>
            </w:r>
            <w:r w:rsidRPr="0045151D">
              <w:rPr>
                <w:rFonts w:ascii="Calibri" w:eastAsia="Calibri" w:hAnsi="Calibri" w:cs="Calibri"/>
                <w:b/>
                <w:color w:val="4F81BD"/>
                <w:sz w:val="20"/>
                <w:szCs w:val="20"/>
                <w:lang w:val="en-GB"/>
              </w:rPr>
              <w:t>[persons/km/year]</w:t>
            </w:r>
          </w:p>
          <w:tbl>
            <w:tblPr>
              <w:tblStyle w:val="afffffffffffffffffe"/>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058"/>
              <w:gridCol w:w="1479"/>
              <w:gridCol w:w="1701"/>
              <w:gridCol w:w="1701"/>
            </w:tblGrid>
            <w:tr w:rsidR="00600DEE" w:rsidRPr="007463B9" w14:paraId="3D0E4F02" w14:textId="77777777" w:rsidTr="003B6BDE">
              <w:trPr>
                <w:trHeight w:hRule="exact" w:val="340"/>
              </w:trPr>
              <w:tc>
                <w:tcPr>
                  <w:tcW w:w="2058" w:type="dxa"/>
                  <w:shd w:val="clear" w:color="auto" w:fill="A6A6A6"/>
                  <w:vAlign w:val="center"/>
                </w:tcPr>
                <w:p w14:paraId="3CEC06E8"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AADT</w:t>
                  </w:r>
                </w:p>
              </w:tc>
              <w:tc>
                <w:tcPr>
                  <w:tcW w:w="1479" w:type="dxa"/>
                  <w:shd w:val="clear" w:color="auto" w:fill="A6A6A6"/>
                  <w:vAlign w:val="center"/>
                </w:tcPr>
                <w:p w14:paraId="45D1D197"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S1</w:t>
                  </w:r>
                </w:p>
              </w:tc>
              <w:tc>
                <w:tcPr>
                  <w:tcW w:w="1701" w:type="dxa"/>
                  <w:shd w:val="clear" w:color="auto" w:fill="A6A6A6"/>
                  <w:vAlign w:val="center"/>
                </w:tcPr>
                <w:p w14:paraId="1D62697F"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GP1</w:t>
                  </w:r>
                </w:p>
              </w:tc>
              <w:tc>
                <w:tcPr>
                  <w:tcW w:w="1701" w:type="dxa"/>
                  <w:shd w:val="clear" w:color="auto" w:fill="A6A6A6"/>
                  <w:vAlign w:val="center"/>
                </w:tcPr>
                <w:p w14:paraId="6375E63B"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w:t>
                  </w:r>
                </w:p>
              </w:tc>
            </w:tr>
            <w:tr w:rsidR="00600DEE" w:rsidRPr="007463B9" w14:paraId="057AD32A" w14:textId="77777777" w:rsidTr="003B6BDE">
              <w:trPr>
                <w:trHeight w:hRule="exact" w:val="340"/>
              </w:trPr>
              <w:tc>
                <w:tcPr>
                  <w:tcW w:w="2058" w:type="dxa"/>
                  <w:shd w:val="clear" w:color="auto" w:fill="DBE5F1"/>
                  <w:vAlign w:val="center"/>
                </w:tcPr>
                <w:p w14:paraId="68F9D6F1"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479" w:type="dxa"/>
                  <w:shd w:val="clear" w:color="auto" w:fill="DBE5F1"/>
                  <w:vAlign w:val="center"/>
                </w:tcPr>
                <w:p w14:paraId="53B7C5E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0.008</w:t>
                  </w:r>
                </w:p>
              </w:tc>
              <w:tc>
                <w:tcPr>
                  <w:tcW w:w="1701" w:type="dxa"/>
                  <w:shd w:val="clear" w:color="auto" w:fill="DBE5F1"/>
                  <w:vAlign w:val="center"/>
                </w:tcPr>
                <w:p w14:paraId="4C2EF28C"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0.011</w:t>
                  </w:r>
                </w:p>
              </w:tc>
              <w:tc>
                <w:tcPr>
                  <w:tcW w:w="1701" w:type="dxa"/>
                  <w:shd w:val="clear" w:color="auto" w:fill="DBE5F1"/>
                  <w:vAlign w:val="center"/>
                </w:tcPr>
                <w:p w14:paraId="401BCC56"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0.016</w:t>
                  </w:r>
                </w:p>
              </w:tc>
            </w:tr>
            <w:tr w:rsidR="00600DEE" w:rsidRPr="007463B9" w14:paraId="3139B3D7" w14:textId="77777777" w:rsidTr="003B6BDE">
              <w:trPr>
                <w:trHeight w:hRule="exact" w:val="340"/>
              </w:trPr>
              <w:tc>
                <w:tcPr>
                  <w:tcW w:w="2058" w:type="dxa"/>
                  <w:shd w:val="clear" w:color="auto" w:fill="DBE5F1"/>
                  <w:vAlign w:val="center"/>
                </w:tcPr>
                <w:p w14:paraId="5403B68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479" w:type="dxa"/>
                  <w:shd w:val="clear" w:color="auto" w:fill="DBE5F1"/>
                  <w:vAlign w:val="center"/>
                </w:tcPr>
                <w:p w14:paraId="2D7DD20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0.018</w:t>
                  </w:r>
                </w:p>
              </w:tc>
              <w:tc>
                <w:tcPr>
                  <w:tcW w:w="1701" w:type="dxa"/>
                  <w:shd w:val="clear" w:color="auto" w:fill="DBE5F1"/>
                  <w:vAlign w:val="center"/>
                </w:tcPr>
                <w:p w14:paraId="4EEE20F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0.024</w:t>
                  </w:r>
                </w:p>
              </w:tc>
              <w:tc>
                <w:tcPr>
                  <w:tcW w:w="1701" w:type="dxa"/>
                  <w:shd w:val="clear" w:color="auto" w:fill="DBE5F1"/>
                  <w:vAlign w:val="center"/>
                </w:tcPr>
                <w:p w14:paraId="207485B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0.037</w:t>
                  </w:r>
                </w:p>
              </w:tc>
            </w:tr>
            <w:tr w:rsidR="00600DEE" w:rsidRPr="007463B9" w14:paraId="06B4CBF8" w14:textId="77777777" w:rsidTr="003B6BDE">
              <w:trPr>
                <w:trHeight w:hRule="exact" w:val="340"/>
              </w:trPr>
              <w:tc>
                <w:tcPr>
                  <w:tcW w:w="2058" w:type="dxa"/>
                  <w:shd w:val="clear" w:color="auto" w:fill="DBE5F1"/>
                  <w:vAlign w:val="center"/>
                </w:tcPr>
                <w:p w14:paraId="0DB4FF19" w14:textId="62491AE5" w:rsidR="00600DEE" w:rsidRPr="0045151D" w:rsidRDefault="00746969">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10 000</w:t>
                  </w:r>
                  <w:r w:rsidR="00641FB5" w:rsidRPr="0045151D">
                    <w:rPr>
                      <w:rFonts w:ascii="Calibri" w:eastAsia="Calibri" w:hAnsi="Calibri" w:cs="Calibri"/>
                      <w:color w:val="4F81BD"/>
                      <w:sz w:val="18"/>
                      <w:szCs w:val="18"/>
                      <w:lang w:val="en-GB"/>
                    </w:rPr>
                    <w:t>-20 000</w:t>
                  </w:r>
                </w:p>
              </w:tc>
              <w:tc>
                <w:tcPr>
                  <w:tcW w:w="1479" w:type="dxa"/>
                  <w:shd w:val="clear" w:color="auto" w:fill="DBE5F1"/>
                  <w:vAlign w:val="center"/>
                </w:tcPr>
                <w:p w14:paraId="73AB1A3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0.031</w:t>
                  </w:r>
                </w:p>
              </w:tc>
              <w:tc>
                <w:tcPr>
                  <w:tcW w:w="1701" w:type="dxa"/>
                  <w:shd w:val="clear" w:color="auto" w:fill="DBE5F1"/>
                  <w:vAlign w:val="center"/>
                </w:tcPr>
                <w:p w14:paraId="0619189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0.041</w:t>
                  </w:r>
                </w:p>
              </w:tc>
              <w:tc>
                <w:tcPr>
                  <w:tcW w:w="1701" w:type="dxa"/>
                  <w:shd w:val="clear" w:color="auto" w:fill="DBE5F1"/>
                  <w:vAlign w:val="center"/>
                </w:tcPr>
                <w:p w14:paraId="0BD1B26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0.063</w:t>
                  </w:r>
                </w:p>
              </w:tc>
            </w:tr>
            <w:tr w:rsidR="00600DEE" w:rsidRPr="007463B9" w14:paraId="3D0AA2F9" w14:textId="77777777" w:rsidTr="003B6BDE">
              <w:trPr>
                <w:trHeight w:hRule="exact" w:val="340"/>
              </w:trPr>
              <w:tc>
                <w:tcPr>
                  <w:tcW w:w="2058" w:type="dxa"/>
                  <w:shd w:val="clear" w:color="auto" w:fill="DBE5F1"/>
                  <w:vAlign w:val="center"/>
                </w:tcPr>
                <w:p w14:paraId="61019A5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 and more</w:t>
                  </w:r>
                </w:p>
              </w:tc>
              <w:tc>
                <w:tcPr>
                  <w:tcW w:w="1479" w:type="dxa"/>
                  <w:shd w:val="clear" w:color="auto" w:fill="DBE5F1"/>
                  <w:vAlign w:val="center"/>
                </w:tcPr>
                <w:p w14:paraId="158A229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0.050</w:t>
                  </w:r>
                </w:p>
              </w:tc>
              <w:tc>
                <w:tcPr>
                  <w:tcW w:w="1701" w:type="dxa"/>
                  <w:shd w:val="clear" w:color="auto" w:fill="DBE5F1"/>
                  <w:vAlign w:val="center"/>
                </w:tcPr>
                <w:p w14:paraId="6F5DDCC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0.067</w:t>
                  </w:r>
                </w:p>
              </w:tc>
              <w:tc>
                <w:tcPr>
                  <w:tcW w:w="1701" w:type="dxa"/>
                  <w:shd w:val="clear" w:color="auto" w:fill="DBE5F1"/>
                  <w:vAlign w:val="center"/>
                </w:tcPr>
                <w:p w14:paraId="7EEBF45D"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0.103</w:t>
                  </w:r>
                </w:p>
              </w:tc>
            </w:tr>
          </w:tbl>
          <w:p w14:paraId="5C1B08CA" w14:textId="2FD6F99F"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6533121D" w14:textId="77777777" w:rsidR="003B6BDE" w:rsidRPr="0045151D" w:rsidRDefault="003B6BDE">
            <w:pPr>
              <w:spacing w:before="120" w:after="120"/>
              <w:ind w:right="170"/>
              <w:jc w:val="both"/>
              <w:rPr>
                <w:rFonts w:ascii="Calibri" w:eastAsia="Calibri" w:hAnsi="Calibri" w:cs="Calibri"/>
                <w:b/>
                <w:i/>
                <w:sz w:val="16"/>
                <w:szCs w:val="16"/>
                <w:lang w:val="en-GB"/>
              </w:rPr>
            </w:pPr>
          </w:p>
          <w:p w14:paraId="142D2186" w14:textId="4A563819" w:rsidR="00600DEE" w:rsidRPr="0045151D" w:rsidRDefault="00641FB5" w:rsidP="003B6BDE">
            <w:pPr>
              <w:pBdr>
                <w:top w:val="nil"/>
                <w:left w:val="nil"/>
                <w:bottom w:val="nil"/>
                <w:right w:val="nil"/>
                <w:between w:val="nil"/>
              </w:pBdr>
              <w:spacing w:before="300" w:after="120"/>
              <w:ind w:left="848" w:hanging="848"/>
              <w:jc w:val="both"/>
              <w:rPr>
                <w:rFonts w:ascii="Calibri" w:eastAsia="Calibri" w:hAnsi="Calibri" w:cs="Calibri"/>
                <w:b/>
                <w:color w:val="4F81BD"/>
                <w:sz w:val="20"/>
                <w:szCs w:val="20"/>
                <w:lang w:val="en-GB"/>
              </w:rPr>
            </w:pPr>
            <w:r w:rsidRPr="0045151D">
              <w:rPr>
                <w:rFonts w:ascii="Calibri" w:eastAsia="Calibri" w:hAnsi="Calibri" w:cs="Calibri"/>
                <w:b/>
                <w:color w:val="4F81BD"/>
                <w:sz w:val="20"/>
                <w:szCs w:val="20"/>
                <w:lang w:val="en-GB"/>
              </w:rPr>
              <w:t>Table 21. The density of seriously injured (GCR) f</w:t>
            </w:r>
            <w:r w:rsidR="00AA29A0">
              <w:rPr>
                <w:rFonts w:ascii="Calibri" w:eastAsia="Calibri" w:hAnsi="Calibri" w:cs="Calibri"/>
                <w:b/>
                <w:color w:val="4F81BD"/>
                <w:sz w:val="20"/>
                <w:szCs w:val="20"/>
                <w:lang w:val="en-GB"/>
              </w:rPr>
              <w:t>or single carriageway bypasses</w:t>
            </w:r>
            <w:r w:rsidR="00AA29A0">
              <w:rPr>
                <w:rFonts w:ascii="Calibri" w:eastAsia="Calibri" w:hAnsi="Calibri" w:cs="Calibri"/>
                <w:b/>
                <w:color w:val="4F81BD"/>
                <w:sz w:val="20"/>
                <w:szCs w:val="20"/>
                <w:lang w:val="en-GB"/>
              </w:rPr>
              <w:br/>
            </w:r>
            <w:r w:rsidRPr="0045151D">
              <w:rPr>
                <w:rFonts w:ascii="Calibri" w:eastAsia="Calibri" w:hAnsi="Calibri" w:cs="Calibri"/>
                <w:b/>
                <w:color w:val="4F81BD"/>
                <w:sz w:val="20"/>
                <w:szCs w:val="20"/>
                <w:lang w:val="en-GB"/>
              </w:rPr>
              <w:t xml:space="preserve">[persons/km/year] </w:t>
            </w:r>
          </w:p>
          <w:tbl>
            <w:tblPr>
              <w:tblStyle w:val="affffffffffffffffff"/>
              <w:tblW w:w="69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058"/>
              <w:gridCol w:w="1479"/>
              <w:gridCol w:w="1701"/>
              <w:gridCol w:w="1701"/>
            </w:tblGrid>
            <w:tr w:rsidR="00600DEE" w:rsidRPr="007463B9" w14:paraId="424D3CEF" w14:textId="77777777" w:rsidTr="003B6BDE">
              <w:trPr>
                <w:trHeight w:hRule="exact" w:val="340"/>
              </w:trPr>
              <w:tc>
                <w:tcPr>
                  <w:tcW w:w="2058" w:type="dxa"/>
                  <w:shd w:val="clear" w:color="auto" w:fill="A6A6A6"/>
                  <w:vAlign w:val="center"/>
                </w:tcPr>
                <w:p w14:paraId="226BD9FD"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AADT</w:t>
                  </w:r>
                </w:p>
              </w:tc>
              <w:tc>
                <w:tcPr>
                  <w:tcW w:w="1479" w:type="dxa"/>
                  <w:shd w:val="clear" w:color="auto" w:fill="A6A6A6"/>
                  <w:vAlign w:val="center"/>
                </w:tcPr>
                <w:p w14:paraId="1E967D41"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S1</w:t>
                  </w:r>
                </w:p>
              </w:tc>
              <w:tc>
                <w:tcPr>
                  <w:tcW w:w="1701" w:type="dxa"/>
                  <w:shd w:val="clear" w:color="auto" w:fill="A6A6A6"/>
                  <w:vAlign w:val="center"/>
                </w:tcPr>
                <w:p w14:paraId="0E4FDEE3"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GP1</w:t>
                  </w:r>
                </w:p>
              </w:tc>
              <w:tc>
                <w:tcPr>
                  <w:tcW w:w="1701" w:type="dxa"/>
                  <w:shd w:val="clear" w:color="auto" w:fill="A6A6A6"/>
                  <w:vAlign w:val="center"/>
                </w:tcPr>
                <w:p w14:paraId="29266DC1" w14:textId="77777777" w:rsidR="00600DEE" w:rsidRPr="0045151D" w:rsidRDefault="00641FB5">
                  <w:pPr>
                    <w:jc w:val="center"/>
                    <w:rPr>
                      <w:rFonts w:ascii="Calibri" w:eastAsia="Calibri" w:hAnsi="Calibri" w:cs="Calibri"/>
                      <w:b/>
                      <w:color w:val="FFFFFF"/>
                      <w:sz w:val="17"/>
                      <w:szCs w:val="17"/>
                      <w:lang w:val="en-GB"/>
                    </w:rPr>
                  </w:pPr>
                  <w:r w:rsidRPr="0045151D">
                    <w:rPr>
                      <w:rFonts w:ascii="Calibri" w:eastAsia="Calibri" w:hAnsi="Calibri" w:cs="Calibri"/>
                      <w:b/>
                      <w:color w:val="FFFFFF"/>
                      <w:sz w:val="17"/>
                      <w:szCs w:val="17"/>
                      <w:lang w:val="en-GB"/>
                    </w:rPr>
                    <w:t>G1</w:t>
                  </w:r>
                </w:p>
              </w:tc>
            </w:tr>
            <w:tr w:rsidR="00600DEE" w:rsidRPr="007463B9" w14:paraId="29356573" w14:textId="77777777" w:rsidTr="003B6BDE">
              <w:trPr>
                <w:trHeight w:hRule="exact" w:val="340"/>
              </w:trPr>
              <w:tc>
                <w:tcPr>
                  <w:tcW w:w="2058" w:type="dxa"/>
                  <w:shd w:val="clear" w:color="auto" w:fill="DBE5F1"/>
                  <w:vAlign w:val="center"/>
                </w:tcPr>
                <w:p w14:paraId="2827830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0-5 000</w:t>
                  </w:r>
                </w:p>
              </w:tc>
              <w:tc>
                <w:tcPr>
                  <w:tcW w:w="1479" w:type="dxa"/>
                  <w:shd w:val="clear" w:color="auto" w:fill="DBE5F1"/>
                  <w:vAlign w:val="center"/>
                </w:tcPr>
                <w:p w14:paraId="0EDA7418"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0.015</w:t>
                  </w:r>
                </w:p>
              </w:tc>
              <w:tc>
                <w:tcPr>
                  <w:tcW w:w="1701" w:type="dxa"/>
                  <w:shd w:val="clear" w:color="auto" w:fill="DBE5F1"/>
                  <w:vAlign w:val="center"/>
                </w:tcPr>
                <w:p w14:paraId="6DA47A4F"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0.020</w:t>
                  </w:r>
                </w:p>
              </w:tc>
              <w:tc>
                <w:tcPr>
                  <w:tcW w:w="1701" w:type="dxa"/>
                  <w:shd w:val="clear" w:color="auto" w:fill="DBE5F1"/>
                  <w:vAlign w:val="center"/>
                </w:tcPr>
                <w:p w14:paraId="59F50E60"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0.031</w:t>
                  </w:r>
                </w:p>
              </w:tc>
            </w:tr>
            <w:tr w:rsidR="00600DEE" w:rsidRPr="007463B9" w14:paraId="11707F39" w14:textId="77777777" w:rsidTr="003B6BDE">
              <w:trPr>
                <w:trHeight w:hRule="exact" w:val="340"/>
              </w:trPr>
              <w:tc>
                <w:tcPr>
                  <w:tcW w:w="2058" w:type="dxa"/>
                  <w:shd w:val="clear" w:color="auto" w:fill="DBE5F1"/>
                  <w:vAlign w:val="center"/>
                </w:tcPr>
                <w:p w14:paraId="0081A7D3"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5 000-10 000</w:t>
                  </w:r>
                </w:p>
              </w:tc>
              <w:tc>
                <w:tcPr>
                  <w:tcW w:w="1479" w:type="dxa"/>
                  <w:shd w:val="clear" w:color="auto" w:fill="DBE5F1"/>
                  <w:vAlign w:val="center"/>
                </w:tcPr>
                <w:p w14:paraId="0910023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0.036</w:t>
                  </w:r>
                </w:p>
              </w:tc>
              <w:tc>
                <w:tcPr>
                  <w:tcW w:w="1701" w:type="dxa"/>
                  <w:shd w:val="clear" w:color="auto" w:fill="DBE5F1"/>
                  <w:vAlign w:val="center"/>
                </w:tcPr>
                <w:p w14:paraId="463223DE"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0.046</w:t>
                  </w:r>
                </w:p>
              </w:tc>
              <w:tc>
                <w:tcPr>
                  <w:tcW w:w="1701" w:type="dxa"/>
                  <w:shd w:val="clear" w:color="auto" w:fill="DBE5F1"/>
                  <w:vAlign w:val="center"/>
                </w:tcPr>
                <w:p w14:paraId="0C96D4DB"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0.071</w:t>
                  </w:r>
                </w:p>
              </w:tc>
            </w:tr>
            <w:tr w:rsidR="00600DEE" w:rsidRPr="007463B9" w14:paraId="07F73199" w14:textId="77777777" w:rsidTr="003B6BDE">
              <w:trPr>
                <w:trHeight w:hRule="exact" w:val="340"/>
              </w:trPr>
              <w:tc>
                <w:tcPr>
                  <w:tcW w:w="2058" w:type="dxa"/>
                  <w:shd w:val="clear" w:color="auto" w:fill="DBE5F1"/>
                  <w:vAlign w:val="center"/>
                </w:tcPr>
                <w:p w14:paraId="23CD60E3" w14:textId="73BFD8FB" w:rsidR="00600DEE" w:rsidRPr="0045151D" w:rsidRDefault="00746969">
                  <w:pPr>
                    <w:jc w:val="center"/>
                    <w:rPr>
                      <w:rFonts w:ascii="Calibri" w:eastAsia="Calibri" w:hAnsi="Calibri" w:cs="Calibri"/>
                      <w:color w:val="4F81BD"/>
                      <w:sz w:val="18"/>
                      <w:szCs w:val="18"/>
                      <w:lang w:val="en-GB"/>
                    </w:rPr>
                  </w:pPr>
                  <w:r>
                    <w:rPr>
                      <w:rFonts w:ascii="Calibri" w:eastAsia="Calibri" w:hAnsi="Calibri" w:cs="Calibri"/>
                      <w:color w:val="4F81BD"/>
                      <w:sz w:val="18"/>
                      <w:szCs w:val="18"/>
                      <w:lang w:val="en-GB"/>
                    </w:rPr>
                    <w:t>10 000</w:t>
                  </w:r>
                  <w:r w:rsidR="00641FB5" w:rsidRPr="0045151D">
                    <w:rPr>
                      <w:rFonts w:ascii="Calibri" w:eastAsia="Calibri" w:hAnsi="Calibri" w:cs="Calibri"/>
                      <w:color w:val="4F81BD"/>
                      <w:sz w:val="18"/>
                      <w:szCs w:val="18"/>
                      <w:lang w:val="en-GB"/>
                    </w:rPr>
                    <w:t>-20 000</w:t>
                  </w:r>
                </w:p>
              </w:tc>
              <w:tc>
                <w:tcPr>
                  <w:tcW w:w="1479" w:type="dxa"/>
                  <w:shd w:val="clear" w:color="auto" w:fill="DBE5F1"/>
                  <w:vAlign w:val="center"/>
                </w:tcPr>
                <w:p w14:paraId="190A9A4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0.059</w:t>
                  </w:r>
                </w:p>
              </w:tc>
              <w:tc>
                <w:tcPr>
                  <w:tcW w:w="1701" w:type="dxa"/>
                  <w:shd w:val="clear" w:color="auto" w:fill="DBE5F1"/>
                  <w:vAlign w:val="center"/>
                </w:tcPr>
                <w:p w14:paraId="46CCE637"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0.078</w:t>
                  </w:r>
                </w:p>
              </w:tc>
              <w:tc>
                <w:tcPr>
                  <w:tcW w:w="1701" w:type="dxa"/>
                  <w:shd w:val="clear" w:color="auto" w:fill="DBE5F1"/>
                  <w:vAlign w:val="center"/>
                </w:tcPr>
                <w:p w14:paraId="3DA898B5"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0.121</w:t>
                  </w:r>
                </w:p>
              </w:tc>
            </w:tr>
            <w:tr w:rsidR="00600DEE" w:rsidRPr="007463B9" w14:paraId="12F07EBA" w14:textId="77777777" w:rsidTr="003B6BDE">
              <w:trPr>
                <w:trHeight w:hRule="exact" w:val="340"/>
              </w:trPr>
              <w:tc>
                <w:tcPr>
                  <w:tcW w:w="2058" w:type="dxa"/>
                  <w:shd w:val="clear" w:color="auto" w:fill="DBE5F1"/>
                  <w:vAlign w:val="center"/>
                </w:tcPr>
                <w:p w14:paraId="313665E4"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20 000-30 000 and more</w:t>
                  </w:r>
                </w:p>
              </w:tc>
              <w:tc>
                <w:tcPr>
                  <w:tcW w:w="1479" w:type="dxa"/>
                  <w:shd w:val="clear" w:color="auto" w:fill="DBE5F1"/>
                  <w:vAlign w:val="center"/>
                </w:tcPr>
                <w:p w14:paraId="0EEFB539"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0.096</w:t>
                  </w:r>
                </w:p>
              </w:tc>
              <w:tc>
                <w:tcPr>
                  <w:tcW w:w="1701" w:type="dxa"/>
                  <w:shd w:val="clear" w:color="auto" w:fill="DBE5F1"/>
                  <w:vAlign w:val="center"/>
                </w:tcPr>
                <w:p w14:paraId="1D07F392"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0.128</w:t>
                  </w:r>
                </w:p>
              </w:tc>
              <w:tc>
                <w:tcPr>
                  <w:tcW w:w="1701" w:type="dxa"/>
                  <w:shd w:val="clear" w:color="auto" w:fill="DBE5F1"/>
                  <w:vAlign w:val="center"/>
                </w:tcPr>
                <w:p w14:paraId="5517F3CA" w14:textId="77777777" w:rsidR="00600DEE" w:rsidRPr="0045151D" w:rsidRDefault="00641FB5">
                  <w:pPr>
                    <w:jc w:val="center"/>
                    <w:rPr>
                      <w:rFonts w:ascii="Calibri" w:eastAsia="Calibri" w:hAnsi="Calibri" w:cs="Calibri"/>
                      <w:color w:val="4F81BD"/>
                      <w:sz w:val="18"/>
                      <w:szCs w:val="18"/>
                      <w:lang w:val="en-GB"/>
                    </w:rPr>
                  </w:pPr>
                  <w:r w:rsidRPr="0045151D">
                    <w:rPr>
                      <w:rFonts w:ascii="Calibri" w:eastAsia="Calibri" w:hAnsi="Calibri" w:cs="Calibri"/>
                      <w:color w:val="4F81BD"/>
                      <w:sz w:val="18"/>
                      <w:szCs w:val="18"/>
                      <w:lang w:val="en-GB"/>
                    </w:rPr>
                    <w:t>0.197</w:t>
                  </w:r>
                </w:p>
              </w:tc>
            </w:tr>
          </w:tbl>
          <w:p w14:paraId="2F3A6017" w14:textId="77777777" w:rsidR="00600DEE" w:rsidRPr="0045151D" w:rsidRDefault="00641FB5">
            <w:pPr>
              <w:spacing w:before="120" w:after="120"/>
              <w:ind w:right="170"/>
              <w:jc w:val="both"/>
              <w:rPr>
                <w:rFonts w:ascii="Calibri" w:eastAsia="Calibri" w:hAnsi="Calibri" w:cs="Calibri"/>
                <w:b/>
                <w:i/>
                <w:sz w:val="16"/>
                <w:szCs w:val="16"/>
                <w:lang w:val="en-GB"/>
              </w:rPr>
            </w:pPr>
            <w:r w:rsidRPr="0045151D">
              <w:rPr>
                <w:rFonts w:ascii="Calibri" w:eastAsia="Calibri" w:hAnsi="Calibri" w:cs="Calibri"/>
                <w:b/>
                <w:i/>
                <w:sz w:val="16"/>
                <w:szCs w:val="16"/>
                <w:lang w:val="en-GB"/>
              </w:rPr>
              <w:t>Source: Own calculations based on the method of RS indicators</w:t>
            </w:r>
          </w:p>
          <w:p w14:paraId="6D8526DF" w14:textId="77777777" w:rsidR="00600DEE" w:rsidRPr="0045151D" w:rsidRDefault="00641FB5">
            <w:pPr>
              <w:pBdr>
                <w:top w:val="nil"/>
                <w:left w:val="nil"/>
                <w:bottom w:val="nil"/>
                <w:right w:val="nil"/>
                <w:between w:val="nil"/>
              </w:pBdr>
              <w:spacing w:before="120" w:after="120"/>
              <w:jc w:val="both"/>
              <w:rPr>
                <w:rFonts w:ascii="Calibri" w:eastAsia="Calibri" w:hAnsi="Calibri" w:cs="Calibri"/>
                <w:color w:val="222222"/>
                <w:sz w:val="20"/>
                <w:szCs w:val="20"/>
                <w:lang w:val="en-GB"/>
              </w:rPr>
            </w:pPr>
            <w:r w:rsidRPr="0045151D">
              <w:rPr>
                <w:rFonts w:ascii="Calibri" w:eastAsia="Calibri" w:hAnsi="Calibri" w:cs="Calibri"/>
                <w:color w:val="222222"/>
                <w:sz w:val="20"/>
                <w:szCs w:val="20"/>
                <w:lang w:val="en-GB"/>
              </w:rPr>
              <w:t>The total costs of road accidents are then calculated using the formula presented in Table 20 of the main document.</w:t>
            </w:r>
          </w:p>
        </w:tc>
      </w:tr>
    </w:tbl>
    <w:p w14:paraId="02CBCBF9" w14:textId="77777777" w:rsidR="00600DEE" w:rsidRPr="0045151D" w:rsidRDefault="00600DEE">
      <w:pPr>
        <w:pBdr>
          <w:top w:val="nil"/>
          <w:left w:val="nil"/>
          <w:bottom w:val="nil"/>
          <w:right w:val="nil"/>
          <w:between w:val="nil"/>
        </w:pBdr>
        <w:spacing w:before="120" w:after="120"/>
        <w:jc w:val="both"/>
        <w:rPr>
          <w:rFonts w:ascii="Calibri" w:eastAsia="Calibri" w:hAnsi="Calibri" w:cs="Calibri"/>
          <w:color w:val="000000"/>
          <w:sz w:val="20"/>
          <w:szCs w:val="20"/>
          <w:lang w:val="en-GB"/>
        </w:rPr>
      </w:pPr>
    </w:p>
    <w:sectPr w:rsidR="00600DEE" w:rsidRPr="0045151D" w:rsidSect="00E12F72">
      <w:headerReference w:type="even" r:id="rId168"/>
      <w:headerReference w:type="default" r:id="rId169"/>
      <w:headerReference w:type="first" r:id="rId170"/>
      <w:pgSz w:w="16838" w:h="11906" w:orient="landscape"/>
      <w:pgMar w:top="1134"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FE8E6" w14:textId="77777777" w:rsidR="00896BA3" w:rsidRDefault="00896BA3">
      <w:r>
        <w:separator/>
      </w:r>
    </w:p>
  </w:endnote>
  <w:endnote w:type="continuationSeparator" w:id="0">
    <w:p w14:paraId="63AF1542" w14:textId="77777777" w:rsidR="00896BA3" w:rsidRDefault="00896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 w:name="Arial-Narrow,Bold">
    <w:altName w:val="Arial Narrow"/>
    <w:panose1 w:val="00000000000000000000"/>
    <w:charset w:val="00"/>
    <w:family w:val="roman"/>
    <w:notTrueType/>
    <w:pitch w:val="default"/>
    <w:sig w:usb0="00000003" w:usb1="00000000" w:usb2="00000000" w:usb3="00000000" w:csb0="00000001" w:csb1="00000000"/>
  </w:font>
  <w:font w:name="Polo">
    <w:altName w:val="Times New Roman"/>
    <w:charset w:val="00"/>
    <w:family w:val="auto"/>
    <w:pitch w:val="variable"/>
    <w:sig w:usb0="00000001" w:usb1="0000205B" w:usb2="00000000" w:usb3="00000000" w:csb0="00000013" w:csb1="00000000"/>
  </w:font>
  <w:font w:name="Cambria">
    <w:panose1 w:val="02040503050406030204"/>
    <w:charset w:val="EE"/>
    <w:family w:val="roman"/>
    <w:pitch w:val="variable"/>
    <w:sig w:usb0="E00006FF" w:usb1="420024FF" w:usb2="02000000" w:usb3="00000000" w:csb0="0000019F" w:csb1="00000000"/>
  </w:font>
  <w:font w:name="Roboto">
    <w:altName w:val="Times New Roman"/>
    <w:charset w:val="00"/>
    <w:family w:val="auto"/>
    <w:pitch w:val="variable"/>
    <w:sig w:usb0="E00002FF" w:usb1="5000205B" w:usb2="00000020" w:usb3="00000000" w:csb0="0000019F" w:csb1="00000000"/>
  </w:font>
  <w:font w:name="Cambria Math">
    <w:panose1 w:val="02040503050406030204"/>
    <w:charset w:val="EE"/>
    <w:family w:val="roman"/>
    <w:pitch w:val="variable"/>
    <w:sig w:usb0="E00006FF" w:usb1="420024FF" w:usb2="02000000" w:usb3="00000000" w:csb0="0000019F" w:csb1="00000000"/>
  </w:font>
  <w:font w:name="TTE18839A8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DCD49" w14:textId="77777777" w:rsidR="007463B9" w:rsidRDefault="007463B9">
    <w:pPr>
      <w:pBdr>
        <w:top w:val="nil"/>
        <w:left w:val="nil"/>
        <w:bottom w:val="nil"/>
        <w:right w:val="nil"/>
        <w:between w:val="nil"/>
      </w:pBdr>
      <w:tabs>
        <w:tab w:val="center" w:pos="4536"/>
        <w:tab w:val="right" w:pos="9072"/>
      </w:tabs>
      <w:spacing w:before="120"/>
      <w:jc w:val="right"/>
      <w:rPr>
        <w:color w:val="000000"/>
      </w:rPr>
    </w:pPr>
    <w:r>
      <w:rPr>
        <w:color w:val="000000"/>
      </w:rPr>
      <w:fldChar w:fldCharType="begin"/>
    </w:r>
    <w:r>
      <w:rPr>
        <w:color w:val="000000"/>
      </w:rPr>
      <w:instrText>PAGE</w:instrText>
    </w:r>
    <w:r>
      <w:rPr>
        <w:color w:val="000000"/>
      </w:rPr>
      <w:fldChar w:fldCharType="end"/>
    </w:r>
  </w:p>
  <w:p w14:paraId="10295EA3" w14:textId="77777777" w:rsidR="007463B9" w:rsidRDefault="007463B9">
    <w:pPr>
      <w:pBdr>
        <w:top w:val="nil"/>
        <w:left w:val="nil"/>
        <w:bottom w:val="nil"/>
        <w:right w:val="nil"/>
        <w:between w:val="nil"/>
      </w:pBdr>
      <w:tabs>
        <w:tab w:val="center" w:pos="4536"/>
        <w:tab w:val="right" w:pos="9072"/>
      </w:tabs>
      <w:spacing w:before="120"/>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ACC2E" w14:textId="7F65BBFB" w:rsidR="007463B9" w:rsidRDefault="007463B9">
    <w:pPr>
      <w:pBdr>
        <w:top w:val="nil"/>
        <w:left w:val="nil"/>
        <w:bottom w:val="nil"/>
        <w:right w:val="nil"/>
        <w:between w:val="nil"/>
      </w:pBdr>
      <w:tabs>
        <w:tab w:val="center" w:pos="4536"/>
        <w:tab w:val="right" w:pos="9072"/>
      </w:tabs>
      <w:spacing w:before="120"/>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645925">
      <w:rPr>
        <w:rFonts w:ascii="Arial" w:eastAsia="Arial" w:hAnsi="Arial" w:cs="Arial"/>
        <w:noProof/>
        <w:color w:val="000000"/>
        <w:sz w:val="20"/>
        <w:szCs w:val="20"/>
      </w:rPr>
      <w:t>34</w:t>
    </w:r>
    <w:r>
      <w:rPr>
        <w:rFonts w:ascii="Arial" w:eastAsia="Arial" w:hAnsi="Arial" w:cs="Arial"/>
        <w:color w:val="000000"/>
        <w:sz w:val="20"/>
        <w:szCs w:val="20"/>
      </w:rPr>
      <w:fldChar w:fldCharType="end"/>
    </w:r>
  </w:p>
  <w:p w14:paraId="5737E018" w14:textId="77777777" w:rsidR="007463B9" w:rsidRDefault="007463B9">
    <w:pPr>
      <w:tabs>
        <w:tab w:val="left" w:pos="2210"/>
        <w:tab w:val="center" w:pos="4819"/>
      </w:tabs>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AB81F" w14:textId="77777777" w:rsidR="007463B9" w:rsidRDefault="007463B9">
    <w:pPr>
      <w:pBdr>
        <w:top w:val="nil"/>
        <w:left w:val="nil"/>
        <w:bottom w:val="nil"/>
        <w:right w:val="nil"/>
        <w:between w:val="nil"/>
      </w:pBdr>
      <w:tabs>
        <w:tab w:val="center" w:pos="4536"/>
        <w:tab w:val="right" w:pos="9072"/>
      </w:tabs>
      <w:spacing w:before="120"/>
      <w:jc w:val="center"/>
      <w:rPr>
        <w:color w:val="000000"/>
      </w:rPr>
    </w:pPr>
  </w:p>
  <w:p w14:paraId="66F62C9D" w14:textId="77777777" w:rsidR="007463B9" w:rsidRDefault="007463B9">
    <w:pPr>
      <w:pBdr>
        <w:top w:val="nil"/>
        <w:left w:val="nil"/>
        <w:bottom w:val="nil"/>
        <w:right w:val="nil"/>
        <w:between w:val="nil"/>
      </w:pBdr>
      <w:tabs>
        <w:tab w:val="center" w:pos="4536"/>
        <w:tab w:val="right" w:pos="9072"/>
        <w:tab w:val="center" w:pos="7285"/>
        <w:tab w:val="left" w:pos="8640"/>
      </w:tabs>
      <w:spacing w:before="120"/>
      <w:rPr>
        <w:rFonts w:ascii="Arial" w:eastAsia="Arial" w:hAnsi="Arial" w:cs="Arial"/>
        <w:b/>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2A2C5" w14:textId="77777777" w:rsidR="00896BA3" w:rsidRDefault="00896BA3">
      <w:r>
        <w:separator/>
      </w:r>
    </w:p>
  </w:footnote>
  <w:footnote w:type="continuationSeparator" w:id="0">
    <w:p w14:paraId="3FD8BC02" w14:textId="77777777" w:rsidR="00896BA3" w:rsidRDefault="00896BA3">
      <w:r>
        <w:continuationSeparator/>
      </w:r>
    </w:p>
  </w:footnote>
  <w:footnote w:id="1">
    <w:p w14:paraId="09AC6802" w14:textId="3C9130A4" w:rsidR="007463B9" w:rsidRPr="008155F6" w:rsidRDefault="007463B9" w:rsidP="008155F6">
      <w:pPr>
        <w:pStyle w:val="Tekstprzypisudolnego"/>
        <w:rPr>
          <w:rFonts w:asciiTheme="minorHAnsi" w:hAnsiTheme="minorHAnsi"/>
          <w:highlight w:val="yellow"/>
        </w:rPr>
      </w:pPr>
      <w:r w:rsidRPr="001F155E">
        <w:rPr>
          <w:rStyle w:val="Odwoanieprzypisudolnego"/>
          <w:rFonts w:asciiTheme="minorHAnsi" w:hAnsiTheme="minorHAnsi"/>
        </w:rPr>
        <w:footnoteRef/>
      </w:r>
      <w:r w:rsidRPr="001F155E">
        <w:rPr>
          <w:rFonts w:asciiTheme="minorHAnsi" w:hAnsiTheme="minorHAnsi"/>
        </w:rPr>
        <w:t xml:space="preserve"> </w:t>
      </w:r>
      <w:r w:rsidRPr="00B6399E">
        <w:rPr>
          <w:rFonts w:asciiTheme="minorHAnsi" w:hAnsiTheme="minorHAnsi" w:cstheme="minorHAnsi"/>
          <w:sz w:val="16"/>
          <w:szCs w:val="16"/>
        </w:rPr>
        <w:t>“</w:t>
      </w:r>
      <w:hyperlink r:id="rId1" w:history="1">
        <w:r w:rsidRPr="00B6399E">
          <w:rPr>
            <w:rStyle w:val="Hipercze"/>
            <w:rFonts w:asciiTheme="minorHAnsi" w:hAnsiTheme="minorHAnsi" w:cstheme="minorHAnsi"/>
            <w:sz w:val="16"/>
            <w:szCs w:val="16"/>
          </w:rPr>
          <w:t>Economic Appraisal Vademecum 2021-2027 - General Principles and Sector Applications, September 2021</w:t>
        </w:r>
      </w:hyperlink>
      <w:r w:rsidRPr="00B6399E">
        <w:rPr>
          <w:rFonts w:asciiTheme="minorHAnsi" w:hAnsiTheme="minorHAnsi" w:cstheme="minorHAnsi"/>
          <w:sz w:val="16"/>
          <w:szCs w:val="16"/>
        </w:rPr>
        <w:t>” &amp;  “Guide to Cost-Benefit Analysis of Investment Projects. Economic appraisal tool for Cohesion Policy 2014-2020”, December 2014 (</w:t>
      </w:r>
      <w:hyperlink r:id="rId2" w:history="1">
        <w:r w:rsidRPr="00A31D30">
          <w:rPr>
            <w:rStyle w:val="Hipercze"/>
            <w:rFonts w:asciiTheme="minorHAnsi" w:hAnsiTheme="minorHAnsi" w:cstheme="minorHAnsi"/>
            <w:sz w:val="16"/>
            <w:szCs w:val="16"/>
          </w:rPr>
          <w:t>http://ec.europa.eu/regional_policy/sources/docgener/studies/pdf/cba_guide.pdf</w:t>
        </w:r>
      </w:hyperlink>
      <w:r w:rsidRPr="00B6399E">
        <w:rPr>
          <w:rFonts w:asciiTheme="minorHAnsi" w:hAnsiTheme="minorHAnsi" w:cstheme="minorHAnsi"/>
          <w:sz w:val="16"/>
          <w:szCs w:val="16"/>
        </w:rPr>
        <w:t>.)</w:t>
      </w:r>
    </w:p>
  </w:footnote>
  <w:footnote w:id="2">
    <w:p w14:paraId="3DFD667F" w14:textId="77777777" w:rsidR="007463B9" w:rsidRPr="004A0576" w:rsidRDefault="007463B9" w:rsidP="008155F6">
      <w:pPr>
        <w:pStyle w:val="Tekstprzypisudolnego"/>
        <w:rPr>
          <w:rFonts w:asciiTheme="minorHAnsi" w:hAnsiTheme="minorHAnsi"/>
          <w:sz w:val="16"/>
          <w:szCs w:val="16"/>
          <w:lang w:val="pl-PL"/>
        </w:rPr>
      </w:pPr>
      <w:r>
        <w:rPr>
          <w:rStyle w:val="Odwoanieprzypisudolnego"/>
        </w:rPr>
        <w:footnoteRef/>
      </w:r>
      <w:r w:rsidRPr="008155F6">
        <w:rPr>
          <w:lang w:val="pl-PL"/>
        </w:rPr>
        <w:t xml:space="preserve"> </w:t>
      </w:r>
      <w:r w:rsidRPr="007B1768">
        <w:rPr>
          <w:rFonts w:asciiTheme="minorHAnsi" w:hAnsiTheme="minorHAnsi"/>
          <w:sz w:val="16"/>
          <w:szCs w:val="16"/>
          <w:lang w:val="pl-PL"/>
        </w:rPr>
        <w:t xml:space="preserve">“Wytyczne w zakresie zagadnień związanych z przygotowaniem projektów inwestycyjnych, w tym projektów generujących dochód i projektów hybrydowych na </w:t>
      </w:r>
      <w:r w:rsidRPr="008155F6">
        <w:rPr>
          <w:rFonts w:asciiTheme="minorHAnsi" w:hAnsiTheme="minorHAnsi"/>
          <w:sz w:val="16"/>
          <w:szCs w:val="16"/>
          <w:lang w:val="pl-PL"/>
        </w:rPr>
        <w:t xml:space="preserve">lata 2014-2020”. </w:t>
      </w:r>
      <w:r w:rsidRPr="007B1768">
        <w:rPr>
          <w:rFonts w:asciiTheme="minorHAnsi" w:hAnsiTheme="minorHAnsi"/>
          <w:sz w:val="16"/>
          <w:szCs w:val="16"/>
          <w:lang w:val="pl-PL"/>
        </w:rPr>
        <w:t>(</w:t>
      </w:r>
      <w:hyperlink r:id="rId3" w:history="1">
        <w:r w:rsidRPr="007B1768">
          <w:rPr>
            <w:rStyle w:val="Hipercze"/>
            <w:rFonts w:asciiTheme="minorHAnsi" w:hAnsiTheme="minorHAnsi"/>
            <w:sz w:val="16"/>
            <w:szCs w:val="16"/>
            <w:lang w:val="pl-PL"/>
          </w:rPr>
          <w:t>http://www.mir.gov.pl/fundusze/wytyczne_mrr/Wytyczne_2014_2020/Obowiazujace/Documents/Wytyczne_PGD_PH_2014_2020_podpisane_032015.pdf</w:t>
        </w:r>
      </w:hyperlink>
      <w:r>
        <w:rPr>
          <w:rFonts w:asciiTheme="minorHAnsi" w:hAnsiTheme="minorHAnsi"/>
          <w:sz w:val="16"/>
          <w:szCs w:val="16"/>
          <w:lang w:val="pl-PL"/>
        </w:rPr>
        <w:t>)</w:t>
      </w:r>
      <w:r w:rsidRPr="004A0576">
        <w:rPr>
          <w:rFonts w:asciiTheme="minorHAnsi" w:hAnsiTheme="minorHAnsi"/>
          <w:sz w:val="16"/>
          <w:szCs w:val="16"/>
          <w:lang w:val="pl-PL"/>
        </w:rPr>
        <w:t xml:space="preserve"> </w:t>
      </w:r>
      <w:r>
        <w:rPr>
          <w:rFonts w:asciiTheme="minorHAnsi" w:hAnsiTheme="minorHAnsi"/>
          <w:sz w:val="16"/>
          <w:szCs w:val="16"/>
          <w:lang w:val="pl-PL"/>
        </w:rPr>
        <w:t>i</w:t>
      </w:r>
      <w:r w:rsidRPr="004A0576">
        <w:rPr>
          <w:rFonts w:asciiTheme="minorHAnsi" w:hAnsiTheme="minorHAnsi"/>
          <w:sz w:val="16"/>
          <w:szCs w:val="16"/>
          <w:lang w:val="pl-PL"/>
        </w:rPr>
        <w:t xml:space="preserve"> inne wytyczne któ</w:t>
      </w:r>
      <w:r>
        <w:rPr>
          <w:rFonts w:asciiTheme="minorHAnsi" w:hAnsiTheme="minorHAnsi"/>
          <w:sz w:val="16"/>
          <w:szCs w:val="16"/>
          <w:lang w:val="pl-PL"/>
        </w:rPr>
        <w:t xml:space="preserve">re </w:t>
      </w:r>
      <w:r w:rsidRPr="004A0576">
        <w:rPr>
          <w:rFonts w:asciiTheme="minorHAnsi" w:hAnsiTheme="minorHAnsi"/>
          <w:sz w:val="16"/>
          <w:szCs w:val="16"/>
          <w:lang w:val="pl-PL"/>
        </w:rPr>
        <w:t xml:space="preserve">zostaną przygotowane na lata </w:t>
      </w:r>
      <w:r>
        <w:rPr>
          <w:rFonts w:asciiTheme="minorHAnsi" w:hAnsiTheme="minorHAnsi"/>
          <w:sz w:val="16"/>
          <w:szCs w:val="16"/>
          <w:lang w:val="pl-PL"/>
        </w:rPr>
        <w:t>2021-2027</w:t>
      </w:r>
      <w:r w:rsidRPr="004A0576">
        <w:rPr>
          <w:rFonts w:asciiTheme="minorHAnsi" w:hAnsiTheme="minorHAnsi"/>
          <w:sz w:val="16"/>
          <w:szCs w:val="16"/>
          <w:lang w:val="pl-PL"/>
        </w:rPr>
        <w:t>.</w:t>
      </w:r>
    </w:p>
    <w:p w14:paraId="27EAD932" w14:textId="13B0785A" w:rsidR="007463B9" w:rsidRPr="008155F6" w:rsidRDefault="007463B9">
      <w:pPr>
        <w:pStyle w:val="Tekstprzypisudolnego"/>
        <w:rPr>
          <w:lang w:val="pl-PL"/>
        </w:rPr>
      </w:pPr>
    </w:p>
  </w:footnote>
  <w:footnote w:id="3">
    <w:p w14:paraId="0CC5BC31" w14:textId="77777777" w:rsidR="007463B9" w:rsidRDefault="007463B9">
      <w:pPr>
        <w:pBdr>
          <w:top w:val="nil"/>
          <w:left w:val="nil"/>
          <w:bottom w:val="nil"/>
          <w:right w:val="nil"/>
          <w:between w:val="nil"/>
        </w:pBdr>
        <w:spacing w:before="120"/>
        <w:rPr>
          <w:color w:val="000000"/>
          <w:sz w:val="20"/>
          <w:szCs w:val="20"/>
        </w:rPr>
      </w:pPr>
      <w:r>
        <w:rPr>
          <w:rStyle w:val="Odwoanieprzypisudolnego"/>
        </w:rPr>
        <w:footnoteRef/>
      </w:r>
      <w:r>
        <w:rPr>
          <w:color w:val="000000"/>
          <w:sz w:val="20"/>
          <w:szCs w:val="20"/>
        </w:rPr>
        <w:t xml:space="preserve"> </w:t>
      </w:r>
      <w:r>
        <w:rPr>
          <w:rFonts w:ascii="Calibri" w:eastAsia="Calibri" w:hAnsi="Calibri" w:cs="Calibri"/>
          <w:color w:val="000000"/>
          <w:sz w:val="16"/>
          <w:szCs w:val="16"/>
        </w:rPr>
        <w:t>Krajowy plan na rzecz energii i klimatu na lata 2021-2030, 30.12.2019: https://www.gov.pl/web/aktywa-panstwowe/krajowy-plan-na-rzecz-energii-i-klimatu-na-lata-2021-2030-przekazany-do-ke</w:t>
      </w:r>
    </w:p>
  </w:footnote>
  <w:footnote w:id="4">
    <w:p w14:paraId="12D5DE3C" w14:textId="77777777" w:rsidR="007463B9" w:rsidRPr="00295C1F" w:rsidRDefault="007463B9" w:rsidP="009A6C17">
      <w:pPr>
        <w:pStyle w:val="Tekstprzypisudolnego"/>
        <w:rPr>
          <w:rFonts w:asciiTheme="minorHAnsi" w:hAnsiTheme="minorHAnsi" w:cs="Arial"/>
          <w:sz w:val="15"/>
          <w:szCs w:val="15"/>
          <w:lang w:val="pl-PL"/>
        </w:rPr>
      </w:pPr>
      <w:r w:rsidRPr="00505091">
        <w:rPr>
          <w:rStyle w:val="Odwoanieprzypisudolnego"/>
          <w:rFonts w:asciiTheme="minorHAnsi" w:hAnsiTheme="minorHAnsi" w:cstheme="minorHAnsi"/>
        </w:rPr>
        <w:footnoteRef/>
      </w:r>
      <w:r w:rsidRPr="00505091">
        <w:rPr>
          <w:rFonts w:asciiTheme="minorHAnsi" w:hAnsiTheme="minorHAnsi" w:cstheme="minorHAnsi"/>
          <w:lang w:val="pl-PL"/>
        </w:rPr>
        <w:t xml:space="preserve"> </w:t>
      </w:r>
      <w:r w:rsidRPr="00295C1F">
        <w:rPr>
          <w:rFonts w:asciiTheme="minorHAnsi" w:hAnsiTheme="minorHAnsi" w:cs="Arial"/>
          <w:sz w:val="15"/>
          <w:szCs w:val="15"/>
          <w:lang w:val="pl-PL"/>
        </w:rPr>
        <w:t>Niebieskie Księgi 2006 zostały przygotowane przez konsorcjum firm konsultingowych: Scott Wilson, Arup</w:t>
      </w:r>
      <w:r>
        <w:rPr>
          <w:rFonts w:asciiTheme="minorHAnsi" w:hAnsiTheme="minorHAnsi" w:cs="Arial"/>
          <w:sz w:val="15"/>
          <w:szCs w:val="15"/>
          <w:lang w:val="pl-PL"/>
        </w:rPr>
        <w:t xml:space="preserve"> i </w:t>
      </w:r>
      <w:r w:rsidRPr="00295C1F">
        <w:rPr>
          <w:rFonts w:asciiTheme="minorHAnsi" w:hAnsiTheme="minorHAnsi" w:cs="Arial"/>
          <w:sz w:val="15"/>
          <w:szCs w:val="15"/>
          <w:lang w:val="pl-PL"/>
        </w:rPr>
        <w:t>PM Group wraz Ernst &amp; Young jako głównym podwykonawcą,</w:t>
      </w:r>
      <w:r>
        <w:rPr>
          <w:rFonts w:asciiTheme="minorHAnsi" w:hAnsiTheme="minorHAnsi" w:cs="Arial"/>
          <w:sz w:val="15"/>
          <w:szCs w:val="15"/>
          <w:lang w:val="pl-PL"/>
        </w:rPr>
        <w:t xml:space="preserve"> w </w:t>
      </w:r>
      <w:r w:rsidRPr="00295C1F">
        <w:rPr>
          <w:rFonts w:asciiTheme="minorHAnsi" w:hAnsiTheme="minorHAnsi" w:cs="Arial"/>
          <w:sz w:val="15"/>
          <w:szCs w:val="15"/>
          <w:lang w:val="pl-PL"/>
        </w:rPr>
        <w:t xml:space="preserve">ramach projektu Phare -2002/000-580.01 ‘Przygotowanie projektów do wsparcia ze </w:t>
      </w:r>
      <w:r w:rsidRPr="00295C1F">
        <w:rPr>
          <w:rFonts w:asciiTheme="minorHAnsi" w:eastAsiaTheme="minorHAnsi" w:hAnsiTheme="minorHAnsi" w:cs="Arial"/>
          <w:sz w:val="15"/>
          <w:szCs w:val="15"/>
          <w:lang w:val="pl-PL"/>
        </w:rPr>
        <w:t>Ś</w:t>
      </w:r>
      <w:r w:rsidRPr="00295C1F">
        <w:rPr>
          <w:rFonts w:asciiTheme="minorHAnsi" w:hAnsiTheme="minorHAnsi" w:cs="Arial"/>
          <w:sz w:val="15"/>
          <w:szCs w:val="15"/>
          <w:lang w:val="pl-PL"/>
        </w:rPr>
        <w:t>rodków Europejskiego Funduszu Rozwoju Regionalnego</w:t>
      </w:r>
      <w:r>
        <w:rPr>
          <w:rFonts w:asciiTheme="minorHAnsi" w:hAnsiTheme="minorHAnsi" w:cs="Arial"/>
          <w:sz w:val="15"/>
          <w:szCs w:val="15"/>
          <w:lang w:val="pl-PL"/>
        </w:rPr>
        <w:t xml:space="preserve"> w </w:t>
      </w:r>
      <w:r w:rsidRPr="00295C1F">
        <w:rPr>
          <w:rFonts w:asciiTheme="minorHAnsi" w:hAnsiTheme="minorHAnsi" w:cs="Arial"/>
          <w:sz w:val="15"/>
          <w:szCs w:val="15"/>
          <w:lang w:val="pl-PL"/>
        </w:rPr>
        <w:t>Polsce - EuropeAid /115971/D/SV/PL’, administrowanego przez Władz</w:t>
      </w:r>
      <w:r w:rsidRPr="00295C1F">
        <w:rPr>
          <w:rFonts w:asciiTheme="minorHAnsi" w:eastAsiaTheme="minorHAnsi" w:hAnsiTheme="minorHAnsi" w:cs="Arial"/>
          <w:sz w:val="15"/>
          <w:szCs w:val="15"/>
          <w:lang w:val="pl-PL"/>
        </w:rPr>
        <w:t>ę</w:t>
      </w:r>
      <w:r w:rsidRPr="00295C1F">
        <w:rPr>
          <w:rFonts w:asciiTheme="minorHAnsi" w:hAnsiTheme="minorHAnsi" w:cs="Arial"/>
          <w:sz w:val="15"/>
          <w:szCs w:val="15"/>
          <w:lang w:val="pl-PL"/>
        </w:rPr>
        <w:t xml:space="preserve"> Wdrażaj</w:t>
      </w:r>
      <w:r w:rsidRPr="00295C1F">
        <w:rPr>
          <w:rFonts w:asciiTheme="minorHAnsi" w:eastAsiaTheme="minorHAnsi" w:hAnsiTheme="minorHAnsi" w:cs="Arial"/>
          <w:sz w:val="15"/>
          <w:szCs w:val="15"/>
          <w:lang w:val="pl-PL"/>
        </w:rPr>
        <w:t>ą</w:t>
      </w:r>
      <w:r w:rsidRPr="00295C1F">
        <w:rPr>
          <w:rFonts w:asciiTheme="minorHAnsi" w:hAnsiTheme="minorHAnsi" w:cs="Arial"/>
          <w:sz w:val="15"/>
          <w:szCs w:val="15"/>
          <w:lang w:val="pl-PL"/>
        </w:rPr>
        <w:t>c</w:t>
      </w:r>
      <w:r w:rsidRPr="00295C1F">
        <w:rPr>
          <w:rFonts w:asciiTheme="minorHAnsi" w:eastAsiaTheme="minorHAnsi" w:hAnsiTheme="minorHAnsi" w:cs="Arial"/>
          <w:sz w:val="15"/>
          <w:szCs w:val="15"/>
          <w:lang w:val="pl-PL"/>
        </w:rPr>
        <w:t xml:space="preserve">ą </w:t>
      </w:r>
      <w:r w:rsidRPr="00295C1F">
        <w:rPr>
          <w:rFonts w:asciiTheme="minorHAnsi" w:hAnsiTheme="minorHAnsi" w:cs="Arial"/>
          <w:sz w:val="15"/>
          <w:szCs w:val="15"/>
          <w:lang w:val="pl-PL"/>
        </w:rPr>
        <w:t xml:space="preserve">Program Współpracy Przygranicznej PHARE.  </w:t>
      </w:r>
    </w:p>
    <w:p w14:paraId="4DA1A4BB" w14:textId="488ED20D" w:rsidR="007463B9" w:rsidRPr="009A6C17" w:rsidRDefault="007463B9">
      <w:pPr>
        <w:pStyle w:val="Tekstprzypisudolnego"/>
        <w:rPr>
          <w:rFonts w:asciiTheme="minorHAnsi" w:hAnsiTheme="minorHAnsi"/>
        </w:rPr>
      </w:pPr>
      <w:r w:rsidRPr="00295C1F">
        <w:rPr>
          <w:rFonts w:asciiTheme="minorHAnsi" w:hAnsiTheme="minorHAnsi" w:cs="Arial"/>
          <w:sz w:val="15"/>
          <w:szCs w:val="15"/>
        </w:rPr>
        <w:t>The 2006 series of the transport Blue Books was prepared by the consultants of the consortium Scott Wilson, Arup, PM Group and its main subcontractor Ernst &amp; Young within the scope of the Phare-2002/000-580.01 project – “Preparation of projects supported from the European Regional Development Fund” managed by the Implementing Authority responsible for the PHARE Cross Border Cooperation Programme – EuropeAid/115971/D/SV/PL”.</w:t>
      </w:r>
    </w:p>
  </w:footnote>
  <w:footnote w:id="5">
    <w:p w14:paraId="4554655B" w14:textId="24D37155" w:rsidR="007463B9" w:rsidRPr="00295C1F" w:rsidRDefault="007463B9" w:rsidP="009A6C17">
      <w:pPr>
        <w:jc w:val="both"/>
        <w:rPr>
          <w:rFonts w:asciiTheme="minorHAnsi" w:eastAsia="Calibri" w:hAnsiTheme="minorHAnsi" w:cs="Arial"/>
          <w:sz w:val="15"/>
          <w:szCs w:val="15"/>
          <w:lang w:eastAsia="en-US"/>
        </w:rPr>
      </w:pPr>
      <w:r w:rsidRPr="009A6C17">
        <w:rPr>
          <w:rStyle w:val="Odwoanieprzypisudolnego"/>
          <w:rFonts w:asciiTheme="minorHAnsi" w:hAnsiTheme="minorHAnsi" w:cstheme="minorHAnsi"/>
          <w:sz w:val="20"/>
          <w:szCs w:val="20"/>
        </w:rPr>
        <w:footnoteRef/>
      </w:r>
      <w:r w:rsidRPr="009A6C17">
        <w:rPr>
          <w:sz w:val="20"/>
          <w:szCs w:val="20"/>
        </w:rPr>
        <w:t xml:space="preserve"> </w:t>
      </w:r>
      <w:r w:rsidRPr="00295C1F">
        <w:rPr>
          <w:rFonts w:asciiTheme="minorHAnsi" w:eastAsia="Calibri" w:hAnsiTheme="minorHAnsi" w:cs="Arial"/>
          <w:sz w:val="15"/>
          <w:szCs w:val="15"/>
          <w:lang w:eastAsia="en-US"/>
        </w:rPr>
        <w:t>Transportowe Niebieskie Księgi 2008 zostały przygotowane przez inicjatywę JASPERS (</w:t>
      </w:r>
      <w:hyperlink r:id="rId4" w:history="1">
        <w:r w:rsidRPr="00295C1F">
          <w:rPr>
            <w:rStyle w:val="Hipercze"/>
            <w:rFonts w:asciiTheme="minorHAnsi" w:eastAsia="Calibri" w:hAnsiTheme="minorHAnsi"/>
            <w:sz w:val="15"/>
            <w:szCs w:val="15"/>
            <w:lang w:eastAsia="en-US"/>
          </w:rPr>
          <w:t>http://www.pois.gov.pl/WstepDoFunduszyEuropejskich/Strony/Inicjatywa_JASPERS.aspx).-</w:t>
        </w:r>
      </w:hyperlink>
    </w:p>
    <w:p w14:paraId="53F26F21" w14:textId="21A10239" w:rsidR="007463B9" w:rsidRPr="009A6C17" w:rsidRDefault="007463B9" w:rsidP="009A6C17">
      <w:pPr>
        <w:jc w:val="both"/>
        <w:rPr>
          <w:rFonts w:asciiTheme="minorHAnsi" w:eastAsia="Calibri" w:hAnsiTheme="minorHAnsi" w:cs="Arial"/>
          <w:sz w:val="15"/>
          <w:szCs w:val="15"/>
          <w:lang w:val="en-GB" w:eastAsia="en-US"/>
        </w:rPr>
      </w:pPr>
      <w:r w:rsidRPr="00FF6918">
        <w:rPr>
          <w:rFonts w:asciiTheme="minorHAnsi" w:eastAsia="Calibri" w:hAnsiTheme="minorHAnsi" w:cs="Arial"/>
          <w:sz w:val="15"/>
          <w:szCs w:val="15"/>
          <w:lang w:eastAsia="en-US"/>
        </w:rPr>
        <w:t xml:space="preserve"> </w:t>
      </w:r>
      <w:r w:rsidRPr="00295C1F">
        <w:rPr>
          <w:rFonts w:asciiTheme="minorHAnsi" w:eastAsia="Calibri" w:hAnsiTheme="minorHAnsi" w:cs="Arial"/>
          <w:sz w:val="15"/>
          <w:szCs w:val="15"/>
          <w:lang w:val="en-GB" w:eastAsia="en-US"/>
        </w:rPr>
        <w:t>The 2008 series of the transport Blue Books was prepared by JASPERS (http://www.pois.gov.pl/WstepDoFunduszyEuropejskich/Strony/Inicjatywa_JASPERS.aspx).</w:t>
      </w:r>
    </w:p>
  </w:footnote>
  <w:footnote w:id="6">
    <w:p w14:paraId="6A28B913" w14:textId="77777777" w:rsidR="007463B9" w:rsidRPr="006E0836" w:rsidRDefault="007463B9" w:rsidP="009A6C17">
      <w:pPr>
        <w:pStyle w:val="TableBullet1a"/>
        <w:snapToGrid w:val="0"/>
        <w:spacing w:before="40" w:after="40"/>
        <w:rPr>
          <w:rFonts w:asciiTheme="minorHAnsi" w:hAnsiTheme="minorHAnsi" w:cs="Arial"/>
          <w:color w:val="4F81BD" w:themeColor="accent1"/>
          <w:sz w:val="15"/>
          <w:szCs w:val="15"/>
          <w:lang w:val="pl-PL"/>
        </w:rPr>
      </w:pPr>
      <w:r w:rsidRPr="00505091">
        <w:rPr>
          <w:rStyle w:val="Odwoanieprzypisudolnego"/>
          <w:rFonts w:asciiTheme="minorHAnsi" w:hAnsiTheme="minorHAnsi" w:cstheme="minorHAnsi"/>
          <w:sz w:val="20"/>
          <w:szCs w:val="16"/>
        </w:rPr>
        <w:footnoteRef/>
      </w:r>
      <w:r w:rsidRPr="00505091">
        <w:rPr>
          <w:rFonts w:asciiTheme="minorHAnsi" w:eastAsia="Calibri" w:hAnsiTheme="minorHAnsi" w:cstheme="minorHAnsi"/>
          <w:sz w:val="20"/>
          <w:szCs w:val="16"/>
          <w:lang w:val="pl-PL"/>
        </w:rPr>
        <w:t xml:space="preserve"> </w:t>
      </w:r>
      <w:r w:rsidRPr="00AE2DD8">
        <w:rPr>
          <w:rFonts w:asciiTheme="minorHAnsi" w:hAnsiTheme="minorHAnsi"/>
          <w:color w:val="000000"/>
          <w:sz w:val="15"/>
          <w:szCs w:val="15"/>
          <w:shd w:val="clear" w:color="auto" w:fill="FFFFFF"/>
          <w:lang w:val="pl-PL"/>
        </w:rPr>
        <w:t>Niebieska Księga dla projektów infrastruktury drogowej realizowanych w ramach perspektywy finansowej 2014-2020</w:t>
      </w:r>
      <w:r w:rsidRPr="006E0836">
        <w:rPr>
          <w:rFonts w:asciiTheme="minorHAnsi" w:eastAsia="Calibri" w:hAnsiTheme="minorHAnsi" w:cs="Arial"/>
          <w:sz w:val="15"/>
          <w:szCs w:val="15"/>
          <w:lang w:val="pl-PL" w:eastAsia="en-US"/>
        </w:rPr>
        <w:t xml:space="preserve"> (</w:t>
      </w:r>
      <w:hyperlink r:id="rId5" w:history="1">
        <w:r w:rsidRPr="006E0836">
          <w:rPr>
            <w:rStyle w:val="Hipercze"/>
            <w:rFonts w:asciiTheme="minorHAnsi" w:hAnsiTheme="minorHAnsi" w:cs="Tahoma"/>
            <w:sz w:val="15"/>
            <w:szCs w:val="15"/>
            <w:shd w:val="clear" w:color="auto" w:fill="FFFFFF"/>
            <w:lang w:val="pl-PL"/>
          </w:rPr>
          <w:t>http://www.pois.gov.pl/strony/wiadomosci/opublikowano-niebieska-ksiege-dla-projektow-infrastruktury-drogowej/</w:t>
        </w:r>
      </w:hyperlink>
      <w:r w:rsidRPr="006E0836">
        <w:rPr>
          <w:rStyle w:val="Hipercze"/>
          <w:rFonts w:asciiTheme="minorHAnsi" w:hAnsiTheme="minorHAnsi" w:cs="Tahoma"/>
          <w:sz w:val="15"/>
          <w:szCs w:val="15"/>
          <w:shd w:val="clear" w:color="auto" w:fill="FFFFFF"/>
          <w:lang w:val="pl-PL"/>
        </w:rPr>
        <w:t>)</w:t>
      </w:r>
    </w:p>
    <w:p w14:paraId="3750FB99" w14:textId="77777777" w:rsidR="007463B9" w:rsidRPr="006E0836" w:rsidRDefault="007463B9" w:rsidP="009A6C17">
      <w:pPr>
        <w:rPr>
          <w:rFonts w:asciiTheme="minorHAnsi" w:hAnsiTheme="minorHAnsi" w:cs="Tahoma"/>
          <w:color w:val="333333"/>
          <w:sz w:val="15"/>
          <w:szCs w:val="15"/>
          <w:shd w:val="clear" w:color="auto" w:fill="FFFFFF"/>
          <w:lang w:val="en-GB"/>
        </w:rPr>
      </w:pPr>
      <w:r w:rsidRPr="00BC75DE">
        <w:rPr>
          <w:rFonts w:asciiTheme="minorHAnsi" w:eastAsia="Calibri" w:hAnsiTheme="minorHAnsi" w:cs="Arial"/>
          <w:sz w:val="15"/>
          <w:szCs w:val="15"/>
          <w:lang w:eastAsia="en-US"/>
        </w:rPr>
        <w:t xml:space="preserve"> </w:t>
      </w:r>
      <w:r w:rsidRPr="00295C1F">
        <w:rPr>
          <w:rFonts w:asciiTheme="minorHAnsi" w:eastAsia="Calibri" w:hAnsiTheme="minorHAnsi" w:cs="Arial"/>
          <w:sz w:val="15"/>
          <w:szCs w:val="15"/>
          <w:lang w:val="en-GB" w:eastAsia="en-US"/>
        </w:rPr>
        <w:t xml:space="preserve">Blue Book </w:t>
      </w:r>
      <w:r>
        <w:rPr>
          <w:rFonts w:asciiTheme="minorHAnsi" w:eastAsia="Calibri" w:hAnsiTheme="minorHAnsi" w:cs="Arial"/>
          <w:sz w:val="15"/>
          <w:szCs w:val="15"/>
          <w:lang w:val="en-GB" w:eastAsia="en-US"/>
        </w:rPr>
        <w:t>for road transport projects prepared for 2014-2020 financial perspective</w:t>
      </w:r>
      <w:r w:rsidRPr="00295C1F">
        <w:rPr>
          <w:rFonts w:asciiTheme="minorHAnsi" w:eastAsia="Calibri" w:hAnsiTheme="minorHAnsi" w:cs="Arial"/>
          <w:sz w:val="15"/>
          <w:szCs w:val="15"/>
          <w:lang w:val="en-GB" w:eastAsia="en-US"/>
        </w:rPr>
        <w:t xml:space="preserve"> </w:t>
      </w:r>
      <w:r>
        <w:rPr>
          <w:rFonts w:asciiTheme="minorHAnsi" w:eastAsia="Calibri" w:hAnsiTheme="minorHAnsi" w:cs="Arial"/>
          <w:sz w:val="15"/>
          <w:szCs w:val="15"/>
          <w:lang w:val="en-GB" w:eastAsia="en-US"/>
        </w:rPr>
        <w:t>(</w:t>
      </w:r>
      <w:hyperlink r:id="rId6" w:history="1">
        <w:r w:rsidRPr="006E0836">
          <w:rPr>
            <w:rStyle w:val="Hipercze"/>
            <w:rFonts w:asciiTheme="minorHAnsi" w:hAnsiTheme="minorHAnsi" w:cs="Tahoma"/>
            <w:sz w:val="15"/>
            <w:szCs w:val="15"/>
            <w:shd w:val="clear" w:color="auto" w:fill="FFFFFF"/>
            <w:lang w:val="en-GB"/>
          </w:rPr>
          <w:t>http://www.pois.gov.pl/strony/wiadomosci/opublikowano-niebieska-ksiege-dla-projektow-infrastruktury-drogowej/</w:t>
        </w:r>
      </w:hyperlink>
      <w:r w:rsidRPr="006E0836">
        <w:rPr>
          <w:rStyle w:val="Hipercze"/>
          <w:rFonts w:asciiTheme="minorHAnsi" w:hAnsiTheme="minorHAnsi" w:cs="Tahoma"/>
          <w:sz w:val="15"/>
          <w:szCs w:val="15"/>
          <w:shd w:val="clear" w:color="auto" w:fill="FFFFFF"/>
          <w:lang w:val="en-GB"/>
        </w:rPr>
        <w:t>)</w:t>
      </w:r>
    </w:p>
    <w:p w14:paraId="520AEB33" w14:textId="2A1BDDCC" w:rsidR="007463B9" w:rsidRPr="0045151D" w:rsidRDefault="007463B9" w:rsidP="009A6C17">
      <w:pPr>
        <w:pBdr>
          <w:top w:val="nil"/>
          <w:left w:val="nil"/>
          <w:bottom w:val="nil"/>
          <w:right w:val="nil"/>
          <w:between w:val="nil"/>
        </w:pBdr>
        <w:spacing w:before="40" w:after="40"/>
        <w:rPr>
          <w:rFonts w:asciiTheme="minorHAnsi" w:eastAsia="Calibri" w:hAnsiTheme="minorHAnsi" w:cstheme="minorHAnsi"/>
          <w:sz w:val="16"/>
          <w:szCs w:val="16"/>
          <w:highlight w:val="white"/>
          <w:lang w:val="en-GB"/>
        </w:rPr>
      </w:pPr>
    </w:p>
    <w:p w14:paraId="07EDD2E1" w14:textId="77777777" w:rsidR="007463B9" w:rsidRPr="0045151D" w:rsidRDefault="007463B9">
      <w:pPr>
        <w:jc w:val="both"/>
        <w:rPr>
          <w:rFonts w:ascii="Calibri" w:eastAsia="Calibri" w:hAnsi="Calibri" w:cs="Calibri"/>
          <w:sz w:val="15"/>
          <w:szCs w:val="15"/>
          <w:lang w:val="en-GB"/>
        </w:rPr>
      </w:pPr>
    </w:p>
  </w:footnote>
  <w:footnote w:id="7">
    <w:p w14:paraId="1C1AE7A9" w14:textId="67F6B5A2" w:rsidR="007463B9" w:rsidRPr="00F6627D" w:rsidRDefault="007463B9">
      <w:pPr>
        <w:pStyle w:val="Tekstprzypisudolnego"/>
      </w:pPr>
      <w:r w:rsidRPr="00F6627D">
        <w:rPr>
          <w:rStyle w:val="Odwoanieprzypisudolnego"/>
          <w:rFonts w:asciiTheme="minorHAnsi" w:hAnsiTheme="minorHAnsi" w:cstheme="minorHAnsi"/>
        </w:rPr>
        <w:footnoteRef/>
      </w:r>
      <w:r w:rsidRPr="00F6627D">
        <w:rPr>
          <w:rFonts w:asciiTheme="minorHAnsi" w:hAnsiTheme="minorHAnsi" w:cstheme="minorHAnsi"/>
          <w:lang w:val="en-GB"/>
        </w:rPr>
        <w:t xml:space="preserve"> </w:t>
      </w:r>
      <w:r w:rsidRPr="00B6399E">
        <w:rPr>
          <w:rFonts w:asciiTheme="minorHAnsi" w:hAnsiTheme="minorHAnsi" w:cstheme="minorHAnsi"/>
          <w:sz w:val="16"/>
          <w:szCs w:val="16"/>
        </w:rPr>
        <w:t>Climate proofing is a term used to refer to the process of integrating climate change adaptation and mitigation considerations into the development of existing assets and/or planned investments./</w:t>
      </w:r>
      <w:bookmarkStart w:id="13" w:name="_Hlk69317438"/>
      <w:r w:rsidRPr="00B6399E">
        <w:rPr>
          <w:rFonts w:asciiTheme="minorHAnsi" w:hAnsiTheme="minorHAnsi" w:cstheme="minorHAnsi"/>
          <w:sz w:val="16"/>
          <w:szCs w:val="16"/>
        </w:rPr>
        <w:t>Uodpornianie na zmiany klimatu to termin odnoszący się do uwzględniania zagadnień adaptacji do zmian klimatu i ich łagodzenia podczas rozbudowy istniejących obiektów i/albo planowania inwestycji.</w:t>
      </w:r>
      <w:bookmarkEnd w:id="13"/>
      <w:r w:rsidRPr="00B6399E">
        <w:rPr>
          <w:rFonts w:asciiTheme="minorHAnsi" w:hAnsiTheme="minorHAnsi" w:cstheme="minorHAnsi"/>
          <w:sz w:val="16"/>
          <w:szCs w:val="16"/>
        </w:rPr>
        <w:t xml:space="preserve">  </w:t>
      </w:r>
      <w:r w:rsidRPr="00B6399E">
        <w:rPr>
          <w:rFonts w:asciiTheme="minorHAnsi" w:hAnsiTheme="minorHAnsi" w:cstheme="minorHAnsi"/>
          <w:sz w:val="16"/>
          <w:szCs w:val="16"/>
          <w:lang w:val="en-GB"/>
        </w:rPr>
        <w:t xml:space="preserve">See </w:t>
      </w:r>
      <w:hyperlink r:id="rId7" w:history="1">
        <w:r w:rsidRPr="00B6399E">
          <w:rPr>
            <w:rStyle w:val="Hipercze"/>
            <w:rFonts w:asciiTheme="minorHAnsi" w:hAnsiTheme="minorHAnsi" w:cstheme="minorHAnsi"/>
            <w:sz w:val="16"/>
            <w:szCs w:val="16"/>
            <w:lang w:val="en-GB"/>
          </w:rPr>
          <w:t>Technical guidance on the climate proofing of infrastructure in t</w:t>
        </w:r>
        <w:r w:rsidRPr="00B6399E">
          <w:rPr>
            <w:rStyle w:val="Hipercze"/>
            <w:rFonts w:asciiTheme="minorHAnsi" w:hAnsiTheme="minorHAnsi" w:cstheme="minorHAnsi"/>
            <w:sz w:val="16"/>
            <w:szCs w:val="16"/>
          </w:rPr>
          <w:t>he period 2021-2027</w:t>
        </w:r>
      </w:hyperlink>
      <w:r w:rsidRPr="00B6399E">
        <w:rPr>
          <w:rFonts w:asciiTheme="minorHAnsi" w:hAnsiTheme="minorHAnsi" w:cstheme="minorHAnsi"/>
          <w:sz w:val="16"/>
          <w:szCs w:val="16"/>
          <w:lang w:val="en-GB"/>
        </w:rPr>
        <w:t>, EC 2021</w:t>
      </w:r>
    </w:p>
  </w:footnote>
  <w:footnote w:id="8">
    <w:p w14:paraId="5D705E06" w14:textId="77777777" w:rsidR="007463B9" w:rsidRDefault="007463B9" w:rsidP="003E2A27">
      <w:pPr>
        <w:pStyle w:val="Tekstprzypisudolnego"/>
        <w:rPr>
          <w:rFonts w:asciiTheme="minorHAnsi" w:hAnsiTheme="minorHAnsi" w:cstheme="minorHAnsi"/>
          <w:sz w:val="16"/>
        </w:rPr>
      </w:pPr>
      <w:r w:rsidRPr="003E2A27">
        <w:rPr>
          <w:rStyle w:val="Odwoanieprzypisudolnego"/>
          <w:rFonts w:asciiTheme="minorHAnsi" w:hAnsiTheme="minorHAnsi" w:cstheme="minorHAnsi"/>
        </w:rPr>
        <w:footnoteRef/>
      </w:r>
      <w:r>
        <w:rPr>
          <w:rFonts w:ascii="Calibri" w:eastAsia="Calibri" w:hAnsi="Calibri" w:cs="Calibri"/>
          <w:color w:val="000000"/>
          <w:sz w:val="16"/>
          <w:szCs w:val="16"/>
        </w:rPr>
        <w:t xml:space="preserve"> </w:t>
      </w:r>
      <w:r w:rsidRPr="00257D85">
        <w:rPr>
          <w:rFonts w:asciiTheme="minorHAnsi" w:hAnsiTheme="minorHAnsi" w:cstheme="minorHAnsi"/>
          <w:sz w:val="16"/>
        </w:rPr>
        <w:t xml:space="preserve">The CPR for 2021–2027 no longer includes binding reference periods per sector, as was the case in the past regulation. The reference period should correspond to the project’s economic life to allow its likely long-term impacts to unfold. Therefore, it is considered that 25 years is generally the relevant one for road infrastructure projects. </w:t>
      </w:r>
    </w:p>
    <w:p w14:paraId="6182220C" w14:textId="3AD3F59B" w:rsidR="007463B9" w:rsidRPr="003E2A27" w:rsidRDefault="007463B9" w:rsidP="003E2A27">
      <w:pPr>
        <w:pBdr>
          <w:top w:val="nil"/>
          <w:left w:val="nil"/>
          <w:bottom w:val="nil"/>
          <w:right w:val="nil"/>
          <w:between w:val="nil"/>
        </w:pBdr>
        <w:spacing w:before="120"/>
        <w:rPr>
          <w:rFonts w:ascii="Calibri" w:eastAsia="Calibri" w:hAnsi="Calibri" w:cs="Calibri"/>
          <w:color w:val="000000"/>
          <w:sz w:val="16"/>
          <w:szCs w:val="16"/>
        </w:rPr>
      </w:pPr>
      <w:r w:rsidRPr="00257D85">
        <w:rPr>
          <w:rStyle w:val="jlqj4b"/>
          <w:rFonts w:asciiTheme="minorHAnsi" w:hAnsiTheme="minorHAnsi" w:cstheme="minorHAnsi"/>
          <w:color w:val="000000"/>
          <w:sz w:val="16"/>
          <w:szCs w:val="16"/>
        </w:rPr>
        <w:t>Rozporzą</w:t>
      </w:r>
      <w:r>
        <w:rPr>
          <w:rStyle w:val="jlqj4b"/>
          <w:rFonts w:asciiTheme="minorHAnsi" w:hAnsiTheme="minorHAnsi" w:cstheme="minorHAnsi"/>
          <w:color w:val="000000"/>
          <w:sz w:val="16"/>
          <w:szCs w:val="16"/>
        </w:rPr>
        <w:t>dzenie ramowe</w:t>
      </w:r>
      <w:r w:rsidRPr="00257D85">
        <w:rPr>
          <w:rStyle w:val="jlqj4b"/>
          <w:rFonts w:asciiTheme="minorHAnsi" w:hAnsiTheme="minorHAnsi" w:cstheme="minorHAnsi"/>
          <w:color w:val="000000"/>
          <w:sz w:val="16"/>
          <w:szCs w:val="16"/>
        </w:rPr>
        <w:t xml:space="preserve"> na lata 2021</w:t>
      </w:r>
      <w:r w:rsidRPr="00257D85">
        <w:rPr>
          <w:rStyle w:val="jlqj4b"/>
          <w:rFonts w:asciiTheme="minorHAnsi" w:hAnsiTheme="minorHAnsi" w:cstheme="minorHAnsi" w:hint="eastAsia"/>
          <w:color w:val="000000"/>
          <w:sz w:val="16"/>
          <w:szCs w:val="16"/>
        </w:rPr>
        <w:t>–</w:t>
      </w:r>
      <w:r w:rsidRPr="00257D85">
        <w:rPr>
          <w:rStyle w:val="jlqj4b"/>
          <w:rFonts w:asciiTheme="minorHAnsi" w:hAnsiTheme="minorHAnsi" w:cstheme="minorHAnsi"/>
          <w:color w:val="000000"/>
          <w:sz w:val="16"/>
          <w:szCs w:val="16"/>
        </w:rPr>
        <w:t>2027 nie zawiera ju</w:t>
      </w:r>
      <w:r w:rsidRPr="00257D85">
        <w:rPr>
          <w:rStyle w:val="jlqj4b"/>
          <w:rFonts w:asciiTheme="minorHAnsi" w:hAnsiTheme="minorHAnsi" w:cstheme="minorHAnsi" w:hint="eastAsia"/>
          <w:color w:val="000000"/>
          <w:sz w:val="16"/>
          <w:szCs w:val="16"/>
        </w:rPr>
        <w:t>ż</w:t>
      </w:r>
      <w:r w:rsidRPr="00257D85">
        <w:rPr>
          <w:rStyle w:val="jlqj4b"/>
          <w:rFonts w:asciiTheme="minorHAnsi" w:hAnsiTheme="minorHAnsi" w:cstheme="minorHAnsi"/>
          <w:color w:val="000000"/>
          <w:sz w:val="16"/>
          <w:szCs w:val="16"/>
        </w:rPr>
        <w:t xml:space="preserve"> wi</w:t>
      </w:r>
      <w:r w:rsidRPr="00257D85">
        <w:rPr>
          <w:rStyle w:val="jlqj4b"/>
          <w:rFonts w:asciiTheme="minorHAnsi" w:hAnsiTheme="minorHAnsi" w:cstheme="minorHAnsi" w:hint="eastAsia"/>
          <w:color w:val="000000"/>
          <w:sz w:val="16"/>
          <w:szCs w:val="16"/>
        </w:rPr>
        <w:t>ążą</w:t>
      </w:r>
      <w:r w:rsidRPr="00257D85">
        <w:rPr>
          <w:rStyle w:val="jlqj4b"/>
          <w:rFonts w:asciiTheme="minorHAnsi" w:hAnsiTheme="minorHAnsi" w:cstheme="minorHAnsi"/>
          <w:color w:val="000000"/>
          <w:sz w:val="16"/>
          <w:szCs w:val="16"/>
        </w:rPr>
        <w:t>cych okres</w:t>
      </w:r>
      <w:r w:rsidRPr="00257D85">
        <w:rPr>
          <w:rStyle w:val="jlqj4b"/>
          <w:rFonts w:asciiTheme="minorHAnsi" w:hAnsiTheme="minorHAnsi" w:cstheme="minorHAnsi" w:hint="eastAsia"/>
          <w:color w:val="000000"/>
          <w:sz w:val="16"/>
          <w:szCs w:val="16"/>
        </w:rPr>
        <w:t>ó</w:t>
      </w:r>
      <w:r w:rsidRPr="00257D85">
        <w:rPr>
          <w:rStyle w:val="jlqj4b"/>
          <w:rFonts w:asciiTheme="minorHAnsi" w:hAnsiTheme="minorHAnsi" w:cstheme="minorHAnsi"/>
          <w:color w:val="000000"/>
          <w:sz w:val="16"/>
          <w:szCs w:val="16"/>
        </w:rPr>
        <w:t>w referencyjnych dla sektora, jak mia</w:t>
      </w:r>
      <w:r w:rsidRPr="00257D85">
        <w:rPr>
          <w:rStyle w:val="jlqj4b"/>
          <w:rFonts w:asciiTheme="minorHAnsi" w:hAnsiTheme="minorHAnsi" w:cstheme="minorHAnsi" w:hint="eastAsia"/>
          <w:color w:val="000000"/>
          <w:sz w:val="16"/>
          <w:szCs w:val="16"/>
        </w:rPr>
        <w:t>ł</w:t>
      </w:r>
      <w:r w:rsidRPr="00257D85">
        <w:rPr>
          <w:rStyle w:val="jlqj4b"/>
          <w:rFonts w:asciiTheme="minorHAnsi" w:hAnsiTheme="minorHAnsi" w:cstheme="minorHAnsi"/>
          <w:color w:val="000000"/>
          <w:sz w:val="16"/>
          <w:szCs w:val="16"/>
        </w:rPr>
        <w:t>o to miejsce w poprzednim rozporz</w:t>
      </w:r>
      <w:r w:rsidRPr="00257D85">
        <w:rPr>
          <w:rStyle w:val="jlqj4b"/>
          <w:rFonts w:asciiTheme="minorHAnsi" w:hAnsiTheme="minorHAnsi" w:cstheme="minorHAnsi" w:hint="eastAsia"/>
          <w:color w:val="000000"/>
          <w:sz w:val="16"/>
          <w:szCs w:val="16"/>
        </w:rPr>
        <w:t>ą</w:t>
      </w:r>
      <w:r w:rsidRPr="00257D85">
        <w:rPr>
          <w:rStyle w:val="jlqj4b"/>
          <w:rFonts w:asciiTheme="minorHAnsi" w:hAnsiTheme="minorHAnsi" w:cstheme="minorHAnsi"/>
          <w:color w:val="000000"/>
          <w:sz w:val="16"/>
          <w:szCs w:val="16"/>
        </w:rPr>
        <w:t>dzeniu.</w:t>
      </w:r>
      <w:r w:rsidRPr="00257D85">
        <w:rPr>
          <w:rStyle w:val="viiyi"/>
          <w:rFonts w:asciiTheme="minorHAnsi" w:hAnsiTheme="minorHAnsi" w:cstheme="minorHAnsi"/>
          <w:color w:val="000000"/>
          <w:sz w:val="16"/>
          <w:szCs w:val="16"/>
        </w:rPr>
        <w:t xml:space="preserve"> </w:t>
      </w:r>
      <w:r w:rsidRPr="00257D85">
        <w:rPr>
          <w:rStyle w:val="jlqj4b"/>
          <w:rFonts w:asciiTheme="minorHAnsi" w:hAnsiTheme="minorHAnsi" w:cstheme="minorHAnsi"/>
          <w:color w:val="000000"/>
          <w:sz w:val="16"/>
          <w:szCs w:val="16"/>
        </w:rPr>
        <w:t>Okres odniesienia powinien odpowiada</w:t>
      </w:r>
      <w:r w:rsidRPr="00257D85">
        <w:rPr>
          <w:rStyle w:val="jlqj4b"/>
          <w:rFonts w:asciiTheme="minorHAnsi" w:hAnsiTheme="minorHAnsi" w:cstheme="minorHAnsi" w:hint="eastAsia"/>
          <w:color w:val="000000"/>
          <w:sz w:val="16"/>
          <w:szCs w:val="16"/>
        </w:rPr>
        <w:t>ć</w:t>
      </w:r>
      <w:r w:rsidRPr="00257D85">
        <w:rPr>
          <w:rStyle w:val="jlqj4b"/>
          <w:rFonts w:asciiTheme="minorHAnsi" w:hAnsiTheme="minorHAnsi" w:cstheme="minorHAnsi"/>
          <w:color w:val="000000"/>
          <w:sz w:val="16"/>
          <w:szCs w:val="16"/>
        </w:rPr>
        <w:t xml:space="preserve"> ekonomicznemu okresowi </w:t>
      </w:r>
      <w:r w:rsidRPr="00257D85">
        <w:rPr>
          <w:rStyle w:val="jlqj4b"/>
          <w:rFonts w:asciiTheme="minorHAnsi" w:hAnsiTheme="minorHAnsi" w:cstheme="minorHAnsi" w:hint="eastAsia"/>
          <w:color w:val="000000"/>
          <w:sz w:val="16"/>
          <w:szCs w:val="16"/>
        </w:rPr>
        <w:t>ż</w:t>
      </w:r>
      <w:r w:rsidRPr="00257D85">
        <w:rPr>
          <w:rStyle w:val="jlqj4b"/>
          <w:rFonts w:asciiTheme="minorHAnsi" w:hAnsiTheme="minorHAnsi" w:cstheme="minorHAnsi"/>
          <w:color w:val="000000"/>
          <w:sz w:val="16"/>
          <w:szCs w:val="16"/>
        </w:rPr>
        <w:t xml:space="preserve">ycia projektu, </w:t>
      </w:r>
      <w:r>
        <w:rPr>
          <w:rStyle w:val="jlqj4b"/>
          <w:rFonts w:asciiTheme="minorHAnsi" w:hAnsiTheme="minorHAnsi" w:cstheme="minorHAnsi"/>
          <w:color w:val="000000"/>
          <w:sz w:val="16"/>
          <w:szCs w:val="16"/>
        </w:rPr>
        <w:t xml:space="preserve">tak </w:t>
      </w:r>
      <w:r w:rsidRPr="00257D85">
        <w:rPr>
          <w:rStyle w:val="jlqj4b"/>
          <w:rFonts w:asciiTheme="minorHAnsi" w:hAnsiTheme="minorHAnsi" w:cstheme="minorHAnsi"/>
          <w:color w:val="000000"/>
          <w:sz w:val="16"/>
          <w:szCs w:val="16"/>
        </w:rPr>
        <w:t xml:space="preserve">aby </w:t>
      </w:r>
      <w:r>
        <w:rPr>
          <w:rStyle w:val="jlqj4b"/>
          <w:rFonts w:asciiTheme="minorHAnsi" w:hAnsiTheme="minorHAnsi" w:cstheme="minorHAnsi"/>
          <w:color w:val="000000"/>
          <w:sz w:val="16"/>
          <w:szCs w:val="16"/>
        </w:rPr>
        <w:t>uwzględnić</w:t>
      </w:r>
      <w:r w:rsidRPr="00257D85">
        <w:rPr>
          <w:rStyle w:val="jlqj4b"/>
          <w:rFonts w:asciiTheme="minorHAnsi" w:hAnsiTheme="minorHAnsi" w:cstheme="minorHAnsi"/>
          <w:color w:val="000000"/>
          <w:sz w:val="16"/>
          <w:szCs w:val="16"/>
        </w:rPr>
        <w:t xml:space="preserve"> jego d</w:t>
      </w:r>
      <w:r w:rsidRPr="00257D85">
        <w:rPr>
          <w:rStyle w:val="jlqj4b"/>
          <w:rFonts w:asciiTheme="minorHAnsi" w:hAnsiTheme="minorHAnsi" w:cstheme="minorHAnsi" w:hint="eastAsia"/>
          <w:color w:val="000000"/>
          <w:sz w:val="16"/>
          <w:szCs w:val="16"/>
        </w:rPr>
        <w:t>ł</w:t>
      </w:r>
      <w:r w:rsidRPr="00257D85">
        <w:rPr>
          <w:rStyle w:val="jlqj4b"/>
          <w:rFonts w:asciiTheme="minorHAnsi" w:hAnsiTheme="minorHAnsi" w:cstheme="minorHAnsi"/>
          <w:color w:val="000000"/>
          <w:sz w:val="16"/>
          <w:szCs w:val="16"/>
        </w:rPr>
        <w:t>ugoterminow</w:t>
      </w:r>
      <w:r>
        <w:rPr>
          <w:rStyle w:val="jlqj4b"/>
          <w:rFonts w:asciiTheme="minorHAnsi" w:hAnsiTheme="minorHAnsi" w:cstheme="minorHAnsi"/>
          <w:color w:val="000000"/>
          <w:sz w:val="16"/>
          <w:szCs w:val="16"/>
        </w:rPr>
        <w:t>e oddziaływania</w:t>
      </w:r>
      <w:r w:rsidRPr="00257D85">
        <w:rPr>
          <w:rStyle w:val="jlqj4b"/>
          <w:rFonts w:asciiTheme="minorHAnsi" w:hAnsiTheme="minorHAnsi" w:cstheme="minorHAnsi"/>
          <w:color w:val="000000"/>
          <w:sz w:val="16"/>
          <w:szCs w:val="16"/>
        </w:rPr>
        <w:t>.</w:t>
      </w:r>
      <w:r w:rsidRPr="00257D85">
        <w:rPr>
          <w:rStyle w:val="viiyi"/>
          <w:rFonts w:asciiTheme="minorHAnsi" w:hAnsiTheme="minorHAnsi" w:cstheme="minorHAnsi"/>
          <w:color w:val="000000"/>
          <w:sz w:val="16"/>
          <w:szCs w:val="16"/>
        </w:rPr>
        <w:t xml:space="preserve"> </w:t>
      </w:r>
      <w:r w:rsidRPr="00257D85">
        <w:rPr>
          <w:rStyle w:val="jlqj4b"/>
          <w:rFonts w:asciiTheme="minorHAnsi" w:hAnsiTheme="minorHAnsi" w:cstheme="minorHAnsi"/>
          <w:color w:val="000000"/>
          <w:sz w:val="16"/>
          <w:szCs w:val="16"/>
        </w:rPr>
        <w:t>W zwi</w:t>
      </w:r>
      <w:r w:rsidRPr="00257D85">
        <w:rPr>
          <w:rStyle w:val="jlqj4b"/>
          <w:rFonts w:asciiTheme="minorHAnsi" w:hAnsiTheme="minorHAnsi" w:cstheme="minorHAnsi" w:hint="eastAsia"/>
          <w:color w:val="000000"/>
          <w:sz w:val="16"/>
          <w:szCs w:val="16"/>
        </w:rPr>
        <w:t>ą</w:t>
      </w:r>
      <w:r w:rsidRPr="00257D85">
        <w:rPr>
          <w:rStyle w:val="jlqj4b"/>
          <w:rFonts w:asciiTheme="minorHAnsi" w:hAnsiTheme="minorHAnsi" w:cstheme="minorHAnsi"/>
          <w:color w:val="000000"/>
          <w:sz w:val="16"/>
          <w:szCs w:val="16"/>
        </w:rPr>
        <w:t>zku z tym uwa</w:t>
      </w:r>
      <w:r w:rsidRPr="00257D85">
        <w:rPr>
          <w:rStyle w:val="jlqj4b"/>
          <w:rFonts w:asciiTheme="minorHAnsi" w:hAnsiTheme="minorHAnsi" w:cstheme="minorHAnsi" w:hint="eastAsia"/>
          <w:color w:val="000000"/>
          <w:sz w:val="16"/>
          <w:szCs w:val="16"/>
        </w:rPr>
        <w:t>ż</w:t>
      </w:r>
      <w:r w:rsidRPr="00257D85">
        <w:rPr>
          <w:rStyle w:val="jlqj4b"/>
          <w:rFonts w:asciiTheme="minorHAnsi" w:hAnsiTheme="minorHAnsi" w:cstheme="minorHAnsi"/>
          <w:color w:val="000000"/>
          <w:sz w:val="16"/>
          <w:szCs w:val="16"/>
        </w:rPr>
        <w:t>a si</w:t>
      </w:r>
      <w:r w:rsidRPr="00257D85">
        <w:rPr>
          <w:rStyle w:val="jlqj4b"/>
          <w:rFonts w:asciiTheme="minorHAnsi" w:hAnsiTheme="minorHAnsi" w:cstheme="minorHAnsi" w:hint="eastAsia"/>
          <w:color w:val="000000"/>
          <w:sz w:val="16"/>
          <w:szCs w:val="16"/>
        </w:rPr>
        <w:t>ę</w:t>
      </w:r>
      <w:r w:rsidRPr="00257D85">
        <w:rPr>
          <w:rStyle w:val="jlqj4b"/>
          <w:rFonts w:asciiTheme="minorHAnsi" w:hAnsiTheme="minorHAnsi" w:cstheme="minorHAnsi"/>
          <w:color w:val="000000"/>
          <w:sz w:val="16"/>
          <w:szCs w:val="16"/>
        </w:rPr>
        <w:t xml:space="preserve">, </w:t>
      </w:r>
      <w:r w:rsidRPr="00257D85">
        <w:rPr>
          <w:rStyle w:val="jlqj4b"/>
          <w:rFonts w:asciiTheme="minorHAnsi" w:hAnsiTheme="minorHAnsi" w:cstheme="minorHAnsi" w:hint="eastAsia"/>
          <w:color w:val="000000"/>
          <w:sz w:val="16"/>
          <w:szCs w:val="16"/>
        </w:rPr>
        <w:t>ż</w:t>
      </w:r>
      <w:r w:rsidRPr="00257D85">
        <w:rPr>
          <w:rStyle w:val="jlqj4b"/>
          <w:rFonts w:asciiTheme="minorHAnsi" w:hAnsiTheme="minorHAnsi" w:cstheme="minorHAnsi"/>
          <w:color w:val="000000"/>
          <w:sz w:val="16"/>
          <w:szCs w:val="16"/>
        </w:rPr>
        <w:t>e w przypadku projekt</w:t>
      </w:r>
      <w:r w:rsidRPr="00257D85">
        <w:rPr>
          <w:rStyle w:val="jlqj4b"/>
          <w:rFonts w:asciiTheme="minorHAnsi" w:hAnsiTheme="minorHAnsi" w:cstheme="minorHAnsi" w:hint="eastAsia"/>
          <w:color w:val="000000"/>
          <w:sz w:val="16"/>
          <w:szCs w:val="16"/>
        </w:rPr>
        <w:t>ó</w:t>
      </w:r>
      <w:r w:rsidRPr="00257D85">
        <w:rPr>
          <w:rStyle w:val="jlqj4b"/>
          <w:rFonts w:asciiTheme="minorHAnsi" w:hAnsiTheme="minorHAnsi" w:cstheme="minorHAnsi"/>
          <w:color w:val="000000"/>
          <w:sz w:val="16"/>
          <w:szCs w:val="16"/>
        </w:rPr>
        <w:t>w infrastruktury drogowej zwykle wystarcza 25 lat.</w:t>
      </w:r>
    </w:p>
  </w:footnote>
  <w:footnote w:id="9">
    <w:p w14:paraId="10D1FF8C" w14:textId="23109EA9" w:rsidR="007463B9" w:rsidRDefault="007463B9" w:rsidP="00A24E90">
      <w:pPr>
        <w:pBdr>
          <w:top w:val="nil"/>
          <w:left w:val="nil"/>
          <w:bottom w:val="nil"/>
          <w:right w:val="nil"/>
          <w:between w:val="nil"/>
        </w:pBdr>
        <w:spacing w:before="120"/>
        <w:rPr>
          <w:color w:val="000000"/>
          <w:sz w:val="20"/>
          <w:szCs w:val="20"/>
        </w:rPr>
      </w:pPr>
      <w:r w:rsidRPr="00A24E90">
        <w:rPr>
          <w:rStyle w:val="Odwoanieprzypisudolnego"/>
          <w:rFonts w:asciiTheme="minorHAnsi" w:hAnsiTheme="minorHAnsi" w:cstheme="minorHAnsi"/>
          <w:sz w:val="20"/>
          <w:szCs w:val="20"/>
        </w:rPr>
        <w:footnoteRef/>
      </w:r>
      <w:r w:rsidRPr="00A24E90">
        <w:rPr>
          <w:rFonts w:asciiTheme="minorHAnsi" w:eastAsia="Calibri" w:hAnsiTheme="minorHAnsi" w:cstheme="minorHAnsi"/>
          <w:color w:val="000000"/>
          <w:sz w:val="20"/>
          <w:szCs w:val="20"/>
          <w:lang w:val="en-GB"/>
        </w:rPr>
        <w:t xml:space="preserve"> </w:t>
      </w:r>
      <w:r w:rsidRPr="00371A33">
        <w:rPr>
          <w:rFonts w:asciiTheme="minorHAnsi" w:hAnsiTheme="minorHAnsi" w:cstheme="minorHAnsi"/>
          <w:sz w:val="16"/>
          <w:lang w:val="en-GB"/>
        </w:rPr>
        <w:t xml:space="preserve">This survey was part of a comissioned work for determination of Generalised Cost Function for the CUPT National Transport Model. </w:t>
      </w:r>
      <w:r w:rsidRPr="007B1768">
        <w:rPr>
          <w:rStyle w:val="jlqj4b"/>
          <w:rFonts w:asciiTheme="minorHAnsi" w:hAnsiTheme="minorHAnsi"/>
          <w:color w:val="000000"/>
          <w:sz w:val="16"/>
          <w:szCs w:val="16"/>
        </w:rPr>
        <w:t>Niniejsze badanie by</w:t>
      </w:r>
      <w:r w:rsidRPr="007B1768">
        <w:rPr>
          <w:rStyle w:val="jlqj4b"/>
          <w:rFonts w:asciiTheme="minorHAnsi" w:hAnsiTheme="minorHAnsi" w:hint="eastAsia"/>
          <w:color w:val="000000"/>
          <w:sz w:val="16"/>
          <w:szCs w:val="16"/>
        </w:rPr>
        <w:t>ł</w:t>
      </w:r>
      <w:r w:rsidRPr="007B1768">
        <w:rPr>
          <w:rStyle w:val="jlqj4b"/>
          <w:rFonts w:asciiTheme="minorHAnsi" w:hAnsiTheme="minorHAnsi"/>
          <w:color w:val="000000"/>
          <w:sz w:val="16"/>
          <w:szCs w:val="16"/>
        </w:rPr>
        <w:t>o cz</w:t>
      </w:r>
      <w:r w:rsidRPr="007B1768">
        <w:rPr>
          <w:rStyle w:val="jlqj4b"/>
          <w:rFonts w:asciiTheme="minorHAnsi" w:hAnsiTheme="minorHAnsi" w:hint="eastAsia"/>
          <w:color w:val="000000"/>
          <w:sz w:val="16"/>
          <w:szCs w:val="16"/>
        </w:rPr>
        <w:t>ęś</w:t>
      </w:r>
      <w:r w:rsidRPr="007B1768">
        <w:rPr>
          <w:rStyle w:val="jlqj4b"/>
          <w:rFonts w:asciiTheme="minorHAnsi" w:hAnsiTheme="minorHAnsi"/>
          <w:color w:val="000000"/>
          <w:sz w:val="16"/>
          <w:szCs w:val="16"/>
        </w:rPr>
        <w:t>ci</w:t>
      </w:r>
      <w:r w:rsidRPr="007B1768">
        <w:rPr>
          <w:rStyle w:val="jlqj4b"/>
          <w:rFonts w:asciiTheme="minorHAnsi" w:hAnsiTheme="minorHAnsi" w:hint="eastAsia"/>
          <w:color w:val="000000"/>
          <w:sz w:val="16"/>
          <w:szCs w:val="16"/>
        </w:rPr>
        <w:t>ą</w:t>
      </w:r>
      <w:r w:rsidRPr="007B1768">
        <w:rPr>
          <w:rStyle w:val="jlqj4b"/>
          <w:rFonts w:asciiTheme="minorHAnsi" w:hAnsiTheme="minorHAnsi"/>
          <w:color w:val="000000"/>
          <w:sz w:val="16"/>
          <w:szCs w:val="16"/>
        </w:rPr>
        <w:t xml:space="preserve"> pracy zleco</w:t>
      </w:r>
      <w:r w:rsidRPr="00A24E90">
        <w:rPr>
          <w:rStyle w:val="jlqj4b"/>
          <w:rFonts w:asciiTheme="minorHAnsi" w:hAnsiTheme="minorHAnsi"/>
          <w:color w:val="000000"/>
          <w:sz w:val="16"/>
          <w:szCs w:val="16"/>
        </w:rPr>
        <w:t>nej przez CUPT</w:t>
      </w:r>
      <w:r w:rsidRPr="007B1768">
        <w:rPr>
          <w:rStyle w:val="jlqj4b"/>
          <w:rFonts w:asciiTheme="minorHAnsi" w:hAnsiTheme="minorHAnsi"/>
          <w:color w:val="000000"/>
          <w:sz w:val="16"/>
          <w:szCs w:val="16"/>
        </w:rPr>
        <w:t xml:space="preserve"> dotycz</w:t>
      </w:r>
      <w:r w:rsidRPr="007B1768">
        <w:rPr>
          <w:rStyle w:val="jlqj4b"/>
          <w:rFonts w:asciiTheme="minorHAnsi" w:hAnsiTheme="minorHAnsi" w:hint="eastAsia"/>
          <w:color w:val="000000"/>
          <w:sz w:val="16"/>
          <w:szCs w:val="16"/>
        </w:rPr>
        <w:t>ą</w:t>
      </w:r>
      <w:r w:rsidRPr="007B1768">
        <w:rPr>
          <w:rStyle w:val="jlqj4b"/>
          <w:rFonts w:asciiTheme="minorHAnsi" w:hAnsiTheme="minorHAnsi"/>
          <w:color w:val="000000"/>
          <w:sz w:val="16"/>
          <w:szCs w:val="16"/>
        </w:rPr>
        <w:t>cej okre</w:t>
      </w:r>
      <w:r w:rsidRPr="007B1768">
        <w:rPr>
          <w:rStyle w:val="jlqj4b"/>
          <w:rFonts w:asciiTheme="minorHAnsi" w:hAnsiTheme="minorHAnsi" w:hint="eastAsia"/>
          <w:color w:val="000000"/>
          <w:sz w:val="16"/>
          <w:szCs w:val="16"/>
        </w:rPr>
        <w:t>ś</w:t>
      </w:r>
      <w:r w:rsidRPr="007B1768">
        <w:rPr>
          <w:rStyle w:val="jlqj4b"/>
          <w:rFonts w:asciiTheme="minorHAnsi" w:hAnsiTheme="minorHAnsi"/>
          <w:color w:val="000000"/>
          <w:sz w:val="16"/>
          <w:szCs w:val="16"/>
        </w:rPr>
        <w:t>lenia Funkcji Koszt</w:t>
      </w:r>
      <w:r w:rsidRPr="007B1768">
        <w:rPr>
          <w:rStyle w:val="jlqj4b"/>
          <w:rFonts w:asciiTheme="minorHAnsi" w:hAnsiTheme="minorHAnsi" w:hint="eastAsia"/>
          <w:color w:val="000000"/>
          <w:sz w:val="16"/>
          <w:szCs w:val="16"/>
        </w:rPr>
        <w:t>ó</w:t>
      </w:r>
      <w:r w:rsidRPr="007B1768">
        <w:rPr>
          <w:rStyle w:val="jlqj4b"/>
          <w:rFonts w:asciiTheme="minorHAnsi" w:hAnsiTheme="minorHAnsi"/>
          <w:color w:val="000000"/>
          <w:sz w:val="16"/>
          <w:szCs w:val="16"/>
        </w:rPr>
        <w:t>w Uog</w:t>
      </w:r>
      <w:r w:rsidRPr="007B1768">
        <w:rPr>
          <w:rStyle w:val="jlqj4b"/>
          <w:rFonts w:asciiTheme="minorHAnsi" w:hAnsiTheme="minorHAnsi" w:hint="eastAsia"/>
          <w:color w:val="000000"/>
          <w:sz w:val="16"/>
          <w:szCs w:val="16"/>
        </w:rPr>
        <w:t>ó</w:t>
      </w:r>
      <w:r w:rsidRPr="007B1768">
        <w:rPr>
          <w:rStyle w:val="jlqj4b"/>
          <w:rFonts w:asciiTheme="minorHAnsi" w:hAnsiTheme="minorHAnsi"/>
          <w:color w:val="000000"/>
          <w:sz w:val="16"/>
          <w:szCs w:val="16"/>
        </w:rPr>
        <w:t>lnionych dla Krajowego Modelu Transportowego</w:t>
      </w:r>
      <w:r>
        <w:rPr>
          <w:rStyle w:val="jlqj4b"/>
          <w:rFonts w:asciiTheme="minorHAnsi" w:hAnsiTheme="minorHAnsi"/>
          <w:color w:val="000000"/>
          <w:sz w:val="16"/>
          <w:szCs w:val="16"/>
        </w:rPr>
        <w:t>.</w:t>
      </w:r>
    </w:p>
    <w:p w14:paraId="586112C8" w14:textId="483E08E9" w:rsidR="007463B9" w:rsidRDefault="007463B9">
      <w:pPr>
        <w:pBdr>
          <w:top w:val="nil"/>
          <w:left w:val="nil"/>
          <w:bottom w:val="nil"/>
          <w:right w:val="nil"/>
          <w:between w:val="nil"/>
        </w:pBdr>
        <w:spacing w:before="120"/>
        <w:rPr>
          <w:color w:val="000000"/>
          <w:sz w:val="20"/>
          <w:szCs w:val="20"/>
        </w:rPr>
      </w:pPr>
    </w:p>
  </w:footnote>
  <w:footnote w:id="10">
    <w:p w14:paraId="5181AD89" w14:textId="77777777" w:rsidR="007463B9" w:rsidRPr="00E8513F" w:rsidRDefault="007463B9" w:rsidP="00CB25CC">
      <w:pPr>
        <w:pStyle w:val="Tekstprzypisudolnego"/>
        <w:rPr>
          <w:rFonts w:asciiTheme="minorHAnsi" w:hAnsiTheme="minorHAnsi"/>
          <w:sz w:val="16"/>
          <w:szCs w:val="16"/>
          <w:lang w:val="pl-PL"/>
        </w:rPr>
      </w:pPr>
      <w:r>
        <w:rPr>
          <w:rStyle w:val="Odwoanieprzypisudolnego"/>
        </w:rPr>
        <w:footnoteRef/>
      </w:r>
      <w:r w:rsidRPr="00CB25CC">
        <w:rPr>
          <w:rFonts w:ascii="Calibri" w:eastAsia="Calibri" w:hAnsi="Calibri" w:cs="Calibri"/>
          <w:color w:val="000000"/>
          <w:sz w:val="16"/>
          <w:szCs w:val="16"/>
          <w:lang w:val="pl-PL"/>
        </w:rPr>
        <w:t xml:space="preserve"> </w:t>
      </w:r>
      <w:r w:rsidRPr="00E8513F">
        <w:rPr>
          <w:rFonts w:asciiTheme="minorHAnsi" w:hAnsiTheme="minorHAnsi"/>
          <w:sz w:val="16"/>
          <w:szCs w:val="16"/>
          <w:lang w:val="pl-PL"/>
        </w:rPr>
        <w:t>Jeżeli fragmenty inwestycji zamiejskiej lub odcinki modelu sieci/bufora znajdują się</w:t>
      </w:r>
      <w:r>
        <w:rPr>
          <w:rFonts w:asciiTheme="minorHAnsi" w:hAnsiTheme="minorHAnsi"/>
          <w:sz w:val="16"/>
          <w:szCs w:val="16"/>
          <w:lang w:val="pl-PL"/>
        </w:rPr>
        <w:t xml:space="preserve"> w </w:t>
      </w:r>
      <w:r w:rsidRPr="00E8513F">
        <w:rPr>
          <w:rFonts w:asciiTheme="minorHAnsi" w:hAnsiTheme="minorHAnsi"/>
          <w:sz w:val="16"/>
          <w:szCs w:val="16"/>
          <w:lang w:val="pl-PL"/>
        </w:rPr>
        <w:t>obszarze miejskim, to wskaźniki wypadkowości należy przyjmować jak dla obszaru zabudowanego.</w:t>
      </w:r>
    </w:p>
    <w:p w14:paraId="5066F0CD" w14:textId="76EB4AA4" w:rsidR="007463B9" w:rsidRPr="0045151D" w:rsidRDefault="007463B9" w:rsidP="00CB25CC">
      <w:pPr>
        <w:pBdr>
          <w:top w:val="nil"/>
          <w:left w:val="nil"/>
          <w:bottom w:val="nil"/>
          <w:right w:val="nil"/>
          <w:between w:val="nil"/>
        </w:pBdr>
        <w:spacing w:before="120"/>
        <w:rPr>
          <w:rFonts w:ascii="Calibri" w:eastAsia="Calibri" w:hAnsi="Calibri" w:cs="Calibri"/>
          <w:color w:val="000000"/>
          <w:sz w:val="16"/>
          <w:szCs w:val="16"/>
          <w:lang w:val="en-GB"/>
        </w:rPr>
      </w:pPr>
      <w:r w:rsidRPr="00ED063F">
        <w:rPr>
          <w:rFonts w:asciiTheme="minorHAnsi" w:hAnsiTheme="minorHAnsi"/>
          <w:sz w:val="16"/>
          <w:szCs w:val="16"/>
          <w:vertAlign w:val="superscript"/>
        </w:rPr>
        <w:t xml:space="preserve"> </w:t>
      </w:r>
      <w:r w:rsidRPr="00E8513F">
        <w:rPr>
          <w:rFonts w:asciiTheme="minorHAnsi" w:hAnsiTheme="minorHAnsi"/>
          <w:sz w:val="16"/>
          <w:szCs w:val="16"/>
          <w:lang w:val="en-GB"/>
        </w:rPr>
        <w:t>If any sections of the non-urban investment or the model/ buffer network is located in the urban areas, the accident factors should be taken as for the built-up area.</w:t>
      </w:r>
    </w:p>
  </w:footnote>
  <w:footnote w:id="11">
    <w:p w14:paraId="1830C6E3" w14:textId="3CAC09A9" w:rsidR="007463B9" w:rsidRPr="007463B9" w:rsidRDefault="007463B9">
      <w:pPr>
        <w:pBdr>
          <w:top w:val="nil"/>
          <w:left w:val="nil"/>
          <w:bottom w:val="nil"/>
          <w:right w:val="nil"/>
          <w:between w:val="nil"/>
        </w:pBdr>
        <w:spacing w:before="120"/>
        <w:rPr>
          <w:color w:val="000000"/>
          <w:sz w:val="20"/>
          <w:szCs w:val="20"/>
        </w:rPr>
      </w:pPr>
      <w:r>
        <w:rPr>
          <w:rStyle w:val="Odwoanieprzypisudolnego"/>
        </w:rPr>
        <w:footnoteRef/>
      </w:r>
      <w:r w:rsidRPr="007463B9">
        <w:rPr>
          <w:color w:val="000000"/>
          <w:sz w:val="20"/>
          <w:szCs w:val="20"/>
        </w:rPr>
        <w:t xml:space="preserve"> </w:t>
      </w:r>
      <w:r w:rsidRPr="007463B9">
        <w:rPr>
          <w:rFonts w:asciiTheme="minorHAnsi" w:hAnsiTheme="minorHAnsi" w:cstheme="minorHAnsi"/>
          <w:sz w:val="18"/>
        </w:rPr>
        <w:t>Based on Handbook on the External Costs of Transport, European Commission, version January 2019/</w:t>
      </w:r>
      <w:bookmarkStart w:id="75" w:name="_Hlk69464699"/>
      <w:r w:rsidRPr="007463B9">
        <w:rPr>
          <w:rFonts w:asciiTheme="minorHAnsi" w:hAnsiTheme="minorHAnsi" w:cstheme="minorHAnsi"/>
          <w:sz w:val="18"/>
        </w:rPr>
        <w:t xml:space="preserve"> Na podstawie Podręcznika Zewnętrznych Kosztów Transportu, Komisja Europejska, wersja styczeń 2019</w:t>
      </w:r>
      <w:bookmarkEnd w:id="75"/>
      <w:r w:rsidRPr="007463B9">
        <w:rPr>
          <w:rFonts w:asciiTheme="minorHAnsi" w:hAnsiTheme="minorHAnsi" w:cstheme="minorHAnsi"/>
          <w:sz w:val="18"/>
        </w:rPr>
        <w:t>.</w:t>
      </w:r>
    </w:p>
  </w:footnote>
  <w:footnote w:id="12">
    <w:p w14:paraId="224AA0D9" w14:textId="25581353" w:rsidR="007463B9" w:rsidRDefault="007463B9">
      <w:pPr>
        <w:pBdr>
          <w:top w:val="nil"/>
          <w:left w:val="nil"/>
          <w:bottom w:val="nil"/>
          <w:right w:val="nil"/>
          <w:between w:val="nil"/>
        </w:pBdr>
        <w:spacing w:before="120"/>
        <w:rPr>
          <w:color w:val="000000"/>
          <w:sz w:val="20"/>
          <w:szCs w:val="20"/>
        </w:rPr>
      </w:pPr>
      <w:r>
        <w:rPr>
          <w:rStyle w:val="Odwoanieprzypisudolnego"/>
        </w:rPr>
        <w:footnoteRef/>
      </w:r>
      <w:r w:rsidRPr="0045151D">
        <w:rPr>
          <w:color w:val="000000"/>
          <w:sz w:val="20"/>
          <w:szCs w:val="20"/>
          <w:lang w:val="en-GB"/>
        </w:rPr>
        <w:t xml:space="preserve"> </w:t>
      </w:r>
      <w:r w:rsidRPr="00BC75DE">
        <w:rPr>
          <w:rFonts w:asciiTheme="minorHAnsi" w:hAnsiTheme="minorHAnsi" w:cstheme="minorHAnsi"/>
          <w:sz w:val="18"/>
          <w:lang w:val="en-GB"/>
        </w:rPr>
        <w:t xml:space="preserve">Other costs related to lower-atmosphere emissions from electricity generation </w:t>
      </w:r>
      <w:r w:rsidRPr="007F12E6">
        <w:rPr>
          <w:rFonts w:asciiTheme="minorHAnsi" w:hAnsiTheme="minorHAnsi" w:cstheme="minorHAnsi"/>
          <w:sz w:val="18"/>
          <w:lang w:val="en-GB"/>
        </w:rPr>
        <w:t xml:space="preserve">from </w:t>
      </w:r>
      <w:r w:rsidRPr="00BC75DE">
        <w:rPr>
          <w:rFonts w:asciiTheme="minorHAnsi" w:hAnsiTheme="minorHAnsi" w:cstheme="minorHAnsi"/>
          <w:sz w:val="18"/>
          <w:lang w:val="en-GB"/>
        </w:rPr>
        <w:t>power plants</w:t>
      </w:r>
      <w:r w:rsidRPr="007F12E6">
        <w:rPr>
          <w:rFonts w:asciiTheme="minorHAnsi" w:hAnsiTheme="minorHAnsi" w:cstheme="minorHAnsi"/>
          <w:sz w:val="18"/>
          <w:lang w:val="en-GB"/>
        </w:rPr>
        <w:t xml:space="preserve"> are not included. </w:t>
      </w:r>
      <w:r w:rsidRPr="00BC75DE">
        <w:rPr>
          <w:rStyle w:val="jlqj4b"/>
          <w:rFonts w:asciiTheme="minorHAnsi" w:hAnsiTheme="minorHAnsi" w:cstheme="minorHAnsi"/>
          <w:color w:val="000000"/>
          <w:sz w:val="18"/>
          <w:szCs w:val="18"/>
        </w:rPr>
        <w:t xml:space="preserve">Nie uwzględniono innych kosztów związanych z emisją do niższych warstw atmosfery z </w:t>
      </w:r>
      <w:r w:rsidRPr="007F12E6">
        <w:rPr>
          <w:rStyle w:val="jlqj4b"/>
          <w:rFonts w:asciiTheme="minorHAnsi" w:hAnsiTheme="minorHAnsi" w:cstheme="minorHAnsi"/>
          <w:color w:val="000000"/>
          <w:sz w:val="18"/>
          <w:szCs w:val="18"/>
        </w:rPr>
        <w:t>elektrowni.</w:t>
      </w:r>
    </w:p>
  </w:footnote>
  <w:footnote w:id="13">
    <w:p w14:paraId="512EADA2" w14:textId="77777777" w:rsidR="007463B9" w:rsidRPr="00EA58CC" w:rsidRDefault="007463B9" w:rsidP="00784B01">
      <w:r w:rsidRPr="005C3677">
        <w:rPr>
          <w:rStyle w:val="Odwoanieprzypisudolnego"/>
          <w:sz w:val="22"/>
        </w:rPr>
        <w:footnoteRef/>
      </w:r>
      <w:r w:rsidRPr="00784B01">
        <w:rPr>
          <w:rFonts w:ascii="Calibri" w:eastAsia="Calibri" w:hAnsi="Calibri" w:cs="Calibri"/>
          <w:lang w:val="en-US"/>
        </w:rPr>
        <w:t xml:space="preserve"> </w:t>
      </w:r>
      <w:r w:rsidRPr="007B1768">
        <w:rPr>
          <w:rFonts w:asciiTheme="minorHAnsi" w:hAnsiTheme="minorHAnsi" w:cstheme="minorHAnsi"/>
          <w:sz w:val="18"/>
          <w:lang w:val="en-GB"/>
        </w:rPr>
        <w:t>Typical operating year refers to a representative project yearly GHG emisssions assessment; therefore, it might be considered to apply an average of the analysed period or, even more representative, to consider an average of first 15-20 years of operation</w:t>
      </w:r>
      <w:r w:rsidRPr="007B1768">
        <w:rPr>
          <w:rFonts w:asciiTheme="minorHAnsi" w:hAnsiTheme="minorHAnsi" w:cstheme="minorHAnsi"/>
          <w:sz w:val="16"/>
          <w:szCs w:val="16"/>
          <w:lang w:val="en-GB"/>
        </w:rPr>
        <w:t xml:space="preserve">. </w:t>
      </w:r>
      <w:r w:rsidRPr="007B1768">
        <w:rPr>
          <w:rStyle w:val="jlqj4b"/>
          <w:rFonts w:asciiTheme="minorHAnsi" w:hAnsiTheme="minorHAnsi" w:cstheme="minorHAnsi"/>
          <w:color w:val="000000"/>
          <w:sz w:val="18"/>
          <w:szCs w:val="18"/>
        </w:rPr>
        <w:t>Typowy rok operacyjny odnosi si</w:t>
      </w:r>
      <w:r w:rsidRPr="007B1768">
        <w:rPr>
          <w:rStyle w:val="jlqj4b"/>
          <w:rFonts w:asciiTheme="minorHAnsi" w:hAnsiTheme="minorHAnsi" w:cstheme="minorHAnsi" w:hint="eastAsia"/>
          <w:color w:val="000000"/>
          <w:sz w:val="18"/>
          <w:szCs w:val="18"/>
        </w:rPr>
        <w:t>ę</w:t>
      </w:r>
      <w:r w:rsidRPr="007B1768">
        <w:rPr>
          <w:rStyle w:val="jlqj4b"/>
          <w:rFonts w:asciiTheme="minorHAnsi" w:hAnsiTheme="minorHAnsi" w:cstheme="minorHAnsi"/>
          <w:color w:val="000000"/>
          <w:sz w:val="18"/>
          <w:szCs w:val="18"/>
        </w:rPr>
        <w:t xml:space="preserve"> do reprezentatywnej rocznej emisji gaz</w:t>
      </w:r>
      <w:r w:rsidRPr="007B1768">
        <w:rPr>
          <w:rStyle w:val="jlqj4b"/>
          <w:rFonts w:asciiTheme="minorHAnsi" w:hAnsiTheme="minorHAnsi" w:cstheme="minorHAnsi" w:hint="eastAsia"/>
          <w:color w:val="000000"/>
          <w:sz w:val="18"/>
          <w:szCs w:val="18"/>
        </w:rPr>
        <w:t>ó</w:t>
      </w:r>
      <w:r w:rsidRPr="007B1768">
        <w:rPr>
          <w:rStyle w:val="jlqj4b"/>
          <w:rFonts w:asciiTheme="minorHAnsi" w:hAnsiTheme="minorHAnsi" w:cstheme="minorHAnsi"/>
          <w:color w:val="000000"/>
          <w:sz w:val="18"/>
          <w:szCs w:val="18"/>
        </w:rPr>
        <w:t>w cieplarnianych projektu;</w:t>
      </w:r>
      <w:r w:rsidRPr="007B1768">
        <w:rPr>
          <w:rStyle w:val="viiyi"/>
          <w:rFonts w:asciiTheme="minorHAnsi" w:hAnsiTheme="minorHAnsi" w:cstheme="minorHAnsi"/>
          <w:color w:val="000000"/>
          <w:sz w:val="18"/>
          <w:szCs w:val="18"/>
        </w:rPr>
        <w:t xml:space="preserve"> </w:t>
      </w:r>
      <w:r w:rsidRPr="007B1768">
        <w:rPr>
          <w:rStyle w:val="jlqj4b"/>
          <w:rFonts w:asciiTheme="minorHAnsi" w:hAnsiTheme="minorHAnsi" w:cstheme="minorHAnsi"/>
          <w:color w:val="000000"/>
          <w:sz w:val="18"/>
          <w:szCs w:val="18"/>
        </w:rPr>
        <w:t>w zwi</w:t>
      </w:r>
      <w:r w:rsidRPr="007B1768">
        <w:rPr>
          <w:rStyle w:val="jlqj4b"/>
          <w:rFonts w:asciiTheme="minorHAnsi" w:hAnsiTheme="minorHAnsi" w:cstheme="minorHAnsi" w:hint="eastAsia"/>
          <w:color w:val="000000"/>
          <w:sz w:val="18"/>
          <w:szCs w:val="18"/>
        </w:rPr>
        <w:t>ą</w:t>
      </w:r>
      <w:r w:rsidRPr="007B1768">
        <w:rPr>
          <w:rStyle w:val="jlqj4b"/>
          <w:rFonts w:asciiTheme="minorHAnsi" w:hAnsiTheme="minorHAnsi" w:cstheme="minorHAnsi"/>
          <w:color w:val="000000"/>
          <w:sz w:val="18"/>
          <w:szCs w:val="18"/>
        </w:rPr>
        <w:t>zku z tym mo</w:t>
      </w:r>
      <w:r w:rsidRPr="007B1768">
        <w:rPr>
          <w:rStyle w:val="jlqj4b"/>
          <w:rFonts w:asciiTheme="minorHAnsi" w:hAnsiTheme="minorHAnsi" w:cstheme="minorHAnsi" w:hint="eastAsia"/>
          <w:color w:val="000000"/>
          <w:sz w:val="18"/>
          <w:szCs w:val="18"/>
        </w:rPr>
        <w:t>ż</w:t>
      </w:r>
      <w:r w:rsidRPr="007B1768">
        <w:rPr>
          <w:rStyle w:val="jlqj4b"/>
          <w:rFonts w:asciiTheme="minorHAnsi" w:hAnsiTheme="minorHAnsi" w:cstheme="minorHAnsi"/>
          <w:color w:val="000000"/>
          <w:sz w:val="18"/>
          <w:szCs w:val="18"/>
        </w:rPr>
        <w:t>na rozwa</w:t>
      </w:r>
      <w:r w:rsidRPr="007B1768">
        <w:rPr>
          <w:rStyle w:val="jlqj4b"/>
          <w:rFonts w:asciiTheme="minorHAnsi" w:hAnsiTheme="minorHAnsi" w:cstheme="minorHAnsi" w:hint="eastAsia"/>
          <w:color w:val="000000"/>
          <w:sz w:val="18"/>
          <w:szCs w:val="18"/>
        </w:rPr>
        <w:t>ż</w:t>
      </w:r>
      <w:r w:rsidRPr="007B1768">
        <w:rPr>
          <w:rStyle w:val="jlqj4b"/>
          <w:rFonts w:asciiTheme="minorHAnsi" w:hAnsiTheme="minorHAnsi" w:cstheme="minorHAnsi"/>
          <w:color w:val="000000"/>
          <w:sz w:val="18"/>
          <w:szCs w:val="18"/>
        </w:rPr>
        <w:t>y</w:t>
      </w:r>
      <w:r w:rsidRPr="007B1768">
        <w:rPr>
          <w:rStyle w:val="jlqj4b"/>
          <w:rFonts w:asciiTheme="minorHAnsi" w:hAnsiTheme="minorHAnsi" w:cstheme="minorHAnsi" w:hint="eastAsia"/>
          <w:color w:val="000000"/>
          <w:sz w:val="18"/>
          <w:szCs w:val="18"/>
        </w:rPr>
        <w:t>ć</w:t>
      </w:r>
      <w:r w:rsidRPr="007B1768">
        <w:rPr>
          <w:rStyle w:val="jlqj4b"/>
          <w:rFonts w:asciiTheme="minorHAnsi" w:hAnsiTheme="minorHAnsi" w:cstheme="minorHAnsi"/>
          <w:color w:val="000000"/>
          <w:sz w:val="18"/>
          <w:szCs w:val="18"/>
        </w:rPr>
        <w:t xml:space="preserve"> zastosowanie </w:t>
      </w:r>
      <w:r w:rsidRPr="007B1768">
        <w:rPr>
          <w:rStyle w:val="jlqj4b"/>
          <w:rFonts w:asciiTheme="minorHAnsi" w:hAnsiTheme="minorHAnsi" w:cstheme="minorHAnsi" w:hint="eastAsia"/>
          <w:color w:val="000000"/>
          <w:sz w:val="18"/>
          <w:szCs w:val="18"/>
        </w:rPr>
        <w:t>ś</w:t>
      </w:r>
      <w:r w:rsidRPr="007B1768">
        <w:rPr>
          <w:rStyle w:val="jlqj4b"/>
          <w:rFonts w:asciiTheme="minorHAnsi" w:hAnsiTheme="minorHAnsi" w:cstheme="minorHAnsi"/>
          <w:color w:val="000000"/>
          <w:sz w:val="18"/>
          <w:szCs w:val="18"/>
        </w:rPr>
        <w:t>redniej z analizowanego okresu lub, jeszcze bardziej reprezentatywnie, rozwa</w:t>
      </w:r>
      <w:r w:rsidRPr="007B1768">
        <w:rPr>
          <w:rStyle w:val="jlqj4b"/>
          <w:rFonts w:asciiTheme="minorHAnsi" w:hAnsiTheme="minorHAnsi" w:cstheme="minorHAnsi" w:hint="eastAsia"/>
          <w:color w:val="000000"/>
          <w:sz w:val="18"/>
          <w:szCs w:val="18"/>
        </w:rPr>
        <w:t>ż</w:t>
      </w:r>
      <w:r w:rsidRPr="007B1768">
        <w:rPr>
          <w:rStyle w:val="jlqj4b"/>
          <w:rFonts w:asciiTheme="minorHAnsi" w:hAnsiTheme="minorHAnsi" w:cstheme="minorHAnsi"/>
          <w:color w:val="000000"/>
          <w:sz w:val="18"/>
          <w:szCs w:val="18"/>
        </w:rPr>
        <w:t xml:space="preserve">enie </w:t>
      </w:r>
      <w:r w:rsidRPr="007B1768">
        <w:rPr>
          <w:rStyle w:val="jlqj4b"/>
          <w:rFonts w:asciiTheme="minorHAnsi" w:hAnsiTheme="minorHAnsi" w:cstheme="minorHAnsi" w:hint="eastAsia"/>
          <w:color w:val="000000"/>
          <w:sz w:val="18"/>
          <w:szCs w:val="18"/>
        </w:rPr>
        <w:t>ś</w:t>
      </w:r>
      <w:r w:rsidRPr="007B1768">
        <w:rPr>
          <w:rStyle w:val="jlqj4b"/>
          <w:rFonts w:asciiTheme="minorHAnsi" w:hAnsiTheme="minorHAnsi" w:cstheme="minorHAnsi"/>
          <w:color w:val="000000"/>
          <w:sz w:val="18"/>
          <w:szCs w:val="18"/>
        </w:rPr>
        <w:t>redniej z pierwszych 15-20 lat eksploatacji.</w:t>
      </w:r>
    </w:p>
    <w:p w14:paraId="180EA389" w14:textId="094257CB" w:rsidR="007463B9" w:rsidRPr="00784B01" w:rsidRDefault="007463B9" w:rsidP="00784B01">
      <w:pPr>
        <w:rPr>
          <w:color w:val="000000"/>
          <w:sz w:val="20"/>
          <w:szCs w:val="20"/>
        </w:rPr>
      </w:pPr>
    </w:p>
  </w:footnote>
  <w:footnote w:id="14">
    <w:p w14:paraId="104CCC3B" w14:textId="77777777" w:rsidR="007463B9" w:rsidRPr="00BC75DE" w:rsidRDefault="007463B9" w:rsidP="00FF6918">
      <w:pPr>
        <w:pStyle w:val="Tekstprzypisudolnego"/>
        <w:rPr>
          <w:lang w:val="pl-PL"/>
        </w:rPr>
      </w:pPr>
      <w:r>
        <w:rPr>
          <w:rStyle w:val="Odwoanieprzypisudolnego"/>
        </w:rPr>
        <w:footnoteRef/>
      </w:r>
      <w:r>
        <w:rPr>
          <w:color w:val="000000"/>
        </w:rPr>
        <w:t xml:space="preserve"> </w:t>
      </w:r>
      <w:r w:rsidRPr="00BC75DE">
        <w:rPr>
          <w:rFonts w:asciiTheme="minorHAnsi" w:hAnsiTheme="minorHAnsi" w:cstheme="minorHAnsi"/>
          <w:sz w:val="18"/>
          <w:szCs w:val="18"/>
        </w:rPr>
        <w:t xml:space="preserve">While it is recognized that </w:t>
      </w:r>
      <w:r w:rsidRPr="00685247">
        <w:rPr>
          <w:rFonts w:asciiTheme="minorHAnsi" w:hAnsiTheme="minorHAnsi" w:cstheme="minorHAnsi"/>
          <w:sz w:val="18"/>
          <w:szCs w:val="18"/>
        </w:rPr>
        <w:t>electri</w:t>
      </w:r>
      <w:r w:rsidRPr="00BC75DE">
        <w:rPr>
          <w:rFonts w:asciiTheme="minorHAnsi" w:hAnsiTheme="minorHAnsi" w:cstheme="minorHAnsi"/>
          <w:sz w:val="18"/>
          <w:szCs w:val="18"/>
        </w:rPr>
        <w:t xml:space="preserve">c vehicles </w:t>
      </w:r>
      <w:r w:rsidRPr="00685247">
        <w:rPr>
          <w:rFonts w:asciiTheme="minorHAnsi" w:hAnsiTheme="minorHAnsi" w:cstheme="minorHAnsi"/>
          <w:sz w:val="18"/>
          <w:szCs w:val="18"/>
        </w:rPr>
        <w:t>produce noise</w:t>
      </w:r>
      <w:r w:rsidRPr="00BC75DE">
        <w:rPr>
          <w:rFonts w:asciiTheme="minorHAnsi" w:hAnsiTheme="minorHAnsi" w:cstheme="minorHAnsi"/>
          <w:sz w:val="18"/>
          <w:szCs w:val="18"/>
        </w:rPr>
        <w:t xml:space="preserve"> </w:t>
      </w:r>
      <w:r w:rsidRPr="00685247">
        <w:rPr>
          <w:rFonts w:asciiTheme="minorHAnsi" w:hAnsiTheme="minorHAnsi" w:cstheme="minorHAnsi"/>
          <w:sz w:val="18"/>
          <w:szCs w:val="18"/>
        </w:rPr>
        <w:t xml:space="preserve">those are assumed to be omitted for the pruposes of the CBA assessment until relevant literature could become applicable (currently, ECT Handbook 2019 </w:t>
      </w:r>
      <w:r>
        <w:rPr>
          <w:rFonts w:asciiTheme="minorHAnsi" w:hAnsiTheme="minorHAnsi" w:cstheme="minorHAnsi"/>
          <w:sz w:val="18"/>
          <w:szCs w:val="18"/>
        </w:rPr>
        <w:t>does</w:t>
      </w:r>
      <w:r w:rsidRPr="00685247">
        <w:rPr>
          <w:rFonts w:asciiTheme="minorHAnsi" w:hAnsiTheme="minorHAnsi" w:cstheme="minorHAnsi"/>
          <w:sz w:val="18"/>
          <w:szCs w:val="18"/>
        </w:rPr>
        <w:t xml:space="preserve"> not provid</w:t>
      </w:r>
      <w:r>
        <w:rPr>
          <w:rFonts w:asciiTheme="minorHAnsi" w:hAnsiTheme="minorHAnsi" w:cstheme="minorHAnsi"/>
          <w:sz w:val="18"/>
          <w:szCs w:val="18"/>
        </w:rPr>
        <w:t>e</w:t>
      </w:r>
      <w:r w:rsidRPr="00685247">
        <w:rPr>
          <w:rFonts w:asciiTheme="minorHAnsi" w:hAnsiTheme="minorHAnsi" w:cstheme="minorHAnsi"/>
          <w:sz w:val="18"/>
          <w:szCs w:val="18"/>
        </w:rPr>
        <w:t xml:space="preserve"> related unit costs). </w:t>
      </w:r>
      <w:r w:rsidRPr="00BC75DE">
        <w:rPr>
          <w:rStyle w:val="jlqj4b"/>
          <w:rFonts w:asciiTheme="minorHAnsi" w:hAnsiTheme="minorHAnsi" w:cstheme="minorHAnsi"/>
          <w:color w:val="000000"/>
          <w:sz w:val="18"/>
          <w:szCs w:val="18"/>
          <w:lang w:val="pl-PL"/>
        </w:rPr>
        <w:t xml:space="preserve">Oczywiste jest, że pojazdy elektryczne są także źródłem </w:t>
      </w:r>
      <w:r w:rsidRPr="00FF6918">
        <w:rPr>
          <w:rStyle w:val="jlqj4b"/>
          <w:rFonts w:asciiTheme="minorHAnsi" w:hAnsiTheme="minorHAnsi" w:cstheme="minorHAnsi"/>
          <w:color w:val="000000"/>
          <w:sz w:val="18"/>
          <w:szCs w:val="18"/>
          <w:lang w:val="pl-PL"/>
        </w:rPr>
        <w:t>hałasu, ale dla</w:t>
      </w:r>
      <w:r w:rsidRPr="00BC75DE">
        <w:rPr>
          <w:rStyle w:val="jlqj4b"/>
          <w:rFonts w:asciiTheme="minorHAnsi" w:hAnsiTheme="minorHAnsi" w:cstheme="minorHAnsi"/>
          <w:color w:val="000000"/>
          <w:sz w:val="18"/>
          <w:szCs w:val="18"/>
          <w:lang w:val="pl-PL"/>
        </w:rPr>
        <w:t xml:space="preserve"> uproszczenia zakłada się, że zostanie to pominięte w AKK, do momentu pojawienia się odpowiednich danych w literaturze (obecnie Podręcznik ECT 2019 nie zawiera odpowiednich kosztów jednostkowych</w:t>
      </w:r>
      <w:r>
        <w:rPr>
          <w:rStyle w:val="jlqj4b"/>
          <w:rFonts w:asciiTheme="minorHAnsi" w:hAnsiTheme="minorHAnsi" w:cstheme="minorHAnsi"/>
          <w:color w:val="000000"/>
          <w:sz w:val="18"/>
          <w:szCs w:val="18"/>
          <w:lang w:val="pl-PL"/>
        </w:rPr>
        <w:t>)</w:t>
      </w:r>
      <w:r w:rsidRPr="00BC75DE">
        <w:rPr>
          <w:rStyle w:val="jlqj4b"/>
          <w:rFonts w:asciiTheme="minorHAnsi" w:hAnsiTheme="minorHAnsi" w:cstheme="minorHAnsi"/>
          <w:color w:val="000000"/>
          <w:sz w:val="18"/>
          <w:szCs w:val="18"/>
          <w:lang w:val="pl-PL"/>
        </w:rPr>
        <w:t>.</w:t>
      </w:r>
    </w:p>
    <w:p w14:paraId="04A47386" w14:textId="1B8D218D" w:rsidR="007463B9" w:rsidRPr="00FF6918" w:rsidRDefault="007463B9" w:rsidP="00FF6918">
      <w:pPr>
        <w:pBdr>
          <w:top w:val="nil"/>
          <w:left w:val="nil"/>
          <w:bottom w:val="nil"/>
          <w:right w:val="nil"/>
          <w:between w:val="nil"/>
        </w:pBdr>
        <w:spacing w:before="120"/>
        <w:rPr>
          <w:color w:val="000000"/>
          <w:sz w:val="20"/>
          <w:szCs w:val="20"/>
        </w:rPr>
      </w:pPr>
    </w:p>
  </w:footnote>
  <w:footnote w:id="15">
    <w:p w14:paraId="368BCF26" w14:textId="77777777" w:rsidR="007463B9" w:rsidRDefault="007463B9" w:rsidP="00ED6E07">
      <w:pPr>
        <w:rPr>
          <w:rFonts w:asciiTheme="minorHAnsi" w:hAnsiTheme="minorHAnsi" w:cstheme="minorHAnsi"/>
          <w:sz w:val="16"/>
          <w:szCs w:val="16"/>
          <w:lang w:val="en-GB"/>
        </w:rPr>
      </w:pPr>
      <w:r>
        <w:rPr>
          <w:rStyle w:val="Odwoanieprzypisudolnego"/>
        </w:rPr>
        <w:footnoteRef/>
      </w:r>
      <w:r w:rsidRPr="00ED6E07">
        <w:rPr>
          <w:rFonts w:ascii="Calibri" w:eastAsia="Calibri" w:hAnsi="Calibri" w:cs="Calibri"/>
          <w:sz w:val="16"/>
          <w:szCs w:val="16"/>
          <w:lang w:val="en-US"/>
        </w:rPr>
        <w:t xml:space="preserve"> </w:t>
      </w:r>
      <w:r w:rsidRPr="009D46C0">
        <w:rPr>
          <w:rFonts w:asciiTheme="minorHAnsi" w:hAnsiTheme="minorHAnsi" w:cstheme="minorHAnsi"/>
          <w:sz w:val="16"/>
          <w:szCs w:val="16"/>
          <w:lang w:val="en-GB"/>
        </w:rPr>
        <w:t>It is crucial to maintain coherence and convert all values to real values for the assumed reference year. Moreover, as a matter of principle, indexation is not applied to flows incurred before the reference year, unless domestic regulations provide for otherwise. This means that i.e. capital expenditure incurred before the reference year, for which real values are presented, will not be subject to indexation upwards and will be recognised in the nominal amount in the first year of the analysis</w:t>
      </w:r>
      <w:r w:rsidRPr="007B1768">
        <w:rPr>
          <w:rFonts w:asciiTheme="minorHAnsi" w:hAnsiTheme="minorHAnsi" w:cstheme="minorHAnsi"/>
          <w:sz w:val="16"/>
          <w:szCs w:val="16"/>
          <w:lang w:val="en-GB"/>
        </w:rPr>
        <w:t>.</w:t>
      </w:r>
      <w:r>
        <w:rPr>
          <w:rFonts w:asciiTheme="minorHAnsi" w:hAnsiTheme="minorHAnsi" w:cstheme="minorHAnsi"/>
          <w:sz w:val="16"/>
          <w:szCs w:val="16"/>
          <w:lang w:val="en-GB"/>
        </w:rPr>
        <w:t xml:space="preserve"> </w:t>
      </w:r>
    </w:p>
    <w:p w14:paraId="2C96A492" w14:textId="77777777" w:rsidR="007463B9" w:rsidRPr="00371A33" w:rsidRDefault="007463B9" w:rsidP="00ED6E07">
      <w:pPr>
        <w:rPr>
          <w:rStyle w:val="jlqj4b"/>
          <w:rFonts w:asciiTheme="minorHAnsi" w:hAnsiTheme="minorHAnsi" w:cstheme="minorHAnsi"/>
          <w:color w:val="000000"/>
          <w:sz w:val="16"/>
          <w:szCs w:val="16"/>
        </w:rPr>
      </w:pPr>
      <w:r w:rsidRPr="007B1768">
        <w:rPr>
          <w:rStyle w:val="jlqj4b"/>
          <w:rFonts w:asciiTheme="minorHAnsi" w:hAnsiTheme="minorHAnsi" w:cstheme="minorHAnsi"/>
          <w:color w:val="000000"/>
          <w:sz w:val="16"/>
          <w:szCs w:val="16"/>
        </w:rPr>
        <w:t>Kluczowe jest zachowanie sp</w:t>
      </w:r>
      <w:r w:rsidRPr="007B1768">
        <w:rPr>
          <w:rStyle w:val="jlqj4b"/>
          <w:rFonts w:asciiTheme="minorHAnsi" w:hAnsiTheme="minorHAnsi" w:cstheme="minorHAnsi" w:hint="eastAsia"/>
          <w:color w:val="000000"/>
          <w:sz w:val="16"/>
          <w:szCs w:val="16"/>
        </w:rPr>
        <w:t>ó</w:t>
      </w:r>
      <w:r w:rsidRPr="007B1768">
        <w:rPr>
          <w:rStyle w:val="jlqj4b"/>
          <w:rFonts w:asciiTheme="minorHAnsi" w:hAnsiTheme="minorHAnsi" w:cstheme="minorHAnsi"/>
          <w:color w:val="000000"/>
          <w:sz w:val="16"/>
          <w:szCs w:val="16"/>
        </w:rPr>
        <w:t>jno</w:t>
      </w:r>
      <w:r w:rsidRPr="007B1768">
        <w:rPr>
          <w:rStyle w:val="jlqj4b"/>
          <w:rFonts w:asciiTheme="minorHAnsi" w:hAnsiTheme="minorHAnsi" w:cstheme="minorHAnsi" w:hint="eastAsia"/>
          <w:color w:val="000000"/>
          <w:sz w:val="16"/>
          <w:szCs w:val="16"/>
        </w:rPr>
        <w:t>ś</w:t>
      </w:r>
      <w:r w:rsidRPr="007B1768">
        <w:rPr>
          <w:rStyle w:val="jlqj4b"/>
          <w:rFonts w:asciiTheme="minorHAnsi" w:hAnsiTheme="minorHAnsi" w:cstheme="minorHAnsi"/>
          <w:color w:val="000000"/>
          <w:sz w:val="16"/>
          <w:szCs w:val="16"/>
        </w:rPr>
        <w:t>ci i przeliczenie wszystkich warto</w:t>
      </w:r>
      <w:r w:rsidRPr="007B1768">
        <w:rPr>
          <w:rStyle w:val="jlqj4b"/>
          <w:rFonts w:asciiTheme="minorHAnsi" w:hAnsiTheme="minorHAnsi" w:cstheme="minorHAnsi" w:hint="eastAsia"/>
          <w:color w:val="000000"/>
          <w:sz w:val="16"/>
          <w:szCs w:val="16"/>
        </w:rPr>
        <w:t>ś</w:t>
      </w:r>
      <w:r w:rsidRPr="007B1768">
        <w:rPr>
          <w:rStyle w:val="jlqj4b"/>
          <w:rFonts w:asciiTheme="minorHAnsi" w:hAnsiTheme="minorHAnsi" w:cstheme="minorHAnsi"/>
          <w:color w:val="000000"/>
          <w:sz w:val="16"/>
          <w:szCs w:val="16"/>
        </w:rPr>
        <w:t>ci na warto</w:t>
      </w:r>
      <w:r w:rsidRPr="007B1768">
        <w:rPr>
          <w:rStyle w:val="jlqj4b"/>
          <w:rFonts w:asciiTheme="minorHAnsi" w:hAnsiTheme="minorHAnsi" w:cstheme="minorHAnsi" w:hint="eastAsia"/>
          <w:color w:val="000000"/>
          <w:sz w:val="16"/>
          <w:szCs w:val="16"/>
        </w:rPr>
        <w:t>ś</w:t>
      </w:r>
      <w:r w:rsidRPr="007B1768">
        <w:rPr>
          <w:rStyle w:val="jlqj4b"/>
          <w:rFonts w:asciiTheme="minorHAnsi" w:hAnsiTheme="minorHAnsi" w:cstheme="minorHAnsi"/>
          <w:color w:val="000000"/>
          <w:sz w:val="16"/>
          <w:szCs w:val="16"/>
        </w:rPr>
        <w:t>ci rzeczywiste dla za</w:t>
      </w:r>
      <w:r w:rsidRPr="007B1768">
        <w:rPr>
          <w:rStyle w:val="jlqj4b"/>
          <w:rFonts w:asciiTheme="minorHAnsi" w:hAnsiTheme="minorHAnsi" w:cstheme="minorHAnsi" w:hint="eastAsia"/>
          <w:color w:val="000000"/>
          <w:sz w:val="16"/>
          <w:szCs w:val="16"/>
        </w:rPr>
        <w:t>ł</w:t>
      </w:r>
      <w:r w:rsidRPr="007B1768">
        <w:rPr>
          <w:rStyle w:val="jlqj4b"/>
          <w:rFonts w:asciiTheme="minorHAnsi" w:hAnsiTheme="minorHAnsi" w:cstheme="minorHAnsi"/>
          <w:color w:val="000000"/>
          <w:sz w:val="16"/>
          <w:szCs w:val="16"/>
        </w:rPr>
        <w:t>o</w:t>
      </w:r>
      <w:r w:rsidRPr="007B1768">
        <w:rPr>
          <w:rStyle w:val="jlqj4b"/>
          <w:rFonts w:asciiTheme="minorHAnsi" w:hAnsiTheme="minorHAnsi" w:cstheme="minorHAnsi" w:hint="eastAsia"/>
          <w:color w:val="000000"/>
          <w:sz w:val="16"/>
          <w:szCs w:val="16"/>
        </w:rPr>
        <w:t>ż</w:t>
      </w:r>
      <w:r w:rsidRPr="007B1768">
        <w:rPr>
          <w:rStyle w:val="jlqj4b"/>
          <w:rFonts w:asciiTheme="minorHAnsi" w:hAnsiTheme="minorHAnsi" w:cstheme="minorHAnsi"/>
          <w:color w:val="000000"/>
          <w:sz w:val="16"/>
          <w:szCs w:val="16"/>
        </w:rPr>
        <w:t>onego roku</w:t>
      </w:r>
      <w:r>
        <w:rPr>
          <w:rStyle w:val="jlqj4b"/>
          <w:rFonts w:asciiTheme="minorHAnsi" w:hAnsiTheme="minorHAnsi" w:cstheme="minorHAnsi"/>
          <w:color w:val="000000"/>
          <w:sz w:val="16"/>
          <w:szCs w:val="16"/>
        </w:rPr>
        <w:t xml:space="preserve"> odniesienia</w:t>
      </w:r>
      <w:r w:rsidRPr="007B1768">
        <w:rPr>
          <w:rStyle w:val="jlqj4b"/>
          <w:rFonts w:asciiTheme="minorHAnsi" w:hAnsiTheme="minorHAnsi" w:cstheme="minorHAnsi"/>
          <w:color w:val="000000"/>
          <w:sz w:val="16"/>
          <w:szCs w:val="16"/>
        </w:rPr>
        <w:t>.</w:t>
      </w:r>
      <w:r w:rsidRPr="007B1768">
        <w:rPr>
          <w:rFonts w:asciiTheme="minorHAnsi" w:hAnsiTheme="minorHAnsi" w:cstheme="minorHAnsi"/>
          <w:color w:val="000000"/>
          <w:sz w:val="16"/>
          <w:szCs w:val="16"/>
        </w:rPr>
        <w:t xml:space="preserve"> </w:t>
      </w:r>
      <w:r w:rsidRPr="007B1768">
        <w:rPr>
          <w:rStyle w:val="jlqj4b"/>
          <w:rFonts w:asciiTheme="minorHAnsi" w:hAnsiTheme="minorHAnsi" w:cstheme="minorHAnsi"/>
          <w:color w:val="000000"/>
          <w:sz w:val="16"/>
          <w:szCs w:val="16"/>
        </w:rPr>
        <w:t>Ponadto, co do zasady, indeksacji nie stosuje si</w:t>
      </w:r>
      <w:r w:rsidRPr="007B1768">
        <w:rPr>
          <w:rStyle w:val="jlqj4b"/>
          <w:rFonts w:asciiTheme="minorHAnsi" w:hAnsiTheme="minorHAnsi" w:cstheme="minorHAnsi" w:hint="eastAsia"/>
          <w:color w:val="000000"/>
          <w:sz w:val="16"/>
          <w:szCs w:val="16"/>
        </w:rPr>
        <w:t>ę</w:t>
      </w:r>
      <w:r w:rsidRPr="007B1768">
        <w:rPr>
          <w:rStyle w:val="jlqj4b"/>
          <w:rFonts w:asciiTheme="minorHAnsi" w:hAnsiTheme="minorHAnsi" w:cstheme="minorHAnsi"/>
          <w:color w:val="000000"/>
          <w:sz w:val="16"/>
          <w:szCs w:val="16"/>
        </w:rPr>
        <w:t xml:space="preserve"> do przep</w:t>
      </w:r>
      <w:r w:rsidRPr="007B1768">
        <w:rPr>
          <w:rStyle w:val="jlqj4b"/>
          <w:rFonts w:asciiTheme="minorHAnsi" w:hAnsiTheme="minorHAnsi" w:cstheme="minorHAnsi" w:hint="eastAsia"/>
          <w:color w:val="000000"/>
          <w:sz w:val="16"/>
          <w:szCs w:val="16"/>
        </w:rPr>
        <w:t>ł</w:t>
      </w:r>
      <w:r w:rsidRPr="007B1768">
        <w:rPr>
          <w:rStyle w:val="jlqj4b"/>
          <w:rFonts w:asciiTheme="minorHAnsi" w:hAnsiTheme="minorHAnsi" w:cstheme="minorHAnsi"/>
          <w:color w:val="000000"/>
          <w:sz w:val="16"/>
          <w:szCs w:val="16"/>
        </w:rPr>
        <w:t>yw</w:t>
      </w:r>
      <w:r w:rsidRPr="007B1768">
        <w:rPr>
          <w:rStyle w:val="jlqj4b"/>
          <w:rFonts w:asciiTheme="minorHAnsi" w:hAnsiTheme="minorHAnsi" w:cstheme="minorHAnsi" w:hint="eastAsia"/>
          <w:color w:val="000000"/>
          <w:sz w:val="16"/>
          <w:szCs w:val="16"/>
        </w:rPr>
        <w:t>ó</w:t>
      </w:r>
      <w:r w:rsidRPr="007B1768">
        <w:rPr>
          <w:rStyle w:val="jlqj4b"/>
          <w:rFonts w:asciiTheme="minorHAnsi" w:hAnsiTheme="minorHAnsi" w:cstheme="minorHAnsi"/>
          <w:color w:val="000000"/>
          <w:sz w:val="16"/>
          <w:szCs w:val="16"/>
        </w:rPr>
        <w:t>w powsta</w:t>
      </w:r>
      <w:r w:rsidRPr="007B1768">
        <w:rPr>
          <w:rStyle w:val="jlqj4b"/>
          <w:rFonts w:asciiTheme="minorHAnsi" w:hAnsiTheme="minorHAnsi" w:cstheme="minorHAnsi" w:hint="eastAsia"/>
          <w:color w:val="000000"/>
          <w:sz w:val="16"/>
          <w:szCs w:val="16"/>
        </w:rPr>
        <w:t>ł</w:t>
      </w:r>
      <w:r w:rsidRPr="007B1768">
        <w:rPr>
          <w:rStyle w:val="jlqj4b"/>
          <w:rFonts w:asciiTheme="minorHAnsi" w:hAnsiTheme="minorHAnsi" w:cstheme="minorHAnsi"/>
          <w:color w:val="000000"/>
          <w:sz w:val="16"/>
          <w:szCs w:val="16"/>
        </w:rPr>
        <w:t xml:space="preserve">ych przed rokiem referencyjnym, chyba </w:t>
      </w:r>
      <w:r w:rsidRPr="007B1768">
        <w:rPr>
          <w:rStyle w:val="jlqj4b"/>
          <w:rFonts w:asciiTheme="minorHAnsi" w:hAnsiTheme="minorHAnsi" w:cstheme="minorHAnsi" w:hint="eastAsia"/>
          <w:color w:val="000000"/>
          <w:sz w:val="16"/>
          <w:szCs w:val="16"/>
        </w:rPr>
        <w:t>ż</w:t>
      </w:r>
      <w:r w:rsidRPr="007B1768">
        <w:rPr>
          <w:rStyle w:val="jlqj4b"/>
          <w:rFonts w:asciiTheme="minorHAnsi" w:hAnsiTheme="minorHAnsi" w:cstheme="minorHAnsi"/>
          <w:color w:val="000000"/>
          <w:sz w:val="16"/>
          <w:szCs w:val="16"/>
        </w:rPr>
        <w:t>e przepisy krajowe stanowi</w:t>
      </w:r>
      <w:r w:rsidRPr="007B1768">
        <w:rPr>
          <w:rStyle w:val="jlqj4b"/>
          <w:rFonts w:asciiTheme="minorHAnsi" w:hAnsiTheme="minorHAnsi" w:cstheme="minorHAnsi" w:hint="eastAsia"/>
          <w:color w:val="000000"/>
          <w:sz w:val="16"/>
          <w:szCs w:val="16"/>
        </w:rPr>
        <w:t>ą</w:t>
      </w:r>
      <w:r w:rsidRPr="007B1768">
        <w:rPr>
          <w:rStyle w:val="jlqj4b"/>
          <w:rFonts w:asciiTheme="minorHAnsi" w:hAnsiTheme="minorHAnsi" w:cstheme="minorHAnsi"/>
          <w:color w:val="000000"/>
          <w:sz w:val="16"/>
          <w:szCs w:val="16"/>
        </w:rPr>
        <w:t xml:space="preserve"> inaczej.</w:t>
      </w:r>
      <w:r w:rsidRPr="007B1768">
        <w:rPr>
          <w:rFonts w:asciiTheme="minorHAnsi" w:hAnsiTheme="minorHAnsi" w:cstheme="minorHAnsi"/>
          <w:color w:val="000000"/>
          <w:sz w:val="16"/>
          <w:szCs w:val="16"/>
        </w:rPr>
        <w:t xml:space="preserve"> </w:t>
      </w:r>
      <w:r w:rsidRPr="007B1768">
        <w:rPr>
          <w:rStyle w:val="jlqj4b"/>
          <w:rFonts w:asciiTheme="minorHAnsi" w:hAnsiTheme="minorHAnsi" w:cstheme="minorHAnsi"/>
          <w:color w:val="000000"/>
          <w:sz w:val="16"/>
          <w:szCs w:val="16"/>
        </w:rPr>
        <w:t xml:space="preserve">Oznacza to, </w:t>
      </w:r>
      <w:r w:rsidRPr="007B1768">
        <w:rPr>
          <w:rStyle w:val="jlqj4b"/>
          <w:rFonts w:asciiTheme="minorHAnsi" w:hAnsiTheme="minorHAnsi" w:cstheme="minorHAnsi" w:hint="eastAsia"/>
          <w:color w:val="000000"/>
          <w:sz w:val="16"/>
          <w:szCs w:val="16"/>
        </w:rPr>
        <w:t>ż</w:t>
      </w:r>
      <w:r w:rsidRPr="007B1768">
        <w:rPr>
          <w:rStyle w:val="jlqj4b"/>
          <w:rFonts w:asciiTheme="minorHAnsi" w:hAnsiTheme="minorHAnsi" w:cstheme="minorHAnsi"/>
          <w:color w:val="000000"/>
          <w:sz w:val="16"/>
          <w:szCs w:val="16"/>
        </w:rPr>
        <w:t>e np. nak</w:t>
      </w:r>
      <w:r w:rsidRPr="007B1768">
        <w:rPr>
          <w:rStyle w:val="jlqj4b"/>
          <w:rFonts w:asciiTheme="minorHAnsi" w:hAnsiTheme="minorHAnsi" w:cstheme="minorHAnsi" w:hint="eastAsia"/>
          <w:color w:val="000000"/>
          <w:sz w:val="16"/>
          <w:szCs w:val="16"/>
        </w:rPr>
        <w:t>ł</w:t>
      </w:r>
      <w:r w:rsidRPr="007B1768">
        <w:rPr>
          <w:rStyle w:val="jlqj4b"/>
          <w:rFonts w:asciiTheme="minorHAnsi" w:hAnsiTheme="minorHAnsi" w:cstheme="minorHAnsi"/>
          <w:color w:val="000000"/>
          <w:sz w:val="16"/>
          <w:szCs w:val="16"/>
        </w:rPr>
        <w:t>ady inwestycyjne poniesione przed rokiem</w:t>
      </w:r>
      <w:r>
        <w:rPr>
          <w:rStyle w:val="jlqj4b"/>
          <w:rFonts w:asciiTheme="minorHAnsi" w:hAnsiTheme="minorHAnsi" w:cstheme="minorHAnsi"/>
          <w:color w:val="000000"/>
          <w:sz w:val="16"/>
          <w:szCs w:val="16"/>
        </w:rPr>
        <w:t xml:space="preserve"> odniesienia</w:t>
      </w:r>
      <w:r w:rsidRPr="007B1768">
        <w:rPr>
          <w:rStyle w:val="jlqj4b"/>
          <w:rFonts w:asciiTheme="minorHAnsi" w:hAnsiTheme="minorHAnsi" w:cstheme="minorHAnsi"/>
          <w:color w:val="000000"/>
          <w:sz w:val="16"/>
          <w:szCs w:val="16"/>
        </w:rPr>
        <w:t>, dla kt</w:t>
      </w:r>
      <w:r w:rsidRPr="007B1768">
        <w:rPr>
          <w:rStyle w:val="jlqj4b"/>
          <w:rFonts w:asciiTheme="minorHAnsi" w:hAnsiTheme="minorHAnsi" w:cstheme="minorHAnsi" w:hint="eastAsia"/>
          <w:color w:val="000000"/>
          <w:sz w:val="16"/>
          <w:szCs w:val="16"/>
        </w:rPr>
        <w:t>ó</w:t>
      </w:r>
      <w:r w:rsidRPr="007B1768">
        <w:rPr>
          <w:rStyle w:val="jlqj4b"/>
          <w:rFonts w:asciiTheme="minorHAnsi" w:hAnsiTheme="minorHAnsi" w:cstheme="minorHAnsi"/>
          <w:color w:val="000000"/>
          <w:sz w:val="16"/>
          <w:szCs w:val="16"/>
        </w:rPr>
        <w:t>rych prezentowane s</w:t>
      </w:r>
      <w:r w:rsidRPr="007B1768">
        <w:rPr>
          <w:rStyle w:val="jlqj4b"/>
          <w:rFonts w:asciiTheme="minorHAnsi" w:hAnsiTheme="minorHAnsi" w:cstheme="minorHAnsi" w:hint="eastAsia"/>
          <w:color w:val="000000"/>
          <w:sz w:val="16"/>
          <w:szCs w:val="16"/>
        </w:rPr>
        <w:t>ą</w:t>
      </w:r>
      <w:r w:rsidRPr="007B1768">
        <w:rPr>
          <w:rStyle w:val="jlqj4b"/>
          <w:rFonts w:asciiTheme="minorHAnsi" w:hAnsiTheme="minorHAnsi" w:cstheme="minorHAnsi"/>
          <w:color w:val="000000"/>
          <w:sz w:val="16"/>
          <w:szCs w:val="16"/>
        </w:rPr>
        <w:t xml:space="preserve"> warto</w:t>
      </w:r>
      <w:r w:rsidRPr="007B1768">
        <w:rPr>
          <w:rStyle w:val="jlqj4b"/>
          <w:rFonts w:asciiTheme="minorHAnsi" w:hAnsiTheme="minorHAnsi" w:cstheme="minorHAnsi" w:hint="eastAsia"/>
          <w:color w:val="000000"/>
          <w:sz w:val="16"/>
          <w:szCs w:val="16"/>
        </w:rPr>
        <w:t>ś</w:t>
      </w:r>
      <w:r w:rsidRPr="007B1768">
        <w:rPr>
          <w:rStyle w:val="jlqj4b"/>
          <w:rFonts w:asciiTheme="minorHAnsi" w:hAnsiTheme="minorHAnsi" w:cstheme="minorHAnsi"/>
          <w:color w:val="000000"/>
          <w:sz w:val="16"/>
          <w:szCs w:val="16"/>
        </w:rPr>
        <w:t>ci rzeczywiste, nie b</w:t>
      </w:r>
      <w:r w:rsidRPr="007B1768">
        <w:rPr>
          <w:rStyle w:val="jlqj4b"/>
          <w:rFonts w:asciiTheme="minorHAnsi" w:hAnsiTheme="minorHAnsi" w:cstheme="minorHAnsi" w:hint="eastAsia"/>
          <w:color w:val="000000"/>
          <w:sz w:val="16"/>
          <w:szCs w:val="16"/>
        </w:rPr>
        <w:t>ę</w:t>
      </w:r>
      <w:r w:rsidRPr="007B1768">
        <w:rPr>
          <w:rStyle w:val="jlqj4b"/>
          <w:rFonts w:asciiTheme="minorHAnsi" w:hAnsiTheme="minorHAnsi" w:cstheme="minorHAnsi"/>
          <w:color w:val="000000"/>
          <w:sz w:val="16"/>
          <w:szCs w:val="16"/>
        </w:rPr>
        <w:t>d</w:t>
      </w:r>
      <w:r w:rsidRPr="007B1768">
        <w:rPr>
          <w:rStyle w:val="jlqj4b"/>
          <w:rFonts w:asciiTheme="minorHAnsi" w:hAnsiTheme="minorHAnsi" w:cstheme="minorHAnsi" w:hint="eastAsia"/>
          <w:color w:val="000000"/>
          <w:sz w:val="16"/>
          <w:szCs w:val="16"/>
        </w:rPr>
        <w:t>ą</w:t>
      </w:r>
      <w:r w:rsidRPr="007B1768">
        <w:rPr>
          <w:rStyle w:val="jlqj4b"/>
          <w:rFonts w:asciiTheme="minorHAnsi" w:hAnsiTheme="minorHAnsi" w:cstheme="minorHAnsi"/>
          <w:color w:val="000000"/>
          <w:sz w:val="16"/>
          <w:szCs w:val="16"/>
        </w:rPr>
        <w:t xml:space="preserve"> podlega</w:t>
      </w:r>
      <w:r w:rsidRPr="007B1768">
        <w:rPr>
          <w:rStyle w:val="jlqj4b"/>
          <w:rFonts w:asciiTheme="minorHAnsi" w:hAnsiTheme="minorHAnsi" w:cstheme="minorHAnsi" w:hint="eastAsia"/>
          <w:color w:val="000000"/>
          <w:sz w:val="16"/>
          <w:szCs w:val="16"/>
        </w:rPr>
        <w:t>ł</w:t>
      </w:r>
      <w:r w:rsidRPr="007B1768">
        <w:rPr>
          <w:rStyle w:val="jlqj4b"/>
          <w:rFonts w:asciiTheme="minorHAnsi" w:hAnsiTheme="minorHAnsi" w:cstheme="minorHAnsi"/>
          <w:color w:val="000000"/>
          <w:sz w:val="16"/>
          <w:szCs w:val="16"/>
        </w:rPr>
        <w:t>y waloryzacji w g</w:t>
      </w:r>
      <w:r w:rsidRPr="007B1768">
        <w:rPr>
          <w:rStyle w:val="jlqj4b"/>
          <w:rFonts w:asciiTheme="minorHAnsi" w:hAnsiTheme="minorHAnsi" w:cstheme="minorHAnsi" w:hint="eastAsia"/>
          <w:color w:val="000000"/>
          <w:sz w:val="16"/>
          <w:szCs w:val="16"/>
        </w:rPr>
        <w:t>ó</w:t>
      </w:r>
      <w:r w:rsidRPr="007B1768">
        <w:rPr>
          <w:rStyle w:val="jlqj4b"/>
          <w:rFonts w:asciiTheme="minorHAnsi" w:hAnsiTheme="minorHAnsi" w:cstheme="minorHAnsi"/>
          <w:color w:val="000000"/>
          <w:sz w:val="16"/>
          <w:szCs w:val="16"/>
        </w:rPr>
        <w:t>r</w:t>
      </w:r>
      <w:r w:rsidRPr="007B1768">
        <w:rPr>
          <w:rStyle w:val="jlqj4b"/>
          <w:rFonts w:asciiTheme="minorHAnsi" w:hAnsiTheme="minorHAnsi" w:cstheme="minorHAnsi" w:hint="eastAsia"/>
          <w:color w:val="000000"/>
          <w:sz w:val="16"/>
          <w:szCs w:val="16"/>
        </w:rPr>
        <w:t>ę</w:t>
      </w:r>
      <w:r w:rsidRPr="007B1768">
        <w:rPr>
          <w:rStyle w:val="jlqj4b"/>
          <w:rFonts w:asciiTheme="minorHAnsi" w:hAnsiTheme="minorHAnsi" w:cstheme="minorHAnsi"/>
          <w:color w:val="000000"/>
          <w:sz w:val="16"/>
          <w:szCs w:val="16"/>
        </w:rPr>
        <w:t xml:space="preserve"> i zostan</w:t>
      </w:r>
      <w:r w:rsidRPr="007B1768">
        <w:rPr>
          <w:rStyle w:val="jlqj4b"/>
          <w:rFonts w:asciiTheme="minorHAnsi" w:hAnsiTheme="minorHAnsi" w:cstheme="minorHAnsi" w:hint="eastAsia"/>
          <w:color w:val="000000"/>
          <w:sz w:val="16"/>
          <w:szCs w:val="16"/>
        </w:rPr>
        <w:t>ą</w:t>
      </w:r>
      <w:r w:rsidRPr="007B1768">
        <w:rPr>
          <w:rStyle w:val="jlqj4b"/>
          <w:rFonts w:asciiTheme="minorHAnsi" w:hAnsiTheme="minorHAnsi" w:cstheme="minorHAnsi"/>
          <w:color w:val="000000"/>
          <w:sz w:val="16"/>
          <w:szCs w:val="16"/>
        </w:rPr>
        <w:t xml:space="preserve"> </w:t>
      </w:r>
      <w:r>
        <w:rPr>
          <w:rStyle w:val="jlqj4b"/>
          <w:rFonts w:asciiTheme="minorHAnsi" w:hAnsiTheme="minorHAnsi" w:cstheme="minorHAnsi"/>
          <w:color w:val="000000"/>
          <w:sz w:val="16"/>
          <w:szCs w:val="16"/>
        </w:rPr>
        <w:t>przedstawione</w:t>
      </w:r>
      <w:r w:rsidRPr="007B1768">
        <w:rPr>
          <w:rStyle w:val="jlqj4b"/>
          <w:rFonts w:asciiTheme="minorHAnsi" w:hAnsiTheme="minorHAnsi" w:cstheme="minorHAnsi"/>
          <w:color w:val="000000"/>
          <w:sz w:val="16"/>
          <w:szCs w:val="16"/>
        </w:rPr>
        <w:t xml:space="preserve"> w warto</w:t>
      </w:r>
      <w:r w:rsidRPr="007B1768">
        <w:rPr>
          <w:rStyle w:val="jlqj4b"/>
          <w:rFonts w:asciiTheme="minorHAnsi" w:hAnsiTheme="minorHAnsi" w:cstheme="minorHAnsi" w:hint="eastAsia"/>
          <w:color w:val="000000"/>
          <w:sz w:val="16"/>
          <w:szCs w:val="16"/>
        </w:rPr>
        <w:t>ś</w:t>
      </w:r>
      <w:r w:rsidRPr="007B1768">
        <w:rPr>
          <w:rStyle w:val="jlqj4b"/>
          <w:rFonts w:asciiTheme="minorHAnsi" w:hAnsiTheme="minorHAnsi" w:cstheme="minorHAnsi"/>
          <w:color w:val="000000"/>
          <w:sz w:val="16"/>
          <w:szCs w:val="16"/>
        </w:rPr>
        <w:t>ci nominalnej w pierwszym roku analizy</w:t>
      </w:r>
      <w:r>
        <w:rPr>
          <w:rStyle w:val="jlqj4b"/>
          <w:rFonts w:asciiTheme="minorHAnsi" w:hAnsiTheme="minorHAnsi" w:cstheme="minorHAnsi"/>
          <w:color w:val="000000"/>
          <w:sz w:val="16"/>
          <w:szCs w:val="16"/>
        </w:rPr>
        <w:t>.</w:t>
      </w:r>
    </w:p>
    <w:p w14:paraId="2DF8CB7B" w14:textId="4D8D087F" w:rsidR="007463B9" w:rsidRPr="00ED6E07" w:rsidRDefault="007463B9" w:rsidP="00ED6E07">
      <w:pPr>
        <w:rPr>
          <w:rFonts w:ascii="Calibri" w:eastAsia="Calibri" w:hAnsi="Calibri" w:cs="Calibri"/>
          <w:color w:val="000000"/>
          <w:sz w:val="16"/>
          <w:szCs w:val="16"/>
        </w:rPr>
      </w:pPr>
    </w:p>
  </w:footnote>
  <w:footnote w:id="16">
    <w:p w14:paraId="61DB7DCD" w14:textId="77777777" w:rsidR="007463B9" w:rsidRPr="00371A33" w:rsidRDefault="007463B9" w:rsidP="00B250FD">
      <w:pPr>
        <w:spacing w:before="9" w:line="250" w:lineRule="auto"/>
        <w:ind w:right="1649"/>
        <w:rPr>
          <w:rFonts w:asciiTheme="minorHAnsi" w:hAnsiTheme="minorHAnsi"/>
          <w:color w:val="231F20"/>
          <w:sz w:val="16"/>
          <w:szCs w:val="16"/>
        </w:rPr>
      </w:pPr>
      <w:r w:rsidRPr="00B250FD">
        <w:rPr>
          <w:rStyle w:val="Odwoanieprzypisudolnego"/>
          <w:rFonts w:asciiTheme="minorHAnsi" w:hAnsiTheme="minorHAnsi" w:cstheme="minorHAnsi"/>
          <w:sz w:val="20"/>
        </w:rPr>
        <w:footnoteRef/>
      </w:r>
      <w:r w:rsidRPr="00B250FD">
        <w:t xml:space="preserve"> </w:t>
      </w:r>
      <w:r w:rsidRPr="00295C1F">
        <w:rPr>
          <w:rFonts w:asciiTheme="minorHAnsi" w:hAnsiTheme="minorHAnsi"/>
          <w:color w:val="231F20"/>
          <w:sz w:val="16"/>
          <w:szCs w:val="16"/>
        </w:rPr>
        <w:t>Je</w:t>
      </w:r>
      <w:r w:rsidRPr="00371A33">
        <w:rPr>
          <w:rFonts w:asciiTheme="minorHAnsi" w:hAnsiTheme="minorHAnsi"/>
          <w:color w:val="231F20"/>
          <w:sz w:val="16"/>
          <w:szCs w:val="16"/>
        </w:rPr>
        <w:t>ż</w:t>
      </w:r>
      <w:r w:rsidRPr="00295C1F">
        <w:rPr>
          <w:rFonts w:asciiTheme="minorHAnsi" w:hAnsiTheme="minorHAnsi"/>
          <w:color w:val="231F20"/>
          <w:sz w:val="16"/>
          <w:szCs w:val="16"/>
        </w:rPr>
        <w:t xml:space="preserve">eli </w:t>
      </w:r>
      <w:r>
        <w:rPr>
          <w:rFonts w:asciiTheme="minorHAnsi" w:hAnsiTheme="minorHAnsi"/>
          <w:color w:val="231F20"/>
          <w:sz w:val="16"/>
          <w:szCs w:val="16"/>
        </w:rPr>
        <w:t>B</w:t>
      </w:r>
      <w:r w:rsidRPr="00295C1F">
        <w:rPr>
          <w:rFonts w:asciiTheme="minorHAnsi" w:hAnsiTheme="minorHAnsi"/>
          <w:color w:val="231F20"/>
          <w:sz w:val="16"/>
          <w:szCs w:val="16"/>
        </w:rPr>
        <w:t>ene</w:t>
      </w:r>
      <w:r w:rsidRPr="00371A33">
        <w:rPr>
          <w:rFonts w:asciiTheme="minorHAnsi" w:hAnsiTheme="minorHAnsi"/>
          <w:color w:val="231F20"/>
          <w:sz w:val="16"/>
          <w:szCs w:val="16"/>
        </w:rPr>
        <w:t>f</w:t>
      </w:r>
      <w:r w:rsidRPr="00295C1F">
        <w:rPr>
          <w:rFonts w:asciiTheme="minorHAnsi" w:hAnsiTheme="minorHAnsi"/>
          <w:color w:val="231F20"/>
          <w:sz w:val="16"/>
          <w:szCs w:val="16"/>
        </w:rPr>
        <w:t>i</w:t>
      </w:r>
      <w:r w:rsidRPr="00371A33">
        <w:rPr>
          <w:rFonts w:asciiTheme="minorHAnsi" w:hAnsiTheme="minorHAnsi"/>
          <w:color w:val="231F20"/>
          <w:sz w:val="16"/>
          <w:szCs w:val="16"/>
        </w:rPr>
        <w:t>c</w:t>
      </w:r>
      <w:r w:rsidRPr="00295C1F">
        <w:rPr>
          <w:rFonts w:asciiTheme="minorHAnsi" w:hAnsiTheme="minorHAnsi"/>
          <w:color w:val="231F20"/>
          <w:sz w:val="16"/>
          <w:szCs w:val="16"/>
        </w:rPr>
        <w:t>jent</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jest</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płatnikiem</w:t>
      </w:r>
      <w:r w:rsidRPr="00371A33">
        <w:rPr>
          <w:rFonts w:asciiTheme="minorHAnsi" w:hAnsiTheme="minorHAnsi"/>
          <w:color w:val="231F20"/>
          <w:sz w:val="16"/>
          <w:szCs w:val="16"/>
        </w:rPr>
        <w:t xml:space="preserve"> VAT- w </w:t>
      </w:r>
      <w:r w:rsidRPr="00295C1F">
        <w:rPr>
          <w:rFonts w:asciiTheme="minorHAnsi" w:hAnsiTheme="minorHAnsi"/>
          <w:color w:val="231F20"/>
          <w:sz w:val="16"/>
          <w:szCs w:val="16"/>
        </w:rPr>
        <w:t>analizie</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należy</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uwzględnić ce</w:t>
      </w:r>
      <w:r w:rsidRPr="00371A33">
        <w:rPr>
          <w:rFonts w:asciiTheme="minorHAnsi" w:hAnsiTheme="minorHAnsi"/>
          <w:color w:val="231F20"/>
          <w:sz w:val="16"/>
          <w:szCs w:val="16"/>
        </w:rPr>
        <w:t>n</w:t>
      </w:r>
      <w:r w:rsidRPr="00295C1F">
        <w:rPr>
          <w:rFonts w:asciiTheme="minorHAnsi" w:hAnsiTheme="minorHAnsi"/>
          <w:color w:val="231F20"/>
          <w:sz w:val="16"/>
          <w:szCs w:val="16"/>
        </w:rPr>
        <w:t>y</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n</w:t>
      </w:r>
      <w:r w:rsidRPr="00371A33">
        <w:rPr>
          <w:rFonts w:asciiTheme="minorHAnsi" w:hAnsiTheme="minorHAnsi"/>
          <w:color w:val="231F20"/>
          <w:sz w:val="16"/>
          <w:szCs w:val="16"/>
        </w:rPr>
        <w:t>e</w:t>
      </w:r>
      <w:r w:rsidRPr="00295C1F">
        <w:rPr>
          <w:rFonts w:asciiTheme="minorHAnsi" w:hAnsiTheme="minorHAnsi"/>
          <w:color w:val="231F20"/>
          <w:sz w:val="16"/>
          <w:szCs w:val="16"/>
        </w:rPr>
        <w:t>t</w:t>
      </w:r>
      <w:r w:rsidRPr="00371A33">
        <w:rPr>
          <w:rFonts w:asciiTheme="minorHAnsi" w:hAnsiTheme="minorHAnsi"/>
          <w:color w:val="231F20"/>
          <w:sz w:val="16"/>
          <w:szCs w:val="16"/>
        </w:rPr>
        <w:t>t</w:t>
      </w:r>
      <w:r w:rsidRPr="00295C1F">
        <w:rPr>
          <w:rFonts w:asciiTheme="minorHAnsi" w:hAnsiTheme="minorHAnsi"/>
          <w:color w:val="231F20"/>
          <w:sz w:val="16"/>
          <w:szCs w:val="16"/>
        </w:rPr>
        <w:t>o,</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je</w:t>
      </w:r>
      <w:r w:rsidRPr="00371A33">
        <w:rPr>
          <w:rFonts w:asciiTheme="minorHAnsi" w:hAnsiTheme="minorHAnsi"/>
          <w:color w:val="231F20"/>
          <w:sz w:val="16"/>
          <w:szCs w:val="16"/>
        </w:rPr>
        <w:t>ż</w:t>
      </w:r>
      <w:r w:rsidRPr="00295C1F">
        <w:rPr>
          <w:rFonts w:asciiTheme="minorHAnsi" w:hAnsiTheme="minorHAnsi"/>
          <w:color w:val="231F20"/>
          <w:sz w:val="16"/>
          <w:szCs w:val="16"/>
        </w:rPr>
        <w:t xml:space="preserve">eli </w:t>
      </w:r>
      <w:r>
        <w:rPr>
          <w:rFonts w:asciiTheme="minorHAnsi" w:hAnsiTheme="minorHAnsi"/>
          <w:color w:val="231F20"/>
          <w:sz w:val="16"/>
          <w:szCs w:val="16"/>
        </w:rPr>
        <w:t>B</w:t>
      </w:r>
      <w:r w:rsidRPr="00295C1F">
        <w:rPr>
          <w:rFonts w:asciiTheme="minorHAnsi" w:hAnsiTheme="minorHAnsi"/>
          <w:color w:val="231F20"/>
          <w:sz w:val="16"/>
          <w:szCs w:val="16"/>
        </w:rPr>
        <w:t>ene</w:t>
      </w:r>
      <w:r w:rsidRPr="00371A33">
        <w:rPr>
          <w:rFonts w:asciiTheme="minorHAnsi" w:hAnsiTheme="minorHAnsi"/>
          <w:color w:val="231F20"/>
          <w:sz w:val="16"/>
          <w:szCs w:val="16"/>
        </w:rPr>
        <w:t>f</w:t>
      </w:r>
      <w:r w:rsidRPr="00295C1F">
        <w:rPr>
          <w:rFonts w:asciiTheme="minorHAnsi" w:hAnsiTheme="minorHAnsi"/>
          <w:color w:val="231F20"/>
          <w:sz w:val="16"/>
          <w:szCs w:val="16"/>
        </w:rPr>
        <w:t>i</w:t>
      </w:r>
      <w:r w:rsidRPr="00371A33">
        <w:rPr>
          <w:rFonts w:asciiTheme="minorHAnsi" w:hAnsiTheme="minorHAnsi"/>
          <w:color w:val="231F20"/>
          <w:sz w:val="16"/>
          <w:szCs w:val="16"/>
        </w:rPr>
        <w:t>c</w:t>
      </w:r>
      <w:r w:rsidRPr="00295C1F">
        <w:rPr>
          <w:rFonts w:asciiTheme="minorHAnsi" w:hAnsiTheme="minorHAnsi"/>
          <w:color w:val="231F20"/>
          <w:sz w:val="16"/>
          <w:szCs w:val="16"/>
        </w:rPr>
        <w:t>jent</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nie</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jest</w:t>
      </w:r>
      <w:r w:rsidRPr="00371A33">
        <w:rPr>
          <w:rFonts w:asciiTheme="minorHAnsi" w:hAnsiTheme="minorHAnsi"/>
          <w:color w:val="231F20"/>
          <w:sz w:val="16"/>
          <w:szCs w:val="16"/>
        </w:rPr>
        <w:t xml:space="preserve"> płatni</w:t>
      </w:r>
      <w:r w:rsidRPr="00295C1F">
        <w:rPr>
          <w:rFonts w:asciiTheme="minorHAnsi" w:hAnsiTheme="minorHAnsi"/>
          <w:color w:val="231F20"/>
          <w:sz w:val="16"/>
          <w:szCs w:val="16"/>
        </w:rPr>
        <w:t>kiem</w:t>
      </w:r>
      <w:r w:rsidRPr="00371A33">
        <w:rPr>
          <w:rFonts w:asciiTheme="minorHAnsi" w:hAnsiTheme="minorHAnsi"/>
          <w:color w:val="231F20"/>
          <w:sz w:val="16"/>
          <w:szCs w:val="16"/>
        </w:rPr>
        <w:t xml:space="preserve"> VAT- </w:t>
      </w:r>
      <w:r w:rsidRPr="00295C1F">
        <w:rPr>
          <w:rFonts w:asciiTheme="minorHAnsi" w:hAnsiTheme="minorHAnsi"/>
          <w:color w:val="231F20"/>
          <w:sz w:val="16"/>
          <w:szCs w:val="16"/>
        </w:rPr>
        <w:t>należy</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zas</w:t>
      </w:r>
      <w:r w:rsidRPr="00371A33">
        <w:rPr>
          <w:rFonts w:asciiTheme="minorHAnsi" w:hAnsiTheme="minorHAnsi"/>
          <w:color w:val="231F20"/>
          <w:sz w:val="16"/>
          <w:szCs w:val="16"/>
        </w:rPr>
        <w:t>t</w:t>
      </w:r>
      <w:r w:rsidRPr="00295C1F">
        <w:rPr>
          <w:rFonts w:asciiTheme="minorHAnsi" w:hAnsiTheme="minorHAnsi"/>
          <w:color w:val="231F20"/>
          <w:sz w:val="16"/>
          <w:szCs w:val="16"/>
        </w:rPr>
        <w:t>os</w:t>
      </w:r>
      <w:r w:rsidRPr="00371A33">
        <w:rPr>
          <w:rFonts w:asciiTheme="minorHAnsi" w:hAnsiTheme="minorHAnsi"/>
          <w:color w:val="231F20"/>
          <w:sz w:val="16"/>
          <w:szCs w:val="16"/>
        </w:rPr>
        <w:t>o</w:t>
      </w:r>
      <w:r w:rsidRPr="00295C1F">
        <w:rPr>
          <w:rFonts w:asciiTheme="minorHAnsi" w:hAnsiTheme="minorHAnsi"/>
          <w:color w:val="231F20"/>
          <w:sz w:val="16"/>
          <w:szCs w:val="16"/>
        </w:rPr>
        <w:t>wać</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ce</w:t>
      </w:r>
      <w:r w:rsidRPr="00371A33">
        <w:rPr>
          <w:rFonts w:asciiTheme="minorHAnsi" w:hAnsiTheme="minorHAnsi"/>
          <w:color w:val="231F20"/>
          <w:sz w:val="16"/>
          <w:szCs w:val="16"/>
        </w:rPr>
        <w:t>n</w:t>
      </w:r>
      <w:r w:rsidRPr="00295C1F">
        <w:rPr>
          <w:rFonts w:asciiTheme="minorHAnsi" w:hAnsiTheme="minorHAnsi"/>
          <w:color w:val="231F20"/>
          <w:sz w:val="16"/>
          <w:szCs w:val="16"/>
        </w:rPr>
        <w:t>y</w:t>
      </w:r>
      <w:r w:rsidRPr="00371A33">
        <w:rPr>
          <w:rFonts w:asciiTheme="minorHAnsi" w:hAnsiTheme="minorHAnsi"/>
          <w:color w:val="231F20"/>
          <w:sz w:val="16"/>
          <w:szCs w:val="16"/>
        </w:rPr>
        <w:t xml:space="preserve"> </w:t>
      </w:r>
      <w:r w:rsidRPr="00295C1F">
        <w:rPr>
          <w:rFonts w:asciiTheme="minorHAnsi" w:hAnsiTheme="minorHAnsi"/>
          <w:color w:val="231F20"/>
          <w:sz w:val="16"/>
          <w:szCs w:val="16"/>
        </w:rPr>
        <w:t>b</w:t>
      </w:r>
      <w:r w:rsidRPr="00371A33">
        <w:rPr>
          <w:rFonts w:asciiTheme="minorHAnsi" w:hAnsiTheme="minorHAnsi"/>
          <w:color w:val="231F20"/>
          <w:sz w:val="16"/>
          <w:szCs w:val="16"/>
        </w:rPr>
        <w:t>rutto.</w:t>
      </w:r>
    </w:p>
    <w:p w14:paraId="3C761A8F" w14:textId="77777777" w:rsidR="007463B9" w:rsidRPr="00295C1F" w:rsidRDefault="007463B9" w:rsidP="00B250FD">
      <w:pPr>
        <w:spacing w:before="9" w:line="250" w:lineRule="auto"/>
        <w:ind w:right="1649"/>
        <w:rPr>
          <w:rFonts w:asciiTheme="minorHAnsi" w:hAnsiTheme="minorHAnsi"/>
          <w:sz w:val="16"/>
          <w:szCs w:val="16"/>
          <w:lang w:val="en-GB"/>
        </w:rPr>
      </w:pPr>
      <w:r w:rsidRPr="00295C1F">
        <w:rPr>
          <w:rFonts w:asciiTheme="minorHAnsi" w:hAnsiTheme="minorHAnsi" w:cs="Arial"/>
          <w:sz w:val="16"/>
          <w:szCs w:val="16"/>
        </w:rPr>
        <w:t xml:space="preserve">   </w:t>
      </w:r>
      <w:r w:rsidRPr="00295C1F">
        <w:rPr>
          <w:rFonts w:asciiTheme="minorHAnsi" w:hAnsiTheme="minorHAnsi" w:cs="Arial"/>
          <w:sz w:val="16"/>
          <w:szCs w:val="16"/>
          <w:lang w:val="en-GB"/>
        </w:rPr>
        <w:t>If the Beneficiary is</w:t>
      </w:r>
      <w:r>
        <w:rPr>
          <w:rFonts w:asciiTheme="minorHAnsi" w:hAnsiTheme="minorHAnsi" w:cs="Arial"/>
          <w:sz w:val="16"/>
          <w:szCs w:val="16"/>
          <w:lang w:val="en-GB"/>
        </w:rPr>
        <w:t xml:space="preserve"> a </w:t>
      </w:r>
      <w:r w:rsidRPr="00295C1F">
        <w:rPr>
          <w:rFonts w:asciiTheme="minorHAnsi" w:hAnsiTheme="minorHAnsi" w:cs="Arial"/>
          <w:sz w:val="16"/>
          <w:szCs w:val="16"/>
          <w:lang w:val="en-GB"/>
        </w:rPr>
        <w:t>VAT payer, then one should include net prices in the analysis. If the Beneficiary is not</w:t>
      </w:r>
      <w:r>
        <w:rPr>
          <w:rFonts w:asciiTheme="minorHAnsi" w:hAnsiTheme="minorHAnsi" w:cs="Arial"/>
          <w:sz w:val="16"/>
          <w:szCs w:val="16"/>
          <w:lang w:val="en-GB"/>
        </w:rPr>
        <w:t xml:space="preserve"> a </w:t>
      </w:r>
      <w:r w:rsidRPr="00295C1F">
        <w:rPr>
          <w:rFonts w:asciiTheme="minorHAnsi" w:hAnsiTheme="minorHAnsi" w:cs="Arial"/>
          <w:sz w:val="16"/>
          <w:szCs w:val="16"/>
          <w:lang w:val="en-GB"/>
        </w:rPr>
        <w:t>VAT payer, then one should include gross prices in the analysis.</w:t>
      </w:r>
    </w:p>
    <w:p w14:paraId="4F407FE6" w14:textId="1A8AEEED" w:rsidR="007463B9" w:rsidRPr="00B250FD" w:rsidRDefault="007463B9">
      <w:pPr>
        <w:pStyle w:val="Tekstprzypisudolnego"/>
        <w:rPr>
          <w:lang w:val="en-GB"/>
        </w:rPr>
      </w:pPr>
    </w:p>
  </w:footnote>
  <w:footnote w:id="17">
    <w:p w14:paraId="78174839" w14:textId="3DB069B6" w:rsidR="007463B9" w:rsidRPr="002D634C" w:rsidRDefault="007463B9" w:rsidP="00921721">
      <w:pPr>
        <w:pStyle w:val="Tekstprzypisudolnego"/>
        <w:rPr>
          <w:rFonts w:asciiTheme="minorHAnsi" w:hAnsiTheme="minorHAnsi"/>
          <w:sz w:val="15"/>
          <w:szCs w:val="15"/>
        </w:rPr>
      </w:pPr>
      <w:r w:rsidRPr="00295C1F">
        <w:rPr>
          <w:rStyle w:val="Odwoanieprzypisudolnego"/>
          <w:rFonts w:asciiTheme="minorHAnsi" w:hAnsiTheme="minorHAnsi"/>
        </w:rPr>
        <w:footnoteRef/>
      </w:r>
      <w:r w:rsidRPr="00546818">
        <w:rPr>
          <w:rFonts w:asciiTheme="minorHAnsi" w:hAnsiTheme="minorHAnsi"/>
          <w:lang w:val="pl-PL"/>
        </w:rPr>
        <w:t xml:space="preserve"> </w:t>
      </w:r>
      <w:r w:rsidRPr="00546818">
        <w:rPr>
          <w:rFonts w:asciiTheme="minorHAnsi" w:hAnsiTheme="minorHAnsi"/>
          <w:sz w:val="15"/>
          <w:szCs w:val="15"/>
          <w:lang w:val="pl-PL"/>
        </w:rPr>
        <w:t xml:space="preserve">Przyjęto w zgodzie z ‘’przewodnikiem do analizy kosztów i korzyści projektów inwestycyjnych - </w:t>
      </w:r>
      <w:r w:rsidRPr="00546818">
        <w:rPr>
          <w:rStyle w:val="hps"/>
          <w:rFonts w:asciiTheme="minorHAnsi" w:hAnsiTheme="minorHAnsi"/>
          <w:color w:val="222222"/>
          <w:sz w:val="15"/>
          <w:szCs w:val="15"/>
          <w:lang w:val="pl-PL"/>
        </w:rPr>
        <w:t>Narzędzie</w:t>
      </w:r>
      <w:r w:rsidRPr="00546818">
        <w:rPr>
          <w:rFonts w:asciiTheme="minorHAnsi" w:hAnsiTheme="minorHAnsi"/>
          <w:color w:val="222222"/>
          <w:sz w:val="15"/>
          <w:szCs w:val="15"/>
          <w:lang w:val="pl-PL"/>
        </w:rPr>
        <w:t xml:space="preserve"> </w:t>
      </w:r>
      <w:r w:rsidRPr="00546818">
        <w:rPr>
          <w:rStyle w:val="hps"/>
          <w:rFonts w:asciiTheme="minorHAnsi" w:hAnsiTheme="minorHAnsi"/>
          <w:color w:val="222222"/>
          <w:sz w:val="15"/>
          <w:szCs w:val="15"/>
          <w:lang w:val="pl-PL"/>
        </w:rPr>
        <w:t>oceny ekonomicznej</w:t>
      </w:r>
      <w:r w:rsidRPr="00546818">
        <w:rPr>
          <w:rFonts w:asciiTheme="minorHAnsi" w:hAnsiTheme="minorHAnsi"/>
          <w:color w:val="222222"/>
          <w:sz w:val="15"/>
          <w:szCs w:val="15"/>
          <w:lang w:val="pl-PL"/>
        </w:rPr>
        <w:t xml:space="preserve"> </w:t>
      </w:r>
      <w:r w:rsidRPr="00546818">
        <w:rPr>
          <w:rStyle w:val="hps"/>
          <w:rFonts w:asciiTheme="minorHAnsi" w:hAnsiTheme="minorHAnsi"/>
          <w:color w:val="222222"/>
          <w:sz w:val="15"/>
          <w:szCs w:val="15"/>
          <w:lang w:val="pl-PL"/>
        </w:rPr>
        <w:t>dla polityki spójności 2014-2020</w:t>
      </w:r>
      <w:r w:rsidRPr="00546818">
        <w:rPr>
          <w:rFonts w:asciiTheme="minorHAnsi" w:hAnsiTheme="minorHAnsi"/>
          <w:sz w:val="15"/>
          <w:szCs w:val="15"/>
          <w:lang w:val="pl-PL"/>
        </w:rPr>
        <w:t>”</w:t>
      </w:r>
      <w:r>
        <w:rPr>
          <w:rFonts w:asciiTheme="minorHAnsi" w:hAnsiTheme="minorHAnsi"/>
          <w:sz w:val="15"/>
          <w:szCs w:val="15"/>
          <w:lang w:val="pl-PL"/>
        </w:rPr>
        <w:t xml:space="preserve"> </w:t>
      </w:r>
      <w:r w:rsidRPr="00546818">
        <w:rPr>
          <w:rFonts w:asciiTheme="minorHAnsi" w:hAnsiTheme="minorHAnsi"/>
          <w:sz w:val="15"/>
          <w:szCs w:val="15"/>
          <w:lang w:val="pl-PL"/>
        </w:rPr>
        <w:t>rekomendującym elastyczność do PKB per capita na poziomie 0</w:t>
      </w:r>
      <w:r>
        <w:rPr>
          <w:rFonts w:asciiTheme="minorHAnsi" w:hAnsiTheme="minorHAnsi"/>
          <w:sz w:val="15"/>
          <w:szCs w:val="15"/>
          <w:lang w:val="pl-PL"/>
        </w:rPr>
        <w:t>,</w:t>
      </w:r>
      <w:r w:rsidRPr="00546818">
        <w:rPr>
          <w:rFonts w:asciiTheme="minorHAnsi" w:hAnsiTheme="minorHAnsi"/>
          <w:sz w:val="15"/>
          <w:szCs w:val="15"/>
          <w:lang w:val="pl-PL"/>
        </w:rPr>
        <w:t>7-1</w:t>
      </w:r>
      <w:r>
        <w:rPr>
          <w:rFonts w:asciiTheme="minorHAnsi" w:hAnsiTheme="minorHAnsi"/>
          <w:sz w:val="15"/>
          <w:szCs w:val="15"/>
          <w:lang w:val="pl-PL"/>
        </w:rPr>
        <w:t>,0.</w:t>
      </w:r>
      <w:r w:rsidRPr="00546818">
        <w:rPr>
          <w:rFonts w:asciiTheme="minorHAnsi" w:hAnsiTheme="minorHAnsi"/>
          <w:sz w:val="15"/>
          <w:szCs w:val="15"/>
          <w:lang w:val="pl-PL"/>
        </w:rPr>
        <w:t xml:space="preserve"> </w:t>
      </w:r>
      <w:r w:rsidRPr="00546818">
        <w:rPr>
          <w:rFonts w:asciiTheme="minorHAnsi" w:hAnsiTheme="minorHAnsi"/>
          <w:sz w:val="15"/>
          <w:szCs w:val="15"/>
          <w:lang w:val="en-GB"/>
        </w:rPr>
        <w:t>In</w:t>
      </w:r>
      <w:r>
        <w:rPr>
          <w:rFonts w:asciiTheme="minorHAnsi" w:hAnsiTheme="minorHAnsi"/>
          <w:sz w:val="15"/>
          <w:szCs w:val="15"/>
          <w:lang w:val="en-GB"/>
        </w:rPr>
        <w:t> </w:t>
      </w:r>
      <w:r w:rsidRPr="00546818">
        <w:rPr>
          <w:rFonts w:asciiTheme="minorHAnsi" w:hAnsiTheme="minorHAnsi"/>
          <w:sz w:val="15"/>
          <w:szCs w:val="15"/>
          <w:lang w:val="en-GB"/>
        </w:rPr>
        <w:t>accordance with “Guide to Cost-benefit Analysis of Investment Projects- Economic appraisal tool for Cohesion Policy 2014-2020” recommending inter-temporal elasticity to GDP per capita growth of 0.7 to 1.0.</w:t>
      </w:r>
    </w:p>
  </w:footnote>
  <w:footnote w:id="18">
    <w:p w14:paraId="53BE0B1E" w14:textId="60FD12A8" w:rsidR="007463B9" w:rsidRDefault="007463B9" w:rsidP="00921721">
      <w:pPr>
        <w:rPr>
          <w:rFonts w:asciiTheme="minorHAnsi" w:hAnsiTheme="minorHAnsi" w:cstheme="minorHAnsi"/>
          <w:sz w:val="18"/>
          <w:szCs w:val="18"/>
          <w:lang w:val="en-US"/>
        </w:rPr>
      </w:pPr>
      <w:r>
        <w:rPr>
          <w:rStyle w:val="Odwoanieprzypisudolnego"/>
        </w:rPr>
        <w:footnoteRef/>
      </w:r>
      <w:r w:rsidRPr="001162A3">
        <w:rPr>
          <w:lang w:val="en-US"/>
        </w:rPr>
        <w:t xml:space="preserve"> </w:t>
      </w:r>
      <w:r w:rsidRPr="00D04EFD">
        <w:rPr>
          <w:rFonts w:asciiTheme="minorHAnsi" w:hAnsiTheme="minorHAnsi" w:cstheme="minorHAnsi"/>
          <w:sz w:val="18"/>
          <w:szCs w:val="18"/>
          <w:lang w:val="en-US"/>
        </w:rPr>
        <w:t>Eurostat, Electricity prices components for non-household consumers - annual data (from 2007 onwards), It considers: cost of energy and supply (excluding taxes); for non-household consumers; weighted average fo</w:t>
      </w:r>
      <w:r w:rsidRPr="00506A2F">
        <w:rPr>
          <w:rFonts w:asciiTheme="minorHAnsi" w:hAnsiTheme="minorHAnsi" w:cstheme="minorHAnsi"/>
          <w:sz w:val="18"/>
          <w:szCs w:val="18"/>
          <w:lang w:val="en-US"/>
        </w:rPr>
        <w:t xml:space="preserve">r all bands of consumption; price 2019. </w:t>
      </w:r>
      <w:r w:rsidRPr="00506A2F">
        <w:rPr>
          <w:rFonts w:asciiTheme="minorHAnsi" w:hAnsiTheme="minorHAnsi" w:cstheme="minorHAnsi"/>
          <w:sz w:val="18"/>
          <w:szCs w:val="18"/>
        </w:rPr>
        <w:fldChar w:fldCharType="begin"/>
      </w:r>
      <w:r w:rsidRPr="00506A2F">
        <w:rPr>
          <w:rFonts w:asciiTheme="minorHAnsi" w:hAnsiTheme="minorHAnsi" w:cstheme="minorHAnsi"/>
          <w:sz w:val="18"/>
          <w:szCs w:val="18"/>
          <w:lang w:val="en-US"/>
        </w:rPr>
        <w:instrText xml:space="preserve"> https://ec.europa.eu/eurostat/databrowser/view/NRG_PC_205_C__custom_519166/default/table?lang=en" </w:instrText>
      </w:r>
      <w:r w:rsidRPr="00506A2F">
        <w:rPr>
          <w:rFonts w:asciiTheme="minorHAnsi" w:hAnsiTheme="minorHAnsi" w:cstheme="minorHAnsi"/>
          <w:sz w:val="18"/>
          <w:szCs w:val="18"/>
        </w:rPr>
        <w:fldChar w:fldCharType="separate"/>
      </w:r>
      <w:r w:rsidRPr="00506A2F">
        <w:rPr>
          <w:rFonts w:asciiTheme="minorHAnsi" w:hAnsiTheme="minorHAnsi" w:cstheme="minorHAnsi"/>
          <w:color w:val="0563C1"/>
          <w:sz w:val="18"/>
          <w:szCs w:val="18"/>
          <w:u w:val="single"/>
          <w:lang w:val="en-US" w:eastAsia="en-US"/>
        </w:rPr>
        <w:t>https://ec.europa.eu/eurostat/databrowser/view/NRG_PC_205_C__custom_519166/default/table?lang=en</w:t>
      </w:r>
      <w:r w:rsidRPr="00506A2F">
        <w:rPr>
          <w:rFonts w:asciiTheme="minorHAnsi" w:hAnsiTheme="minorHAnsi" w:cstheme="minorHAnsi"/>
          <w:color w:val="0563C1"/>
          <w:sz w:val="18"/>
          <w:szCs w:val="18"/>
          <w:u w:val="single"/>
          <w:lang w:eastAsia="en-US"/>
        </w:rPr>
        <w:fldChar w:fldCharType="end"/>
      </w:r>
      <w:r w:rsidRPr="00506A2F">
        <w:rPr>
          <w:rFonts w:asciiTheme="minorHAnsi" w:hAnsiTheme="minorHAnsi" w:cstheme="minorHAnsi"/>
          <w:sz w:val="18"/>
          <w:szCs w:val="18"/>
          <w:lang w:val="en-US"/>
        </w:rPr>
        <w:t xml:space="preserve">. </w:t>
      </w:r>
      <w:r w:rsidRPr="002E7D1B">
        <w:rPr>
          <w:rFonts w:asciiTheme="minorHAnsi" w:hAnsiTheme="minorHAnsi" w:cstheme="minorHAnsi"/>
          <w:sz w:val="18"/>
          <w:szCs w:val="18"/>
          <w:lang w:val="en-US"/>
        </w:rPr>
        <w:t xml:space="preserve">Electricity prices for non-household consumers were selected as more adequate for CBA purposes than electricity prices for household consumers. The latter are distorted through tariff regulation aimed at protection of household consumers. </w:t>
      </w:r>
    </w:p>
    <w:p w14:paraId="3CBD71BD" w14:textId="77777777" w:rsidR="007463B9" w:rsidRPr="00D04EFD" w:rsidRDefault="007463B9" w:rsidP="00921721">
      <w:pPr>
        <w:rPr>
          <w:rFonts w:asciiTheme="minorHAnsi" w:hAnsiTheme="minorHAnsi" w:cstheme="minorHAnsi"/>
          <w:sz w:val="18"/>
          <w:szCs w:val="18"/>
        </w:rPr>
      </w:pPr>
      <w:r w:rsidRPr="002E7D1B">
        <w:rPr>
          <w:rFonts w:asciiTheme="minorHAnsi" w:hAnsiTheme="minorHAnsi" w:cstheme="minorHAnsi"/>
          <w:sz w:val="18"/>
          <w:szCs w:val="18"/>
        </w:rPr>
        <w:t>Przyjęto ceny energii elektrycznej dla konsumentów nie będących gospodarstwami domowymi, jako bardziej stosowne do celów analiz kosztów i korzyści od cen dla gospodarstw domowych. Ceny energii elektrycznej dla gospodarstw domowych podlegają bowiem zniekształceniom powodowanym przez regulację taryf, która ma na celu ochronę tych konsumentów.</w:t>
      </w:r>
    </w:p>
    <w:p w14:paraId="4AC13275" w14:textId="77777777" w:rsidR="007463B9" w:rsidRPr="002C6855" w:rsidRDefault="007463B9" w:rsidP="00921721">
      <w:pPr>
        <w:pStyle w:val="Tekstprzypisudolnego"/>
        <w:rPr>
          <w:lang w:val="pl-PL"/>
        </w:rPr>
      </w:pPr>
    </w:p>
  </w:footnote>
  <w:footnote w:id="19">
    <w:p w14:paraId="70B98153" w14:textId="77777777" w:rsidR="007463B9" w:rsidRPr="005471C2" w:rsidRDefault="007463B9" w:rsidP="00921721">
      <w:pPr>
        <w:pStyle w:val="Tekstprzypisudolnego"/>
        <w:rPr>
          <w:rFonts w:asciiTheme="minorHAnsi" w:hAnsiTheme="minorHAnsi" w:cstheme="minorHAnsi"/>
          <w:sz w:val="18"/>
          <w:szCs w:val="18"/>
          <w:lang w:val="pl-PL"/>
        </w:rPr>
      </w:pPr>
      <w:r>
        <w:rPr>
          <w:rStyle w:val="Odwoanieprzypisudolnego"/>
        </w:rPr>
        <w:footnoteRef/>
      </w:r>
      <w:r w:rsidRPr="00596C6B">
        <w:rPr>
          <w:lang w:val="pl-PL"/>
        </w:rPr>
        <w:t xml:space="preserve"> </w:t>
      </w:r>
      <w:r w:rsidRPr="005471C2">
        <w:rPr>
          <w:rFonts w:asciiTheme="minorHAnsi" w:hAnsiTheme="minorHAnsi" w:cstheme="minorHAnsi"/>
          <w:sz w:val="18"/>
          <w:szCs w:val="18"/>
          <w:lang w:val="pl-PL"/>
        </w:rPr>
        <w:t xml:space="preserve">„Wskaźniki emisyjności CO2, SO2, NOx, CO i pyłu całkowitego dla energii elektrycznej na podstawie informacji zawartych w Krajowej bazie o emisjach gazów cieplarnianych i innych substancji za 2019 rok”, KOBiZE, grudzień 2020, rozdział 2, strona 4, tabela „Wskaźniki emisji w [kg/MWh] dla odbiorców końcowych energii elektrycznej”; </w:t>
      </w:r>
      <w:hyperlink r:id="rId8" w:history="1">
        <w:r w:rsidRPr="00921721">
          <w:rPr>
            <w:rStyle w:val="Hipercze"/>
            <w:rFonts w:asciiTheme="minorHAnsi" w:hAnsiTheme="minorHAnsi" w:cstheme="minorHAnsi"/>
            <w:sz w:val="18"/>
            <w:szCs w:val="18"/>
            <w:lang w:val="pl-PL"/>
          </w:rPr>
          <w:t>https://www.kobize.pl/uploads/materialy/materialy_do_pobrania/wskazniki_emisyjnosci/Wskazniki_emisyjnosci_grudzien_2020.pdf</w:t>
        </w:r>
      </w:hyperlink>
    </w:p>
  </w:footnote>
  <w:footnote w:id="20">
    <w:p w14:paraId="17A350A7" w14:textId="77777777" w:rsidR="007463B9" w:rsidRPr="005471C2" w:rsidRDefault="007463B9" w:rsidP="00921721">
      <w:pPr>
        <w:pStyle w:val="Tekstprzypisudolnego"/>
        <w:rPr>
          <w:rFonts w:asciiTheme="minorHAnsi" w:hAnsiTheme="minorHAnsi" w:cstheme="minorHAnsi"/>
          <w:sz w:val="18"/>
          <w:szCs w:val="18"/>
          <w:lang w:val="pl-PL"/>
        </w:rPr>
      </w:pPr>
      <w:r>
        <w:rPr>
          <w:rStyle w:val="Odwoanieprzypisudolnego"/>
        </w:rPr>
        <w:footnoteRef/>
      </w:r>
      <w:r w:rsidRPr="00A204D2">
        <w:rPr>
          <w:lang w:val="pl-PL"/>
        </w:rPr>
        <w:t xml:space="preserve"> </w:t>
      </w:r>
      <w:r w:rsidRPr="005471C2">
        <w:rPr>
          <w:rFonts w:asciiTheme="minorHAnsi" w:hAnsiTheme="minorHAnsi" w:cstheme="minorHAnsi"/>
          <w:sz w:val="18"/>
          <w:szCs w:val="18"/>
          <w:lang w:val="pl-PL"/>
        </w:rPr>
        <w:t>„</w:t>
      </w:r>
      <w:r>
        <w:rPr>
          <w:rFonts w:asciiTheme="minorHAnsi" w:hAnsiTheme="minorHAnsi" w:cstheme="minorHAnsi"/>
          <w:sz w:val="18"/>
          <w:szCs w:val="18"/>
          <w:lang w:val="pl-PL"/>
        </w:rPr>
        <w:t>R</w:t>
      </w:r>
      <w:r w:rsidRPr="005471C2">
        <w:rPr>
          <w:rFonts w:asciiTheme="minorHAnsi" w:hAnsiTheme="minorHAnsi" w:cstheme="minorHAnsi"/>
          <w:sz w:val="18"/>
          <w:szCs w:val="18"/>
          <w:lang w:val="pl-PL"/>
        </w:rPr>
        <w:t>aport roczny z funkcjonowania Krajowego Systemu Energetycznego - 2019 r.</w:t>
      </w:r>
      <w:r>
        <w:rPr>
          <w:rFonts w:asciiTheme="minorHAnsi" w:hAnsiTheme="minorHAnsi" w:cstheme="minorHAnsi"/>
          <w:sz w:val="18"/>
          <w:szCs w:val="18"/>
          <w:lang w:val="pl-PL"/>
        </w:rPr>
        <w:t>”</w:t>
      </w:r>
      <w:r w:rsidRPr="005471C2">
        <w:rPr>
          <w:rFonts w:asciiTheme="minorHAnsi" w:hAnsiTheme="minorHAnsi" w:cstheme="minorHAnsi"/>
          <w:sz w:val="18"/>
          <w:szCs w:val="18"/>
          <w:lang w:val="pl-PL"/>
        </w:rPr>
        <w:t>, PSE S.A.; https://www.pse.pl/dane-systemowe/funkcjonowanie-kse/raporty-roczne-z-funkcjonowania-kse-za-rok/raporty-za-rok-2019; Tabela 6.1. Struktura produkcji energii elektrycznej w elektrowniach krajowych, wielkości wymiany energii elektrycznej z zagranicą i krajowe zużycie energii elektrycznej w latach 2018÷2019 [GWh].</w:t>
      </w:r>
    </w:p>
  </w:footnote>
  <w:footnote w:id="21">
    <w:p w14:paraId="6F59E81D" w14:textId="77777777" w:rsidR="007463B9" w:rsidRPr="005471C2" w:rsidRDefault="007463B9" w:rsidP="00921721">
      <w:pPr>
        <w:pStyle w:val="Tekstprzypisudolnego"/>
        <w:rPr>
          <w:rFonts w:asciiTheme="minorHAnsi" w:hAnsiTheme="minorHAnsi" w:cstheme="minorHAnsi"/>
          <w:sz w:val="18"/>
          <w:szCs w:val="18"/>
          <w:lang w:val="pl-PL"/>
        </w:rPr>
      </w:pPr>
      <w:r>
        <w:rPr>
          <w:rStyle w:val="Odwoanieprzypisudolnego"/>
        </w:rPr>
        <w:footnoteRef/>
      </w:r>
      <w:r w:rsidRPr="00811CB5">
        <w:rPr>
          <w:lang w:val="pl-PL"/>
        </w:rPr>
        <w:t xml:space="preserve"> </w:t>
      </w:r>
      <w:r w:rsidRPr="005471C2">
        <w:rPr>
          <w:rFonts w:asciiTheme="minorHAnsi" w:hAnsiTheme="minorHAnsi" w:cstheme="minorHAnsi"/>
          <w:sz w:val="18"/>
          <w:szCs w:val="18"/>
          <w:lang w:val="pl-PL"/>
        </w:rPr>
        <w:t>„</w:t>
      </w:r>
      <w:r>
        <w:rPr>
          <w:rFonts w:asciiTheme="minorHAnsi" w:hAnsiTheme="minorHAnsi" w:cstheme="minorHAnsi"/>
          <w:sz w:val="18"/>
          <w:szCs w:val="18"/>
          <w:lang w:val="pl-PL"/>
        </w:rPr>
        <w:t>Polityka e</w:t>
      </w:r>
      <w:r w:rsidRPr="005471C2">
        <w:rPr>
          <w:rFonts w:asciiTheme="minorHAnsi" w:hAnsiTheme="minorHAnsi" w:cstheme="minorHAnsi"/>
          <w:sz w:val="18"/>
          <w:szCs w:val="18"/>
          <w:lang w:val="pl-PL"/>
        </w:rPr>
        <w:t>nergetyczna Polski do roku 2040</w:t>
      </w:r>
      <w:r>
        <w:rPr>
          <w:rFonts w:asciiTheme="minorHAnsi" w:hAnsiTheme="minorHAnsi" w:cstheme="minorHAnsi"/>
          <w:sz w:val="18"/>
          <w:szCs w:val="18"/>
          <w:lang w:val="pl-PL"/>
        </w:rPr>
        <w:t>”</w:t>
      </w:r>
      <w:r w:rsidRPr="005471C2">
        <w:rPr>
          <w:rFonts w:asciiTheme="minorHAnsi" w:hAnsiTheme="minorHAnsi" w:cstheme="minorHAnsi"/>
          <w:sz w:val="18"/>
          <w:szCs w:val="18"/>
          <w:lang w:val="pl-PL"/>
        </w:rPr>
        <w:t xml:space="preserve"> (uchwała Rady Ministrów z dnia 2 lutego 2021 r.), Załącznik 2: Wnioski z analiz prognostycznych dla sektora energetycznego, Tabela 22. Prognoza produkcji energii elektrycznej brutto wg paliw [TWh]; https://www.gov.pl/attachment/6dfde9ce-71df-43e2-95a2-5ea8863c52ee</w:t>
      </w:r>
    </w:p>
  </w:footnote>
  <w:footnote w:id="22">
    <w:p w14:paraId="672A8B61" w14:textId="77777777" w:rsidR="007463B9" w:rsidRPr="00295C1F" w:rsidRDefault="007463B9" w:rsidP="00921721">
      <w:pPr>
        <w:pStyle w:val="Tekstprzypisudolnego"/>
        <w:rPr>
          <w:rFonts w:asciiTheme="minorHAnsi" w:hAnsiTheme="minorHAnsi"/>
          <w:sz w:val="16"/>
          <w:szCs w:val="16"/>
          <w:lang w:val="en-GB"/>
        </w:rPr>
      </w:pPr>
      <w:r w:rsidRPr="00295C1F">
        <w:rPr>
          <w:rStyle w:val="Odwoanieprzypisudolnego"/>
          <w:rFonts w:asciiTheme="minorHAnsi" w:hAnsiTheme="minorHAnsi"/>
        </w:rPr>
        <w:footnoteRef/>
      </w:r>
      <w:r w:rsidRPr="00295C1F">
        <w:rPr>
          <w:rFonts w:asciiTheme="minorHAnsi" w:hAnsiTheme="minorHAnsi"/>
          <w:lang w:val="pl-PL"/>
        </w:rPr>
        <w:t xml:space="preserve"> </w:t>
      </w:r>
      <w:r w:rsidRPr="00295C1F">
        <w:rPr>
          <w:rFonts w:asciiTheme="minorHAnsi" w:hAnsiTheme="minorHAnsi"/>
          <w:sz w:val="16"/>
          <w:szCs w:val="16"/>
          <w:lang w:val="pl-PL"/>
        </w:rPr>
        <w:t xml:space="preserve">Klasyfikacja krajowa stanu nawierzchni drogowych na podstawie standaryzowanej metodologii badań.  </w:t>
      </w:r>
      <w:r w:rsidRPr="00295C1F">
        <w:rPr>
          <w:rFonts w:asciiTheme="minorHAnsi" w:hAnsiTheme="minorHAnsi"/>
          <w:sz w:val="16"/>
          <w:szCs w:val="16"/>
        </w:rPr>
        <w:t>National classification for the road pavement condition based on standardised survey methodology.</w:t>
      </w:r>
    </w:p>
    <w:p w14:paraId="66320956" w14:textId="77777777" w:rsidR="007463B9" w:rsidRPr="00295C1F" w:rsidRDefault="007463B9" w:rsidP="00921721">
      <w:pPr>
        <w:pStyle w:val="Tekstprzypisudolnego"/>
        <w:rPr>
          <w:rFonts w:asciiTheme="minorHAnsi" w:hAnsiTheme="minorHAnsi"/>
        </w:rPr>
      </w:pPr>
    </w:p>
  </w:footnote>
  <w:footnote w:id="23">
    <w:p w14:paraId="6AA9AA0B" w14:textId="77777777" w:rsidR="007463B9" w:rsidRPr="00295C1F" w:rsidRDefault="007463B9" w:rsidP="00B95FB9">
      <w:pPr>
        <w:tabs>
          <w:tab w:val="left" w:pos="1980"/>
        </w:tabs>
        <w:spacing w:line="250" w:lineRule="auto"/>
        <w:ind w:right="565"/>
        <w:rPr>
          <w:rFonts w:asciiTheme="minorHAnsi" w:hAnsiTheme="minorHAnsi"/>
          <w:color w:val="231F20"/>
          <w:spacing w:val="7"/>
          <w:sz w:val="16"/>
          <w:szCs w:val="16"/>
        </w:rPr>
      </w:pPr>
      <w:r w:rsidRPr="00DD0E5A">
        <w:rPr>
          <w:rStyle w:val="Odwoanieprzypisudolnego"/>
          <w:rFonts w:asciiTheme="minorHAnsi" w:hAnsiTheme="minorHAnsi" w:cstheme="minorHAnsi"/>
          <w:sz w:val="22"/>
          <w:szCs w:val="22"/>
        </w:rPr>
        <w:footnoteRef/>
      </w:r>
      <w:r w:rsidRPr="00B95FB9">
        <w:t xml:space="preserve"> </w:t>
      </w:r>
      <w:r w:rsidRPr="00295C1F">
        <w:rPr>
          <w:rFonts w:asciiTheme="minorHAnsi" w:hAnsiTheme="minorHAnsi"/>
          <w:color w:val="231F20"/>
          <w:spacing w:val="-5"/>
          <w:sz w:val="16"/>
          <w:szCs w:val="16"/>
        </w:rPr>
        <w:t>F</w:t>
      </w:r>
      <w:r w:rsidRPr="00295C1F">
        <w:rPr>
          <w:rFonts w:asciiTheme="minorHAnsi" w:hAnsiTheme="minorHAnsi"/>
          <w:color w:val="231F20"/>
          <w:sz w:val="16"/>
          <w:szCs w:val="16"/>
        </w:rPr>
        <w:t>un</w:t>
      </w:r>
      <w:r w:rsidRPr="00295C1F">
        <w:rPr>
          <w:rFonts w:asciiTheme="minorHAnsi" w:hAnsiTheme="minorHAnsi"/>
          <w:color w:val="231F20"/>
          <w:spacing w:val="-3"/>
          <w:sz w:val="16"/>
          <w:szCs w:val="16"/>
        </w:rPr>
        <w:t>k</w:t>
      </w:r>
      <w:r w:rsidRPr="00295C1F">
        <w:rPr>
          <w:rFonts w:asciiTheme="minorHAnsi" w:hAnsiTheme="minorHAnsi"/>
          <w:color w:val="231F20"/>
          <w:spacing w:val="-1"/>
          <w:sz w:val="16"/>
          <w:szCs w:val="16"/>
        </w:rPr>
        <w:t>c</w:t>
      </w:r>
      <w:r w:rsidRPr="00295C1F">
        <w:rPr>
          <w:rFonts w:asciiTheme="minorHAnsi" w:hAnsiTheme="minorHAnsi"/>
          <w:color w:val="231F20"/>
          <w:sz w:val="16"/>
          <w:szCs w:val="16"/>
        </w:rPr>
        <w:t>je</w:t>
      </w:r>
      <w:r w:rsidRPr="00295C1F">
        <w:rPr>
          <w:rFonts w:asciiTheme="minorHAnsi" w:hAnsiTheme="minorHAnsi"/>
          <w:color w:val="231F20"/>
          <w:spacing w:val="1"/>
          <w:sz w:val="16"/>
          <w:szCs w:val="16"/>
        </w:rPr>
        <w:t xml:space="preserve"> </w:t>
      </w:r>
      <w:r w:rsidRPr="00295C1F">
        <w:rPr>
          <w:rFonts w:asciiTheme="minorHAnsi" w:hAnsiTheme="minorHAnsi"/>
          <w:color w:val="231F20"/>
          <w:sz w:val="16"/>
          <w:szCs w:val="16"/>
        </w:rPr>
        <w:t>opo</w:t>
      </w:r>
      <w:r w:rsidRPr="00295C1F">
        <w:rPr>
          <w:rFonts w:asciiTheme="minorHAnsi" w:hAnsiTheme="minorHAnsi"/>
          <w:color w:val="231F20"/>
          <w:spacing w:val="2"/>
          <w:sz w:val="16"/>
          <w:szCs w:val="16"/>
        </w:rPr>
        <w:t>r</w:t>
      </w:r>
      <w:r w:rsidRPr="00295C1F">
        <w:rPr>
          <w:rFonts w:asciiTheme="minorHAnsi" w:hAnsiTheme="minorHAnsi"/>
          <w:color w:val="231F20"/>
          <w:sz w:val="16"/>
          <w:szCs w:val="16"/>
        </w:rPr>
        <w:t>u</w:t>
      </w:r>
      <w:r w:rsidRPr="00295C1F">
        <w:rPr>
          <w:rFonts w:asciiTheme="minorHAnsi" w:hAnsiTheme="minorHAnsi"/>
          <w:color w:val="231F20"/>
          <w:spacing w:val="8"/>
          <w:sz w:val="16"/>
          <w:szCs w:val="16"/>
        </w:rPr>
        <w:t xml:space="preserve"> </w:t>
      </w:r>
      <w:r w:rsidRPr="00295C1F">
        <w:rPr>
          <w:rFonts w:asciiTheme="minorHAnsi" w:hAnsiTheme="minorHAnsi"/>
          <w:color w:val="231F20"/>
          <w:sz w:val="16"/>
          <w:szCs w:val="16"/>
        </w:rPr>
        <w:t>odcin</w:t>
      </w:r>
      <w:r w:rsidRPr="00295C1F">
        <w:rPr>
          <w:rFonts w:asciiTheme="minorHAnsi" w:hAnsiTheme="minorHAnsi"/>
          <w:color w:val="231F20"/>
          <w:spacing w:val="2"/>
          <w:sz w:val="16"/>
          <w:szCs w:val="16"/>
        </w:rPr>
        <w:t>k</w:t>
      </w:r>
      <w:r w:rsidRPr="00295C1F">
        <w:rPr>
          <w:rFonts w:asciiTheme="minorHAnsi" w:hAnsiTheme="minorHAnsi"/>
          <w:color w:val="231F20"/>
          <w:sz w:val="16"/>
          <w:szCs w:val="16"/>
        </w:rPr>
        <w:t xml:space="preserve">a </w:t>
      </w:r>
      <w:r w:rsidRPr="00295C1F">
        <w:rPr>
          <w:rFonts w:asciiTheme="minorHAnsi" w:hAnsiTheme="minorHAnsi"/>
          <w:color w:val="231F20"/>
          <w:spacing w:val="-3"/>
          <w:sz w:val="16"/>
          <w:szCs w:val="16"/>
        </w:rPr>
        <w:t>t</w:t>
      </w:r>
      <w:r w:rsidRPr="00295C1F">
        <w:rPr>
          <w:rFonts w:asciiTheme="minorHAnsi" w:hAnsiTheme="minorHAnsi"/>
          <w:color w:val="231F20"/>
          <w:sz w:val="16"/>
          <w:szCs w:val="16"/>
        </w:rPr>
        <w:t>o fun</w:t>
      </w:r>
      <w:r w:rsidRPr="00295C1F">
        <w:rPr>
          <w:rFonts w:asciiTheme="minorHAnsi" w:hAnsiTheme="minorHAnsi"/>
          <w:color w:val="231F20"/>
          <w:spacing w:val="-3"/>
          <w:sz w:val="16"/>
          <w:szCs w:val="16"/>
        </w:rPr>
        <w:t>k</w:t>
      </w:r>
      <w:r w:rsidRPr="00295C1F">
        <w:rPr>
          <w:rFonts w:asciiTheme="minorHAnsi" w:hAnsiTheme="minorHAnsi"/>
          <w:color w:val="231F20"/>
          <w:spacing w:val="-1"/>
          <w:sz w:val="16"/>
          <w:szCs w:val="16"/>
        </w:rPr>
        <w:t>c</w:t>
      </w:r>
      <w:r w:rsidRPr="00295C1F">
        <w:rPr>
          <w:rFonts w:asciiTheme="minorHAnsi" w:hAnsiTheme="minorHAnsi"/>
          <w:color w:val="231F20"/>
          <w:sz w:val="16"/>
          <w:szCs w:val="16"/>
        </w:rPr>
        <w:t>je</w:t>
      </w:r>
      <w:r w:rsidRPr="00295C1F">
        <w:rPr>
          <w:rFonts w:asciiTheme="minorHAnsi" w:hAnsiTheme="minorHAnsi"/>
          <w:color w:val="231F20"/>
          <w:spacing w:val="-11"/>
          <w:sz w:val="16"/>
          <w:szCs w:val="16"/>
        </w:rPr>
        <w:t xml:space="preserve"> </w:t>
      </w:r>
      <w:r w:rsidRPr="00295C1F">
        <w:rPr>
          <w:rFonts w:asciiTheme="minorHAnsi" w:hAnsiTheme="minorHAnsi"/>
          <w:color w:val="231F20"/>
          <w:sz w:val="16"/>
          <w:szCs w:val="16"/>
        </w:rPr>
        <w:t>ma</w:t>
      </w:r>
      <w:r w:rsidRPr="00295C1F">
        <w:rPr>
          <w:rFonts w:asciiTheme="minorHAnsi" w:hAnsiTheme="minorHAnsi"/>
          <w:color w:val="231F20"/>
          <w:spacing w:val="-3"/>
          <w:sz w:val="16"/>
          <w:szCs w:val="16"/>
        </w:rPr>
        <w:t>t</w:t>
      </w:r>
      <w:r w:rsidRPr="00295C1F">
        <w:rPr>
          <w:rFonts w:asciiTheme="minorHAnsi" w:hAnsiTheme="minorHAnsi"/>
          <w:color w:val="231F20"/>
          <w:sz w:val="16"/>
          <w:szCs w:val="16"/>
        </w:rPr>
        <w:t>ema</w:t>
      </w:r>
      <w:r w:rsidRPr="00295C1F">
        <w:rPr>
          <w:rFonts w:asciiTheme="minorHAnsi" w:hAnsiTheme="minorHAnsi"/>
          <w:color w:val="231F20"/>
          <w:spacing w:val="6"/>
          <w:sz w:val="16"/>
          <w:szCs w:val="16"/>
        </w:rPr>
        <w:t>t</w:t>
      </w:r>
      <w:r w:rsidRPr="00295C1F">
        <w:rPr>
          <w:rFonts w:asciiTheme="minorHAnsi" w:hAnsiTheme="minorHAnsi"/>
          <w:color w:val="231F20"/>
          <w:spacing w:val="-2"/>
          <w:sz w:val="16"/>
          <w:szCs w:val="16"/>
        </w:rPr>
        <w:t>y</w:t>
      </w:r>
      <w:r w:rsidRPr="00295C1F">
        <w:rPr>
          <w:rFonts w:asciiTheme="minorHAnsi" w:hAnsiTheme="minorHAnsi"/>
          <w:color w:val="231F20"/>
          <w:sz w:val="16"/>
          <w:szCs w:val="16"/>
        </w:rPr>
        <w:t>czne</w:t>
      </w:r>
      <w:r w:rsidRPr="00295C1F">
        <w:rPr>
          <w:rFonts w:asciiTheme="minorHAnsi" w:hAnsiTheme="minorHAnsi"/>
          <w:color w:val="231F20"/>
          <w:spacing w:val="12"/>
          <w:sz w:val="16"/>
          <w:szCs w:val="16"/>
        </w:rPr>
        <w:t xml:space="preserve"> </w:t>
      </w:r>
      <w:r w:rsidRPr="00295C1F">
        <w:rPr>
          <w:rFonts w:asciiTheme="minorHAnsi" w:hAnsiTheme="minorHAnsi"/>
          <w:color w:val="231F20"/>
          <w:sz w:val="16"/>
          <w:szCs w:val="16"/>
        </w:rPr>
        <w:t>ok</w:t>
      </w:r>
      <w:r w:rsidRPr="00295C1F">
        <w:rPr>
          <w:rFonts w:asciiTheme="minorHAnsi" w:hAnsiTheme="minorHAnsi"/>
          <w:color w:val="231F20"/>
          <w:spacing w:val="-1"/>
          <w:sz w:val="16"/>
          <w:szCs w:val="16"/>
        </w:rPr>
        <w:t>r</w:t>
      </w:r>
      <w:r w:rsidRPr="00295C1F">
        <w:rPr>
          <w:rFonts w:asciiTheme="minorHAnsi" w:hAnsiTheme="minorHAnsi"/>
          <w:color w:val="231F20"/>
          <w:sz w:val="16"/>
          <w:szCs w:val="16"/>
        </w:rPr>
        <w:t>eślające,</w:t>
      </w:r>
      <w:r w:rsidRPr="00295C1F">
        <w:rPr>
          <w:rFonts w:asciiTheme="minorHAnsi" w:hAnsiTheme="minorHAnsi"/>
          <w:color w:val="231F20"/>
          <w:spacing w:val="32"/>
          <w:sz w:val="16"/>
          <w:szCs w:val="16"/>
        </w:rPr>
        <w:t xml:space="preserve"> </w:t>
      </w:r>
      <w:r w:rsidRPr="00295C1F">
        <w:rPr>
          <w:rFonts w:asciiTheme="minorHAnsi" w:hAnsiTheme="minorHAnsi"/>
          <w:color w:val="231F20"/>
          <w:sz w:val="16"/>
          <w:szCs w:val="16"/>
        </w:rPr>
        <w:t>jak</w:t>
      </w:r>
      <w:r w:rsidRPr="00295C1F">
        <w:rPr>
          <w:rFonts w:asciiTheme="minorHAnsi" w:hAnsiTheme="minorHAnsi"/>
          <w:color w:val="231F20"/>
          <w:spacing w:val="-17"/>
          <w:sz w:val="16"/>
          <w:szCs w:val="16"/>
        </w:rPr>
        <w:t xml:space="preserve"> </w:t>
      </w:r>
      <w:r w:rsidRPr="00295C1F">
        <w:rPr>
          <w:rFonts w:asciiTheme="minorHAnsi" w:hAnsiTheme="minorHAnsi"/>
          <w:color w:val="231F20"/>
          <w:w w:val="97"/>
          <w:sz w:val="16"/>
          <w:szCs w:val="16"/>
        </w:rPr>
        <w:t xml:space="preserve">zmienia </w:t>
      </w:r>
      <w:r w:rsidRPr="00295C1F">
        <w:rPr>
          <w:rFonts w:asciiTheme="minorHAnsi" w:hAnsiTheme="minorHAnsi"/>
          <w:color w:val="231F20"/>
          <w:sz w:val="16"/>
          <w:szCs w:val="16"/>
        </w:rPr>
        <w:t>się</w:t>
      </w:r>
      <w:r w:rsidRPr="00295C1F">
        <w:rPr>
          <w:rFonts w:asciiTheme="minorHAnsi" w:hAnsiTheme="minorHAnsi"/>
          <w:color w:val="231F20"/>
          <w:spacing w:val="6"/>
          <w:sz w:val="16"/>
          <w:szCs w:val="16"/>
        </w:rPr>
        <w:t xml:space="preserve"> </w:t>
      </w:r>
      <w:r w:rsidRPr="00295C1F">
        <w:rPr>
          <w:rFonts w:asciiTheme="minorHAnsi" w:hAnsiTheme="minorHAnsi"/>
          <w:color w:val="231F20"/>
          <w:sz w:val="16"/>
          <w:szCs w:val="16"/>
        </w:rPr>
        <w:t>pręd</w:t>
      </w:r>
      <w:r w:rsidRPr="00295C1F">
        <w:rPr>
          <w:rFonts w:asciiTheme="minorHAnsi" w:hAnsiTheme="minorHAnsi"/>
          <w:color w:val="231F20"/>
          <w:spacing w:val="-3"/>
          <w:sz w:val="16"/>
          <w:szCs w:val="16"/>
        </w:rPr>
        <w:t>k</w:t>
      </w:r>
      <w:r w:rsidRPr="00295C1F">
        <w:rPr>
          <w:rFonts w:asciiTheme="minorHAnsi" w:hAnsiTheme="minorHAnsi"/>
          <w:color w:val="231F20"/>
          <w:sz w:val="16"/>
          <w:szCs w:val="16"/>
        </w:rPr>
        <w:t>ość</w:t>
      </w:r>
      <w:r w:rsidRPr="00295C1F">
        <w:rPr>
          <w:rFonts w:asciiTheme="minorHAnsi" w:hAnsiTheme="minorHAnsi"/>
          <w:color w:val="231F20"/>
          <w:spacing w:val="39"/>
          <w:sz w:val="16"/>
          <w:szCs w:val="16"/>
        </w:rPr>
        <w:t xml:space="preserve"> </w:t>
      </w:r>
      <w:r w:rsidRPr="00295C1F">
        <w:rPr>
          <w:rFonts w:asciiTheme="minorHAnsi" w:hAnsiTheme="minorHAnsi"/>
          <w:color w:val="231F20"/>
          <w:spacing w:val="2"/>
          <w:sz w:val="16"/>
          <w:szCs w:val="16"/>
        </w:rPr>
        <w:t>r</w:t>
      </w:r>
      <w:r w:rsidRPr="00295C1F">
        <w:rPr>
          <w:rFonts w:asciiTheme="minorHAnsi" w:hAnsiTheme="minorHAnsi"/>
          <w:color w:val="231F20"/>
          <w:sz w:val="16"/>
          <w:szCs w:val="16"/>
        </w:rPr>
        <w:t>uchu</w:t>
      </w:r>
      <w:r w:rsidRPr="00295C1F">
        <w:rPr>
          <w:rFonts w:asciiTheme="minorHAnsi" w:hAnsiTheme="minorHAnsi"/>
          <w:color w:val="231F20"/>
          <w:spacing w:val="7"/>
          <w:sz w:val="16"/>
          <w:szCs w:val="16"/>
        </w:rPr>
        <w:t xml:space="preserve"> </w:t>
      </w:r>
      <w:r w:rsidRPr="00295C1F">
        <w:rPr>
          <w:rFonts w:asciiTheme="minorHAnsi" w:hAnsiTheme="minorHAnsi"/>
          <w:color w:val="231F20"/>
          <w:sz w:val="16"/>
          <w:szCs w:val="16"/>
        </w:rPr>
        <w:t>p</w:t>
      </w:r>
      <w:r w:rsidRPr="00295C1F">
        <w:rPr>
          <w:rFonts w:asciiTheme="minorHAnsi" w:hAnsiTheme="minorHAnsi"/>
          <w:color w:val="231F20"/>
          <w:spacing w:val="-1"/>
          <w:sz w:val="16"/>
          <w:szCs w:val="16"/>
        </w:rPr>
        <w:t>o</w:t>
      </w:r>
      <w:r w:rsidRPr="00295C1F">
        <w:rPr>
          <w:rFonts w:asciiTheme="minorHAnsi" w:hAnsiTheme="minorHAnsi"/>
          <w:color w:val="231F20"/>
          <w:spacing w:val="-3"/>
          <w:sz w:val="16"/>
          <w:szCs w:val="16"/>
        </w:rPr>
        <w:t>t</w:t>
      </w:r>
      <w:r w:rsidRPr="00295C1F">
        <w:rPr>
          <w:rFonts w:asciiTheme="minorHAnsi" w:hAnsiTheme="minorHAnsi"/>
          <w:color w:val="231F20"/>
          <w:sz w:val="16"/>
          <w:szCs w:val="16"/>
        </w:rPr>
        <w:t>o</w:t>
      </w:r>
      <w:r w:rsidRPr="00295C1F">
        <w:rPr>
          <w:rFonts w:asciiTheme="minorHAnsi" w:hAnsiTheme="minorHAnsi"/>
          <w:color w:val="231F20"/>
          <w:spacing w:val="-1"/>
          <w:sz w:val="16"/>
          <w:szCs w:val="16"/>
        </w:rPr>
        <w:t>k</w:t>
      </w:r>
      <w:r w:rsidRPr="00295C1F">
        <w:rPr>
          <w:rFonts w:asciiTheme="minorHAnsi" w:hAnsiTheme="minorHAnsi"/>
          <w:color w:val="231F20"/>
          <w:sz w:val="16"/>
          <w:szCs w:val="16"/>
        </w:rPr>
        <w:t>u</w:t>
      </w:r>
      <w:r w:rsidRPr="00295C1F">
        <w:rPr>
          <w:rFonts w:asciiTheme="minorHAnsi" w:hAnsiTheme="minorHAnsi"/>
          <w:color w:val="231F20"/>
          <w:spacing w:val="2"/>
          <w:sz w:val="16"/>
          <w:szCs w:val="16"/>
        </w:rPr>
        <w:t xml:space="preserve"> </w:t>
      </w:r>
      <w:r w:rsidRPr="00295C1F">
        <w:rPr>
          <w:rFonts w:asciiTheme="minorHAnsi" w:hAnsiTheme="minorHAnsi"/>
          <w:color w:val="231F20"/>
          <w:sz w:val="16"/>
          <w:szCs w:val="16"/>
        </w:rPr>
        <w:t>p</w:t>
      </w:r>
      <w:r w:rsidRPr="00295C1F">
        <w:rPr>
          <w:rFonts w:asciiTheme="minorHAnsi" w:hAnsiTheme="minorHAnsi"/>
          <w:color w:val="231F20"/>
          <w:spacing w:val="-1"/>
          <w:sz w:val="16"/>
          <w:szCs w:val="16"/>
        </w:rPr>
        <w:t>o</w:t>
      </w:r>
      <w:r w:rsidRPr="00295C1F">
        <w:rPr>
          <w:rFonts w:asciiTheme="minorHAnsi" w:hAnsiTheme="minorHAnsi"/>
          <w:color w:val="231F20"/>
          <w:sz w:val="16"/>
          <w:szCs w:val="16"/>
        </w:rPr>
        <w:t>jazd</w:t>
      </w:r>
      <w:r w:rsidRPr="00295C1F">
        <w:rPr>
          <w:rFonts w:asciiTheme="minorHAnsi" w:hAnsiTheme="minorHAnsi"/>
          <w:color w:val="231F20"/>
          <w:spacing w:val="-1"/>
          <w:sz w:val="16"/>
          <w:szCs w:val="16"/>
        </w:rPr>
        <w:t>ó</w:t>
      </w:r>
      <w:r w:rsidRPr="00295C1F">
        <w:rPr>
          <w:rFonts w:asciiTheme="minorHAnsi" w:hAnsiTheme="minorHAnsi"/>
          <w:color w:val="231F20"/>
          <w:sz w:val="16"/>
          <w:szCs w:val="16"/>
        </w:rPr>
        <w:t>w</w:t>
      </w:r>
      <w:r>
        <w:rPr>
          <w:rFonts w:asciiTheme="minorHAnsi" w:hAnsiTheme="minorHAnsi"/>
          <w:color w:val="231F20"/>
          <w:sz w:val="16"/>
          <w:szCs w:val="16"/>
        </w:rPr>
        <w:t xml:space="preserve"> w </w:t>
      </w:r>
      <w:r w:rsidRPr="00295C1F">
        <w:rPr>
          <w:rFonts w:asciiTheme="minorHAnsi" w:hAnsiTheme="minorHAnsi"/>
          <w:color w:val="231F20"/>
          <w:sz w:val="16"/>
          <w:szCs w:val="16"/>
        </w:rPr>
        <w:t>miarę</w:t>
      </w:r>
      <w:r w:rsidRPr="00295C1F">
        <w:rPr>
          <w:rFonts w:asciiTheme="minorHAnsi" w:hAnsiTheme="minorHAnsi"/>
          <w:color w:val="231F20"/>
          <w:spacing w:val="-4"/>
          <w:sz w:val="16"/>
          <w:szCs w:val="16"/>
        </w:rPr>
        <w:t xml:space="preserve"> </w:t>
      </w:r>
      <w:r w:rsidRPr="00295C1F">
        <w:rPr>
          <w:rFonts w:asciiTheme="minorHAnsi" w:hAnsiTheme="minorHAnsi"/>
          <w:color w:val="231F20"/>
          <w:sz w:val="16"/>
          <w:szCs w:val="16"/>
        </w:rPr>
        <w:t>wz</w:t>
      </w:r>
      <w:r w:rsidRPr="00295C1F">
        <w:rPr>
          <w:rFonts w:asciiTheme="minorHAnsi" w:hAnsiTheme="minorHAnsi"/>
          <w:color w:val="231F20"/>
          <w:spacing w:val="-1"/>
          <w:sz w:val="16"/>
          <w:szCs w:val="16"/>
        </w:rPr>
        <w:t>r</w:t>
      </w:r>
      <w:r w:rsidRPr="00295C1F">
        <w:rPr>
          <w:rFonts w:asciiTheme="minorHAnsi" w:hAnsiTheme="minorHAnsi"/>
          <w:color w:val="231F20"/>
          <w:sz w:val="16"/>
          <w:szCs w:val="16"/>
        </w:rPr>
        <w:t>ostu</w:t>
      </w:r>
      <w:r w:rsidRPr="00295C1F">
        <w:rPr>
          <w:rFonts w:asciiTheme="minorHAnsi" w:hAnsiTheme="minorHAnsi"/>
          <w:color w:val="231F20"/>
          <w:spacing w:val="-7"/>
          <w:sz w:val="16"/>
          <w:szCs w:val="16"/>
        </w:rPr>
        <w:t xml:space="preserve"> </w:t>
      </w:r>
      <w:r w:rsidRPr="00295C1F">
        <w:rPr>
          <w:rFonts w:asciiTheme="minorHAnsi" w:hAnsiTheme="minorHAnsi"/>
          <w:color w:val="231F20"/>
          <w:sz w:val="16"/>
          <w:szCs w:val="16"/>
        </w:rPr>
        <w:t>na</w:t>
      </w:r>
      <w:r w:rsidRPr="00295C1F">
        <w:rPr>
          <w:rFonts w:asciiTheme="minorHAnsi" w:hAnsiTheme="minorHAnsi"/>
          <w:color w:val="231F20"/>
          <w:spacing w:val="-2"/>
          <w:sz w:val="16"/>
          <w:szCs w:val="16"/>
        </w:rPr>
        <w:t>tęż</w:t>
      </w:r>
      <w:r w:rsidRPr="00295C1F">
        <w:rPr>
          <w:rFonts w:asciiTheme="minorHAnsi" w:hAnsiTheme="minorHAnsi"/>
          <w:color w:val="231F20"/>
          <w:sz w:val="16"/>
          <w:szCs w:val="16"/>
        </w:rPr>
        <w:t xml:space="preserve">enia </w:t>
      </w:r>
      <w:r w:rsidRPr="00295C1F">
        <w:rPr>
          <w:rFonts w:asciiTheme="minorHAnsi" w:hAnsiTheme="minorHAnsi"/>
          <w:color w:val="231F20"/>
          <w:spacing w:val="2"/>
          <w:w w:val="92"/>
          <w:sz w:val="16"/>
          <w:szCs w:val="16"/>
        </w:rPr>
        <w:t>r</w:t>
      </w:r>
      <w:r w:rsidRPr="00295C1F">
        <w:rPr>
          <w:rFonts w:asciiTheme="minorHAnsi" w:hAnsiTheme="minorHAnsi"/>
          <w:color w:val="231F20"/>
          <w:w w:val="105"/>
          <w:sz w:val="16"/>
          <w:szCs w:val="16"/>
        </w:rPr>
        <w:t>uchu.</w:t>
      </w:r>
      <w:r w:rsidRPr="00295C1F">
        <w:rPr>
          <w:rFonts w:asciiTheme="minorHAnsi" w:hAnsiTheme="minorHAnsi" w:cs="Arial"/>
          <w:sz w:val="16"/>
          <w:szCs w:val="16"/>
        </w:rPr>
        <w:t xml:space="preserve"> </w:t>
      </w:r>
    </w:p>
    <w:p w14:paraId="1CEBBCFF" w14:textId="09ED45E3" w:rsidR="007463B9" w:rsidRPr="00B95FB9" w:rsidRDefault="007463B9" w:rsidP="00B95FB9">
      <w:pPr>
        <w:pStyle w:val="Tekstprzypisudolnego"/>
      </w:pPr>
      <w:r w:rsidRPr="00B95FB9">
        <w:rPr>
          <w:rFonts w:asciiTheme="minorHAnsi" w:hAnsiTheme="minorHAnsi" w:cs="Arial"/>
          <w:sz w:val="16"/>
          <w:szCs w:val="16"/>
          <w:lang w:val="pl-PL"/>
        </w:rPr>
        <w:t xml:space="preserve">   </w:t>
      </w:r>
      <w:r w:rsidRPr="00295C1F">
        <w:rPr>
          <w:rFonts w:asciiTheme="minorHAnsi" w:hAnsiTheme="minorHAnsi" w:cs="Arial"/>
          <w:sz w:val="16"/>
          <w:szCs w:val="16"/>
          <w:lang w:val="en-GB"/>
        </w:rPr>
        <w:t>The section resistance function is</w:t>
      </w:r>
      <w:r>
        <w:rPr>
          <w:rFonts w:asciiTheme="minorHAnsi" w:hAnsiTheme="minorHAnsi" w:cs="Arial"/>
          <w:sz w:val="16"/>
          <w:szCs w:val="16"/>
          <w:lang w:val="en-GB"/>
        </w:rPr>
        <w:t xml:space="preserve"> a </w:t>
      </w:r>
      <w:r w:rsidRPr="00295C1F">
        <w:rPr>
          <w:rFonts w:asciiTheme="minorHAnsi" w:hAnsiTheme="minorHAnsi" w:cs="Arial"/>
          <w:sz w:val="16"/>
          <w:szCs w:val="16"/>
          <w:lang w:val="en-GB"/>
        </w:rPr>
        <w:t xml:space="preserve">mathematical function that defines vehicles speed </w:t>
      </w:r>
      <w:r>
        <w:rPr>
          <w:rFonts w:asciiTheme="minorHAnsi" w:hAnsiTheme="minorHAnsi" w:cs="Arial"/>
          <w:sz w:val="16"/>
          <w:szCs w:val="16"/>
          <w:lang w:val="en-GB"/>
        </w:rPr>
        <w:t xml:space="preserve">fluctuations </w:t>
      </w:r>
      <w:r w:rsidRPr="00295C1F">
        <w:rPr>
          <w:rFonts w:asciiTheme="minorHAnsi" w:hAnsiTheme="minorHAnsi" w:cs="Arial"/>
          <w:sz w:val="16"/>
          <w:szCs w:val="16"/>
          <w:lang w:val="en-GB"/>
        </w:rPr>
        <w:t>depending on traffic volume growth changes.</w:t>
      </w:r>
    </w:p>
  </w:footnote>
  <w:footnote w:id="24">
    <w:p w14:paraId="6DAEE97F" w14:textId="77777777" w:rsidR="007463B9" w:rsidRPr="00295C1F" w:rsidRDefault="007463B9" w:rsidP="003A38F9">
      <w:pPr>
        <w:pStyle w:val="Tekstprzypisudolnego"/>
        <w:rPr>
          <w:rFonts w:asciiTheme="minorHAnsi" w:hAnsiTheme="minorHAnsi" w:cs="Arial"/>
          <w:sz w:val="16"/>
          <w:szCs w:val="16"/>
          <w:lang w:val="pl-PL"/>
        </w:rPr>
      </w:pPr>
      <w:r>
        <w:rPr>
          <w:rStyle w:val="Odwoanieprzypisudolnego"/>
        </w:rPr>
        <w:footnoteRef/>
      </w:r>
      <w:r w:rsidRPr="003A38F9">
        <w:rPr>
          <w:lang w:val="pl-PL"/>
        </w:rPr>
        <w:t xml:space="preserve"> </w:t>
      </w:r>
      <w:r w:rsidRPr="00295C1F">
        <w:rPr>
          <w:rFonts w:asciiTheme="minorHAnsi" w:hAnsiTheme="minorHAnsi" w:cs="Arial"/>
          <w:sz w:val="16"/>
          <w:szCs w:val="16"/>
          <w:lang w:val="pl-PL"/>
        </w:rPr>
        <w:t>Dla inwestycji zamiejskich nie opracowuje się macierzy ruchu autobusów.  Udział ruchu  autobusowego  należy dodać do ruchu samochodów ciężarowych – S.C.</w:t>
      </w:r>
    </w:p>
    <w:p w14:paraId="22D1A9A0" w14:textId="6A40A64B" w:rsidR="007463B9" w:rsidRPr="003A38F9" w:rsidRDefault="007463B9" w:rsidP="003A38F9">
      <w:pPr>
        <w:pStyle w:val="Tekstprzypisudolnego"/>
      </w:pPr>
      <w:r w:rsidRPr="003A38F9">
        <w:rPr>
          <w:rFonts w:asciiTheme="minorHAnsi" w:hAnsiTheme="minorHAnsi" w:cs="Arial"/>
          <w:sz w:val="16"/>
          <w:szCs w:val="16"/>
          <w:lang w:val="pl-PL"/>
        </w:rPr>
        <w:t xml:space="preserve">  </w:t>
      </w:r>
      <w:r w:rsidRPr="00295C1F">
        <w:rPr>
          <w:rFonts w:asciiTheme="minorHAnsi" w:hAnsiTheme="minorHAnsi" w:cs="Arial"/>
          <w:sz w:val="16"/>
          <w:szCs w:val="16"/>
        </w:rPr>
        <w:t>Traffic matrix for buses is not developed. The share of bus traffic should be included within truck traffic.</w:t>
      </w:r>
    </w:p>
  </w:footnote>
  <w:footnote w:id="25">
    <w:p w14:paraId="44A0AC32" w14:textId="77777777" w:rsidR="007463B9" w:rsidRDefault="007463B9" w:rsidP="00A85726">
      <w:pPr>
        <w:autoSpaceDE w:val="0"/>
        <w:autoSpaceDN w:val="0"/>
        <w:adjustRightInd w:val="0"/>
        <w:rPr>
          <w:rFonts w:asciiTheme="minorHAnsi" w:hAnsiTheme="minorHAnsi"/>
          <w:sz w:val="16"/>
          <w:szCs w:val="16"/>
        </w:rPr>
      </w:pPr>
      <w:r>
        <w:rPr>
          <w:rStyle w:val="Odwoanieprzypisudolnego"/>
        </w:rPr>
        <w:footnoteRef/>
      </w:r>
      <w:r>
        <w:t xml:space="preserve"> </w:t>
      </w:r>
      <w:r w:rsidRPr="00295C1F">
        <w:rPr>
          <w:rFonts w:asciiTheme="minorHAnsi" w:hAnsiTheme="minorHAnsi"/>
          <w:sz w:val="16"/>
          <w:szCs w:val="16"/>
        </w:rPr>
        <w:t xml:space="preserve">*) </w:t>
      </w:r>
      <w:r w:rsidRPr="00295C1F">
        <w:rPr>
          <w:rFonts w:asciiTheme="minorHAnsi" w:hAnsiTheme="minorHAnsi"/>
          <w:i/>
          <w:iCs/>
          <w:sz w:val="16"/>
          <w:szCs w:val="16"/>
        </w:rPr>
        <w:t>„Stadia</w:t>
      </w:r>
      <w:r>
        <w:rPr>
          <w:rFonts w:asciiTheme="minorHAnsi" w:hAnsiTheme="minorHAnsi"/>
          <w:i/>
          <w:iCs/>
          <w:sz w:val="16"/>
          <w:szCs w:val="16"/>
        </w:rPr>
        <w:t xml:space="preserve"> i </w:t>
      </w:r>
      <w:r w:rsidRPr="00295C1F">
        <w:rPr>
          <w:rFonts w:asciiTheme="minorHAnsi" w:hAnsiTheme="minorHAnsi"/>
          <w:i/>
          <w:iCs/>
          <w:sz w:val="16"/>
          <w:szCs w:val="16"/>
        </w:rPr>
        <w:t>skład dokumentacji projektowej dla dróg</w:t>
      </w:r>
      <w:r>
        <w:rPr>
          <w:rFonts w:asciiTheme="minorHAnsi" w:hAnsiTheme="minorHAnsi"/>
          <w:i/>
          <w:iCs/>
          <w:sz w:val="16"/>
          <w:szCs w:val="16"/>
        </w:rPr>
        <w:t xml:space="preserve"> i </w:t>
      </w:r>
      <w:r w:rsidRPr="00295C1F">
        <w:rPr>
          <w:rFonts w:asciiTheme="minorHAnsi" w:hAnsiTheme="minorHAnsi"/>
          <w:i/>
          <w:iCs/>
          <w:sz w:val="16"/>
          <w:szCs w:val="16"/>
        </w:rPr>
        <w:t>mostów”</w:t>
      </w:r>
      <w:r w:rsidRPr="00295C1F">
        <w:rPr>
          <w:rFonts w:asciiTheme="minorHAnsi" w:hAnsiTheme="minorHAnsi"/>
          <w:sz w:val="16"/>
          <w:szCs w:val="16"/>
        </w:rPr>
        <w:t>, wprowadzonego do stosowania Zarz</w:t>
      </w:r>
      <w:r w:rsidRPr="00295C1F">
        <w:rPr>
          <w:rFonts w:asciiTheme="minorHAnsi" w:hAnsiTheme="minorHAnsi" w:cs="TTE18839A8t00"/>
          <w:sz w:val="16"/>
          <w:szCs w:val="16"/>
        </w:rPr>
        <w:t>ą</w:t>
      </w:r>
      <w:r w:rsidRPr="00295C1F">
        <w:rPr>
          <w:rFonts w:asciiTheme="minorHAnsi" w:hAnsiTheme="minorHAnsi"/>
          <w:sz w:val="16"/>
          <w:szCs w:val="16"/>
        </w:rPr>
        <w:t>dzeniem Nr 30</w:t>
      </w:r>
      <w:r>
        <w:rPr>
          <w:rFonts w:asciiTheme="minorHAnsi" w:hAnsiTheme="minorHAnsi"/>
          <w:sz w:val="16"/>
          <w:szCs w:val="16"/>
        </w:rPr>
        <w:t xml:space="preserve"> z </w:t>
      </w:r>
      <w:r w:rsidRPr="00295C1F">
        <w:rPr>
          <w:rFonts w:asciiTheme="minorHAnsi" w:hAnsiTheme="minorHAnsi"/>
          <w:sz w:val="16"/>
          <w:szCs w:val="16"/>
        </w:rPr>
        <w:t>2005 roku przez Generalnego Dyrektora Dróg Krajowych</w:t>
      </w:r>
      <w:r>
        <w:rPr>
          <w:rFonts w:asciiTheme="minorHAnsi" w:hAnsiTheme="minorHAnsi"/>
          <w:sz w:val="16"/>
          <w:szCs w:val="16"/>
        </w:rPr>
        <w:t xml:space="preserve"> i </w:t>
      </w:r>
      <w:r w:rsidRPr="00295C1F">
        <w:rPr>
          <w:rFonts w:asciiTheme="minorHAnsi" w:hAnsiTheme="minorHAnsi"/>
          <w:sz w:val="16"/>
          <w:szCs w:val="16"/>
        </w:rPr>
        <w:t>Autostrad (13).</w:t>
      </w:r>
    </w:p>
    <w:p w14:paraId="62FACDB5" w14:textId="77AA0937" w:rsidR="007463B9" w:rsidRPr="00277A80" w:rsidRDefault="007463B9" w:rsidP="00A85726">
      <w:pPr>
        <w:autoSpaceDE w:val="0"/>
        <w:autoSpaceDN w:val="0"/>
        <w:adjustRightInd w:val="0"/>
        <w:rPr>
          <w:rFonts w:asciiTheme="minorHAnsi" w:hAnsiTheme="minorHAnsi" w:cs="Arial"/>
          <w:sz w:val="16"/>
          <w:szCs w:val="16"/>
          <w:lang w:val="en-US"/>
        </w:rPr>
      </w:pPr>
      <w:r w:rsidRPr="00277A80">
        <w:rPr>
          <w:rFonts w:asciiTheme="minorHAnsi" w:hAnsiTheme="minorHAnsi"/>
          <w:sz w:val="16"/>
          <w:szCs w:val="16"/>
          <w:lang w:val="en-US"/>
        </w:rPr>
        <w:t xml:space="preserve">*) </w:t>
      </w:r>
      <w:r w:rsidRPr="00277A80">
        <w:rPr>
          <w:rFonts w:asciiTheme="minorHAnsi" w:hAnsiTheme="minorHAnsi"/>
          <w:i/>
          <w:iCs/>
          <w:sz w:val="16"/>
          <w:szCs w:val="16"/>
          <w:lang w:val="en-US"/>
        </w:rPr>
        <w:t>„Stadia i skład dokumentacji projektowej dla dróg i mostów”</w:t>
      </w:r>
      <w:r>
        <w:rPr>
          <w:rFonts w:asciiTheme="minorHAnsi" w:hAnsiTheme="minorHAnsi"/>
          <w:i/>
          <w:iCs/>
          <w:sz w:val="16"/>
          <w:szCs w:val="16"/>
          <w:lang w:val="en-US"/>
        </w:rPr>
        <w:t xml:space="preserve"> (Stages and Composition of Design Documentation for Roads and Bridges)</w:t>
      </w:r>
      <w:r w:rsidRPr="00277A80">
        <w:rPr>
          <w:rFonts w:asciiTheme="minorHAnsi" w:hAnsiTheme="minorHAnsi"/>
          <w:i/>
          <w:iCs/>
          <w:sz w:val="16"/>
          <w:szCs w:val="16"/>
          <w:lang w:val="en-US"/>
        </w:rPr>
        <w:t xml:space="preserve">, </w:t>
      </w:r>
      <w:r w:rsidRPr="00277A80">
        <w:rPr>
          <w:rFonts w:asciiTheme="minorHAnsi" w:hAnsiTheme="minorHAnsi"/>
          <w:sz w:val="16"/>
          <w:szCs w:val="16"/>
          <w:lang w:val="en-US"/>
        </w:rPr>
        <w:t xml:space="preserve">introduced into </w:t>
      </w:r>
      <w:r>
        <w:rPr>
          <w:rFonts w:asciiTheme="minorHAnsi" w:hAnsiTheme="minorHAnsi"/>
          <w:sz w:val="16"/>
          <w:szCs w:val="16"/>
          <w:lang w:val="en-US"/>
        </w:rPr>
        <w:t>use</w:t>
      </w:r>
      <w:r w:rsidRPr="00277A80">
        <w:rPr>
          <w:rFonts w:asciiTheme="minorHAnsi" w:hAnsiTheme="minorHAnsi"/>
          <w:sz w:val="16"/>
          <w:szCs w:val="16"/>
          <w:lang w:val="en-US"/>
        </w:rPr>
        <w:t xml:space="preserve"> by Order No. 30 of 2005 by the General Director for National Roads and Motorways (13).</w:t>
      </w:r>
    </w:p>
    <w:p w14:paraId="49659A6E" w14:textId="58B2B79A" w:rsidR="007463B9" w:rsidRDefault="007463B9">
      <w:pPr>
        <w:pStyle w:val="Tekstprzypisudolnego"/>
      </w:pPr>
    </w:p>
  </w:footnote>
  <w:footnote w:id="26">
    <w:p w14:paraId="4D433E7A" w14:textId="77777777" w:rsidR="007463B9" w:rsidRDefault="007463B9">
      <w:pPr>
        <w:rPr>
          <w:rFonts w:ascii="Calibri" w:eastAsia="Calibri" w:hAnsi="Calibri" w:cs="Calibri"/>
          <w:sz w:val="20"/>
          <w:szCs w:val="20"/>
        </w:rPr>
      </w:pPr>
      <w:r>
        <w:rPr>
          <w:rStyle w:val="Odwoanieprzypisudolnego"/>
        </w:rPr>
        <w:footnoteRef/>
      </w:r>
      <w:r w:rsidRPr="0045151D">
        <w:rPr>
          <w:rFonts w:ascii="Calibri" w:eastAsia="Calibri" w:hAnsi="Calibri" w:cs="Calibri"/>
          <w:lang w:val="en-GB"/>
        </w:rPr>
        <w:t xml:space="preserve"> </w:t>
      </w:r>
      <w:r w:rsidRPr="0045151D">
        <w:rPr>
          <w:rFonts w:ascii="Calibri" w:eastAsia="Calibri" w:hAnsi="Calibri" w:cs="Calibri"/>
          <w:sz w:val="16"/>
          <w:szCs w:val="16"/>
          <w:lang w:val="en-GB"/>
        </w:rPr>
        <w:t xml:space="preserve">Based on Table IV.1 of Annex IV to the EU CBA Guide, Poland is split between the QKU (quasi-Keynesian unemployment) area, with CF equal to 0.54 and the RLD (rural labour dualism) area, with CF equal to 0.62. The average of 0.58 has been assumed, for simplicity. </w:t>
      </w:r>
      <w:r w:rsidRPr="0045151D">
        <w:rPr>
          <w:rFonts w:ascii="Calibri" w:eastAsia="Calibri" w:hAnsi="Calibri" w:cs="Calibri"/>
          <w:color w:val="000000"/>
          <w:sz w:val="16"/>
          <w:szCs w:val="16"/>
          <w:lang w:val="en-GB"/>
        </w:rPr>
        <w:t xml:space="preserve">W oparciu o tabelę IV.1 Aneksu IV do Przewodnika UE CBA, Polska jest podzielona na obszar QKU (quasi-keynesowskie bezrobocie), z CF równym 0,54 i obszar RLD (wiejski dualizm pracy), z CF równym 0,62. </w:t>
      </w:r>
      <w:r>
        <w:rPr>
          <w:rFonts w:ascii="Calibri" w:eastAsia="Calibri" w:hAnsi="Calibri" w:cs="Calibri"/>
          <w:color w:val="000000"/>
          <w:sz w:val="16"/>
          <w:szCs w:val="16"/>
        </w:rPr>
        <w:t>Dla uproszczenia przyjęto średnią 0,58.</w:t>
      </w:r>
    </w:p>
    <w:p w14:paraId="27C0B3C6" w14:textId="77777777" w:rsidR="007463B9" w:rsidRDefault="007463B9">
      <w:pPr>
        <w:pBdr>
          <w:top w:val="nil"/>
          <w:left w:val="nil"/>
          <w:bottom w:val="nil"/>
          <w:right w:val="nil"/>
          <w:between w:val="nil"/>
        </w:pBdr>
        <w:spacing w:before="120"/>
        <w:rPr>
          <w:rFonts w:ascii="Calibri" w:eastAsia="Calibri" w:hAnsi="Calibri" w:cs="Calibri"/>
          <w:color w:val="000000"/>
          <w:sz w:val="20"/>
          <w:szCs w:val="20"/>
        </w:rPr>
      </w:pPr>
    </w:p>
  </w:footnote>
  <w:footnote w:id="27">
    <w:p w14:paraId="207E3F38" w14:textId="77777777" w:rsidR="007463B9" w:rsidRPr="00E8513F" w:rsidRDefault="007463B9" w:rsidP="00A85726">
      <w:pPr>
        <w:pStyle w:val="Tekstprzypisudolnego"/>
        <w:rPr>
          <w:rFonts w:asciiTheme="minorHAnsi" w:hAnsiTheme="minorHAnsi"/>
          <w:sz w:val="16"/>
          <w:szCs w:val="16"/>
          <w:lang w:val="pl-PL"/>
        </w:rPr>
      </w:pPr>
      <w:r>
        <w:rPr>
          <w:rStyle w:val="Odwoanieprzypisudolnego"/>
        </w:rPr>
        <w:footnoteRef/>
      </w:r>
      <w:r w:rsidRPr="00A85726">
        <w:rPr>
          <w:lang w:val="pl-PL"/>
        </w:rPr>
        <w:t xml:space="preserve"> </w:t>
      </w:r>
      <w:r w:rsidRPr="00E8513F">
        <w:rPr>
          <w:rFonts w:asciiTheme="minorHAnsi" w:hAnsiTheme="minorHAnsi"/>
          <w:sz w:val="16"/>
          <w:szCs w:val="16"/>
          <w:lang w:val="pl-PL"/>
        </w:rPr>
        <w:t>Jeżeli fragmenty inwestycji zamiejskiej lub odcinki modelu sieci/bufora znajdują się</w:t>
      </w:r>
      <w:r>
        <w:rPr>
          <w:rFonts w:asciiTheme="minorHAnsi" w:hAnsiTheme="minorHAnsi"/>
          <w:sz w:val="16"/>
          <w:szCs w:val="16"/>
          <w:lang w:val="pl-PL"/>
        </w:rPr>
        <w:t xml:space="preserve"> w </w:t>
      </w:r>
      <w:r w:rsidRPr="00E8513F">
        <w:rPr>
          <w:rFonts w:asciiTheme="minorHAnsi" w:hAnsiTheme="minorHAnsi"/>
          <w:sz w:val="16"/>
          <w:szCs w:val="16"/>
          <w:lang w:val="pl-PL"/>
        </w:rPr>
        <w:t>obszarze miejskim, to wskaźniki wypadkowości należy przyjmować jak dla obszaru zabudowanego (z).</w:t>
      </w:r>
    </w:p>
    <w:p w14:paraId="62C8D86F" w14:textId="77F539C9" w:rsidR="007463B9" w:rsidRPr="00A85726" w:rsidRDefault="007463B9" w:rsidP="00A85726">
      <w:pPr>
        <w:pStyle w:val="Tekstprzypisudolnego"/>
      </w:pPr>
      <w:r w:rsidRPr="00E8513F">
        <w:rPr>
          <w:rFonts w:asciiTheme="minorHAnsi" w:hAnsiTheme="minorHAnsi"/>
          <w:sz w:val="16"/>
          <w:szCs w:val="16"/>
          <w:lang w:val="en-GB"/>
        </w:rPr>
        <w:t xml:space="preserve">If any sections of the non-urban investment or the model/ buffer network </w:t>
      </w:r>
      <w:r>
        <w:rPr>
          <w:rFonts w:asciiTheme="minorHAnsi" w:hAnsiTheme="minorHAnsi"/>
          <w:sz w:val="16"/>
          <w:szCs w:val="16"/>
          <w:lang w:val="en-GB"/>
        </w:rPr>
        <w:t>are</w:t>
      </w:r>
      <w:r w:rsidRPr="00E8513F">
        <w:rPr>
          <w:rFonts w:asciiTheme="minorHAnsi" w:hAnsiTheme="minorHAnsi"/>
          <w:sz w:val="16"/>
          <w:szCs w:val="16"/>
          <w:lang w:val="en-GB"/>
        </w:rPr>
        <w:t xml:space="preserve"> located in the urban areas, the accident factors should be taken as for the built-up area (z).</w:t>
      </w:r>
    </w:p>
  </w:footnote>
  <w:footnote w:id="28">
    <w:p w14:paraId="14811CE8" w14:textId="77777777" w:rsidR="007463B9" w:rsidRDefault="007463B9">
      <w:pPr>
        <w:ind w:right="132"/>
        <w:jc w:val="both"/>
        <w:rPr>
          <w:rFonts w:ascii="Calibri" w:eastAsia="Calibri" w:hAnsi="Calibri" w:cs="Calibri"/>
          <w:i/>
          <w:sz w:val="16"/>
          <w:szCs w:val="16"/>
        </w:rPr>
      </w:pPr>
      <w:r w:rsidRPr="00A85726">
        <w:rPr>
          <w:rStyle w:val="Odwoanieprzypisudolnego"/>
          <w:rFonts w:asciiTheme="minorHAnsi" w:hAnsiTheme="minorHAnsi" w:cstheme="minorHAnsi"/>
          <w:sz w:val="20"/>
          <w:szCs w:val="20"/>
        </w:rPr>
        <w:footnoteRef/>
      </w:r>
      <w:r w:rsidRPr="00A85726">
        <w:rPr>
          <w:rFonts w:asciiTheme="minorHAnsi" w:eastAsia="Calibri" w:hAnsiTheme="minorHAnsi" w:cstheme="minorHAnsi"/>
          <w:sz w:val="20"/>
          <w:szCs w:val="20"/>
        </w:rPr>
        <w:t xml:space="preserve"> </w:t>
      </w:r>
      <w:r>
        <w:rPr>
          <w:rFonts w:ascii="Calibri" w:eastAsia="Calibri" w:hAnsi="Calibri" w:cs="Calibri"/>
          <w:i/>
          <w:sz w:val="16"/>
          <w:szCs w:val="16"/>
        </w:rPr>
        <w:t xml:space="preserve">Metoda dotyczy dróg zamiejskich w odszarach zabudowanych lub niezabudowanych. </w:t>
      </w:r>
    </w:p>
    <w:p w14:paraId="0D487D5E" w14:textId="3B38FE50" w:rsidR="007463B9" w:rsidRPr="0045151D" w:rsidRDefault="007463B9">
      <w:pPr>
        <w:ind w:right="132"/>
        <w:jc w:val="both"/>
        <w:rPr>
          <w:rFonts w:ascii="Calibri" w:eastAsia="Calibri" w:hAnsi="Calibri" w:cs="Calibri"/>
          <w:i/>
          <w:sz w:val="16"/>
          <w:szCs w:val="16"/>
          <w:lang w:val="en-GB"/>
        </w:rPr>
      </w:pPr>
      <w:r w:rsidRPr="0045151D">
        <w:rPr>
          <w:rFonts w:ascii="Calibri" w:eastAsia="Calibri" w:hAnsi="Calibri" w:cs="Calibri"/>
          <w:i/>
          <w:sz w:val="16"/>
          <w:szCs w:val="16"/>
          <w:lang w:val="en-GB"/>
        </w:rPr>
        <w:t>The method refers to non-urban roads in built-up or undeveloped areas.</w:t>
      </w:r>
      <w:r w:rsidRPr="0045151D">
        <w:rPr>
          <w:rFonts w:ascii="Calibri" w:eastAsia="Calibri" w:hAnsi="Calibri" w:cs="Calibri"/>
          <w:i/>
          <w:sz w:val="16"/>
          <w:szCs w:val="16"/>
          <w:lang w:val="en-GB"/>
        </w:rPr>
        <w:tab/>
      </w:r>
      <w:r w:rsidRPr="0045151D">
        <w:rPr>
          <w:rFonts w:ascii="Calibri" w:eastAsia="Calibri" w:hAnsi="Calibri" w:cs="Calibri"/>
          <w:i/>
          <w:sz w:val="16"/>
          <w:szCs w:val="16"/>
          <w:lang w:val="en-GB"/>
        </w:rPr>
        <w:tab/>
      </w:r>
      <w:r w:rsidRPr="0045151D">
        <w:rPr>
          <w:rFonts w:ascii="Calibri" w:eastAsia="Calibri" w:hAnsi="Calibri" w:cs="Calibri"/>
          <w:i/>
          <w:sz w:val="16"/>
          <w:szCs w:val="16"/>
          <w:lang w:val="en-GB"/>
        </w:rPr>
        <w:tab/>
      </w:r>
    </w:p>
    <w:p w14:paraId="30FE4176" w14:textId="77777777" w:rsidR="007463B9" w:rsidRPr="0045151D" w:rsidRDefault="007463B9">
      <w:pPr>
        <w:pBdr>
          <w:top w:val="nil"/>
          <w:left w:val="nil"/>
          <w:bottom w:val="nil"/>
          <w:right w:val="nil"/>
          <w:between w:val="nil"/>
        </w:pBdr>
        <w:spacing w:before="120"/>
        <w:rPr>
          <w:rFonts w:ascii="Calibri" w:eastAsia="Calibri" w:hAnsi="Calibri" w:cs="Calibri"/>
          <w:color w:val="000000"/>
          <w:sz w:val="20"/>
          <w:szCs w:val="20"/>
          <w:lang w:val="en-GB"/>
        </w:rPr>
      </w:pPr>
    </w:p>
  </w:footnote>
  <w:footnote w:id="29">
    <w:p w14:paraId="4D627C13" w14:textId="77777777" w:rsidR="007463B9" w:rsidRPr="00295C1F" w:rsidRDefault="007463B9" w:rsidP="003E14E4">
      <w:pPr>
        <w:ind w:right="132"/>
        <w:jc w:val="both"/>
        <w:rPr>
          <w:rFonts w:asciiTheme="minorHAnsi" w:hAnsiTheme="minorHAnsi" w:cs="Arial"/>
          <w:i/>
          <w:sz w:val="16"/>
          <w:szCs w:val="16"/>
        </w:rPr>
      </w:pPr>
      <w:r>
        <w:rPr>
          <w:rStyle w:val="Odwoanieprzypisudolnego"/>
        </w:rPr>
        <w:footnoteRef/>
      </w:r>
      <w:r>
        <w:t xml:space="preserve"> </w:t>
      </w:r>
      <w:r w:rsidRPr="00295C1F">
        <w:rPr>
          <w:rFonts w:asciiTheme="minorHAnsi" w:hAnsiTheme="minorHAnsi" w:cs="Arial"/>
          <w:i/>
          <w:sz w:val="16"/>
          <w:szCs w:val="16"/>
        </w:rPr>
        <w:t>Metoda dotyczy dróg zamiejskich</w:t>
      </w:r>
      <w:r>
        <w:rPr>
          <w:rFonts w:asciiTheme="minorHAnsi" w:hAnsiTheme="minorHAnsi" w:cs="Arial"/>
          <w:i/>
          <w:sz w:val="16"/>
          <w:szCs w:val="16"/>
        </w:rPr>
        <w:t xml:space="preserve"> w </w:t>
      </w:r>
      <w:r w:rsidRPr="00295C1F">
        <w:rPr>
          <w:rFonts w:asciiTheme="minorHAnsi" w:hAnsiTheme="minorHAnsi" w:cs="Arial"/>
          <w:i/>
          <w:sz w:val="16"/>
          <w:szCs w:val="16"/>
        </w:rPr>
        <w:t xml:space="preserve">odszarach zabudowanych lub niezabudowanych. </w:t>
      </w:r>
    </w:p>
    <w:p w14:paraId="5C5AE194" w14:textId="4D47D48E" w:rsidR="007463B9" w:rsidRDefault="007463B9" w:rsidP="003E14E4">
      <w:pPr>
        <w:pStyle w:val="Tekstprzypisudolnego"/>
      </w:pPr>
      <w:r w:rsidRPr="00295C1F">
        <w:rPr>
          <w:rFonts w:asciiTheme="minorHAnsi" w:hAnsiTheme="minorHAnsi" w:cs="Arial"/>
          <w:i/>
          <w:sz w:val="16"/>
          <w:szCs w:val="16"/>
          <w:lang w:val="en-GB"/>
        </w:rPr>
        <w:t xml:space="preserve">The method refers to non-urban roads on built-up or </w:t>
      </w:r>
      <w:r>
        <w:rPr>
          <w:rFonts w:asciiTheme="minorHAnsi" w:hAnsiTheme="minorHAnsi" w:cs="Arial"/>
          <w:i/>
          <w:sz w:val="16"/>
          <w:szCs w:val="16"/>
          <w:lang w:val="en-GB"/>
        </w:rPr>
        <w:t>undeveloped</w:t>
      </w:r>
      <w:r w:rsidRPr="00295C1F">
        <w:rPr>
          <w:rFonts w:asciiTheme="minorHAnsi" w:hAnsiTheme="minorHAnsi" w:cs="Arial"/>
          <w:i/>
          <w:sz w:val="16"/>
          <w:szCs w:val="16"/>
          <w:lang w:val="en-GB"/>
        </w:rPr>
        <w:t xml:space="preserve"> areas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6BF44" w14:textId="77777777" w:rsidR="007463B9" w:rsidRDefault="007463B9">
    <w:pPr>
      <w:pBdr>
        <w:top w:val="nil"/>
        <w:left w:val="nil"/>
        <w:bottom w:val="nil"/>
        <w:right w:val="nil"/>
        <w:between w:val="nil"/>
      </w:pBdr>
      <w:tabs>
        <w:tab w:val="center" w:pos="4536"/>
        <w:tab w:val="right" w:pos="9072"/>
      </w:tabs>
      <w:spacing w:before="12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E0856" w14:textId="77777777" w:rsidR="007463B9" w:rsidRDefault="007463B9">
    <w:pPr>
      <w:pBdr>
        <w:top w:val="nil"/>
        <w:left w:val="nil"/>
        <w:bottom w:val="nil"/>
        <w:right w:val="nil"/>
        <w:between w:val="nil"/>
      </w:pBdr>
      <w:tabs>
        <w:tab w:val="center" w:pos="4536"/>
        <w:tab w:val="right" w:pos="9072"/>
      </w:tabs>
      <w:spacing w:before="120"/>
      <w:rPr>
        <w:color w:val="000000"/>
      </w:rPr>
    </w:pPr>
    <w:r>
      <w:rPr>
        <w:noProof/>
        <w:lang w:eastAsia="pl-PL"/>
      </w:rPr>
      <w:drawing>
        <wp:anchor distT="0" distB="0" distL="0" distR="0" simplePos="0" relativeHeight="251658240" behindDoc="1" locked="0" layoutInCell="1" hidden="0" allowOverlap="1" wp14:anchorId="271EFA3E" wp14:editId="6A72F636">
          <wp:simplePos x="0" y="0"/>
          <wp:positionH relativeFrom="column">
            <wp:posOffset>-339089</wp:posOffset>
          </wp:positionH>
          <wp:positionV relativeFrom="paragraph">
            <wp:posOffset>254636</wp:posOffset>
          </wp:positionV>
          <wp:extent cx="6799739" cy="9615598"/>
          <wp:effectExtent l="0" t="0" r="0" b="0"/>
          <wp:wrapNone/>
          <wp:docPr id="1"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1"/>
                  <a:srcRect/>
                  <a:stretch>
                    <a:fillRect/>
                  </a:stretch>
                </pic:blipFill>
                <pic:spPr>
                  <a:xfrm>
                    <a:off x="0" y="0"/>
                    <a:ext cx="6799739" cy="961559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6DA7E" w14:textId="77777777" w:rsidR="007463B9" w:rsidRDefault="007463B9">
    <w:pPr>
      <w:pBdr>
        <w:top w:val="nil"/>
        <w:left w:val="nil"/>
        <w:bottom w:val="nil"/>
        <w:right w:val="nil"/>
        <w:between w:val="nil"/>
      </w:pBdr>
      <w:tabs>
        <w:tab w:val="center" w:pos="4536"/>
        <w:tab w:val="right" w:pos="9072"/>
        <w:tab w:val="left" w:pos="921"/>
      </w:tabs>
      <w:spacing w:before="120"/>
      <w:rPr>
        <w:color w:val="000000"/>
      </w:rPr>
    </w:pPr>
    <w:r>
      <w:rPr>
        <w:color w:val="000000"/>
      </w:rP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E9A48" w14:textId="77777777" w:rsidR="007463B9" w:rsidRDefault="007463B9">
    <w:pPr>
      <w:pBdr>
        <w:top w:val="nil"/>
        <w:left w:val="nil"/>
        <w:bottom w:val="nil"/>
        <w:right w:val="nil"/>
        <w:between w:val="nil"/>
      </w:pBdr>
      <w:tabs>
        <w:tab w:val="center" w:pos="4536"/>
        <w:tab w:val="right" w:pos="9072"/>
      </w:tabs>
      <w:spacing w:before="120"/>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FDEB3" w14:textId="77777777" w:rsidR="007463B9" w:rsidRDefault="007463B9">
    <w:pPr>
      <w:pBdr>
        <w:top w:val="nil"/>
        <w:left w:val="nil"/>
        <w:bottom w:val="nil"/>
        <w:right w:val="nil"/>
        <w:between w:val="nil"/>
      </w:pBdr>
      <w:tabs>
        <w:tab w:val="center" w:pos="4536"/>
        <w:tab w:val="right" w:pos="9072"/>
      </w:tabs>
      <w:spacing w:before="120"/>
      <w:rPr>
        <w:color w:val="000000"/>
      </w:rPr>
    </w:pPr>
    <w:r>
      <w:rPr>
        <w:noProof/>
        <w:lang w:eastAsia="pl-PL"/>
      </w:rPr>
      <w:drawing>
        <wp:anchor distT="0" distB="0" distL="0" distR="0" simplePos="0" relativeHeight="251659264" behindDoc="1" locked="0" layoutInCell="1" hidden="0" allowOverlap="1" wp14:anchorId="575C5FB7" wp14:editId="0DD0D11E">
          <wp:simplePos x="0" y="0"/>
          <wp:positionH relativeFrom="column">
            <wp:posOffset>-186688</wp:posOffset>
          </wp:positionH>
          <wp:positionV relativeFrom="paragraph">
            <wp:posOffset>-69214</wp:posOffset>
          </wp:positionV>
          <wp:extent cx="9615598" cy="6799739"/>
          <wp:effectExtent l="0" t="0" r="0" b="0"/>
          <wp:wrapNone/>
          <wp:docPr id="11"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
                  <a:srcRect/>
                  <a:stretch>
                    <a:fillRect/>
                  </a:stretch>
                </pic:blipFill>
                <pic:spPr>
                  <a:xfrm>
                    <a:off x="0" y="0"/>
                    <a:ext cx="9615598" cy="6799739"/>
                  </a:xfrm>
                  <a:prstGeom prst="rect">
                    <a:avLst/>
                  </a:prstGeom>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31DD2" w14:textId="77777777" w:rsidR="007463B9" w:rsidRDefault="007463B9">
    <w:pPr>
      <w:pBdr>
        <w:top w:val="nil"/>
        <w:left w:val="nil"/>
        <w:bottom w:val="nil"/>
        <w:right w:val="nil"/>
        <w:between w:val="nil"/>
      </w:pBdr>
      <w:tabs>
        <w:tab w:val="center" w:pos="4536"/>
        <w:tab w:val="right" w:pos="9072"/>
      </w:tabs>
      <w:spacing w:before="120"/>
      <w:rPr>
        <w:color w:val="000000"/>
      </w:rPr>
    </w:pPr>
    <w:r>
      <w:rPr>
        <w:noProof/>
        <w:lang w:eastAsia="pl-PL"/>
      </w:rPr>
      <w:drawing>
        <wp:anchor distT="0" distB="0" distL="0" distR="0" simplePos="0" relativeHeight="251660288" behindDoc="1" locked="0" layoutInCell="1" hidden="0" allowOverlap="1" wp14:anchorId="1EF31303" wp14:editId="6E2D2CE2">
          <wp:simplePos x="0" y="0"/>
          <wp:positionH relativeFrom="column">
            <wp:posOffset>-184149</wp:posOffset>
          </wp:positionH>
          <wp:positionV relativeFrom="paragraph">
            <wp:posOffset>109854</wp:posOffset>
          </wp:positionV>
          <wp:extent cx="9615600" cy="6800400"/>
          <wp:effectExtent l="0" t="0" r="0" b="0"/>
          <wp:wrapNone/>
          <wp:docPr id="12"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1"/>
                  <a:srcRect/>
                  <a:stretch>
                    <a:fillRect/>
                  </a:stretch>
                </pic:blipFill>
                <pic:spPr>
                  <a:xfrm>
                    <a:off x="0" y="0"/>
                    <a:ext cx="9615600" cy="6800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singleLevel"/>
    <w:tmpl w:val="0000000F"/>
    <w:name w:val="WW8Num31"/>
    <w:lvl w:ilvl="0">
      <w:start w:val="1"/>
      <w:numFmt w:val="bullet"/>
      <w:lvlText w:val=""/>
      <w:lvlJc w:val="left"/>
      <w:pPr>
        <w:tabs>
          <w:tab w:val="num" w:pos="1037"/>
        </w:tabs>
        <w:ind w:left="1037" w:hanging="360"/>
      </w:pPr>
      <w:rPr>
        <w:rFonts w:ascii="Symbol" w:hAnsi="Symbol"/>
      </w:rPr>
    </w:lvl>
  </w:abstractNum>
  <w:abstractNum w:abstractNumId="1" w15:restartNumberingAfterBreak="0">
    <w:nsid w:val="00000012"/>
    <w:multiLevelType w:val="singleLevel"/>
    <w:tmpl w:val="00000012"/>
    <w:name w:val="WW8Num36"/>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16676E"/>
    <w:multiLevelType w:val="multilevel"/>
    <w:tmpl w:val="6FD6EC7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05B4645"/>
    <w:multiLevelType w:val="hybridMultilevel"/>
    <w:tmpl w:val="22E61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69616F"/>
    <w:multiLevelType w:val="multilevel"/>
    <w:tmpl w:val="4EFA592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016F300D"/>
    <w:multiLevelType w:val="hybridMultilevel"/>
    <w:tmpl w:val="557256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71014EA"/>
    <w:multiLevelType w:val="multilevel"/>
    <w:tmpl w:val="2B50053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8D513A5"/>
    <w:multiLevelType w:val="hybridMultilevel"/>
    <w:tmpl w:val="C50C15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8DC0887"/>
    <w:multiLevelType w:val="multilevel"/>
    <w:tmpl w:val="BA9802C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0CED1B3F"/>
    <w:multiLevelType w:val="multilevel"/>
    <w:tmpl w:val="0A768D3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0D760B75"/>
    <w:multiLevelType w:val="multilevel"/>
    <w:tmpl w:val="6CD0E61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0D9E0EFF"/>
    <w:multiLevelType w:val="multilevel"/>
    <w:tmpl w:val="EB187992"/>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E421E69"/>
    <w:multiLevelType w:val="multilevel"/>
    <w:tmpl w:val="9A486986"/>
    <w:lvl w:ilvl="0">
      <w:start w:val="1"/>
      <w:numFmt w:val="bullet"/>
      <w:lvlText w:val="●"/>
      <w:lvlJc w:val="left"/>
      <w:pPr>
        <w:ind w:left="103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10F81E54"/>
    <w:multiLevelType w:val="multilevel"/>
    <w:tmpl w:val="4D3429A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126B4ACB"/>
    <w:multiLevelType w:val="multilevel"/>
    <w:tmpl w:val="055E263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127B2CC5"/>
    <w:multiLevelType w:val="multilevel"/>
    <w:tmpl w:val="6112473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12876B2C"/>
    <w:multiLevelType w:val="multilevel"/>
    <w:tmpl w:val="66C8A19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12AB5131"/>
    <w:multiLevelType w:val="multilevel"/>
    <w:tmpl w:val="369EABB4"/>
    <w:lvl w:ilvl="0">
      <w:start w:val="1"/>
      <w:numFmt w:val="lowerRoman"/>
      <w:lvlText w:val="(%1)"/>
      <w:lvlJc w:val="left"/>
      <w:pPr>
        <w:ind w:left="18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37F27C3"/>
    <w:multiLevelType w:val="multilevel"/>
    <w:tmpl w:val="4156F3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3C9392D"/>
    <w:multiLevelType w:val="multilevel"/>
    <w:tmpl w:val="57BC60B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14147C19"/>
    <w:multiLevelType w:val="multilevel"/>
    <w:tmpl w:val="3FBA211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161E3EDC"/>
    <w:multiLevelType w:val="multilevel"/>
    <w:tmpl w:val="9FE6D08C"/>
    <w:lvl w:ilvl="0">
      <w:start w:val="1"/>
      <w:numFmt w:val="bullet"/>
      <w:lvlText w:val="●"/>
      <w:lvlJc w:val="left"/>
      <w:pPr>
        <w:ind w:left="1080" w:hanging="360"/>
      </w:pPr>
      <w:rPr>
        <w:rFonts w:ascii="Noto Sans Symbols" w:eastAsia="Noto Sans Symbols" w:hAnsi="Noto Sans Symbols" w:cs="Noto Sans Symbols"/>
      </w:rPr>
    </w:lvl>
    <w:lvl w:ilvl="1">
      <w:start w:val="1"/>
      <w:numFmt w:val="lowerRoman"/>
      <w:lvlText w:val="(%2)"/>
      <w:lvlJc w:val="left"/>
      <w:pPr>
        <w:ind w:left="1800" w:hanging="360"/>
      </w:pPr>
    </w:lvl>
    <w:lvl w:ilvl="2">
      <w:start w:val="1"/>
      <w:numFmt w:val="bullet"/>
      <w:lvlText w:val="▪"/>
      <w:lvlJc w:val="left"/>
      <w:pPr>
        <w:ind w:left="2520" w:hanging="360"/>
      </w:pPr>
      <w:rPr>
        <w:rFonts w:ascii="Noto Sans Symbols" w:eastAsia="Noto Sans Symbols" w:hAnsi="Noto Sans Symbols" w:cs="Noto Sans Symbols"/>
      </w:rPr>
    </w:lvl>
    <w:lvl w:ilvl="3">
      <w:start w:val="1"/>
      <w:numFmt w:val="decimal"/>
      <w:lvlText w:val="%4."/>
      <w:lvlJc w:val="left"/>
      <w:pPr>
        <w:ind w:left="3585" w:hanging="705"/>
      </w:p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1859540E"/>
    <w:multiLevelType w:val="multilevel"/>
    <w:tmpl w:val="D5BC27B6"/>
    <w:lvl w:ilvl="0">
      <w:start w:val="1"/>
      <w:numFmt w:val="decimal"/>
      <w:lvlText w:val="%1."/>
      <w:lvlJc w:val="left"/>
      <w:pPr>
        <w:ind w:left="720" w:hanging="360"/>
      </w:pPr>
      <w:rPr>
        <w:color w:val="4F81B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8CD2DDF"/>
    <w:multiLevelType w:val="multilevel"/>
    <w:tmpl w:val="049652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ADF00CD"/>
    <w:multiLevelType w:val="multilevel"/>
    <w:tmpl w:val="C07A80B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1BDF68D8"/>
    <w:multiLevelType w:val="multilevel"/>
    <w:tmpl w:val="F95E186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ED57EEA"/>
    <w:multiLevelType w:val="multilevel"/>
    <w:tmpl w:val="78526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F8F7551"/>
    <w:multiLevelType w:val="hybridMultilevel"/>
    <w:tmpl w:val="FB128F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1A269D2"/>
    <w:multiLevelType w:val="multilevel"/>
    <w:tmpl w:val="F1062B3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27301309"/>
    <w:multiLevelType w:val="multilevel"/>
    <w:tmpl w:val="D58E3AA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27CC078D"/>
    <w:multiLevelType w:val="multilevel"/>
    <w:tmpl w:val="A454AB3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293636E9"/>
    <w:multiLevelType w:val="hybridMultilevel"/>
    <w:tmpl w:val="9AA89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9F147AE"/>
    <w:multiLevelType w:val="multilevel"/>
    <w:tmpl w:val="36EA2A5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30B13D70"/>
    <w:multiLevelType w:val="multilevel"/>
    <w:tmpl w:val="48461CE4"/>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
      <w:lvlJc w:val="left"/>
      <w:pPr>
        <w:ind w:left="1353" w:hanging="359"/>
      </w:pPr>
      <w:rPr>
        <w:rFonts w:ascii="Noto Sans Symbols" w:eastAsia="Noto Sans Symbols" w:hAnsi="Noto Sans Symbols" w:cs="Noto Sans Symbols"/>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34" w15:restartNumberingAfterBreak="0">
    <w:nsid w:val="33BA3563"/>
    <w:multiLevelType w:val="multilevel"/>
    <w:tmpl w:val="9EE2ABFC"/>
    <w:lvl w:ilvl="0">
      <w:start w:val="1"/>
      <w:numFmt w:val="bullet"/>
      <w:pStyle w:val="Nagwek1"/>
      <w:lvlText w:val="▪"/>
      <w:lvlJc w:val="left"/>
      <w:pPr>
        <w:ind w:left="720" w:hanging="360"/>
      </w:pPr>
      <w:rPr>
        <w:rFonts w:ascii="Noto Sans Symbols" w:eastAsia="Noto Sans Symbols" w:hAnsi="Noto Sans Symbols" w:cs="Noto Sans Symbols"/>
      </w:rPr>
    </w:lvl>
    <w:lvl w:ilvl="1">
      <w:start w:val="1"/>
      <w:numFmt w:val="bullet"/>
      <w:pStyle w:val="Nagwek2"/>
      <w:lvlText w:val=""/>
      <w:lvlJc w:val="left"/>
      <w:pPr>
        <w:ind w:left="0" w:firstLine="0"/>
      </w:pPr>
    </w:lvl>
    <w:lvl w:ilvl="2">
      <w:start w:val="1"/>
      <w:numFmt w:val="bullet"/>
      <w:pStyle w:val="Nagwek3"/>
      <w:lvlText w:val=""/>
      <w:lvlJc w:val="left"/>
      <w:pPr>
        <w:ind w:left="0" w:firstLine="0"/>
      </w:pPr>
    </w:lvl>
    <w:lvl w:ilvl="3">
      <w:start w:val="1"/>
      <w:numFmt w:val="bullet"/>
      <w:pStyle w:val="Nagwek4"/>
      <w:lvlText w:val=""/>
      <w:lvlJc w:val="left"/>
      <w:pPr>
        <w:ind w:left="0" w:firstLine="0"/>
      </w:pPr>
    </w:lvl>
    <w:lvl w:ilvl="4">
      <w:start w:val="1"/>
      <w:numFmt w:val="bullet"/>
      <w:pStyle w:val="Nagwek5"/>
      <w:lvlText w:val=""/>
      <w:lvlJc w:val="left"/>
      <w:pPr>
        <w:ind w:left="0" w:firstLine="0"/>
      </w:pPr>
    </w:lvl>
    <w:lvl w:ilvl="5">
      <w:start w:val="1"/>
      <w:numFmt w:val="bullet"/>
      <w:pStyle w:val="Nagwek6"/>
      <w:lvlText w:val=""/>
      <w:lvlJc w:val="left"/>
      <w:pPr>
        <w:ind w:left="0" w:firstLine="0"/>
      </w:pPr>
    </w:lvl>
    <w:lvl w:ilvl="6">
      <w:start w:val="1"/>
      <w:numFmt w:val="bullet"/>
      <w:pStyle w:val="Nagwek7"/>
      <w:lvlText w:val=""/>
      <w:lvlJc w:val="left"/>
      <w:pPr>
        <w:ind w:left="0" w:firstLine="0"/>
      </w:pPr>
    </w:lvl>
    <w:lvl w:ilvl="7">
      <w:start w:val="1"/>
      <w:numFmt w:val="bullet"/>
      <w:pStyle w:val="Nagwek8"/>
      <w:lvlText w:val=""/>
      <w:lvlJc w:val="left"/>
      <w:pPr>
        <w:ind w:left="0" w:firstLine="0"/>
      </w:pPr>
    </w:lvl>
    <w:lvl w:ilvl="8">
      <w:start w:val="1"/>
      <w:numFmt w:val="bullet"/>
      <w:pStyle w:val="Nagwek9"/>
      <w:lvlText w:val=""/>
      <w:lvlJc w:val="left"/>
      <w:pPr>
        <w:ind w:left="0" w:firstLine="0"/>
      </w:pPr>
    </w:lvl>
  </w:abstractNum>
  <w:abstractNum w:abstractNumId="35" w15:restartNumberingAfterBreak="0">
    <w:nsid w:val="36ED5402"/>
    <w:multiLevelType w:val="multilevel"/>
    <w:tmpl w:val="18DE457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37881F2E"/>
    <w:multiLevelType w:val="multilevel"/>
    <w:tmpl w:val="A61295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85C7069"/>
    <w:multiLevelType w:val="multilevel"/>
    <w:tmpl w:val="870EA246"/>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38BE1075"/>
    <w:multiLevelType w:val="multilevel"/>
    <w:tmpl w:val="1514E2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39292BDC"/>
    <w:multiLevelType w:val="multilevel"/>
    <w:tmpl w:val="AEB84CB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396D36EF"/>
    <w:multiLevelType w:val="multilevel"/>
    <w:tmpl w:val="4DC05442"/>
    <w:lvl w:ilvl="0">
      <w:start w:val="1"/>
      <w:numFmt w:val="lowerRoman"/>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3AD12019"/>
    <w:multiLevelType w:val="multilevel"/>
    <w:tmpl w:val="07A6CE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3BEF1089"/>
    <w:multiLevelType w:val="multilevel"/>
    <w:tmpl w:val="17321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C6A7B79"/>
    <w:multiLevelType w:val="multilevel"/>
    <w:tmpl w:val="4B34669E"/>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CCC27CB"/>
    <w:multiLevelType w:val="multilevel"/>
    <w:tmpl w:val="7F0C5A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5" w15:restartNumberingAfterBreak="0">
    <w:nsid w:val="3CDE5688"/>
    <w:multiLevelType w:val="multilevel"/>
    <w:tmpl w:val="D60288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DC56F06"/>
    <w:multiLevelType w:val="multilevel"/>
    <w:tmpl w:val="F870718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3DC74A5D"/>
    <w:multiLevelType w:val="multilevel"/>
    <w:tmpl w:val="1B20055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8" w15:restartNumberingAfterBreak="0">
    <w:nsid w:val="408C7FEA"/>
    <w:multiLevelType w:val="multilevel"/>
    <w:tmpl w:val="1940F2DC"/>
    <w:lvl w:ilvl="0">
      <w:start w:val="1"/>
      <w:numFmt w:val="decimal"/>
      <w:lvlText w:val="%1."/>
      <w:lvlJc w:val="left"/>
      <w:pPr>
        <w:ind w:left="14760" w:hanging="360"/>
      </w:pPr>
    </w:lvl>
    <w:lvl w:ilvl="1">
      <w:start w:val="1"/>
      <w:numFmt w:val="decimal"/>
      <w:lvlText w:val="%1.%2"/>
      <w:lvlJc w:val="left"/>
      <w:pPr>
        <w:ind w:left="717" w:hanging="576"/>
      </w:pPr>
      <w:rPr>
        <w:i w:val="0"/>
        <w:color w:val="4F81BD"/>
      </w:rPr>
    </w:lvl>
    <w:lvl w:ilvl="2">
      <w:start w:val="1"/>
      <w:numFmt w:val="decimal"/>
      <w:lvlText w:val="%1.%2.%3"/>
      <w:lvlJc w:val="left"/>
      <w:pPr>
        <w:ind w:left="15120" w:hanging="720"/>
      </w:pPr>
      <w:rPr>
        <w:b/>
        <w:i w:val="0"/>
        <w:smallCaps w:val="0"/>
        <w:strike w:val="0"/>
        <w:color w:val="4F81BD"/>
        <w:u w:val="none"/>
        <w:vertAlign w:val="baseline"/>
      </w:rPr>
    </w:lvl>
    <w:lvl w:ilvl="3">
      <w:start w:val="1"/>
      <w:numFmt w:val="decimal"/>
      <w:lvlText w:val="%1.%2.%3.%4"/>
      <w:lvlJc w:val="left"/>
      <w:pPr>
        <w:ind w:left="15264" w:hanging="864"/>
      </w:pPr>
    </w:lvl>
    <w:lvl w:ilvl="4">
      <w:start w:val="1"/>
      <w:numFmt w:val="decimal"/>
      <w:lvlText w:val="%1.%2.%3.%4.%5"/>
      <w:lvlJc w:val="left"/>
      <w:pPr>
        <w:ind w:left="15408" w:hanging="1008"/>
      </w:pPr>
    </w:lvl>
    <w:lvl w:ilvl="5">
      <w:start w:val="1"/>
      <w:numFmt w:val="decimal"/>
      <w:lvlText w:val="%1.%2.%3.%4.%5.%6"/>
      <w:lvlJc w:val="left"/>
      <w:pPr>
        <w:ind w:left="15552" w:hanging="1152"/>
      </w:pPr>
    </w:lvl>
    <w:lvl w:ilvl="6">
      <w:start w:val="1"/>
      <w:numFmt w:val="decimal"/>
      <w:lvlText w:val="%1.%2.%3.%4.%5.%6.%7"/>
      <w:lvlJc w:val="left"/>
      <w:pPr>
        <w:ind w:left="15696" w:hanging="1296"/>
      </w:pPr>
    </w:lvl>
    <w:lvl w:ilvl="7">
      <w:start w:val="1"/>
      <w:numFmt w:val="decimal"/>
      <w:lvlText w:val="%1.%2.%3.%4.%5.%6.%7.%8"/>
      <w:lvlJc w:val="left"/>
      <w:pPr>
        <w:ind w:left="15840" w:hanging="1440"/>
      </w:pPr>
    </w:lvl>
    <w:lvl w:ilvl="8">
      <w:start w:val="1"/>
      <w:numFmt w:val="decimal"/>
      <w:lvlText w:val="%1.%2.%3.%4.%5.%6.%7.%8.%9"/>
      <w:lvlJc w:val="left"/>
      <w:pPr>
        <w:ind w:left="15984" w:hanging="1584"/>
      </w:pPr>
    </w:lvl>
  </w:abstractNum>
  <w:abstractNum w:abstractNumId="49" w15:restartNumberingAfterBreak="0">
    <w:nsid w:val="40D277F8"/>
    <w:multiLevelType w:val="multilevel"/>
    <w:tmpl w:val="8D0C818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Arial" w:eastAsia="Arial" w:hAnsi="Arial" w:cs="Arial"/>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0" w15:restartNumberingAfterBreak="0">
    <w:nsid w:val="42A57790"/>
    <w:multiLevelType w:val="multilevel"/>
    <w:tmpl w:val="5FE65A7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1" w15:restartNumberingAfterBreak="0">
    <w:nsid w:val="43513F56"/>
    <w:multiLevelType w:val="multilevel"/>
    <w:tmpl w:val="FCB414D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2" w15:restartNumberingAfterBreak="0">
    <w:nsid w:val="438807E8"/>
    <w:multiLevelType w:val="multilevel"/>
    <w:tmpl w:val="DC5A0856"/>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53" w15:restartNumberingAfterBreak="0">
    <w:nsid w:val="43C22DD3"/>
    <w:multiLevelType w:val="multilevel"/>
    <w:tmpl w:val="6144E0B2"/>
    <w:lvl w:ilvl="0">
      <w:start w:val="1"/>
      <w:numFmt w:val="decimal"/>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54" w15:restartNumberingAfterBreak="0">
    <w:nsid w:val="43D159FE"/>
    <w:multiLevelType w:val="multilevel"/>
    <w:tmpl w:val="5B14870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5" w15:restartNumberingAfterBreak="0">
    <w:nsid w:val="45F2257D"/>
    <w:multiLevelType w:val="multilevel"/>
    <w:tmpl w:val="CBE6CEB6"/>
    <w:lvl w:ilvl="0">
      <w:start w:val="1"/>
      <w:numFmt w:val="decimal"/>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6" w15:restartNumberingAfterBreak="0">
    <w:nsid w:val="47234585"/>
    <w:multiLevelType w:val="multilevel"/>
    <w:tmpl w:val="6BCE5F9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15:restartNumberingAfterBreak="0">
    <w:nsid w:val="4959192F"/>
    <w:multiLevelType w:val="multilevel"/>
    <w:tmpl w:val="9DBA5E88"/>
    <w:lvl w:ilvl="0">
      <w:start w:val="1"/>
      <w:numFmt w:val="bullet"/>
      <w:lvlText w:val="●"/>
      <w:lvlJc w:val="left"/>
      <w:pPr>
        <w:ind w:left="720" w:hanging="360"/>
      </w:pPr>
      <w:rPr>
        <w:rFonts w:ascii="Noto Sans Symbols" w:eastAsia="Noto Sans Symbols" w:hAnsi="Noto Sans Symbols" w:cs="Noto Sans Symbols"/>
        <w:color w:val="4F81B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49760427"/>
    <w:multiLevelType w:val="multilevel"/>
    <w:tmpl w:val="EFB0DC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4B1642C6"/>
    <w:multiLevelType w:val="multilevel"/>
    <w:tmpl w:val="F39C32F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15:restartNumberingAfterBreak="0">
    <w:nsid w:val="4CAE6C21"/>
    <w:multiLevelType w:val="multilevel"/>
    <w:tmpl w:val="EF7028BA"/>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
      <w:lvlJc w:val="left"/>
      <w:pPr>
        <w:ind w:left="1789" w:hanging="360"/>
      </w:pPr>
      <w:rPr>
        <w:rFonts w:ascii="Noto Sans Symbols" w:eastAsia="Noto Sans Symbols" w:hAnsi="Noto Sans Symbols" w:cs="Noto Sans Symbols"/>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61" w15:restartNumberingAfterBreak="0">
    <w:nsid w:val="4F5B2A53"/>
    <w:multiLevelType w:val="multilevel"/>
    <w:tmpl w:val="DDE4F22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2" w15:restartNumberingAfterBreak="0">
    <w:nsid w:val="4FC50785"/>
    <w:multiLevelType w:val="multilevel"/>
    <w:tmpl w:val="3DF2EC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3" w15:restartNumberingAfterBreak="0">
    <w:nsid w:val="514874EE"/>
    <w:multiLevelType w:val="multilevel"/>
    <w:tmpl w:val="19CE6E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317531C"/>
    <w:multiLevelType w:val="multilevel"/>
    <w:tmpl w:val="4AA4F4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5" w15:restartNumberingAfterBreak="0">
    <w:nsid w:val="556602D4"/>
    <w:multiLevelType w:val="multilevel"/>
    <w:tmpl w:val="6C2655D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6" w15:restartNumberingAfterBreak="0">
    <w:nsid w:val="564C6EBB"/>
    <w:multiLevelType w:val="multilevel"/>
    <w:tmpl w:val="AD6A39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6FB159C"/>
    <w:multiLevelType w:val="multilevel"/>
    <w:tmpl w:val="5B6E1000"/>
    <w:lvl w:ilvl="0">
      <w:start w:val="1"/>
      <w:numFmt w:val="bullet"/>
      <w:lvlText w:val="·"/>
      <w:lvlJc w:val="left"/>
      <w:pPr>
        <w:ind w:left="1485" w:hanging="360"/>
      </w:pPr>
      <w:rPr>
        <w:rFonts w:ascii="Arial" w:eastAsia="Arial" w:hAnsi="Arial" w:cs="Arial"/>
      </w:rPr>
    </w:lvl>
    <w:lvl w:ilvl="1">
      <w:start w:val="1"/>
      <w:numFmt w:val="bullet"/>
      <w:lvlText w:val="·"/>
      <w:lvlJc w:val="left"/>
      <w:pPr>
        <w:ind w:left="2205" w:hanging="360"/>
      </w:pPr>
      <w:rPr>
        <w:rFonts w:ascii="Arial" w:eastAsia="Arial" w:hAnsi="Arial" w:cs="Arial"/>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68" w15:restartNumberingAfterBreak="0">
    <w:nsid w:val="59625D14"/>
    <w:multiLevelType w:val="multilevel"/>
    <w:tmpl w:val="2C18F5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5C6F4D49"/>
    <w:multiLevelType w:val="multilevel"/>
    <w:tmpl w:val="53D8E0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763" w:hanging="360"/>
      </w:pPr>
      <w:rPr>
        <w:rFonts w:ascii="Courier New" w:eastAsia="Courier New" w:hAnsi="Courier New" w:cs="Courier New"/>
      </w:rPr>
    </w:lvl>
    <w:lvl w:ilvl="2">
      <w:start w:val="1"/>
      <w:numFmt w:val="bullet"/>
      <w:lvlText w:val="▪"/>
      <w:lvlJc w:val="left"/>
      <w:pPr>
        <w:ind w:left="1483" w:hanging="360"/>
      </w:pPr>
      <w:rPr>
        <w:rFonts w:ascii="Noto Sans Symbols" w:eastAsia="Noto Sans Symbols" w:hAnsi="Noto Sans Symbols" w:cs="Noto Sans Symbols"/>
      </w:rPr>
    </w:lvl>
    <w:lvl w:ilvl="3">
      <w:start w:val="1"/>
      <w:numFmt w:val="bullet"/>
      <w:lvlText w:val="●"/>
      <w:lvlJc w:val="left"/>
      <w:pPr>
        <w:ind w:left="2203" w:hanging="360"/>
      </w:pPr>
      <w:rPr>
        <w:rFonts w:ascii="Noto Sans Symbols" w:eastAsia="Noto Sans Symbols" w:hAnsi="Noto Sans Symbols" w:cs="Noto Sans Symbols"/>
      </w:rPr>
    </w:lvl>
    <w:lvl w:ilvl="4">
      <w:start w:val="1"/>
      <w:numFmt w:val="bullet"/>
      <w:lvlText w:val="o"/>
      <w:lvlJc w:val="left"/>
      <w:pPr>
        <w:ind w:left="2923" w:hanging="360"/>
      </w:pPr>
      <w:rPr>
        <w:rFonts w:ascii="Courier New" w:eastAsia="Courier New" w:hAnsi="Courier New" w:cs="Courier New"/>
      </w:rPr>
    </w:lvl>
    <w:lvl w:ilvl="5">
      <w:start w:val="1"/>
      <w:numFmt w:val="bullet"/>
      <w:lvlText w:val="▪"/>
      <w:lvlJc w:val="left"/>
      <w:pPr>
        <w:ind w:left="3643" w:hanging="360"/>
      </w:pPr>
      <w:rPr>
        <w:rFonts w:ascii="Noto Sans Symbols" w:eastAsia="Noto Sans Symbols" w:hAnsi="Noto Sans Symbols" w:cs="Noto Sans Symbols"/>
      </w:rPr>
    </w:lvl>
    <w:lvl w:ilvl="6">
      <w:start w:val="1"/>
      <w:numFmt w:val="bullet"/>
      <w:lvlText w:val="●"/>
      <w:lvlJc w:val="left"/>
      <w:pPr>
        <w:ind w:left="4363" w:hanging="360"/>
      </w:pPr>
      <w:rPr>
        <w:rFonts w:ascii="Noto Sans Symbols" w:eastAsia="Noto Sans Symbols" w:hAnsi="Noto Sans Symbols" w:cs="Noto Sans Symbols"/>
      </w:rPr>
    </w:lvl>
    <w:lvl w:ilvl="7">
      <w:start w:val="1"/>
      <w:numFmt w:val="bullet"/>
      <w:lvlText w:val="o"/>
      <w:lvlJc w:val="left"/>
      <w:pPr>
        <w:ind w:left="5083" w:hanging="360"/>
      </w:pPr>
      <w:rPr>
        <w:rFonts w:ascii="Courier New" w:eastAsia="Courier New" w:hAnsi="Courier New" w:cs="Courier New"/>
      </w:rPr>
    </w:lvl>
    <w:lvl w:ilvl="8">
      <w:start w:val="1"/>
      <w:numFmt w:val="bullet"/>
      <w:lvlText w:val="▪"/>
      <w:lvlJc w:val="left"/>
      <w:pPr>
        <w:ind w:left="5803" w:hanging="360"/>
      </w:pPr>
      <w:rPr>
        <w:rFonts w:ascii="Noto Sans Symbols" w:eastAsia="Noto Sans Symbols" w:hAnsi="Noto Sans Symbols" w:cs="Noto Sans Symbols"/>
      </w:rPr>
    </w:lvl>
  </w:abstractNum>
  <w:abstractNum w:abstractNumId="70" w15:restartNumberingAfterBreak="0">
    <w:nsid w:val="5CDD6604"/>
    <w:multiLevelType w:val="multilevel"/>
    <w:tmpl w:val="DE4A588C"/>
    <w:lvl w:ilvl="0">
      <w:start w:val="1"/>
      <w:numFmt w:val="lowerLetter"/>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71" w15:restartNumberingAfterBreak="0">
    <w:nsid w:val="5D781CE2"/>
    <w:multiLevelType w:val="multilevel"/>
    <w:tmpl w:val="A5B8107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2" w15:restartNumberingAfterBreak="0">
    <w:nsid w:val="5FC430C1"/>
    <w:multiLevelType w:val="multilevel"/>
    <w:tmpl w:val="1D30FCEC"/>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73" w15:restartNumberingAfterBreak="0">
    <w:nsid w:val="657874C0"/>
    <w:multiLevelType w:val="multilevel"/>
    <w:tmpl w:val="69DA702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662F6F44"/>
    <w:multiLevelType w:val="multilevel"/>
    <w:tmpl w:val="A48403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5" w15:restartNumberingAfterBreak="0">
    <w:nsid w:val="67185E98"/>
    <w:multiLevelType w:val="multilevel"/>
    <w:tmpl w:val="6E54EFE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6" w15:restartNumberingAfterBreak="0">
    <w:nsid w:val="67556E78"/>
    <w:multiLevelType w:val="multilevel"/>
    <w:tmpl w:val="6132252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7" w15:restartNumberingAfterBreak="0">
    <w:nsid w:val="67A312C8"/>
    <w:multiLevelType w:val="multilevel"/>
    <w:tmpl w:val="69E011E0"/>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78" w15:restartNumberingAfterBreak="0">
    <w:nsid w:val="6A4C2687"/>
    <w:multiLevelType w:val="multilevel"/>
    <w:tmpl w:val="96085EEA"/>
    <w:lvl w:ilvl="0">
      <w:start w:val="1"/>
      <w:numFmt w:val="lowerRoman"/>
      <w:pStyle w:val="Listapunktowana3"/>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6A9473BC"/>
    <w:multiLevelType w:val="multilevel"/>
    <w:tmpl w:val="AC9E952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0" w15:restartNumberingAfterBreak="0">
    <w:nsid w:val="6ACB2C0F"/>
    <w:multiLevelType w:val="hybridMultilevel"/>
    <w:tmpl w:val="F528A172"/>
    <w:styleLink w:val="Artykusekcja4"/>
    <w:lvl w:ilvl="0" w:tplc="DA24407C">
      <w:start w:val="1"/>
      <w:numFmt w:val="bullet"/>
      <w:lvlText w:val=""/>
      <w:lvlJc w:val="left"/>
      <w:pPr>
        <w:tabs>
          <w:tab w:val="num" w:pos="1070"/>
        </w:tabs>
        <w:ind w:left="1070" w:hanging="360"/>
      </w:pPr>
      <w:rPr>
        <w:rFonts w:ascii="Symbol" w:hAnsi="Symbol" w:hint="default"/>
      </w:rPr>
    </w:lvl>
    <w:lvl w:ilvl="1" w:tplc="9758AFA2">
      <w:start w:val="1"/>
      <w:numFmt w:val="bullet"/>
      <w:lvlText w:val=""/>
      <w:lvlJc w:val="left"/>
      <w:pPr>
        <w:tabs>
          <w:tab w:val="num" w:pos="1788"/>
        </w:tabs>
        <w:ind w:left="1788" w:hanging="360"/>
      </w:pPr>
      <w:rPr>
        <w:rFonts w:ascii="Wingdings" w:hAnsi="Wingdings" w:hint="default"/>
      </w:rPr>
    </w:lvl>
    <w:lvl w:ilvl="2" w:tplc="0415001B">
      <w:start w:val="1"/>
      <w:numFmt w:val="lowerRoman"/>
      <w:lvlText w:val="%3."/>
      <w:lvlJc w:val="right"/>
      <w:pPr>
        <w:tabs>
          <w:tab w:val="num" w:pos="2508"/>
        </w:tabs>
        <w:ind w:left="2508" w:hanging="180"/>
      </w:pPr>
      <w:rPr>
        <w:rFonts w:cs="Times New Roman"/>
      </w:rPr>
    </w:lvl>
    <w:lvl w:ilvl="3" w:tplc="0415000F">
      <w:start w:val="1"/>
      <w:numFmt w:val="decimal"/>
      <w:lvlText w:val="%4."/>
      <w:lvlJc w:val="left"/>
      <w:pPr>
        <w:tabs>
          <w:tab w:val="num" w:pos="3228"/>
        </w:tabs>
        <w:ind w:left="3228" w:hanging="360"/>
      </w:pPr>
      <w:rPr>
        <w:rFonts w:cs="Times New Roman"/>
      </w:rPr>
    </w:lvl>
    <w:lvl w:ilvl="4" w:tplc="04150019">
      <w:start w:val="1"/>
      <w:numFmt w:val="lowerLetter"/>
      <w:lvlText w:val="%5."/>
      <w:lvlJc w:val="left"/>
      <w:pPr>
        <w:tabs>
          <w:tab w:val="num" w:pos="3948"/>
        </w:tabs>
        <w:ind w:left="3948" w:hanging="360"/>
      </w:pPr>
      <w:rPr>
        <w:rFonts w:cs="Times New Roman"/>
      </w:rPr>
    </w:lvl>
    <w:lvl w:ilvl="5" w:tplc="0415001B">
      <w:start w:val="1"/>
      <w:numFmt w:val="lowerRoman"/>
      <w:lvlText w:val="%6."/>
      <w:lvlJc w:val="right"/>
      <w:pPr>
        <w:tabs>
          <w:tab w:val="num" w:pos="4668"/>
        </w:tabs>
        <w:ind w:left="4668" w:hanging="180"/>
      </w:pPr>
      <w:rPr>
        <w:rFonts w:cs="Times New Roman"/>
      </w:rPr>
    </w:lvl>
    <w:lvl w:ilvl="6" w:tplc="0415000F">
      <w:start w:val="1"/>
      <w:numFmt w:val="decimal"/>
      <w:lvlText w:val="%7."/>
      <w:lvlJc w:val="left"/>
      <w:pPr>
        <w:tabs>
          <w:tab w:val="num" w:pos="5388"/>
        </w:tabs>
        <w:ind w:left="5388" w:hanging="360"/>
      </w:pPr>
      <w:rPr>
        <w:rFonts w:cs="Times New Roman"/>
      </w:rPr>
    </w:lvl>
    <w:lvl w:ilvl="7" w:tplc="04150019">
      <w:start w:val="1"/>
      <w:numFmt w:val="lowerLetter"/>
      <w:lvlText w:val="%8."/>
      <w:lvlJc w:val="left"/>
      <w:pPr>
        <w:tabs>
          <w:tab w:val="num" w:pos="6108"/>
        </w:tabs>
        <w:ind w:left="6108" w:hanging="360"/>
      </w:pPr>
      <w:rPr>
        <w:rFonts w:cs="Times New Roman"/>
      </w:rPr>
    </w:lvl>
    <w:lvl w:ilvl="8" w:tplc="0415001B">
      <w:start w:val="1"/>
      <w:numFmt w:val="lowerRoman"/>
      <w:lvlText w:val="%9."/>
      <w:lvlJc w:val="right"/>
      <w:pPr>
        <w:tabs>
          <w:tab w:val="num" w:pos="6828"/>
        </w:tabs>
        <w:ind w:left="6828" w:hanging="180"/>
      </w:pPr>
      <w:rPr>
        <w:rFonts w:cs="Times New Roman"/>
      </w:rPr>
    </w:lvl>
  </w:abstractNum>
  <w:abstractNum w:abstractNumId="81" w15:restartNumberingAfterBreak="0">
    <w:nsid w:val="6C0A0B3E"/>
    <w:multiLevelType w:val="multilevel"/>
    <w:tmpl w:val="D6C4DC9A"/>
    <w:lvl w:ilvl="0">
      <w:start w:val="1"/>
      <w:numFmt w:val="lowerRoman"/>
      <w:lvlText w:val="(%1)"/>
      <w:lvlJc w:val="left"/>
      <w:pPr>
        <w:ind w:left="1440" w:hanging="720"/>
      </w:pPr>
    </w:lvl>
    <w:lvl w:ilvl="1">
      <w:start w:val="1"/>
      <w:numFmt w:val="decimal"/>
      <w:lvlText w:val="%2."/>
      <w:lvlJc w:val="left"/>
      <w:pPr>
        <w:ind w:left="1800" w:hanging="360"/>
      </w:pPr>
      <w:rPr>
        <w:rFonts w:ascii="Calibri" w:eastAsia="Calibri" w:hAnsi="Calibri" w:cs="Calibri"/>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2" w15:restartNumberingAfterBreak="0">
    <w:nsid w:val="6CC168A5"/>
    <w:multiLevelType w:val="multilevel"/>
    <w:tmpl w:val="A2BEF8E0"/>
    <w:lvl w:ilvl="0">
      <w:start w:val="1"/>
      <w:numFmt w:val="decimal"/>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3" w15:restartNumberingAfterBreak="0">
    <w:nsid w:val="6DF402D1"/>
    <w:multiLevelType w:val="multilevel"/>
    <w:tmpl w:val="5E5093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6F212372"/>
    <w:multiLevelType w:val="multilevel"/>
    <w:tmpl w:val="E83AB6D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5" w15:restartNumberingAfterBreak="0">
    <w:nsid w:val="71313209"/>
    <w:multiLevelType w:val="multilevel"/>
    <w:tmpl w:val="67E8BD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6" w15:restartNumberingAfterBreak="0">
    <w:nsid w:val="71906BDD"/>
    <w:multiLevelType w:val="multilevel"/>
    <w:tmpl w:val="B1FA7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7885CE7"/>
    <w:multiLevelType w:val="multilevel"/>
    <w:tmpl w:val="B55CFE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91729E7"/>
    <w:multiLevelType w:val="hybridMultilevel"/>
    <w:tmpl w:val="9FB2F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9267E52"/>
    <w:multiLevelType w:val="multilevel"/>
    <w:tmpl w:val="E54E63D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0" w15:restartNumberingAfterBreak="0">
    <w:nsid w:val="79626CC1"/>
    <w:multiLevelType w:val="multilevel"/>
    <w:tmpl w:val="E29E62C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1" w15:restartNumberingAfterBreak="0">
    <w:nsid w:val="7D3C3F34"/>
    <w:multiLevelType w:val="multilevel"/>
    <w:tmpl w:val="008C5A6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2" w15:restartNumberingAfterBreak="0">
    <w:nsid w:val="7D5B55F3"/>
    <w:multiLevelType w:val="hybridMultilevel"/>
    <w:tmpl w:val="1C4E3B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3" w15:restartNumberingAfterBreak="0">
    <w:nsid w:val="7D812407"/>
    <w:multiLevelType w:val="hybridMultilevel"/>
    <w:tmpl w:val="AC3C1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5857BB"/>
    <w:multiLevelType w:val="multilevel"/>
    <w:tmpl w:val="EE28F65C"/>
    <w:lvl w:ilvl="0">
      <w:start w:val="1"/>
      <w:numFmt w:val="bullet"/>
      <w:pStyle w:val="Listapunktowana"/>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4"/>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4"/>
  </w:num>
  <w:num w:numId="2">
    <w:abstractNumId w:val="53"/>
  </w:num>
  <w:num w:numId="3">
    <w:abstractNumId w:val="57"/>
  </w:num>
  <w:num w:numId="4">
    <w:abstractNumId w:val="14"/>
  </w:num>
  <w:num w:numId="5">
    <w:abstractNumId w:val="25"/>
  </w:num>
  <w:num w:numId="6">
    <w:abstractNumId w:val="41"/>
  </w:num>
  <w:num w:numId="7">
    <w:abstractNumId w:val="51"/>
  </w:num>
  <w:num w:numId="8">
    <w:abstractNumId w:val="72"/>
  </w:num>
  <w:num w:numId="9">
    <w:abstractNumId w:val="38"/>
  </w:num>
  <w:num w:numId="10">
    <w:abstractNumId w:val="29"/>
  </w:num>
  <w:num w:numId="11">
    <w:abstractNumId w:val="33"/>
  </w:num>
  <w:num w:numId="12">
    <w:abstractNumId w:val="67"/>
  </w:num>
  <w:num w:numId="13">
    <w:abstractNumId w:val="9"/>
  </w:num>
  <w:num w:numId="14">
    <w:abstractNumId w:val="6"/>
  </w:num>
  <w:num w:numId="15">
    <w:abstractNumId w:val="40"/>
  </w:num>
  <w:num w:numId="16">
    <w:abstractNumId w:val="37"/>
  </w:num>
  <w:num w:numId="17">
    <w:abstractNumId w:val="48"/>
  </w:num>
  <w:num w:numId="18">
    <w:abstractNumId w:val="54"/>
  </w:num>
  <w:num w:numId="19">
    <w:abstractNumId w:val="56"/>
  </w:num>
  <w:num w:numId="20">
    <w:abstractNumId w:val="36"/>
  </w:num>
  <w:num w:numId="21">
    <w:abstractNumId w:val="12"/>
  </w:num>
  <w:num w:numId="22">
    <w:abstractNumId w:val="60"/>
  </w:num>
  <w:num w:numId="23">
    <w:abstractNumId w:val="76"/>
  </w:num>
  <w:num w:numId="24">
    <w:abstractNumId w:val="94"/>
  </w:num>
  <w:num w:numId="25">
    <w:abstractNumId w:val="78"/>
  </w:num>
  <w:num w:numId="26">
    <w:abstractNumId w:val="73"/>
  </w:num>
  <w:num w:numId="27">
    <w:abstractNumId w:val="43"/>
  </w:num>
  <w:num w:numId="28">
    <w:abstractNumId w:val="11"/>
  </w:num>
  <w:num w:numId="29">
    <w:abstractNumId w:val="47"/>
  </w:num>
  <w:num w:numId="30">
    <w:abstractNumId w:val="18"/>
  </w:num>
  <w:num w:numId="31">
    <w:abstractNumId w:val="68"/>
  </w:num>
  <w:num w:numId="32">
    <w:abstractNumId w:val="86"/>
  </w:num>
  <w:num w:numId="33">
    <w:abstractNumId w:val="81"/>
  </w:num>
  <w:num w:numId="34">
    <w:abstractNumId w:val="61"/>
  </w:num>
  <w:num w:numId="35">
    <w:abstractNumId w:val="77"/>
  </w:num>
  <w:num w:numId="36">
    <w:abstractNumId w:val="2"/>
  </w:num>
  <w:num w:numId="37">
    <w:abstractNumId w:val="8"/>
  </w:num>
  <w:num w:numId="38">
    <w:abstractNumId w:val="45"/>
  </w:num>
  <w:num w:numId="39">
    <w:abstractNumId w:val="55"/>
  </w:num>
  <w:num w:numId="40">
    <w:abstractNumId w:val="82"/>
  </w:num>
  <w:num w:numId="41">
    <w:abstractNumId w:val="26"/>
  </w:num>
  <w:num w:numId="42">
    <w:abstractNumId w:val="32"/>
  </w:num>
  <w:num w:numId="43">
    <w:abstractNumId w:val="70"/>
  </w:num>
  <w:num w:numId="44">
    <w:abstractNumId w:val="42"/>
  </w:num>
  <w:num w:numId="45">
    <w:abstractNumId w:val="16"/>
  </w:num>
  <w:num w:numId="46">
    <w:abstractNumId w:val="58"/>
  </w:num>
  <w:num w:numId="47">
    <w:abstractNumId w:val="50"/>
  </w:num>
  <w:num w:numId="48">
    <w:abstractNumId w:val="22"/>
  </w:num>
  <w:num w:numId="49">
    <w:abstractNumId w:val="69"/>
  </w:num>
  <w:num w:numId="50">
    <w:abstractNumId w:val="87"/>
  </w:num>
  <w:num w:numId="51">
    <w:abstractNumId w:val="83"/>
  </w:num>
  <w:num w:numId="52">
    <w:abstractNumId w:val="21"/>
  </w:num>
  <w:num w:numId="53">
    <w:abstractNumId w:val="10"/>
  </w:num>
  <w:num w:numId="54">
    <w:abstractNumId w:val="84"/>
  </w:num>
  <w:num w:numId="55">
    <w:abstractNumId w:val="79"/>
  </w:num>
  <w:num w:numId="56">
    <w:abstractNumId w:val="17"/>
  </w:num>
  <w:num w:numId="57">
    <w:abstractNumId w:val="71"/>
  </w:num>
  <w:num w:numId="58">
    <w:abstractNumId w:val="13"/>
  </w:num>
  <w:num w:numId="59">
    <w:abstractNumId w:val="66"/>
  </w:num>
  <w:num w:numId="60">
    <w:abstractNumId w:val="63"/>
  </w:num>
  <w:num w:numId="61">
    <w:abstractNumId w:val="65"/>
  </w:num>
  <w:num w:numId="62">
    <w:abstractNumId w:val="4"/>
  </w:num>
  <w:num w:numId="63">
    <w:abstractNumId w:val="64"/>
  </w:num>
  <w:num w:numId="64">
    <w:abstractNumId w:val="23"/>
  </w:num>
  <w:num w:numId="65">
    <w:abstractNumId w:val="85"/>
  </w:num>
  <w:num w:numId="66">
    <w:abstractNumId w:val="24"/>
  </w:num>
  <w:num w:numId="67">
    <w:abstractNumId w:val="59"/>
  </w:num>
  <w:num w:numId="68">
    <w:abstractNumId w:val="15"/>
  </w:num>
  <w:num w:numId="69">
    <w:abstractNumId w:val="62"/>
  </w:num>
  <w:num w:numId="70">
    <w:abstractNumId w:val="20"/>
  </w:num>
  <w:num w:numId="71">
    <w:abstractNumId w:val="74"/>
  </w:num>
  <w:num w:numId="72">
    <w:abstractNumId w:val="89"/>
  </w:num>
  <w:num w:numId="73">
    <w:abstractNumId w:val="19"/>
  </w:num>
  <w:num w:numId="74">
    <w:abstractNumId w:val="44"/>
  </w:num>
  <w:num w:numId="75">
    <w:abstractNumId w:val="75"/>
  </w:num>
  <w:num w:numId="76">
    <w:abstractNumId w:val="46"/>
  </w:num>
  <w:num w:numId="77">
    <w:abstractNumId w:val="90"/>
  </w:num>
  <w:num w:numId="78">
    <w:abstractNumId w:val="35"/>
  </w:num>
  <w:num w:numId="79">
    <w:abstractNumId w:val="39"/>
  </w:num>
  <w:num w:numId="80">
    <w:abstractNumId w:val="91"/>
  </w:num>
  <w:num w:numId="81">
    <w:abstractNumId w:val="52"/>
  </w:num>
  <w:num w:numId="82">
    <w:abstractNumId w:val="28"/>
  </w:num>
  <w:num w:numId="83">
    <w:abstractNumId w:val="30"/>
  </w:num>
  <w:num w:numId="84">
    <w:abstractNumId w:val="49"/>
  </w:num>
  <w:num w:numId="85">
    <w:abstractNumId w:val="31"/>
  </w:num>
  <w:num w:numId="86">
    <w:abstractNumId w:val="92"/>
  </w:num>
  <w:num w:numId="87">
    <w:abstractNumId w:val="80"/>
  </w:num>
  <w:num w:numId="88">
    <w:abstractNumId w:val="7"/>
  </w:num>
  <w:num w:numId="89">
    <w:abstractNumId w:val="3"/>
  </w:num>
  <w:num w:numId="90">
    <w:abstractNumId w:val="93"/>
  </w:num>
  <w:num w:numId="91">
    <w:abstractNumId w:val="88"/>
  </w:num>
  <w:num w:numId="92">
    <w:abstractNumId w:val="5"/>
  </w:num>
  <w:num w:numId="93">
    <w:abstractNumId w:val="27"/>
  </w:num>
  <w:num w:numId="94">
    <w:abstractNumId w:val="34"/>
  </w:num>
  <w:num w:numId="95">
    <w:abstractNumId w:val="3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defaultTabStop w:val="720"/>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DEE"/>
    <w:rsid w:val="000117E4"/>
    <w:rsid w:val="00016F7C"/>
    <w:rsid w:val="00023AC0"/>
    <w:rsid w:val="00073743"/>
    <w:rsid w:val="00075E15"/>
    <w:rsid w:val="000876A2"/>
    <w:rsid w:val="000927FA"/>
    <w:rsid w:val="000A249F"/>
    <w:rsid w:val="0010419F"/>
    <w:rsid w:val="00105C0A"/>
    <w:rsid w:val="001147E5"/>
    <w:rsid w:val="0012376F"/>
    <w:rsid w:val="00126CBA"/>
    <w:rsid w:val="00132C08"/>
    <w:rsid w:val="00151B63"/>
    <w:rsid w:val="0016169D"/>
    <w:rsid w:val="00173EC8"/>
    <w:rsid w:val="001740B4"/>
    <w:rsid w:val="0018582B"/>
    <w:rsid w:val="00193C5C"/>
    <w:rsid w:val="001B2F24"/>
    <w:rsid w:val="001D3DF3"/>
    <w:rsid w:val="001E05E4"/>
    <w:rsid w:val="001E28E8"/>
    <w:rsid w:val="001F6CAA"/>
    <w:rsid w:val="00203981"/>
    <w:rsid w:val="00214038"/>
    <w:rsid w:val="00243160"/>
    <w:rsid w:val="002C1CA0"/>
    <w:rsid w:val="002D4835"/>
    <w:rsid w:val="002D634C"/>
    <w:rsid w:val="002E5C0A"/>
    <w:rsid w:val="002E72AB"/>
    <w:rsid w:val="00307C29"/>
    <w:rsid w:val="0033563B"/>
    <w:rsid w:val="003365B1"/>
    <w:rsid w:val="00343533"/>
    <w:rsid w:val="003441F7"/>
    <w:rsid w:val="0035488D"/>
    <w:rsid w:val="00374F74"/>
    <w:rsid w:val="003900E8"/>
    <w:rsid w:val="0039454C"/>
    <w:rsid w:val="003A38F9"/>
    <w:rsid w:val="003B4C7E"/>
    <w:rsid w:val="003B6BDE"/>
    <w:rsid w:val="003D1D69"/>
    <w:rsid w:val="003D2AC3"/>
    <w:rsid w:val="003E14E4"/>
    <w:rsid w:val="003E2A27"/>
    <w:rsid w:val="003E6FD4"/>
    <w:rsid w:val="003E7F50"/>
    <w:rsid w:val="00416DAD"/>
    <w:rsid w:val="00427449"/>
    <w:rsid w:val="00436121"/>
    <w:rsid w:val="0045151D"/>
    <w:rsid w:val="00482C1E"/>
    <w:rsid w:val="00491878"/>
    <w:rsid w:val="00497CC7"/>
    <w:rsid w:val="004D5549"/>
    <w:rsid w:val="00505091"/>
    <w:rsid w:val="005319D5"/>
    <w:rsid w:val="00535A35"/>
    <w:rsid w:val="00542062"/>
    <w:rsid w:val="00573A14"/>
    <w:rsid w:val="005771F2"/>
    <w:rsid w:val="00596D75"/>
    <w:rsid w:val="005B1B5B"/>
    <w:rsid w:val="005B413F"/>
    <w:rsid w:val="005B78EB"/>
    <w:rsid w:val="005C3677"/>
    <w:rsid w:val="005C4AAD"/>
    <w:rsid w:val="00600DEE"/>
    <w:rsid w:val="006138AF"/>
    <w:rsid w:val="00615598"/>
    <w:rsid w:val="00620161"/>
    <w:rsid w:val="00621F49"/>
    <w:rsid w:val="00641FB5"/>
    <w:rsid w:val="00645925"/>
    <w:rsid w:val="0065009A"/>
    <w:rsid w:val="006518C3"/>
    <w:rsid w:val="006543EE"/>
    <w:rsid w:val="00661345"/>
    <w:rsid w:val="0067350B"/>
    <w:rsid w:val="00673661"/>
    <w:rsid w:val="006C2564"/>
    <w:rsid w:val="006C5DD9"/>
    <w:rsid w:val="006D0B72"/>
    <w:rsid w:val="006E3D76"/>
    <w:rsid w:val="006F4A2D"/>
    <w:rsid w:val="00701BA3"/>
    <w:rsid w:val="007022E3"/>
    <w:rsid w:val="00704E67"/>
    <w:rsid w:val="00716A93"/>
    <w:rsid w:val="007274C4"/>
    <w:rsid w:val="007308A9"/>
    <w:rsid w:val="0073146B"/>
    <w:rsid w:val="00737E3B"/>
    <w:rsid w:val="007463B9"/>
    <w:rsid w:val="00746969"/>
    <w:rsid w:val="00751A5A"/>
    <w:rsid w:val="007628DF"/>
    <w:rsid w:val="00773CE0"/>
    <w:rsid w:val="00784B01"/>
    <w:rsid w:val="0079382E"/>
    <w:rsid w:val="007B00D8"/>
    <w:rsid w:val="007C5777"/>
    <w:rsid w:val="007E2ECA"/>
    <w:rsid w:val="007F6986"/>
    <w:rsid w:val="0080071C"/>
    <w:rsid w:val="00806716"/>
    <w:rsid w:val="008107FB"/>
    <w:rsid w:val="008155F6"/>
    <w:rsid w:val="00837547"/>
    <w:rsid w:val="00841992"/>
    <w:rsid w:val="0084328D"/>
    <w:rsid w:val="00851559"/>
    <w:rsid w:val="008560D7"/>
    <w:rsid w:val="00880D09"/>
    <w:rsid w:val="0089490C"/>
    <w:rsid w:val="00896BA3"/>
    <w:rsid w:val="00897A74"/>
    <w:rsid w:val="008A523C"/>
    <w:rsid w:val="008B2B85"/>
    <w:rsid w:val="008C36AC"/>
    <w:rsid w:val="008C4407"/>
    <w:rsid w:val="008F06BF"/>
    <w:rsid w:val="008F79AD"/>
    <w:rsid w:val="0090055C"/>
    <w:rsid w:val="009038CF"/>
    <w:rsid w:val="009055EB"/>
    <w:rsid w:val="00921721"/>
    <w:rsid w:val="0093229F"/>
    <w:rsid w:val="00933C7D"/>
    <w:rsid w:val="0093514E"/>
    <w:rsid w:val="00967F6B"/>
    <w:rsid w:val="00997174"/>
    <w:rsid w:val="009A6C17"/>
    <w:rsid w:val="009A7A37"/>
    <w:rsid w:val="009C6422"/>
    <w:rsid w:val="00A128C4"/>
    <w:rsid w:val="00A24E90"/>
    <w:rsid w:val="00A27FD9"/>
    <w:rsid w:val="00A3175F"/>
    <w:rsid w:val="00A709B0"/>
    <w:rsid w:val="00A82CAE"/>
    <w:rsid w:val="00A85726"/>
    <w:rsid w:val="00AA0139"/>
    <w:rsid w:val="00AA29A0"/>
    <w:rsid w:val="00AA44B4"/>
    <w:rsid w:val="00AB1BC5"/>
    <w:rsid w:val="00AB61E5"/>
    <w:rsid w:val="00AE3591"/>
    <w:rsid w:val="00AE3652"/>
    <w:rsid w:val="00B070AD"/>
    <w:rsid w:val="00B10112"/>
    <w:rsid w:val="00B250FD"/>
    <w:rsid w:val="00B45FEE"/>
    <w:rsid w:val="00B57CEF"/>
    <w:rsid w:val="00B67038"/>
    <w:rsid w:val="00B802AC"/>
    <w:rsid w:val="00B95FB9"/>
    <w:rsid w:val="00BA1A82"/>
    <w:rsid w:val="00BB4617"/>
    <w:rsid w:val="00BD6864"/>
    <w:rsid w:val="00BE5902"/>
    <w:rsid w:val="00BF2FDE"/>
    <w:rsid w:val="00C25D65"/>
    <w:rsid w:val="00C26021"/>
    <w:rsid w:val="00C5339D"/>
    <w:rsid w:val="00C57C6B"/>
    <w:rsid w:val="00C65DA8"/>
    <w:rsid w:val="00C77DFC"/>
    <w:rsid w:val="00CB0FAE"/>
    <w:rsid w:val="00CB25CC"/>
    <w:rsid w:val="00CE2D79"/>
    <w:rsid w:val="00CE37CC"/>
    <w:rsid w:val="00CE57CF"/>
    <w:rsid w:val="00CE7FE6"/>
    <w:rsid w:val="00CF0818"/>
    <w:rsid w:val="00D00567"/>
    <w:rsid w:val="00D01E87"/>
    <w:rsid w:val="00D2339A"/>
    <w:rsid w:val="00D24D31"/>
    <w:rsid w:val="00D4323B"/>
    <w:rsid w:val="00D5736B"/>
    <w:rsid w:val="00D90BD4"/>
    <w:rsid w:val="00DA7241"/>
    <w:rsid w:val="00DC3FFD"/>
    <w:rsid w:val="00DD0E5A"/>
    <w:rsid w:val="00DD37A7"/>
    <w:rsid w:val="00DF06FA"/>
    <w:rsid w:val="00DF2F9E"/>
    <w:rsid w:val="00DF6B9D"/>
    <w:rsid w:val="00DF7214"/>
    <w:rsid w:val="00E008AE"/>
    <w:rsid w:val="00E12F72"/>
    <w:rsid w:val="00E2434E"/>
    <w:rsid w:val="00E301CF"/>
    <w:rsid w:val="00E45F4B"/>
    <w:rsid w:val="00E4699F"/>
    <w:rsid w:val="00E50D5E"/>
    <w:rsid w:val="00E7601A"/>
    <w:rsid w:val="00E91CFE"/>
    <w:rsid w:val="00E9546C"/>
    <w:rsid w:val="00EB64DC"/>
    <w:rsid w:val="00EB716F"/>
    <w:rsid w:val="00EB71BA"/>
    <w:rsid w:val="00EC4AF1"/>
    <w:rsid w:val="00ED6D74"/>
    <w:rsid w:val="00ED6E07"/>
    <w:rsid w:val="00EE29B5"/>
    <w:rsid w:val="00F102E8"/>
    <w:rsid w:val="00F132E9"/>
    <w:rsid w:val="00F15189"/>
    <w:rsid w:val="00F17649"/>
    <w:rsid w:val="00F44231"/>
    <w:rsid w:val="00F468E2"/>
    <w:rsid w:val="00F52572"/>
    <w:rsid w:val="00F6627D"/>
    <w:rsid w:val="00FC302D"/>
    <w:rsid w:val="00FD10CF"/>
    <w:rsid w:val="00FD2E0C"/>
    <w:rsid w:val="00FF1522"/>
    <w:rsid w:val="00FF69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003A8"/>
  <w15:docId w15:val="{A61BCE37-68B7-4934-960E-2369D5343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063F"/>
    <w:rPr>
      <w:lang w:eastAsia="ja-JP"/>
    </w:rPr>
  </w:style>
  <w:style w:type="paragraph" w:styleId="Nagwek1">
    <w:name w:val="heading 1"/>
    <w:basedOn w:val="Normalny"/>
    <w:next w:val="Normalny"/>
    <w:link w:val="Nagwek1Znak"/>
    <w:qFormat/>
    <w:rsid w:val="008D3F37"/>
    <w:pPr>
      <w:keepNext/>
      <w:pageBreakBefore/>
      <w:numPr>
        <w:numId w:val="1"/>
      </w:numPr>
      <w:suppressAutoHyphens/>
      <w:spacing w:before="240" w:after="360"/>
      <w:outlineLvl w:val="0"/>
    </w:pPr>
    <w:rPr>
      <w:rFonts w:ascii="Arial Narrow" w:hAnsi="Arial Narrow" w:cs="Arial"/>
      <w:b/>
      <w:bCs/>
      <w:snapToGrid w:val="0"/>
      <w:color w:val="4367C5"/>
      <w:sz w:val="48"/>
      <w:szCs w:val="32"/>
      <w:lang w:val="en-GB"/>
    </w:rPr>
  </w:style>
  <w:style w:type="paragraph" w:styleId="Nagwek2">
    <w:name w:val="heading 2"/>
    <w:basedOn w:val="Normalny"/>
    <w:next w:val="Normalny"/>
    <w:link w:val="Nagwek2Znak"/>
    <w:unhideWhenUsed/>
    <w:qFormat/>
    <w:rsid w:val="00D3054F"/>
    <w:pPr>
      <w:keepNext/>
      <w:numPr>
        <w:ilvl w:val="1"/>
        <w:numId w:val="1"/>
      </w:numPr>
      <w:suppressAutoHyphens/>
      <w:spacing w:before="240" w:after="360"/>
      <w:outlineLvl w:val="1"/>
    </w:pPr>
    <w:rPr>
      <w:rFonts w:ascii="Arial Narrow" w:hAnsi="Arial Narrow"/>
      <w:b/>
      <w:snapToGrid w:val="0"/>
      <w:color w:val="333399"/>
      <w:sz w:val="32"/>
      <w:lang w:val="en-GB"/>
    </w:rPr>
  </w:style>
  <w:style w:type="paragraph" w:styleId="Nagwek3">
    <w:name w:val="heading 3"/>
    <w:basedOn w:val="Normalny"/>
    <w:next w:val="Normalny"/>
    <w:link w:val="Nagwek3Znak"/>
    <w:unhideWhenUsed/>
    <w:qFormat/>
    <w:pPr>
      <w:keepNext/>
      <w:numPr>
        <w:ilvl w:val="2"/>
        <w:numId w:val="1"/>
      </w:numPr>
      <w:suppressAutoHyphens/>
      <w:spacing w:before="340" w:after="260"/>
      <w:outlineLvl w:val="2"/>
    </w:pPr>
    <w:rPr>
      <w:rFonts w:ascii="Arial Narrow" w:hAnsi="Arial Narrow" w:cs="Arial"/>
      <w:b/>
      <w:bCs/>
      <w:snapToGrid w:val="0"/>
      <w:color w:val="333399"/>
      <w:sz w:val="26"/>
      <w:szCs w:val="26"/>
    </w:rPr>
  </w:style>
  <w:style w:type="paragraph" w:styleId="Nagwek4">
    <w:name w:val="heading 4"/>
    <w:basedOn w:val="Normalny"/>
    <w:next w:val="Normalny"/>
    <w:link w:val="Nagwek4Znak"/>
    <w:unhideWhenUsed/>
    <w:qFormat/>
    <w:pPr>
      <w:keepNext/>
      <w:numPr>
        <w:ilvl w:val="3"/>
        <w:numId w:val="1"/>
      </w:numPr>
      <w:suppressAutoHyphens/>
      <w:spacing w:before="240" w:after="240"/>
      <w:outlineLvl w:val="3"/>
    </w:pPr>
    <w:rPr>
      <w:rFonts w:ascii="Arial Narrow" w:hAnsi="Arial Narrow"/>
      <w:bCs/>
      <w:snapToGrid w:val="0"/>
      <w:sz w:val="26"/>
      <w:szCs w:val="28"/>
    </w:rPr>
  </w:style>
  <w:style w:type="paragraph" w:styleId="Nagwek5">
    <w:name w:val="heading 5"/>
    <w:basedOn w:val="Normalny"/>
    <w:next w:val="Normalny"/>
    <w:link w:val="Nagwek5Znak"/>
    <w:unhideWhenUsed/>
    <w:qFormat/>
    <w:pPr>
      <w:keepNext/>
      <w:numPr>
        <w:ilvl w:val="4"/>
        <w:numId w:val="1"/>
      </w:numPr>
      <w:suppressAutoHyphens/>
      <w:spacing w:before="240" w:after="240"/>
      <w:jc w:val="both"/>
      <w:outlineLvl w:val="4"/>
    </w:pPr>
    <w:rPr>
      <w:b/>
      <w:bCs/>
      <w:iCs/>
      <w:snapToGrid w:val="0"/>
      <w:sz w:val="20"/>
      <w:szCs w:val="20"/>
    </w:rPr>
  </w:style>
  <w:style w:type="paragraph" w:styleId="Nagwek6">
    <w:name w:val="heading 6"/>
    <w:basedOn w:val="Normalny"/>
    <w:next w:val="Normalny"/>
    <w:link w:val="Nagwek6Znak"/>
    <w:unhideWhenUsed/>
    <w:qFormat/>
    <w:pPr>
      <w:keepNext/>
      <w:numPr>
        <w:ilvl w:val="5"/>
        <w:numId w:val="1"/>
      </w:numPr>
      <w:tabs>
        <w:tab w:val="left" w:pos="1208"/>
      </w:tabs>
      <w:suppressAutoHyphens/>
      <w:spacing w:before="120" w:after="120"/>
      <w:outlineLvl w:val="5"/>
    </w:pPr>
    <w:rPr>
      <w:bCs/>
      <w:snapToGrid w:val="0"/>
      <w:szCs w:val="22"/>
    </w:rPr>
  </w:style>
  <w:style w:type="paragraph" w:styleId="Nagwek7">
    <w:name w:val="heading 7"/>
    <w:basedOn w:val="Normalny"/>
    <w:next w:val="Normalny"/>
    <w:link w:val="Nagwek7Znak"/>
    <w:uiPriority w:val="99"/>
    <w:qFormat/>
    <w:pPr>
      <w:keepNext/>
      <w:numPr>
        <w:ilvl w:val="6"/>
        <w:numId w:val="1"/>
      </w:numPr>
      <w:suppressAutoHyphens/>
      <w:spacing w:before="60"/>
      <w:outlineLvl w:val="6"/>
    </w:pPr>
    <w:rPr>
      <w:i/>
      <w:snapToGrid w:val="0"/>
      <w:sz w:val="22"/>
    </w:rPr>
  </w:style>
  <w:style w:type="paragraph" w:styleId="Nagwek8">
    <w:name w:val="heading 8"/>
    <w:basedOn w:val="Normalny"/>
    <w:next w:val="Normalny"/>
    <w:link w:val="Nagwek8Znak"/>
    <w:uiPriority w:val="99"/>
    <w:qFormat/>
    <w:pPr>
      <w:keepNext/>
      <w:numPr>
        <w:ilvl w:val="7"/>
        <w:numId w:val="1"/>
      </w:numPr>
      <w:suppressAutoHyphens/>
      <w:spacing w:before="60"/>
      <w:jc w:val="both"/>
      <w:outlineLvl w:val="7"/>
    </w:pPr>
    <w:rPr>
      <w:b/>
      <w:iCs/>
      <w:snapToGrid w:val="0"/>
      <w:szCs w:val="22"/>
    </w:rPr>
  </w:style>
  <w:style w:type="paragraph" w:styleId="Nagwek9">
    <w:name w:val="heading 9"/>
    <w:basedOn w:val="Normalny"/>
    <w:next w:val="Normalny"/>
    <w:link w:val="Nagwek9Znak"/>
    <w:uiPriority w:val="99"/>
    <w:qFormat/>
    <w:pPr>
      <w:keepNext/>
      <w:numPr>
        <w:ilvl w:val="8"/>
        <w:numId w:val="1"/>
      </w:numPr>
      <w:suppressAutoHyphens/>
      <w:spacing w:before="60"/>
      <w:outlineLvl w:val="8"/>
    </w:pPr>
    <w:rPr>
      <w:rFonts w:cs="Arial"/>
      <w:i/>
      <w:snapToGrid w:val="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character" w:customStyle="1" w:styleId="Nagwek1Znak">
    <w:name w:val="Nagłówek 1 Znak"/>
    <w:link w:val="Nagwek1"/>
    <w:rsid w:val="008D3F37"/>
    <w:rPr>
      <w:rFonts w:ascii="Arial Narrow" w:hAnsi="Arial Narrow" w:cs="Arial"/>
      <w:b/>
      <w:bCs/>
      <w:snapToGrid w:val="0"/>
      <w:color w:val="4367C5"/>
      <w:sz w:val="48"/>
      <w:szCs w:val="32"/>
      <w:lang w:val="en-GB" w:eastAsia="ja-JP"/>
    </w:rPr>
  </w:style>
  <w:style w:type="character" w:customStyle="1" w:styleId="Nagwek2Znak">
    <w:name w:val="Nagłówek 2 Znak"/>
    <w:link w:val="Nagwek2"/>
    <w:locked/>
    <w:rsid w:val="00D3054F"/>
    <w:rPr>
      <w:rFonts w:ascii="Arial Narrow" w:hAnsi="Arial Narrow"/>
      <w:b/>
      <w:snapToGrid w:val="0"/>
      <w:color w:val="333399"/>
      <w:sz w:val="32"/>
      <w:lang w:val="en-GB" w:eastAsia="ja-JP"/>
    </w:rPr>
  </w:style>
  <w:style w:type="character" w:customStyle="1" w:styleId="Nagwek3Znak">
    <w:name w:val="Nagłówek 3 Znak"/>
    <w:link w:val="Nagwek3"/>
    <w:rPr>
      <w:rFonts w:ascii="Arial Narrow" w:hAnsi="Arial Narrow" w:cs="Arial"/>
      <w:b/>
      <w:bCs/>
      <w:snapToGrid w:val="0"/>
      <w:color w:val="333399"/>
      <w:sz w:val="26"/>
      <w:szCs w:val="26"/>
      <w:lang w:eastAsia="ja-JP"/>
    </w:rPr>
  </w:style>
  <w:style w:type="character" w:customStyle="1" w:styleId="Nagwek4Znak">
    <w:name w:val="Nagłówek 4 Znak"/>
    <w:link w:val="Nagwek4"/>
    <w:rPr>
      <w:rFonts w:ascii="Arial Narrow" w:hAnsi="Arial Narrow"/>
      <w:bCs/>
      <w:snapToGrid w:val="0"/>
      <w:sz w:val="26"/>
      <w:szCs w:val="28"/>
      <w:lang w:eastAsia="ja-JP"/>
    </w:rPr>
  </w:style>
  <w:style w:type="character" w:customStyle="1" w:styleId="Nagwek5Znak">
    <w:name w:val="Nagłówek 5 Znak"/>
    <w:link w:val="Nagwek5"/>
    <w:rPr>
      <w:b/>
      <w:bCs/>
      <w:iCs/>
      <w:snapToGrid w:val="0"/>
      <w:sz w:val="20"/>
      <w:szCs w:val="20"/>
      <w:lang w:eastAsia="ja-JP"/>
    </w:rPr>
  </w:style>
  <w:style w:type="character" w:customStyle="1" w:styleId="Nagwek6Znak">
    <w:name w:val="Nagłówek 6 Znak"/>
    <w:link w:val="Nagwek6"/>
    <w:rPr>
      <w:bCs/>
      <w:snapToGrid w:val="0"/>
      <w:szCs w:val="22"/>
      <w:lang w:eastAsia="ja-JP"/>
    </w:rPr>
  </w:style>
  <w:style w:type="character" w:customStyle="1" w:styleId="Nagwek7Znak">
    <w:name w:val="Nagłówek 7 Znak"/>
    <w:link w:val="Nagwek7"/>
    <w:uiPriority w:val="99"/>
    <w:rPr>
      <w:i/>
      <w:snapToGrid w:val="0"/>
      <w:sz w:val="22"/>
      <w:lang w:eastAsia="ja-JP"/>
    </w:rPr>
  </w:style>
  <w:style w:type="character" w:customStyle="1" w:styleId="Nagwek8Znak">
    <w:name w:val="Nagłówek 8 Znak"/>
    <w:link w:val="Nagwek8"/>
    <w:uiPriority w:val="99"/>
    <w:rPr>
      <w:b/>
      <w:iCs/>
      <w:snapToGrid w:val="0"/>
      <w:szCs w:val="22"/>
      <w:lang w:eastAsia="ja-JP"/>
    </w:rPr>
  </w:style>
  <w:style w:type="character" w:customStyle="1" w:styleId="Nagwek9Znak">
    <w:name w:val="Nagłówek 9 Znak"/>
    <w:link w:val="Nagwek9"/>
    <w:uiPriority w:val="99"/>
    <w:rPr>
      <w:rFonts w:cs="Arial"/>
      <w:i/>
      <w:snapToGrid w:val="0"/>
      <w:sz w:val="22"/>
      <w:szCs w:val="22"/>
      <w:lang w:eastAsia="ja-JP"/>
    </w:rPr>
  </w:style>
  <w:style w:type="character" w:styleId="Numerstrony">
    <w:name w:val="page number"/>
    <w:basedOn w:val="Domylnaczcionkaakapitu"/>
  </w:style>
  <w:style w:type="character" w:styleId="Hipercze">
    <w:name w:val="Hyperlink"/>
    <w:uiPriority w:val="99"/>
    <w:rPr>
      <w:color w:val="0000FF"/>
      <w:u w:val="single"/>
    </w:rPr>
  </w:style>
  <w:style w:type="paragraph" w:styleId="Spistreci1">
    <w:name w:val="toc 1"/>
    <w:basedOn w:val="Normalny"/>
    <w:next w:val="Normalny"/>
    <w:uiPriority w:val="39"/>
    <w:pPr>
      <w:tabs>
        <w:tab w:val="left" w:pos="357"/>
        <w:tab w:val="right" w:leader="dot" w:pos="8222"/>
      </w:tabs>
      <w:suppressAutoHyphens/>
      <w:spacing w:before="120"/>
      <w:ind w:left="357" w:hanging="357"/>
    </w:pPr>
    <w:rPr>
      <w:rFonts w:ascii="Arial Narrow" w:hAnsi="Arial Narrow"/>
      <w:noProof/>
      <w:snapToGrid w:val="0"/>
      <w:color w:val="333399"/>
      <w:lang w:val="en-US"/>
    </w:rPr>
  </w:style>
  <w:style w:type="paragraph" w:styleId="Spistreci2">
    <w:name w:val="toc 2"/>
    <w:basedOn w:val="Normalny"/>
    <w:next w:val="Normalny"/>
    <w:uiPriority w:val="39"/>
    <w:pPr>
      <w:tabs>
        <w:tab w:val="left" w:pos="709"/>
        <w:tab w:val="right" w:leader="dot" w:pos="8222"/>
      </w:tabs>
      <w:suppressAutoHyphens/>
      <w:spacing w:before="80"/>
      <w:ind w:left="714" w:hanging="357"/>
    </w:pPr>
    <w:rPr>
      <w:rFonts w:ascii="Arial Narrow" w:hAnsi="Arial Narrow"/>
      <w:noProof/>
      <w:snapToGrid w:val="0"/>
      <w:color w:val="333399"/>
      <w:sz w:val="22"/>
      <w:lang w:val="en-US"/>
    </w:rPr>
  </w:style>
  <w:style w:type="paragraph" w:styleId="Spistreci3">
    <w:name w:val="toc 3"/>
    <w:basedOn w:val="Normalny"/>
    <w:next w:val="Normalny"/>
    <w:uiPriority w:val="39"/>
    <w:pPr>
      <w:tabs>
        <w:tab w:val="left" w:pos="1208"/>
        <w:tab w:val="right" w:leader="dot" w:pos="8222"/>
      </w:tabs>
      <w:suppressAutoHyphens/>
      <w:spacing w:before="60"/>
      <w:ind w:left="1208" w:hanging="499"/>
    </w:pPr>
    <w:rPr>
      <w:rFonts w:ascii="Arial Narrow" w:hAnsi="Arial Narrow"/>
      <w:noProof/>
      <w:snapToGrid w:val="0"/>
      <w:color w:val="333399"/>
      <w:sz w:val="20"/>
      <w:lang w:val="en-US"/>
    </w:rPr>
  </w:style>
  <w:style w:type="paragraph" w:styleId="Stopka">
    <w:name w:val="footer"/>
    <w:basedOn w:val="Normalny"/>
    <w:link w:val="StopkaZnak"/>
    <w:uiPriority w:val="99"/>
    <w:pPr>
      <w:tabs>
        <w:tab w:val="center" w:pos="4536"/>
        <w:tab w:val="right" w:pos="9072"/>
      </w:tabs>
      <w:suppressAutoHyphens/>
      <w:spacing w:before="120"/>
    </w:pPr>
    <w:rPr>
      <w:snapToGrid w:val="0"/>
    </w:rPr>
  </w:style>
  <w:style w:type="character" w:customStyle="1" w:styleId="StopkaZnak">
    <w:name w:val="Stopka Znak"/>
    <w:link w:val="Stopka"/>
    <w:uiPriority w:val="99"/>
    <w:locked/>
    <w:rPr>
      <w:sz w:val="24"/>
      <w:lang w:val="pl-PL"/>
    </w:rPr>
  </w:style>
  <w:style w:type="paragraph" w:styleId="Nagwek">
    <w:name w:val="header"/>
    <w:basedOn w:val="Normalny"/>
    <w:link w:val="NagwekZnak"/>
    <w:uiPriority w:val="99"/>
    <w:pPr>
      <w:tabs>
        <w:tab w:val="center" w:pos="4536"/>
        <w:tab w:val="right" w:pos="9072"/>
      </w:tabs>
      <w:suppressAutoHyphens/>
      <w:spacing w:before="120"/>
    </w:pPr>
    <w:rPr>
      <w:snapToGrid w:val="0"/>
    </w:rPr>
  </w:style>
  <w:style w:type="character" w:customStyle="1" w:styleId="NagwekZnak">
    <w:name w:val="Nagłówek Znak"/>
    <w:link w:val="Nagwek"/>
    <w:uiPriority w:val="99"/>
    <w:locked/>
    <w:rPr>
      <w:sz w:val="24"/>
      <w:lang w:val="pl-PL"/>
    </w:rPr>
  </w:style>
  <w:style w:type="paragraph" w:customStyle="1" w:styleId="anxnormalZnak">
    <w:name w:val="anx normal Znak"/>
    <w:basedOn w:val="Tekstpodstawowy"/>
    <w:uiPriority w:val="99"/>
    <w:pPr>
      <w:suppressAutoHyphens/>
      <w:spacing w:before="120" w:after="0"/>
      <w:ind w:left="900"/>
      <w:jc w:val="both"/>
    </w:pPr>
    <w:rPr>
      <w:rFonts w:ascii="Arial" w:hAnsi="Arial" w:cs="Arial"/>
      <w:snapToGrid w:val="0"/>
      <w:sz w:val="20"/>
      <w:szCs w:val="20"/>
    </w:rPr>
  </w:style>
  <w:style w:type="paragraph" w:styleId="Tekstpodstawowy">
    <w:name w:val="Body Text"/>
    <w:basedOn w:val="Normalny"/>
    <w:link w:val="TekstpodstawowyZnak"/>
    <w:uiPriority w:val="99"/>
    <w:pPr>
      <w:spacing w:after="120"/>
    </w:pPr>
  </w:style>
  <w:style w:type="character" w:customStyle="1" w:styleId="TekstpodstawowyZnak">
    <w:name w:val="Tekst podstawowy Znak"/>
    <w:link w:val="Tekstpodstawowy"/>
    <w:uiPriority w:val="99"/>
    <w:semiHidden/>
    <w:rPr>
      <w:rFonts w:ascii="Times New Roman" w:hAnsi="Times New Roman" w:cs="Times New Roman"/>
      <w:sz w:val="24"/>
      <w:szCs w:val="24"/>
      <w:lang w:val="pl-PL"/>
    </w:rPr>
  </w:style>
  <w:style w:type="character" w:customStyle="1" w:styleId="tw4winMark">
    <w:name w:val="tw4winMark"/>
    <w:rPr>
      <w:rFonts w:ascii="Courier New" w:hAnsi="Courier New"/>
      <w:vanish/>
      <w:color w:val="800080"/>
      <w:sz w:val="24"/>
      <w:vertAlign w:val="subscript"/>
    </w:rPr>
  </w:style>
  <w:style w:type="character" w:customStyle="1" w:styleId="WW8Num1z0">
    <w:name w:val="WW8Num1z0"/>
    <w:rPr>
      <w:rFonts w:ascii="Times New Roman" w:hAnsi="Times New Roman"/>
      <w:sz w:val="24"/>
    </w:rPr>
  </w:style>
  <w:style w:type="character" w:customStyle="1" w:styleId="WW8Num2z0">
    <w:name w:val="WW8Num2z0"/>
    <w:rPr>
      <w:rFonts w:ascii="Wingdings" w:hAnsi="Wingdings"/>
      <w:i/>
      <w:sz w:val="20"/>
    </w:rPr>
  </w:style>
  <w:style w:type="character" w:customStyle="1" w:styleId="WW8Num3z0">
    <w:name w:val="WW8Num3z0"/>
    <w:rPr>
      <w:rFonts w:ascii="Symbol" w:hAnsi="Symbol"/>
    </w:rPr>
  </w:style>
  <w:style w:type="character" w:customStyle="1" w:styleId="WW8Num3z2">
    <w:name w:val="WW8Num3z2"/>
    <w:rPr>
      <w:rFonts w:ascii="Wingdings" w:hAnsi="Wingdings"/>
    </w:rPr>
  </w:style>
  <w:style w:type="character" w:customStyle="1" w:styleId="WW8Num3z4">
    <w:name w:val="WW8Num3z4"/>
    <w:rPr>
      <w:rFonts w:ascii="Courier New" w:hAnsi="Courier New"/>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5z0">
    <w:name w:val="WW8Num5z0"/>
    <w:rPr>
      <w:color w:val="333399"/>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Symbol" w:hAnsi="Symbol"/>
    </w:rPr>
  </w:style>
  <w:style w:type="character" w:customStyle="1" w:styleId="WW8Num6z1">
    <w:name w:val="WW8Num6z1"/>
    <w:rPr>
      <w:rFonts w:ascii="Arial" w:hAnsi="Arial"/>
    </w:rPr>
  </w:style>
  <w:style w:type="character" w:customStyle="1" w:styleId="WW8Num6z2">
    <w:name w:val="WW8Num6z2"/>
    <w:rPr>
      <w:rFonts w:ascii="Wingdings" w:hAnsi="Wingdings"/>
    </w:rPr>
  </w:style>
  <w:style w:type="character" w:customStyle="1" w:styleId="WW8Num6z4">
    <w:name w:val="WW8Num6z4"/>
    <w:rPr>
      <w:rFonts w:ascii="Courier New" w:hAnsi="Courier New"/>
    </w:rPr>
  </w:style>
  <w:style w:type="character" w:customStyle="1" w:styleId="WW8Num7z0">
    <w:name w:val="WW8Num7z0"/>
    <w:rPr>
      <w:rFonts w:ascii="Arial" w:hAnsi="Arial"/>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12z0">
    <w:name w:val="WW8Num12z0"/>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rPr>
  </w:style>
  <w:style w:type="character" w:customStyle="1" w:styleId="WW8Num13z0">
    <w:name w:val="WW8Num13z0"/>
    <w:rPr>
      <w:rFonts w:ascii="Arial" w:hAnsi="Arial"/>
      <w:b/>
      <w:color w:val="4367C5"/>
      <w:sz w:val="48"/>
    </w:rPr>
  </w:style>
  <w:style w:type="character" w:customStyle="1" w:styleId="WW8Num13z1">
    <w:name w:val="WW8Num13z1"/>
    <w:rPr>
      <w:b/>
    </w:rPr>
  </w:style>
  <w:style w:type="character" w:customStyle="1" w:styleId="WW8Num13z2">
    <w:name w:val="WW8Num13z2"/>
    <w:rPr>
      <w:b/>
      <w:color w:val="333399"/>
      <w:sz w:val="26"/>
      <w:lang w:val="x-none"/>
    </w:rPr>
  </w:style>
  <w:style w:type="character" w:customStyle="1" w:styleId="WW8Num13z5">
    <w:name w:val="WW8Num13z5"/>
    <w:rPr>
      <w:b/>
      <w:color w:val="4367C5"/>
      <w:sz w:val="24"/>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18z1">
    <w:name w:val="WW8Num18z1"/>
    <w:rPr>
      <w:rFonts w:ascii="Courier New" w:hAnsi="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6z0">
    <w:name w:val="WW8Num26z0"/>
    <w:rPr>
      <w:rFonts w:ascii="Arial" w:hAnsi="Aria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color w:val="333399"/>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8z0">
    <w:name w:val="WW8Num28z0"/>
    <w:rPr>
      <w:b/>
      <w:color w:val="4367C5"/>
      <w:sz w:val="48"/>
    </w:rPr>
  </w:style>
  <w:style w:type="character" w:customStyle="1" w:styleId="WW8Num28z1">
    <w:name w:val="WW8Num28z1"/>
    <w:rPr>
      <w:b/>
    </w:rPr>
  </w:style>
  <w:style w:type="character" w:customStyle="1" w:styleId="WW8Num28z4">
    <w:name w:val="WW8Num28z4"/>
    <w:rPr>
      <w:b/>
      <w:sz w:val="24"/>
    </w:rPr>
  </w:style>
  <w:style w:type="character" w:customStyle="1" w:styleId="WW8Num28z6">
    <w:name w:val="WW8Num28z6"/>
    <w:rPr>
      <w:sz w:val="14"/>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rPr>
  </w:style>
  <w:style w:type="character" w:customStyle="1" w:styleId="WW8Num32z2">
    <w:name w:val="WW8Num32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rPr>
  </w:style>
  <w:style w:type="character" w:customStyle="1" w:styleId="WW8Num33z2">
    <w:name w:val="WW8Num33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Arial" w:hAnsi="Arial"/>
    </w:rPr>
  </w:style>
  <w:style w:type="character" w:customStyle="1" w:styleId="WW8Num34z2">
    <w:name w:val="WW8Num34z2"/>
    <w:rPr>
      <w:rFonts w:ascii="Wingdings" w:hAnsi="Wingdings"/>
    </w:rPr>
  </w:style>
  <w:style w:type="character" w:customStyle="1" w:styleId="WW8Num34z4">
    <w:name w:val="WW8Num34z4"/>
    <w:rPr>
      <w:rFonts w:ascii="Courier New" w:hAnsi="Courier New"/>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Wingdings" w:hAnsi="Wingdings"/>
    </w:rPr>
  </w:style>
  <w:style w:type="character" w:customStyle="1" w:styleId="WW8Num36z1">
    <w:name w:val="WW8Num36z1"/>
    <w:rPr>
      <w:rFonts w:ascii="Times New Roman" w:hAnsi="Times New Roman"/>
    </w:rPr>
  </w:style>
  <w:style w:type="character" w:customStyle="1" w:styleId="WW8Num36z3">
    <w:name w:val="WW8Num36z3"/>
    <w:rPr>
      <w:rFonts w:ascii="Symbol" w:hAnsi="Symbol"/>
    </w:rPr>
  </w:style>
  <w:style w:type="character" w:customStyle="1" w:styleId="WW8Num36z4">
    <w:name w:val="WW8Num36z4"/>
    <w:rPr>
      <w:rFonts w:ascii="Courier New" w:hAnsi="Courier New"/>
    </w:rPr>
  </w:style>
  <w:style w:type="character" w:customStyle="1" w:styleId="WW8Num37z0">
    <w:name w:val="WW8Num37z0"/>
    <w:rPr>
      <w:rFonts w:ascii="Symbol" w:hAnsi="Symbol"/>
    </w:rPr>
  </w:style>
  <w:style w:type="character" w:customStyle="1" w:styleId="WW8Num37z1">
    <w:name w:val="WW8Num37z1"/>
    <w:rPr>
      <w:rFonts w:ascii="Courier New" w:hAnsi="Courier New"/>
    </w:rPr>
  </w:style>
  <w:style w:type="character" w:customStyle="1" w:styleId="WW8Num37z2">
    <w:name w:val="WW8Num37z2"/>
    <w:rPr>
      <w:rFonts w:ascii="Wingdings" w:hAnsi="Wingdings"/>
    </w:rPr>
  </w:style>
  <w:style w:type="character" w:customStyle="1" w:styleId="WW8Num38z0">
    <w:name w:val="WW8Num38z0"/>
    <w:rPr>
      <w:rFonts w:ascii="Wingdings" w:hAnsi="Wingdings"/>
      <w:color w:val="333399"/>
    </w:rPr>
  </w:style>
  <w:style w:type="character" w:customStyle="1" w:styleId="WW8Num38z1">
    <w:name w:val="WW8Num38z1"/>
    <w:rPr>
      <w:rFonts w:ascii="Courier New" w:hAnsi="Courier New"/>
    </w:rPr>
  </w:style>
  <w:style w:type="character" w:customStyle="1" w:styleId="WW8Num38z2">
    <w:name w:val="WW8Num38z2"/>
    <w:rPr>
      <w:rFonts w:ascii="Wingdings" w:hAnsi="Wingdings"/>
    </w:rPr>
  </w:style>
  <w:style w:type="character" w:customStyle="1" w:styleId="WW8Num38z3">
    <w:name w:val="WW8Num38z3"/>
    <w:rPr>
      <w:rFonts w:ascii="Symbol" w:hAnsi="Symbol"/>
    </w:rPr>
  </w:style>
  <w:style w:type="character" w:customStyle="1" w:styleId="WW8Num39z4">
    <w:name w:val="WW8Num39z4"/>
    <w:rPr>
      <w:rFonts w:ascii="Arial Narrow" w:hAnsi="Arial Narrow"/>
    </w:rPr>
  </w:style>
  <w:style w:type="character" w:customStyle="1" w:styleId="WW8Num39z5">
    <w:name w:val="WW8Num39z5"/>
    <w:rPr>
      <w:b/>
    </w:rPr>
  </w:style>
  <w:style w:type="character" w:customStyle="1" w:styleId="WW8Num40z0">
    <w:name w:val="WW8Num40z0"/>
    <w:rPr>
      <w:rFonts w:ascii="Wingdings" w:hAnsi="Wingdings"/>
    </w:rPr>
  </w:style>
  <w:style w:type="character" w:customStyle="1" w:styleId="WW8Num41z0">
    <w:name w:val="WW8Num41z0"/>
    <w:rPr>
      <w:rFonts w:ascii="Wingdings" w:hAnsi="Wingdings"/>
      <w:color w:val="333399"/>
    </w:rPr>
  </w:style>
  <w:style w:type="character" w:customStyle="1" w:styleId="WW8Num41z1">
    <w:name w:val="WW8Num41z1"/>
    <w:rPr>
      <w:rFonts w:ascii="Courier New" w:hAnsi="Courier New"/>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2z0">
    <w:name w:val="WW8Num42z0"/>
    <w:rPr>
      <w:rFonts w:ascii="Arial" w:hAnsi="Arial"/>
    </w:rPr>
  </w:style>
  <w:style w:type="character" w:customStyle="1" w:styleId="WW8Num45z0">
    <w:name w:val="WW8Num45z0"/>
    <w:rPr>
      <w:rFonts w:ascii="Wingdings" w:hAnsi="Wingdings"/>
    </w:rPr>
  </w:style>
  <w:style w:type="character" w:customStyle="1" w:styleId="WW8Num45z1">
    <w:name w:val="WW8Num45z1"/>
    <w:rPr>
      <w:rFonts w:ascii="Wingdings" w:hAnsi="Wingdings"/>
      <w:color w:val="auto"/>
    </w:rPr>
  </w:style>
  <w:style w:type="character" w:customStyle="1" w:styleId="WW8Num45z3">
    <w:name w:val="WW8Num45z3"/>
    <w:rPr>
      <w:rFonts w:ascii="Symbol" w:hAnsi="Symbol"/>
    </w:rPr>
  </w:style>
  <w:style w:type="character" w:customStyle="1" w:styleId="WW8Num45z4">
    <w:name w:val="WW8Num45z4"/>
    <w:rPr>
      <w:rFonts w:ascii="Courier New" w:hAnsi="Courier New"/>
    </w:rPr>
  </w:style>
  <w:style w:type="character" w:customStyle="1" w:styleId="WW8Num47z0">
    <w:name w:val="WW8Num47z0"/>
    <w:rPr>
      <w:rFonts w:ascii="Symbol" w:hAnsi="Symbol"/>
    </w:rPr>
  </w:style>
  <w:style w:type="character" w:customStyle="1" w:styleId="WW8Num47z1">
    <w:name w:val="WW8Num47z1"/>
    <w:rPr>
      <w:rFonts w:ascii="Courier New" w:hAnsi="Courier New"/>
    </w:rPr>
  </w:style>
  <w:style w:type="character" w:customStyle="1" w:styleId="WW8Num47z2">
    <w:name w:val="WW8Num47z2"/>
    <w:rPr>
      <w:rFonts w:ascii="Wingdings" w:hAnsi="Wingdings"/>
    </w:rPr>
  </w:style>
  <w:style w:type="character" w:customStyle="1" w:styleId="WW8Num48z1">
    <w:name w:val="WW8Num48z1"/>
    <w:rPr>
      <w:rFonts w:ascii="Courier New" w:hAnsi="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WW8Num49z0">
    <w:name w:val="WW8Num49z0"/>
    <w:rPr>
      <w:rFonts w:ascii="Wingdings" w:hAnsi="Wingdings"/>
      <w:color w:val="009FDD"/>
    </w:rPr>
  </w:style>
  <w:style w:type="character" w:customStyle="1" w:styleId="WW8Num49z2">
    <w:name w:val="WW8Num49z2"/>
    <w:rPr>
      <w:rFonts w:ascii="Wingdings" w:hAnsi="Wingdings"/>
    </w:rPr>
  </w:style>
  <w:style w:type="character" w:customStyle="1" w:styleId="WW8Num49z3">
    <w:name w:val="WW8Num49z3"/>
    <w:rPr>
      <w:rFonts w:ascii="Symbol" w:hAnsi="Symbol"/>
    </w:rPr>
  </w:style>
  <w:style w:type="character" w:customStyle="1" w:styleId="WW8Num49z4">
    <w:name w:val="WW8Num49z4"/>
    <w:rPr>
      <w:rFonts w:ascii="Courier New" w:hAnsi="Courier New"/>
    </w:rPr>
  </w:style>
  <w:style w:type="character" w:customStyle="1" w:styleId="WW8Num50z0">
    <w:name w:val="WW8Num50z0"/>
    <w:rPr>
      <w:rFonts w:ascii="Times New Roman" w:hAnsi="Times New Roman"/>
    </w:rPr>
  </w:style>
  <w:style w:type="character" w:customStyle="1" w:styleId="WW8Num50z1">
    <w:name w:val="WW8Num50z1"/>
    <w:rPr>
      <w:rFonts w:ascii="Arial" w:hAnsi="Arial"/>
    </w:rPr>
  </w:style>
  <w:style w:type="character" w:customStyle="1" w:styleId="WW8Num50z2">
    <w:name w:val="WW8Num50z2"/>
    <w:rPr>
      <w:rFonts w:ascii="Wingdings" w:hAnsi="Wingdings"/>
    </w:rPr>
  </w:style>
  <w:style w:type="character" w:customStyle="1" w:styleId="WW8Num50z3">
    <w:name w:val="WW8Num50z3"/>
    <w:rPr>
      <w:rFonts w:ascii="Symbol" w:hAnsi="Symbol"/>
    </w:rPr>
  </w:style>
  <w:style w:type="character" w:customStyle="1" w:styleId="WW8Num50z4">
    <w:name w:val="WW8Num50z4"/>
    <w:rPr>
      <w:rFonts w:ascii="Courier New" w:hAnsi="Courier New"/>
    </w:rPr>
  </w:style>
  <w:style w:type="character" w:customStyle="1" w:styleId="WW8Num52z1">
    <w:name w:val="WW8Num52z1"/>
    <w:rPr>
      <w:rFonts w:ascii="Courier New" w:hAnsi="Courier New"/>
    </w:rPr>
  </w:style>
  <w:style w:type="character" w:customStyle="1" w:styleId="WW8Num52z2">
    <w:name w:val="WW8Num52z2"/>
    <w:rPr>
      <w:rFonts w:ascii="Wingdings" w:hAnsi="Wingdings"/>
    </w:rPr>
  </w:style>
  <w:style w:type="character" w:customStyle="1" w:styleId="WW8Num52z3">
    <w:name w:val="WW8Num52z3"/>
    <w:rPr>
      <w:rFonts w:ascii="Symbol" w:hAnsi="Symbol"/>
    </w:rPr>
  </w:style>
  <w:style w:type="character" w:customStyle="1" w:styleId="WW8Num54z0">
    <w:name w:val="WW8Num54z0"/>
    <w:rPr>
      <w:rFonts w:ascii="Symbol" w:hAnsi="Symbol"/>
    </w:rPr>
  </w:style>
  <w:style w:type="character" w:customStyle="1" w:styleId="WW8Num54z1">
    <w:name w:val="WW8Num54z1"/>
    <w:rPr>
      <w:rFonts w:ascii="Courier New" w:hAnsi="Courier New"/>
    </w:rPr>
  </w:style>
  <w:style w:type="character" w:customStyle="1" w:styleId="WW8Num54z2">
    <w:name w:val="WW8Num54z2"/>
    <w:rPr>
      <w:rFonts w:ascii="Wingdings" w:hAnsi="Wingdings"/>
    </w:rPr>
  </w:style>
  <w:style w:type="character" w:customStyle="1" w:styleId="WW8Num58z0">
    <w:name w:val="WW8Num58z0"/>
    <w:rPr>
      <w:rFonts w:ascii="Arial" w:hAnsi="Arial"/>
    </w:rPr>
  </w:style>
  <w:style w:type="character" w:customStyle="1" w:styleId="WW8Num59z0">
    <w:name w:val="WW8Num59z0"/>
    <w:rPr>
      <w:rFonts w:ascii="Symbol" w:hAnsi="Symbol"/>
    </w:rPr>
  </w:style>
  <w:style w:type="character" w:customStyle="1" w:styleId="WW8Num59z1">
    <w:name w:val="WW8Num59z1"/>
    <w:rPr>
      <w:rFonts w:ascii="Courier New" w:hAnsi="Courier New"/>
    </w:rPr>
  </w:style>
  <w:style w:type="character" w:customStyle="1" w:styleId="WW8Num59z2">
    <w:name w:val="WW8Num59z2"/>
    <w:rPr>
      <w:rFonts w:ascii="Wingdings" w:hAnsi="Wingdings"/>
    </w:rPr>
  </w:style>
  <w:style w:type="character" w:customStyle="1" w:styleId="Domyslnaczcionkaakapitu1">
    <w:name w:val="Domyslna czcionka akapitu1"/>
  </w:style>
  <w:style w:type="character" w:customStyle="1" w:styleId="Znakiprzypiswdolnych">
    <w:name w:val="Znaki przypisów dolnych"/>
    <w:rPr>
      <w:vertAlign w:val="superscript"/>
    </w:rPr>
  </w:style>
  <w:style w:type="character" w:customStyle="1" w:styleId="StyleEYGothicCondMedium14pt">
    <w:name w:val="Style EY Gothic Cond Medium 14 pt"/>
    <w:rPr>
      <w:rFonts w:ascii="Arial Narrow" w:hAnsi="Arial Narrow"/>
      <w:sz w:val="28"/>
    </w:rPr>
  </w:style>
  <w:style w:type="character" w:customStyle="1" w:styleId="Znakiprzypiswkoncowych">
    <w:name w:val="Znaki przypisów koncowych"/>
    <w:rPr>
      <w:vertAlign w:val="superscript"/>
    </w:rPr>
  </w:style>
  <w:style w:type="character" w:customStyle="1" w:styleId="StyleStyleEYGothicCondMedium14pt24pt">
    <w:name w:val="Style Style EY Gothic Cond Medium 14 pt + 24 pt"/>
    <w:rPr>
      <w:rFonts w:ascii="Arial Narrow" w:hAnsi="Arial Narrow"/>
      <w:sz w:val="48"/>
    </w:rPr>
  </w:style>
  <w:style w:type="character" w:customStyle="1" w:styleId="Head1Char">
    <w:name w:val="Head 1 Char"/>
    <w:rPr>
      <w:b/>
      <w:sz w:val="24"/>
      <w:lang w:val="pl-PL"/>
    </w:rPr>
  </w:style>
  <w:style w:type="character" w:customStyle="1" w:styleId="Head2Char">
    <w:name w:val="Head 2 Char"/>
    <w:rPr>
      <w:sz w:val="24"/>
      <w:lang w:val="pl-PL"/>
    </w:rPr>
  </w:style>
  <w:style w:type="character" w:customStyle="1" w:styleId="Naglwek22">
    <w:name w:val="Naglówek 22"/>
    <w:rPr>
      <w:rFonts w:ascii="Arial Narrow" w:hAnsi="Arial Narrow"/>
      <w:b/>
      <w:color w:val="333399"/>
      <w:sz w:val="28"/>
      <w:lang w:val="pl-PL"/>
    </w:rPr>
  </w:style>
  <w:style w:type="character" w:customStyle="1" w:styleId="StyleHeading2LatinArialIndigoChar">
    <w:name w:val="Style Heading 2 + (Latin) Arial Indigo Char"/>
    <w:rPr>
      <w:rFonts w:ascii="Arial" w:hAnsi="Arial"/>
      <w:b/>
      <w:color w:val="333399"/>
      <w:sz w:val="28"/>
      <w:lang w:val="pl-PL"/>
    </w:rPr>
  </w:style>
  <w:style w:type="character" w:customStyle="1" w:styleId="anxnormalZnakZnak">
    <w:name w:val="anx normal Znak Znak"/>
    <w:rPr>
      <w:rFonts w:ascii="Arial" w:hAnsi="Arial"/>
      <w:lang w:val="pl-PL"/>
    </w:rPr>
  </w:style>
  <w:style w:type="character" w:customStyle="1" w:styleId="Odwolaniedokomentarza1">
    <w:name w:val="Odwolanie do komentarza1"/>
    <w:rPr>
      <w:sz w:val="16"/>
    </w:rPr>
  </w:style>
  <w:style w:type="character" w:styleId="UyteHipercze">
    <w:name w:val="FollowedHyperlink"/>
    <w:rPr>
      <w:color w:val="606420"/>
      <w:u w:val="single"/>
    </w:rPr>
  </w:style>
  <w:style w:type="character" w:customStyle="1" w:styleId="CharChar">
    <w:name w:val="Char Char"/>
    <w:rPr>
      <w:rFonts w:ascii="Arial Narrow" w:hAnsi="Arial Narrow"/>
      <w:sz w:val="28"/>
      <w:lang w:val="pl-PL"/>
    </w:rPr>
  </w:style>
  <w:style w:type="character" w:customStyle="1" w:styleId="EquationCaption">
    <w:name w:val="_Equation Caption"/>
  </w:style>
  <w:style w:type="character" w:customStyle="1" w:styleId="Naglwek31">
    <w:name w:val="Naglówek 31"/>
    <w:rPr>
      <w:rFonts w:ascii="Arial Narrow" w:hAnsi="Arial Narrow"/>
      <w:b/>
      <w:color w:val="333399"/>
      <w:sz w:val="26"/>
      <w:lang w:val="pl-PL"/>
    </w:rPr>
  </w:style>
  <w:style w:type="character" w:customStyle="1" w:styleId="aa-tabZnak">
    <w:name w:val="aa-tab Znak"/>
    <w:rPr>
      <w:rFonts w:ascii="Arial Narrow" w:hAnsi="Arial Narrow"/>
      <w:b/>
      <w:color w:val="4367C5"/>
      <w:lang w:val="pl-PL"/>
    </w:rPr>
  </w:style>
  <w:style w:type="character" w:customStyle="1" w:styleId="StylArialNarrow10ptIndygo">
    <w:name w:val="Styl Arial Narrow 10 pt Indygo"/>
    <w:rPr>
      <w:rFonts w:ascii="Arial Narrow" w:hAnsi="Arial Narrow"/>
      <w:color w:val="4367C5"/>
      <w:sz w:val="20"/>
    </w:rPr>
  </w:style>
  <w:style w:type="character" w:customStyle="1" w:styleId="Znak">
    <w:name w:val="Znak"/>
    <w:rPr>
      <w:sz w:val="24"/>
      <w:lang w:val="pl-PL"/>
    </w:rPr>
  </w:style>
  <w:style w:type="character" w:customStyle="1" w:styleId="ANXbulletedChar">
    <w:name w:val="ANX bulleted Char"/>
    <w:rPr>
      <w:rFonts w:ascii="Arial" w:hAnsi="Arial"/>
      <w:sz w:val="24"/>
      <w:lang w:val="pl-PL"/>
    </w:rPr>
  </w:style>
  <w:style w:type="character" w:customStyle="1" w:styleId="anxbulettedChar">
    <w:name w:val="anx buletted Char"/>
    <w:rPr>
      <w:rFonts w:ascii="Arial Narrow" w:hAnsi="Arial Narrow"/>
      <w:color w:val="4367C5"/>
      <w:lang w:val="pl-PL"/>
    </w:rPr>
  </w:style>
  <w:style w:type="character" w:customStyle="1" w:styleId="ANXbulletedZnakZnakZnakZnak">
    <w:name w:val="ANX bulleted Znak Znak Znak Znak"/>
    <w:rPr>
      <w:rFonts w:ascii="Arial" w:hAnsi="Arial"/>
      <w:sz w:val="24"/>
      <w:lang w:val="pl-PL"/>
    </w:rPr>
  </w:style>
  <w:style w:type="character" w:customStyle="1" w:styleId="ANXhead3Char">
    <w:name w:val="ANX head3 Char"/>
    <w:rPr>
      <w:rFonts w:ascii="Arial Narrow" w:hAnsi="Arial Narrow"/>
      <w:b/>
      <w:color w:val="333399"/>
      <w:sz w:val="24"/>
      <w:lang w:val="pl-PL"/>
    </w:rPr>
  </w:style>
  <w:style w:type="character" w:customStyle="1" w:styleId="anxsourceChar">
    <w:name w:val="anx source Char"/>
    <w:rPr>
      <w:rFonts w:ascii="Arial Narrow" w:hAnsi="Arial Narrow"/>
      <w:b/>
      <w:i/>
      <w:color w:val="333399"/>
      <w:sz w:val="14"/>
      <w:lang w:val="en-US"/>
    </w:rPr>
  </w:style>
  <w:style w:type="character" w:customStyle="1" w:styleId="anxnormalChar">
    <w:name w:val="anx normal Char"/>
    <w:rPr>
      <w:rFonts w:ascii="Arial" w:hAnsi="Arial"/>
      <w:sz w:val="24"/>
      <w:lang w:val="pl-PL"/>
    </w:rPr>
  </w:style>
  <w:style w:type="character" w:customStyle="1" w:styleId="WW-anxnormalZnakZnak">
    <w:name w:val="WW-anx normal Znak Znak"/>
    <w:rPr>
      <w:rFonts w:ascii="Arial" w:hAnsi="Arial"/>
      <w:sz w:val="24"/>
      <w:lang w:val="pl-PL"/>
    </w:rPr>
  </w:style>
  <w:style w:type="character" w:customStyle="1" w:styleId="CharChar3">
    <w:name w:val="Char Char3"/>
    <w:rPr>
      <w:rFonts w:ascii="Arial Narrow" w:hAnsi="Arial Narrow"/>
      <w:b/>
      <w:color w:val="333399"/>
      <w:sz w:val="28"/>
      <w:lang w:val="pl-PL"/>
    </w:rPr>
  </w:style>
  <w:style w:type="character" w:customStyle="1" w:styleId="CharChar2">
    <w:name w:val="Char Char2"/>
    <w:rPr>
      <w:rFonts w:ascii="Arial Narrow" w:hAnsi="Arial Narrow"/>
      <w:b/>
      <w:color w:val="333399"/>
      <w:sz w:val="26"/>
      <w:lang w:val="pl-PL"/>
    </w:rPr>
  </w:style>
  <w:style w:type="character" w:styleId="Odwoanieprzypisudolnego">
    <w:name w:val="footnote reference"/>
    <w:aliases w:val="Odwolanie przypisu,Odwołanie przypisu,Footnote symbol,Footnote,Nota,Footnote number,de nota al pie,Ref,Char,SUPERS,Voetnootmarkering,Char1,fr,o,(NECG) Footnote Reference,-E Fußnotenzeichen,ESPON Footnote No,Footnote call,FR"/>
    <w:rPr>
      <w:vertAlign w:val="superscript"/>
    </w:rPr>
  </w:style>
  <w:style w:type="paragraph" w:customStyle="1" w:styleId="Naglwek1">
    <w:name w:val="Naglówek1"/>
    <w:basedOn w:val="Normalny"/>
    <w:next w:val="Tekstpodstawowy"/>
    <w:uiPriority w:val="99"/>
    <w:pPr>
      <w:keepNext/>
      <w:suppressAutoHyphens/>
      <w:spacing w:before="240" w:after="120"/>
    </w:pPr>
    <w:rPr>
      <w:rFonts w:ascii="Arial" w:hAnsi="Arial"/>
      <w:snapToGrid w:val="0"/>
      <w:sz w:val="28"/>
      <w:szCs w:val="28"/>
    </w:rPr>
  </w:style>
  <w:style w:type="paragraph" w:styleId="Lista">
    <w:name w:val="List"/>
    <w:basedOn w:val="Normalny"/>
    <w:uiPriority w:val="99"/>
    <w:pPr>
      <w:suppressAutoHyphens/>
      <w:spacing w:before="120"/>
      <w:ind w:left="283" w:hanging="283"/>
    </w:pPr>
    <w:rPr>
      <w:snapToGrid w:val="0"/>
    </w:rPr>
  </w:style>
  <w:style w:type="paragraph" w:customStyle="1" w:styleId="Podpis1">
    <w:name w:val="Podpis1"/>
    <w:basedOn w:val="Normalny"/>
    <w:uiPriority w:val="99"/>
    <w:pPr>
      <w:suppressLineNumbers/>
      <w:suppressAutoHyphens/>
      <w:spacing w:before="120" w:after="120"/>
    </w:pPr>
    <w:rPr>
      <w:i/>
      <w:iCs/>
      <w:snapToGrid w:val="0"/>
    </w:rPr>
  </w:style>
  <w:style w:type="paragraph" w:customStyle="1" w:styleId="Indeks">
    <w:name w:val="Indeks"/>
    <w:basedOn w:val="Normalny"/>
    <w:uiPriority w:val="99"/>
    <w:pPr>
      <w:suppressLineNumbers/>
      <w:suppressAutoHyphens/>
      <w:spacing w:before="120"/>
    </w:pPr>
    <w:rPr>
      <w:snapToGrid w:val="0"/>
    </w:rPr>
  </w:style>
  <w:style w:type="paragraph" w:customStyle="1" w:styleId="Listawypunktowana1">
    <w:name w:val="Lista wypunktowana1"/>
    <w:basedOn w:val="Normalny"/>
    <w:uiPriority w:val="99"/>
    <w:pPr>
      <w:suppressAutoHyphens/>
      <w:spacing w:before="120"/>
      <w:jc w:val="both"/>
    </w:pPr>
    <w:rPr>
      <w:snapToGrid w:val="0"/>
    </w:rPr>
  </w:style>
  <w:style w:type="paragraph" w:customStyle="1" w:styleId="Listapunktowana21">
    <w:name w:val="Lista punktowana 21"/>
    <w:basedOn w:val="Normalny"/>
    <w:uiPriority w:val="99"/>
    <w:pPr>
      <w:suppressAutoHyphens/>
      <w:spacing w:before="120"/>
      <w:jc w:val="both"/>
    </w:pPr>
    <w:rPr>
      <w:snapToGrid w:val="0"/>
    </w:rPr>
  </w:style>
  <w:style w:type="paragraph" w:customStyle="1" w:styleId="Naglwekwykazuzrdel1">
    <w:name w:val="Naglówek wykazu zródel1"/>
    <w:basedOn w:val="Normalny"/>
    <w:next w:val="Normalny"/>
    <w:uiPriority w:val="99"/>
    <w:pPr>
      <w:suppressAutoHyphens/>
      <w:spacing w:before="120" w:after="1320"/>
    </w:pPr>
    <w:rPr>
      <w:rFonts w:cs="Arial"/>
      <w:bCs/>
      <w:snapToGrid w:val="0"/>
      <w:sz w:val="60"/>
    </w:rPr>
  </w:style>
  <w:style w:type="paragraph" w:styleId="Tekstprzypisudolnego">
    <w:name w:val="footnote text"/>
    <w:aliases w:val="Tekst przypisu,Podrozdział,Footnote text,Footnote Text Char Char Char,Footnote Text1,Footnote Text2,Footnote Text11,ALTS FOOTNOTE11,Footnote Text Char111,Footnote Text Char Char Char11,Footnote Text Char1 Char Char Char Char11,ft"/>
    <w:basedOn w:val="Normalny"/>
    <w:link w:val="TekstprzypisudolnegoZnak"/>
    <w:uiPriority w:val="99"/>
    <w:qFormat/>
    <w:pPr>
      <w:suppressAutoHyphens/>
      <w:spacing w:before="120"/>
    </w:pPr>
    <w:rPr>
      <w:snapToGrid w:val="0"/>
      <w:sz w:val="20"/>
      <w:szCs w:val="20"/>
      <w:lang w:val="en-US"/>
    </w:rPr>
  </w:style>
  <w:style w:type="character" w:customStyle="1" w:styleId="TekstprzypisudolnegoZnak">
    <w:name w:val="Tekst przypisu dolnego Znak"/>
    <w:aliases w:val="Tekst przypisu Znak,Podrozdział Znak,Footnote text Znak,Footnote Text Char Char Char Znak,Footnote Text1 Znak,Footnote Text2 Znak,Footnote Text11 Znak,ALTS FOOTNOTE11 Znak,Footnote Text Char111 Znak,ft Znak"/>
    <w:link w:val="Tekstprzypisudolnego"/>
    <w:uiPriority w:val="99"/>
    <w:locked/>
    <w:rPr>
      <w:lang w:val="x-none"/>
    </w:rPr>
  </w:style>
  <w:style w:type="paragraph" w:styleId="Tekstpodstawowywcity">
    <w:name w:val="Body Text Indent"/>
    <w:basedOn w:val="Normalny"/>
    <w:link w:val="TekstpodstawowywcityZnak"/>
    <w:uiPriority w:val="99"/>
    <w:pPr>
      <w:suppressAutoHyphens/>
      <w:spacing w:before="120" w:after="120"/>
      <w:ind w:left="283"/>
    </w:pPr>
    <w:rPr>
      <w:snapToGrid w:val="0"/>
    </w:rPr>
  </w:style>
  <w:style w:type="character" w:customStyle="1" w:styleId="TekstpodstawowywcityZnak">
    <w:name w:val="Tekst podstawowy wcięty Znak"/>
    <w:link w:val="Tekstpodstawowywcity"/>
    <w:uiPriority w:val="99"/>
    <w:rPr>
      <w:rFonts w:ascii="Times New Roman" w:hAnsi="Times New Roman" w:cs="Times New Roman"/>
      <w:sz w:val="24"/>
      <w:szCs w:val="24"/>
      <w:lang w:val="pl-PL"/>
    </w:rPr>
  </w:style>
  <w:style w:type="paragraph" w:customStyle="1" w:styleId="Tekstpodstawowy21">
    <w:name w:val="Tekst podstawowy 21"/>
    <w:basedOn w:val="Normalny"/>
    <w:uiPriority w:val="99"/>
    <w:pPr>
      <w:suppressAutoHyphens/>
      <w:spacing w:before="120"/>
    </w:pPr>
    <w:rPr>
      <w:snapToGrid w:val="0"/>
      <w:sz w:val="40"/>
    </w:rPr>
  </w:style>
  <w:style w:type="paragraph" w:customStyle="1" w:styleId="Reportfooter">
    <w:name w:val="Report_footer"/>
    <w:basedOn w:val="Normalny"/>
    <w:uiPriority w:val="99"/>
    <w:pPr>
      <w:tabs>
        <w:tab w:val="right" w:pos="8505"/>
      </w:tabs>
      <w:suppressAutoHyphens/>
      <w:spacing w:before="60" w:after="60" w:line="360" w:lineRule="auto"/>
    </w:pPr>
    <w:rPr>
      <w:rFonts w:ascii="Arial" w:hAnsi="Arial" w:cs="Arial"/>
      <w:b/>
      <w:bCs/>
      <w:caps/>
      <w:snapToGrid w:val="0"/>
      <w:sz w:val="16"/>
      <w:szCs w:val="16"/>
    </w:rPr>
  </w:style>
  <w:style w:type="paragraph" w:customStyle="1" w:styleId="Tekstpodstawowywciety31">
    <w:name w:val="Tekst podstawowy wciety 31"/>
    <w:basedOn w:val="Normalny"/>
    <w:uiPriority w:val="99"/>
    <w:pPr>
      <w:suppressAutoHyphens/>
      <w:spacing w:before="120" w:after="120"/>
      <w:ind w:left="283"/>
    </w:pPr>
    <w:rPr>
      <w:snapToGrid w:val="0"/>
      <w:sz w:val="16"/>
      <w:szCs w:val="16"/>
    </w:rPr>
  </w:style>
  <w:style w:type="paragraph" w:customStyle="1" w:styleId="xl80">
    <w:name w:val="xl80"/>
    <w:basedOn w:val="Normalny"/>
    <w:uiPriority w:val="99"/>
    <w:pPr>
      <w:pBdr>
        <w:left w:val="single" w:sz="4" w:space="0" w:color="000000"/>
      </w:pBdr>
      <w:suppressAutoHyphens/>
      <w:spacing w:before="100" w:after="100"/>
      <w:jc w:val="center"/>
    </w:pPr>
    <w:rPr>
      <w:rFonts w:ascii="Arial" w:hAnsi="Arial"/>
      <w:snapToGrid w:val="0"/>
      <w:szCs w:val="20"/>
    </w:rPr>
  </w:style>
  <w:style w:type="paragraph" w:customStyle="1" w:styleId="WW-NormalnyWeb">
    <w:name w:val="WW-Normalny (Web)"/>
    <w:basedOn w:val="Normalny"/>
    <w:uiPriority w:val="99"/>
    <w:pPr>
      <w:suppressAutoHyphens/>
      <w:spacing w:before="100" w:after="100"/>
    </w:pPr>
    <w:rPr>
      <w:snapToGrid w:val="0"/>
      <w:szCs w:val="20"/>
    </w:rPr>
  </w:style>
  <w:style w:type="paragraph" w:customStyle="1" w:styleId="Legenda1">
    <w:name w:val="Legenda1"/>
    <w:basedOn w:val="Normalny"/>
    <w:next w:val="Normalny"/>
    <w:uiPriority w:val="99"/>
    <w:pPr>
      <w:suppressAutoHyphens/>
      <w:spacing w:before="120"/>
    </w:pPr>
    <w:rPr>
      <w:b/>
      <w:bCs/>
      <w:snapToGrid w:val="0"/>
      <w:sz w:val="20"/>
      <w:szCs w:val="20"/>
    </w:rPr>
  </w:style>
  <w:style w:type="paragraph" w:customStyle="1" w:styleId="MemorandumCoverPage">
    <w:name w:val="Memorandum_CoverPage"/>
    <w:basedOn w:val="Normalny"/>
    <w:uiPriority w:val="99"/>
    <w:pPr>
      <w:tabs>
        <w:tab w:val="left" w:pos="1800"/>
      </w:tabs>
      <w:suppressAutoHyphens/>
      <w:jc w:val="both"/>
    </w:pPr>
    <w:rPr>
      <w:rFonts w:ascii="Arial" w:hAnsi="Arial"/>
      <w:b/>
      <w:caps/>
      <w:snapToGrid w:val="0"/>
      <w:sz w:val="20"/>
      <w:szCs w:val="20"/>
    </w:rPr>
  </w:style>
  <w:style w:type="paragraph" w:customStyle="1" w:styleId="Lista21">
    <w:name w:val="Lista 21"/>
    <w:basedOn w:val="Normalny"/>
    <w:uiPriority w:val="99"/>
    <w:pPr>
      <w:suppressAutoHyphens/>
      <w:spacing w:before="120"/>
      <w:ind w:left="566" w:hanging="283"/>
    </w:pPr>
    <w:rPr>
      <w:snapToGrid w:val="0"/>
    </w:rPr>
  </w:style>
  <w:style w:type="paragraph" w:customStyle="1" w:styleId="Listapunktowana31">
    <w:name w:val="Lista punktowana 31"/>
    <w:basedOn w:val="Normalny"/>
    <w:uiPriority w:val="99"/>
    <w:pPr>
      <w:suppressAutoHyphens/>
      <w:spacing w:before="120"/>
    </w:pPr>
    <w:rPr>
      <w:snapToGrid w:val="0"/>
    </w:rPr>
  </w:style>
  <w:style w:type="paragraph" w:customStyle="1" w:styleId="Tekstpodstawowyzwcieciem21">
    <w:name w:val="Tekst podstawowy z wcieciem 21"/>
    <w:basedOn w:val="Tekstpodstawowywcity"/>
    <w:uiPriority w:val="99"/>
    <w:pPr>
      <w:ind w:firstLine="210"/>
    </w:pPr>
  </w:style>
  <w:style w:type="paragraph" w:customStyle="1" w:styleId="Style1">
    <w:name w:val="Style1"/>
    <w:basedOn w:val="Nagwek8"/>
    <w:uiPriority w:val="99"/>
    <w:rPr>
      <w:b w:val="0"/>
      <w:i/>
    </w:rPr>
  </w:style>
  <w:style w:type="paragraph" w:customStyle="1" w:styleId="Tekstpodstawowywciety21">
    <w:name w:val="Tekst podstawowy wciety 21"/>
    <w:basedOn w:val="Normalny"/>
    <w:uiPriority w:val="99"/>
    <w:pPr>
      <w:suppressAutoHyphens/>
      <w:spacing w:before="120" w:after="120" w:line="480" w:lineRule="auto"/>
      <w:ind w:left="283"/>
    </w:pPr>
    <w:rPr>
      <w:snapToGrid w:val="0"/>
    </w:rPr>
  </w:style>
  <w:style w:type="paragraph" w:customStyle="1" w:styleId="Tekstdymka1">
    <w:name w:val="Tekst dymka1"/>
    <w:basedOn w:val="Normalny"/>
    <w:uiPriority w:val="99"/>
    <w:pPr>
      <w:suppressAutoHyphens/>
      <w:spacing w:before="120"/>
    </w:pPr>
    <w:rPr>
      <w:snapToGrid w:val="0"/>
      <w:sz w:val="16"/>
      <w:szCs w:val="16"/>
    </w:rPr>
  </w:style>
  <w:style w:type="paragraph" w:customStyle="1" w:styleId="Plandokumentu1">
    <w:name w:val="Plan dokumentu1"/>
    <w:basedOn w:val="Normalny"/>
    <w:uiPriority w:val="99"/>
    <w:pPr>
      <w:shd w:val="clear" w:color="auto" w:fill="000080"/>
      <w:suppressAutoHyphens/>
      <w:spacing w:before="120"/>
    </w:pPr>
    <w:rPr>
      <w:snapToGrid w:val="0"/>
    </w:rPr>
  </w:style>
  <w:style w:type="paragraph" w:customStyle="1" w:styleId="podtabela">
    <w:name w:val="pod tabela"/>
    <w:basedOn w:val="Normalny"/>
    <w:uiPriority w:val="99"/>
    <w:pPr>
      <w:tabs>
        <w:tab w:val="left" w:pos="2160"/>
      </w:tabs>
      <w:suppressAutoHyphens/>
      <w:spacing w:before="120"/>
      <w:ind w:left="2160" w:hanging="1260"/>
      <w:jc w:val="both"/>
    </w:pPr>
    <w:rPr>
      <w:rFonts w:ascii="Arial Narrow" w:hAnsi="Arial Narrow" w:cs="Arial"/>
      <w:bCs/>
      <w:i/>
      <w:snapToGrid w:val="0"/>
      <w:sz w:val="18"/>
    </w:rPr>
  </w:style>
  <w:style w:type="paragraph" w:customStyle="1" w:styleId="StyleHeading2Auto1">
    <w:name w:val="Style Heading 2 + Auto1"/>
    <w:basedOn w:val="Nagwek2"/>
    <w:uiPriority w:val="99"/>
    <w:pPr>
      <w:keepNext w:val="0"/>
      <w:jc w:val="both"/>
    </w:pPr>
    <w:rPr>
      <w:rFonts w:ascii="Times New Roman" w:hAnsi="Times New Roman"/>
      <w:b w:val="0"/>
      <w:iCs/>
      <w:sz w:val="22"/>
    </w:rPr>
  </w:style>
  <w:style w:type="paragraph" w:customStyle="1" w:styleId="Lista31">
    <w:name w:val="Lista 31"/>
    <w:basedOn w:val="Normalny"/>
    <w:uiPriority w:val="99"/>
    <w:pPr>
      <w:suppressAutoHyphens/>
      <w:spacing w:before="120"/>
      <w:ind w:left="849" w:hanging="283"/>
    </w:pPr>
    <w:rPr>
      <w:snapToGrid w:val="0"/>
    </w:rPr>
  </w:style>
  <w:style w:type="paragraph" w:customStyle="1" w:styleId="Lista41">
    <w:name w:val="Lista 41"/>
    <w:basedOn w:val="Normalny"/>
    <w:uiPriority w:val="99"/>
    <w:pPr>
      <w:suppressAutoHyphens/>
      <w:spacing w:before="120"/>
      <w:ind w:left="1132" w:hanging="283"/>
    </w:pPr>
    <w:rPr>
      <w:snapToGrid w:val="0"/>
    </w:rPr>
  </w:style>
  <w:style w:type="paragraph" w:customStyle="1" w:styleId="Lista51">
    <w:name w:val="Lista 51"/>
    <w:basedOn w:val="Normalny"/>
    <w:uiPriority w:val="99"/>
    <w:pPr>
      <w:suppressAutoHyphens/>
      <w:spacing w:before="120"/>
      <w:ind w:left="1415" w:hanging="283"/>
    </w:pPr>
    <w:rPr>
      <w:snapToGrid w:val="0"/>
    </w:rPr>
  </w:style>
  <w:style w:type="paragraph" w:customStyle="1" w:styleId="StyleHeading1Left-095cmFirstline0cm">
    <w:name w:val="Style Heading 1 + Left:  -095 cm First line:  0 cm"/>
    <w:basedOn w:val="Nagwek1"/>
    <w:uiPriority w:val="99"/>
    <w:pPr>
      <w:ind w:left="0" w:firstLine="0"/>
      <w:outlineLvl w:val="9"/>
    </w:pPr>
    <w:rPr>
      <w:rFonts w:cs="Times New Roman"/>
      <w:szCs w:val="20"/>
    </w:rPr>
  </w:style>
  <w:style w:type="paragraph" w:customStyle="1" w:styleId="StyleHeading2JustifiedBefore6ptAfter6pt">
    <w:name w:val="Style Heading 2 + Justified Before:  6 pt After:  6 pt"/>
    <w:basedOn w:val="Nagwek2"/>
    <w:uiPriority w:val="99"/>
    <w:pPr>
      <w:keepNext w:val="0"/>
      <w:numPr>
        <w:numId w:val="0"/>
      </w:numPr>
      <w:tabs>
        <w:tab w:val="left" w:pos="1260"/>
      </w:tabs>
      <w:spacing w:after="120"/>
      <w:ind w:left="1260" w:hanging="900"/>
      <w:jc w:val="both"/>
      <w:outlineLvl w:val="9"/>
    </w:pPr>
    <w:rPr>
      <w:rFonts w:ascii="Times New Roman" w:hAnsi="Times New Roman"/>
      <w:bCs/>
      <w:iCs/>
      <w:sz w:val="24"/>
      <w:szCs w:val="20"/>
    </w:rPr>
  </w:style>
  <w:style w:type="paragraph" w:customStyle="1" w:styleId="StyleHeading3Justified">
    <w:name w:val="Style Heading 3 + Justified"/>
    <w:basedOn w:val="Nagwek3"/>
    <w:uiPriority w:val="99"/>
    <w:pPr>
      <w:numPr>
        <w:ilvl w:val="0"/>
        <w:numId w:val="0"/>
      </w:numPr>
      <w:spacing w:before="120" w:after="120"/>
      <w:ind w:left="900"/>
      <w:jc w:val="both"/>
    </w:pPr>
    <w:rPr>
      <w:rFonts w:ascii="Times New Roman" w:hAnsi="Times New Roman" w:cs="Times New Roman"/>
      <w:bCs w:val="0"/>
      <w:i/>
      <w:sz w:val="22"/>
      <w:szCs w:val="20"/>
    </w:rPr>
  </w:style>
  <w:style w:type="paragraph" w:customStyle="1" w:styleId="TableLeftColumn">
    <w:name w:val="TableLeftColumn"/>
    <w:basedOn w:val="Normalny"/>
    <w:uiPriority w:val="99"/>
    <w:pPr>
      <w:keepNext/>
      <w:tabs>
        <w:tab w:val="left" w:leader="dot" w:pos="5670"/>
      </w:tabs>
      <w:suppressAutoHyphens/>
    </w:pPr>
    <w:rPr>
      <w:rFonts w:ascii="Arial Narrow" w:hAnsi="Arial Narrow"/>
      <w:snapToGrid w:val="0"/>
      <w:sz w:val="18"/>
      <w:szCs w:val="20"/>
    </w:rPr>
  </w:style>
  <w:style w:type="paragraph" w:customStyle="1" w:styleId="TableContent">
    <w:name w:val="Table Content"/>
    <w:basedOn w:val="Normalny"/>
    <w:uiPriority w:val="99"/>
    <w:pPr>
      <w:keepNext/>
      <w:keepLines/>
      <w:suppressAutoHyphens/>
    </w:pPr>
    <w:rPr>
      <w:rFonts w:ascii="Arial Narrow" w:hAnsi="Arial Narrow"/>
      <w:snapToGrid w:val="0"/>
      <w:color w:val="000000"/>
      <w:sz w:val="18"/>
      <w:szCs w:val="20"/>
    </w:rPr>
  </w:style>
  <w:style w:type="paragraph" w:customStyle="1" w:styleId="zakladka">
    <w:name w:val="zakladka"/>
    <w:basedOn w:val="Tekstpodstawowy"/>
    <w:uiPriority w:val="99"/>
    <w:pPr>
      <w:suppressAutoHyphens/>
      <w:spacing w:before="120" w:after="0"/>
      <w:ind w:left="900" w:right="-85"/>
      <w:jc w:val="right"/>
    </w:pPr>
    <w:rPr>
      <w:rFonts w:ascii="Arial" w:hAnsi="Arial" w:cs="Arial"/>
      <w:snapToGrid w:val="0"/>
      <w:sz w:val="48"/>
      <w:szCs w:val="48"/>
    </w:rPr>
  </w:style>
  <w:style w:type="paragraph" w:customStyle="1" w:styleId="Lista-kontynuacja1">
    <w:name w:val="Lista - kontynuacja1"/>
    <w:basedOn w:val="Normalny"/>
    <w:uiPriority w:val="99"/>
    <w:pPr>
      <w:suppressAutoHyphens/>
      <w:spacing w:before="120" w:after="120"/>
      <w:ind w:left="283"/>
    </w:pPr>
    <w:rPr>
      <w:snapToGrid w:val="0"/>
    </w:rPr>
  </w:style>
  <w:style w:type="paragraph" w:customStyle="1" w:styleId="Lista-kontynuacja21">
    <w:name w:val="Lista - kontynuacja 21"/>
    <w:basedOn w:val="Normalny"/>
    <w:uiPriority w:val="99"/>
    <w:pPr>
      <w:suppressAutoHyphens/>
      <w:spacing w:before="120" w:after="120"/>
      <w:ind w:left="566"/>
    </w:pPr>
    <w:rPr>
      <w:snapToGrid w:val="0"/>
    </w:rPr>
  </w:style>
  <w:style w:type="paragraph" w:customStyle="1" w:styleId="Lista-kontynuacja31">
    <w:name w:val="Lista - kontynuacja 31"/>
    <w:basedOn w:val="Normalny"/>
    <w:uiPriority w:val="99"/>
    <w:pPr>
      <w:suppressAutoHyphens/>
      <w:spacing w:before="120" w:after="120"/>
      <w:ind w:left="849"/>
    </w:pPr>
    <w:rPr>
      <w:snapToGrid w:val="0"/>
    </w:rPr>
  </w:style>
  <w:style w:type="paragraph" w:customStyle="1" w:styleId="Tekstpodstawowyzwcieciem1">
    <w:name w:val="Tekst podstawowy z wcieciem1"/>
    <w:basedOn w:val="Tekstpodstawowy"/>
    <w:uiPriority w:val="99"/>
    <w:pPr>
      <w:suppressAutoHyphens/>
      <w:spacing w:before="120"/>
      <w:ind w:firstLine="210"/>
    </w:pPr>
    <w:rPr>
      <w:snapToGrid w:val="0"/>
    </w:rPr>
  </w:style>
  <w:style w:type="paragraph" w:customStyle="1" w:styleId="StyleHeading2Left-032cmFirstline0cm">
    <w:name w:val="Style Heading 2 + Left:  -032 cm First line:  0 cm"/>
    <w:basedOn w:val="Nagwek2"/>
    <w:uiPriority w:val="99"/>
    <w:pPr>
      <w:numPr>
        <w:numId w:val="0"/>
      </w:numPr>
      <w:outlineLvl w:val="9"/>
    </w:pPr>
    <w:rPr>
      <w:bCs/>
      <w:iCs/>
      <w:szCs w:val="20"/>
    </w:rPr>
  </w:style>
  <w:style w:type="paragraph" w:customStyle="1" w:styleId="Head1">
    <w:name w:val="Head 1"/>
    <w:basedOn w:val="Normalny"/>
    <w:uiPriority w:val="99"/>
    <w:pPr>
      <w:suppressAutoHyphens/>
      <w:spacing w:before="120"/>
    </w:pPr>
    <w:rPr>
      <w:b/>
      <w:snapToGrid w:val="0"/>
    </w:rPr>
  </w:style>
  <w:style w:type="paragraph" w:customStyle="1" w:styleId="Head2">
    <w:name w:val="Head 2"/>
    <w:basedOn w:val="Normalny"/>
    <w:uiPriority w:val="99"/>
    <w:pPr>
      <w:suppressAutoHyphens/>
      <w:spacing w:before="120"/>
    </w:pPr>
    <w:rPr>
      <w:snapToGrid w:val="0"/>
      <w:sz w:val="22"/>
    </w:rPr>
  </w:style>
  <w:style w:type="paragraph" w:customStyle="1" w:styleId="Head3">
    <w:name w:val="Head 3"/>
    <w:basedOn w:val="Normalny"/>
    <w:uiPriority w:val="99"/>
    <w:pPr>
      <w:suppressAutoHyphens/>
      <w:spacing w:before="120"/>
    </w:pPr>
    <w:rPr>
      <w:snapToGrid w:val="0"/>
      <w:sz w:val="20"/>
    </w:rPr>
  </w:style>
  <w:style w:type="paragraph" w:customStyle="1" w:styleId="Bullet1">
    <w:name w:val="Bullet 1"/>
    <w:basedOn w:val="Normalny"/>
    <w:uiPriority w:val="99"/>
    <w:pPr>
      <w:tabs>
        <w:tab w:val="num" w:pos="360"/>
      </w:tabs>
      <w:suppressAutoHyphens/>
      <w:overflowPunct w:val="0"/>
      <w:autoSpaceDE w:val="0"/>
      <w:spacing w:after="120" w:line="240" w:lineRule="atLeast"/>
      <w:ind w:left="360" w:firstLine="208"/>
      <w:textAlignment w:val="baseline"/>
    </w:pPr>
    <w:rPr>
      <w:bCs/>
      <w:snapToGrid w:val="0"/>
      <w:sz w:val="22"/>
      <w:szCs w:val="20"/>
      <w:lang w:val="en-AU"/>
    </w:rPr>
  </w:style>
  <w:style w:type="paragraph" w:customStyle="1" w:styleId="TableHeading">
    <w:name w:val="Table Heading"/>
    <w:basedOn w:val="Normalny"/>
    <w:next w:val="Normalny"/>
    <w:uiPriority w:val="99"/>
    <w:pPr>
      <w:suppressAutoHyphens/>
      <w:spacing w:after="160" w:line="264" w:lineRule="auto"/>
    </w:pPr>
    <w:rPr>
      <w:rFonts w:ascii="Arial Narrow" w:hAnsi="Arial Narrow"/>
      <w:b/>
      <w:snapToGrid w:val="0"/>
      <w:sz w:val="22"/>
      <w:lang w:val="en-AU"/>
    </w:rPr>
  </w:style>
  <w:style w:type="paragraph" w:customStyle="1" w:styleId="TableBullet1a">
    <w:name w:val="Table Bullet 1a"/>
    <w:basedOn w:val="Bullet1"/>
    <w:uiPriority w:val="99"/>
    <w:pPr>
      <w:tabs>
        <w:tab w:val="clear" w:pos="360"/>
      </w:tabs>
      <w:spacing w:line="220" w:lineRule="atLeast"/>
      <w:ind w:left="0" w:firstLine="0"/>
    </w:pPr>
    <w:rPr>
      <w:sz w:val="18"/>
    </w:rPr>
  </w:style>
  <w:style w:type="paragraph" w:customStyle="1" w:styleId="BodyText1">
    <w:name w:val="Body Text1"/>
    <w:basedOn w:val="Normalny"/>
    <w:uiPriority w:val="99"/>
    <w:pPr>
      <w:keepLines/>
      <w:suppressAutoHyphens/>
      <w:spacing w:after="120"/>
      <w:jc w:val="both"/>
    </w:pPr>
    <w:rPr>
      <w:rFonts w:ascii="Arial" w:hAnsi="Arial"/>
      <w:snapToGrid w:val="0"/>
      <w:sz w:val="20"/>
      <w:szCs w:val="20"/>
    </w:rPr>
  </w:style>
  <w:style w:type="paragraph" w:customStyle="1" w:styleId="TableHeading10pt">
    <w:name w:val="Table Heading + 10 pt"/>
    <w:basedOn w:val="Normalny"/>
    <w:uiPriority w:val="99"/>
    <w:pPr>
      <w:tabs>
        <w:tab w:val="left" w:pos="720"/>
      </w:tabs>
      <w:suppressAutoHyphens/>
      <w:spacing w:before="240"/>
      <w:ind w:left="720" w:hanging="360"/>
      <w:jc w:val="both"/>
    </w:pPr>
    <w:rPr>
      <w:rFonts w:ascii="Arial" w:hAnsi="Arial" w:cs="Arial"/>
      <w:snapToGrid w:val="0"/>
      <w:color w:val="333399"/>
      <w:sz w:val="20"/>
      <w:szCs w:val="20"/>
    </w:rPr>
  </w:style>
  <w:style w:type="paragraph" w:customStyle="1" w:styleId="StyleHeading4ArialIndigo">
    <w:name w:val="Style Heading 4 + Arial Indigo"/>
    <w:basedOn w:val="Nagwek4"/>
    <w:uiPriority w:val="99"/>
    <w:rPr>
      <w:rFonts w:ascii="Arial" w:hAnsi="Arial"/>
      <w:bCs w:val="0"/>
      <w:color w:val="333399"/>
    </w:rPr>
  </w:style>
  <w:style w:type="paragraph" w:customStyle="1" w:styleId="Spisilustracji1">
    <w:name w:val="Spis ilustracji1"/>
    <w:basedOn w:val="Normalny"/>
    <w:next w:val="Normalny"/>
    <w:uiPriority w:val="99"/>
    <w:pPr>
      <w:suppressAutoHyphens/>
      <w:spacing w:before="120"/>
      <w:ind w:left="1134" w:hanging="1134"/>
    </w:pPr>
    <w:rPr>
      <w:rFonts w:ascii="Arial" w:hAnsi="Arial"/>
      <w:snapToGrid w:val="0"/>
      <w:sz w:val="20"/>
    </w:rPr>
  </w:style>
  <w:style w:type="paragraph" w:customStyle="1" w:styleId="h">
    <w:name w:val="h"/>
    <w:basedOn w:val="Normalny"/>
    <w:uiPriority w:val="99"/>
    <w:pPr>
      <w:suppressAutoHyphens/>
      <w:spacing w:before="120"/>
    </w:pPr>
    <w:rPr>
      <w:snapToGrid w:val="0"/>
    </w:rPr>
  </w:style>
  <w:style w:type="paragraph" w:customStyle="1" w:styleId="StyleHeading2LatinArialIndigo">
    <w:name w:val="Style Heading 2 + (Latin) Arial Indigo"/>
    <w:basedOn w:val="Nagwek2"/>
    <w:uiPriority w:val="99"/>
    <w:pPr>
      <w:numPr>
        <w:numId w:val="0"/>
      </w:numPr>
      <w:outlineLvl w:val="9"/>
    </w:pPr>
    <w:rPr>
      <w:rFonts w:ascii="Arial" w:hAnsi="Arial"/>
      <w:bCs/>
      <w:iCs/>
    </w:rPr>
  </w:style>
  <w:style w:type="paragraph" w:customStyle="1" w:styleId="StyleHeading4ArialCustomColorRGB43">
    <w:name w:val="Style Heading 4 + Arial Custom Color(RGB(43"/>
    <w:basedOn w:val="Nagwek4"/>
    <w:uiPriority w:val="99"/>
    <w:pPr>
      <w:numPr>
        <w:numId w:val="0"/>
      </w:numPr>
      <w:ind w:left="1004" w:hanging="720"/>
      <w:outlineLvl w:val="9"/>
    </w:pPr>
    <w:rPr>
      <w:rFonts w:ascii="Arial" w:hAnsi="Arial"/>
      <w:bCs w:val="0"/>
      <w:color w:val="2B2B85"/>
    </w:rPr>
  </w:style>
  <w:style w:type="paragraph" w:customStyle="1" w:styleId="cover">
    <w:name w:val="cover"/>
    <w:basedOn w:val="Normalny"/>
    <w:uiPriority w:val="99"/>
    <w:pPr>
      <w:tabs>
        <w:tab w:val="left" w:pos="567"/>
      </w:tabs>
      <w:suppressAutoHyphens/>
      <w:spacing w:after="60"/>
      <w:ind w:left="567" w:hanging="567"/>
      <w:jc w:val="center"/>
    </w:pPr>
    <w:rPr>
      <w:rFonts w:ascii="Arial" w:hAnsi="Arial"/>
      <w:b/>
      <w:snapToGrid w:val="0"/>
      <w:sz w:val="48"/>
      <w:szCs w:val="20"/>
    </w:rPr>
  </w:style>
  <w:style w:type="paragraph" w:customStyle="1" w:styleId="Default">
    <w:name w:val="Default"/>
    <w:uiPriority w:val="99"/>
    <w:pPr>
      <w:suppressAutoHyphens/>
      <w:autoSpaceDE w:val="0"/>
    </w:pPr>
    <w:rPr>
      <w:snapToGrid w:val="0"/>
      <w:color w:val="000000"/>
      <w:lang w:val="en-US" w:eastAsia="ja-JP"/>
    </w:rPr>
  </w:style>
  <w:style w:type="paragraph" w:customStyle="1" w:styleId="Standardowy1">
    <w:name w:val="Standardowy1"/>
    <w:basedOn w:val="Default"/>
    <w:next w:val="Default"/>
    <w:uiPriority w:val="99"/>
    <w:rPr>
      <w:color w:val="auto"/>
    </w:rPr>
  </w:style>
  <w:style w:type="paragraph" w:customStyle="1" w:styleId="zwyklybezwciecia">
    <w:name w:val="zwykly_bez_wciecia"/>
    <w:basedOn w:val="Normalny"/>
    <w:uiPriority w:val="99"/>
    <w:pPr>
      <w:suppressAutoHyphens/>
      <w:spacing w:before="60" w:after="60" w:line="360" w:lineRule="auto"/>
      <w:jc w:val="both"/>
    </w:pPr>
    <w:rPr>
      <w:snapToGrid w:val="0"/>
    </w:rPr>
  </w:style>
  <w:style w:type="paragraph" w:customStyle="1" w:styleId="basic">
    <w:name w:val="basic"/>
    <w:basedOn w:val="Normalny"/>
    <w:uiPriority w:val="99"/>
    <w:pPr>
      <w:suppressAutoHyphens/>
      <w:ind w:firstLine="709"/>
      <w:jc w:val="both"/>
    </w:pPr>
    <w:rPr>
      <w:snapToGrid w:val="0"/>
      <w:sz w:val="20"/>
    </w:rPr>
  </w:style>
  <w:style w:type="paragraph" w:customStyle="1" w:styleId="firstparagraph">
    <w:name w:val="first_paragraph"/>
    <w:basedOn w:val="basic"/>
    <w:next w:val="basic"/>
    <w:uiPriority w:val="99"/>
    <w:pPr>
      <w:ind w:firstLine="0"/>
    </w:pPr>
  </w:style>
  <w:style w:type="paragraph" w:customStyle="1" w:styleId="wypunkt">
    <w:name w:val="wypunkt"/>
    <w:basedOn w:val="basic"/>
    <w:uiPriority w:val="99"/>
    <w:pPr>
      <w:tabs>
        <w:tab w:val="left" w:pos="360"/>
      </w:tabs>
    </w:pPr>
  </w:style>
  <w:style w:type="paragraph" w:customStyle="1" w:styleId="titlesubsection">
    <w:name w:val="title_subsection"/>
    <w:basedOn w:val="Normalny"/>
    <w:next w:val="firstparagraph"/>
    <w:uiPriority w:val="99"/>
    <w:pPr>
      <w:keepNext/>
      <w:keepLines/>
      <w:tabs>
        <w:tab w:val="left" w:pos="2160"/>
      </w:tabs>
      <w:suppressAutoHyphens/>
      <w:spacing w:before="240" w:after="120"/>
      <w:ind w:left="720" w:hanging="720"/>
    </w:pPr>
    <w:rPr>
      <w:b/>
      <w:snapToGrid w:val="0"/>
    </w:rPr>
  </w:style>
  <w:style w:type="paragraph" w:customStyle="1" w:styleId="ANXbulletedZnakZnakZnak">
    <w:name w:val="ANX bulleted Znak Znak Znak"/>
    <w:basedOn w:val="Listapunktowana31"/>
    <w:uiPriority w:val="99"/>
    <w:pPr>
      <w:tabs>
        <w:tab w:val="num" w:pos="1260"/>
      </w:tabs>
      <w:ind w:left="1260" w:hanging="360"/>
      <w:jc w:val="both"/>
    </w:pPr>
    <w:rPr>
      <w:rFonts w:ascii="Arial" w:hAnsi="Arial" w:cs="Arial"/>
      <w:sz w:val="20"/>
      <w:szCs w:val="20"/>
    </w:rPr>
  </w:style>
  <w:style w:type="paragraph" w:customStyle="1" w:styleId="ANXhead1">
    <w:name w:val="ANX head1"/>
    <w:basedOn w:val="StyleHeading2LatinArialIndigo"/>
    <w:uiPriority w:val="99"/>
  </w:style>
  <w:style w:type="paragraph" w:customStyle="1" w:styleId="ANXhead2">
    <w:name w:val="ANX head2"/>
    <w:basedOn w:val="Nagwek2"/>
    <w:uiPriority w:val="99"/>
    <w:rPr>
      <w:color w:val="2B2B85"/>
    </w:rPr>
  </w:style>
  <w:style w:type="paragraph" w:customStyle="1" w:styleId="ANXhead3">
    <w:name w:val="ANX head3"/>
    <w:basedOn w:val="ANXbulletedZnakZnakZnak"/>
    <w:uiPriority w:val="99"/>
    <w:pPr>
      <w:tabs>
        <w:tab w:val="clear" w:pos="1260"/>
      </w:tabs>
      <w:spacing w:before="260"/>
      <w:ind w:left="900" w:firstLine="0"/>
    </w:pPr>
    <w:rPr>
      <w:rFonts w:ascii="Arial Narrow" w:hAnsi="Arial Narrow"/>
      <w:b/>
      <w:color w:val="333399"/>
      <w:sz w:val="24"/>
      <w:szCs w:val="24"/>
    </w:rPr>
  </w:style>
  <w:style w:type="paragraph" w:customStyle="1" w:styleId="Tekstpodstawowy31">
    <w:name w:val="Tekst podstawowy 31"/>
    <w:basedOn w:val="Normalny"/>
    <w:uiPriority w:val="99"/>
    <w:pPr>
      <w:suppressAutoHyphens/>
      <w:spacing w:before="120" w:after="120"/>
    </w:pPr>
    <w:rPr>
      <w:snapToGrid w:val="0"/>
      <w:sz w:val="16"/>
      <w:szCs w:val="16"/>
    </w:rPr>
  </w:style>
  <w:style w:type="paragraph" w:customStyle="1" w:styleId="Tekstkomentarza1">
    <w:name w:val="Tekst komentarza1"/>
    <w:basedOn w:val="Normalny"/>
    <w:uiPriority w:val="99"/>
    <w:pPr>
      <w:suppressAutoHyphens/>
      <w:spacing w:before="120"/>
    </w:pPr>
    <w:rPr>
      <w:snapToGrid w:val="0"/>
      <w:sz w:val="20"/>
      <w:szCs w:val="20"/>
    </w:rPr>
  </w:style>
  <w:style w:type="paragraph" w:customStyle="1" w:styleId="Tematkomentarza1">
    <w:name w:val="Temat komentarza1"/>
    <w:basedOn w:val="Tekstkomentarza1"/>
    <w:next w:val="Tekstkomentarza1"/>
    <w:uiPriority w:val="99"/>
    <w:rPr>
      <w:b/>
      <w:bCs/>
    </w:rPr>
  </w:style>
  <w:style w:type="paragraph" w:customStyle="1" w:styleId="bullet2">
    <w:name w:val="bullet2"/>
    <w:basedOn w:val="TableBullet1a"/>
    <w:uiPriority w:val="99"/>
    <w:pPr>
      <w:spacing w:after="0" w:line="160" w:lineRule="atLeast"/>
    </w:pPr>
    <w:rPr>
      <w:rFonts w:ascii="Arial Narrow" w:hAnsi="Arial Narrow" w:cs="Arial Narrow"/>
      <w:bCs w:val="0"/>
      <w:color w:val="333399"/>
      <w:sz w:val="20"/>
      <w:lang w:val="pl-PL"/>
    </w:rPr>
  </w:style>
  <w:style w:type="paragraph" w:customStyle="1" w:styleId="NormalnyWeb1">
    <w:name w:val="Normalny (Web)1"/>
    <w:basedOn w:val="Normalny"/>
    <w:uiPriority w:val="99"/>
    <w:pPr>
      <w:suppressAutoHyphens/>
      <w:spacing w:before="100" w:after="100"/>
    </w:pPr>
    <w:rPr>
      <w:snapToGrid w:val="0"/>
      <w:lang w:val="en-US"/>
    </w:rPr>
  </w:style>
  <w:style w:type="paragraph" w:customStyle="1" w:styleId="textplain">
    <w:name w:val="textplain"/>
    <w:basedOn w:val="Normalny"/>
    <w:uiPriority w:val="99"/>
    <w:pPr>
      <w:suppressAutoHyphens/>
      <w:spacing w:before="100" w:after="100"/>
      <w:ind w:firstLine="360"/>
      <w:jc w:val="both"/>
    </w:pPr>
    <w:rPr>
      <w:snapToGrid w:val="0"/>
      <w:sz w:val="20"/>
      <w:szCs w:val="20"/>
      <w:lang w:val="en-US"/>
    </w:rPr>
  </w:style>
  <w:style w:type="paragraph" w:customStyle="1" w:styleId="AAFrameAddress">
    <w:name w:val="AA Frame Address"/>
    <w:basedOn w:val="Nagwek1"/>
    <w:uiPriority w:val="99"/>
    <w:pPr>
      <w:pageBreakBefore w:val="0"/>
      <w:tabs>
        <w:tab w:val="left" w:pos="283"/>
        <w:tab w:val="left" w:pos="567"/>
        <w:tab w:val="left" w:pos="851"/>
      </w:tabs>
      <w:spacing w:before="0" w:after="90"/>
      <w:ind w:left="0" w:firstLine="0"/>
      <w:outlineLvl w:val="9"/>
    </w:pPr>
    <w:rPr>
      <w:rFonts w:ascii="Arial" w:hAnsi="Arial" w:cs="Times New Roman"/>
      <w:bCs w:val="0"/>
      <w:color w:val="auto"/>
      <w:sz w:val="24"/>
      <w:szCs w:val="20"/>
      <w:lang w:val="en-US"/>
    </w:rPr>
  </w:style>
  <w:style w:type="paragraph" w:customStyle="1" w:styleId="Normalbezodstepow">
    <w:name w:val="Normal bez odstepow"/>
    <w:basedOn w:val="Normalny"/>
    <w:uiPriority w:val="99"/>
    <w:pPr>
      <w:suppressAutoHyphens/>
      <w:spacing w:before="60" w:after="60"/>
      <w:ind w:left="567"/>
    </w:pPr>
    <w:rPr>
      <w:rFonts w:ascii="Arial" w:hAnsi="Arial"/>
      <w:snapToGrid w:val="0"/>
      <w:sz w:val="20"/>
      <w:szCs w:val="20"/>
    </w:rPr>
  </w:style>
  <w:style w:type="paragraph" w:customStyle="1" w:styleId="Normalitalic">
    <w:name w:val="Normal italic"/>
    <w:basedOn w:val="Normalny"/>
    <w:uiPriority w:val="99"/>
    <w:pPr>
      <w:tabs>
        <w:tab w:val="left" w:pos="567"/>
      </w:tabs>
      <w:suppressAutoHyphens/>
      <w:spacing w:before="60" w:after="60"/>
      <w:ind w:left="567"/>
    </w:pPr>
    <w:rPr>
      <w:rFonts w:ascii="Arial" w:hAnsi="Arial"/>
      <w:i/>
      <w:snapToGrid w:val="0"/>
      <w:sz w:val="20"/>
      <w:szCs w:val="20"/>
    </w:rPr>
  </w:style>
  <w:style w:type="paragraph" w:customStyle="1" w:styleId="ANXbulleted2">
    <w:name w:val="ANX bulleted2"/>
    <w:basedOn w:val="ANXbulletedZnakZnakZnak"/>
    <w:uiPriority w:val="99"/>
    <w:pPr>
      <w:tabs>
        <w:tab w:val="clear" w:pos="1260"/>
      </w:tabs>
      <w:ind w:left="0" w:firstLine="0"/>
    </w:pPr>
  </w:style>
  <w:style w:type="paragraph" w:customStyle="1" w:styleId="anxsource">
    <w:name w:val="anx source"/>
    <w:basedOn w:val="ANXhead3"/>
    <w:uiPriority w:val="99"/>
    <w:pPr>
      <w:spacing w:before="0"/>
    </w:pPr>
    <w:rPr>
      <w:b w:val="0"/>
      <w:i/>
      <w:sz w:val="14"/>
      <w:szCs w:val="14"/>
      <w:lang w:val="en-US"/>
    </w:rPr>
  </w:style>
  <w:style w:type="paragraph" w:customStyle="1" w:styleId="ANXbullettedbezbuletow">
    <w:name w:val="ANX bulletted bez buletow"/>
    <w:basedOn w:val="ANXbulletedZnakZnakZnak"/>
    <w:uiPriority w:val="99"/>
    <w:pPr>
      <w:tabs>
        <w:tab w:val="clear" w:pos="1260"/>
      </w:tabs>
      <w:ind w:firstLine="0"/>
      <w:jc w:val="left"/>
    </w:pPr>
  </w:style>
  <w:style w:type="paragraph" w:customStyle="1" w:styleId="anxbulettedII">
    <w:name w:val="anx buletted II"/>
    <w:basedOn w:val="ANXbulletedZnakZnakZnak"/>
    <w:uiPriority w:val="99"/>
    <w:pPr>
      <w:ind w:left="0" w:firstLine="0"/>
      <w:jc w:val="left"/>
    </w:pPr>
  </w:style>
  <w:style w:type="paragraph" w:customStyle="1" w:styleId="Heading1-beznumeru">
    <w:name w:val="Heading 1-bez numeru"/>
    <w:basedOn w:val="Nagwek1"/>
    <w:uiPriority w:val="99"/>
    <w:pPr>
      <w:ind w:left="0" w:firstLine="0"/>
    </w:pPr>
  </w:style>
  <w:style w:type="paragraph" w:customStyle="1" w:styleId="BULLETY">
    <w:name w:val="BULLETY"/>
    <w:basedOn w:val="Normalny"/>
    <w:uiPriority w:val="99"/>
    <w:pPr>
      <w:tabs>
        <w:tab w:val="num" w:pos="1429"/>
      </w:tabs>
      <w:suppressAutoHyphens/>
      <w:ind w:left="1429" w:hanging="360"/>
    </w:pPr>
    <w:rPr>
      <w:noProof/>
      <w:snapToGrid w:val="0"/>
      <w:lang w:val="en-US"/>
    </w:rPr>
  </w:style>
  <w:style w:type="paragraph" w:customStyle="1" w:styleId="BalloonText1">
    <w:name w:val="Balloon Text1"/>
    <w:basedOn w:val="Normalny"/>
    <w:uiPriority w:val="99"/>
    <w:pPr>
      <w:suppressAutoHyphens/>
      <w:spacing w:before="120"/>
    </w:pPr>
    <w:rPr>
      <w:snapToGrid w:val="0"/>
      <w:sz w:val="16"/>
      <w:szCs w:val="16"/>
    </w:rPr>
  </w:style>
  <w:style w:type="paragraph" w:customStyle="1" w:styleId="Naglwek21">
    <w:name w:val="Naglówek 21"/>
    <w:basedOn w:val="Default"/>
    <w:next w:val="Default"/>
    <w:uiPriority w:val="99"/>
    <w:rPr>
      <w:color w:val="auto"/>
    </w:rPr>
  </w:style>
  <w:style w:type="paragraph" w:customStyle="1" w:styleId="Tekstpodstawowy1">
    <w:name w:val="Tekst podstawowy1"/>
    <w:basedOn w:val="Default"/>
    <w:next w:val="Default"/>
    <w:uiPriority w:val="99"/>
    <w:rPr>
      <w:color w:val="auto"/>
    </w:rPr>
  </w:style>
  <w:style w:type="paragraph" w:customStyle="1" w:styleId="Wyliczenie">
    <w:name w:val="Wyliczenie"/>
    <w:basedOn w:val="Default"/>
    <w:next w:val="Default"/>
    <w:uiPriority w:val="99"/>
    <w:rPr>
      <w:color w:val="auto"/>
    </w:rPr>
  </w:style>
  <w:style w:type="paragraph" w:customStyle="1" w:styleId="Stopka1">
    <w:name w:val="Stopka1"/>
    <w:basedOn w:val="Default"/>
    <w:next w:val="Default"/>
    <w:uiPriority w:val="99"/>
    <w:rPr>
      <w:color w:val="auto"/>
    </w:rPr>
  </w:style>
  <w:style w:type="paragraph" w:customStyle="1" w:styleId="Enormal">
    <w:name w:val="E normal"/>
    <w:basedOn w:val="Default"/>
    <w:next w:val="Default"/>
    <w:uiPriority w:val="99"/>
    <w:rPr>
      <w:color w:val="auto"/>
    </w:rPr>
  </w:style>
  <w:style w:type="paragraph" w:customStyle="1" w:styleId="titlemarginal">
    <w:name w:val="title_marginal"/>
    <w:basedOn w:val="Normalny"/>
    <w:next w:val="firstparagraph"/>
    <w:uiPriority w:val="99"/>
    <w:pPr>
      <w:keepNext/>
      <w:keepLines/>
      <w:tabs>
        <w:tab w:val="left" w:pos="864"/>
        <w:tab w:val="left" w:pos="1908"/>
      </w:tabs>
      <w:suppressAutoHyphens/>
      <w:spacing w:before="120" w:after="120"/>
      <w:ind w:left="864" w:hanging="864"/>
    </w:pPr>
    <w:rPr>
      <w:b/>
      <w:snapToGrid w:val="0"/>
      <w:sz w:val="20"/>
    </w:rPr>
  </w:style>
  <w:style w:type="paragraph" w:customStyle="1" w:styleId="Reporttext">
    <w:name w:val="Report text"/>
    <w:uiPriority w:val="99"/>
    <w:pPr>
      <w:suppressAutoHyphens/>
      <w:spacing w:before="120" w:after="60"/>
      <w:jc w:val="both"/>
    </w:pPr>
    <w:rPr>
      <w:rFonts w:ascii="Arial" w:hAnsi="Arial" w:cs="Arial"/>
      <w:snapToGrid w:val="0"/>
      <w:lang w:eastAsia="ja-JP"/>
    </w:rPr>
  </w:style>
  <w:style w:type="paragraph" w:customStyle="1" w:styleId="aa-tab">
    <w:name w:val="aa-tab"/>
    <w:basedOn w:val="anxnormalZnak"/>
    <w:uiPriority w:val="99"/>
    <w:pPr>
      <w:spacing w:before="240" w:after="120"/>
      <w:ind w:left="1560" w:hanging="851"/>
    </w:pPr>
    <w:rPr>
      <w:rFonts w:ascii="Arial Narrow" w:hAnsi="Arial Narrow"/>
      <w:b/>
      <w:color w:val="4367C5"/>
    </w:rPr>
  </w:style>
  <w:style w:type="paragraph" w:customStyle="1" w:styleId="StylArialNarrow10ptIndygoPrzed12pt">
    <w:name w:val="Styl Arial Narrow 10 pt Indygo Przed:  12 pt"/>
    <w:basedOn w:val="Normalny"/>
    <w:uiPriority w:val="99"/>
    <w:pPr>
      <w:suppressAutoHyphens/>
      <w:spacing w:before="240"/>
    </w:pPr>
    <w:rPr>
      <w:rFonts w:ascii="Arial Narrow" w:hAnsi="Arial Narrow"/>
      <w:snapToGrid w:val="0"/>
      <w:color w:val="4367C5"/>
      <w:sz w:val="20"/>
      <w:szCs w:val="20"/>
    </w:rPr>
  </w:style>
  <w:style w:type="paragraph" w:customStyle="1" w:styleId="StylArialNarrow10ptIndygoPrzed12pt1">
    <w:name w:val="Styl Arial Narrow 10 pt Indygo Przed:  12 pt1"/>
    <w:basedOn w:val="Normalny"/>
    <w:uiPriority w:val="99"/>
    <w:pPr>
      <w:suppressAutoHyphens/>
      <w:spacing w:before="240"/>
    </w:pPr>
    <w:rPr>
      <w:rFonts w:ascii="Arial Narrow" w:hAnsi="Arial Narrow"/>
      <w:snapToGrid w:val="0"/>
      <w:color w:val="4367C5"/>
      <w:sz w:val="20"/>
      <w:szCs w:val="20"/>
    </w:rPr>
  </w:style>
  <w:style w:type="paragraph" w:customStyle="1" w:styleId="StylArialNarrow10ptIndygoPrzed12pt2">
    <w:name w:val="Styl Arial Narrow 10 pt Indygo Przed:  12 pt2"/>
    <w:basedOn w:val="Normalny"/>
    <w:uiPriority w:val="99"/>
    <w:pPr>
      <w:suppressAutoHyphens/>
      <w:spacing w:before="240"/>
    </w:pPr>
    <w:rPr>
      <w:rFonts w:ascii="Arial Narrow" w:hAnsi="Arial Narrow"/>
      <w:snapToGrid w:val="0"/>
      <w:color w:val="4367C5"/>
      <w:sz w:val="20"/>
      <w:szCs w:val="20"/>
    </w:rPr>
  </w:style>
  <w:style w:type="paragraph" w:customStyle="1" w:styleId="StylArialNarrow9ptPogrubienieIndygoWyrwnanydosrodka">
    <w:name w:val="Styl Arial Narrow 9 pt Pogrubienie Indygo Wyrównany do srodka..."/>
    <w:basedOn w:val="Normalny"/>
    <w:uiPriority w:val="99"/>
    <w:pPr>
      <w:suppressAutoHyphens/>
      <w:jc w:val="center"/>
    </w:pPr>
    <w:rPr>
      <w:rFonts w:ascii="Arial Narrow" w:hAnsi="Arial Narrow"/>
      <w:b/>
      <w:bCs/>
      <w:snapToGrid w:val="0"/>
      <w:color w:val="3366FF"/>
      <w:sz w:val="18"/>
      <w:szCs w:val="20"/>
    </w:rPr>
  </w:style>
  <w:style w:type="paragraph" w:customStyle="1" w:styleId="StylArialNarrow9ptWyrwnanydosrodkaPrzed0pt">
    <w:name w:val="Styl Arial Narrow 9 pt Wyrównany do srodka Przed:  0 pt"/>
    <w:basedOn w:val="Normalny"/>
    <w:next w:val="StylArialNarrow9ptWyrwnanydosrodkaPrzed0pt1"/>
    <w:uiPriority w:val="99"/>
    <w:pPr>
      <w:suppressAutoHyphens/>
      <w:jc w:val="center"/>
    </w:pPr>
    <w:rPr>
      <w:rFonts w:ascii="Arial Narrow" w:hAnsi="Arial Narrow"/>
      <w:snapToGrid w:val="0"/>
      <w:color w:val="3366FF"/>
      <w:sz w:val="18"/>
      <w:szCs w:val="20"/>
    </w:rPr>
  </w:style>
  <w:style w:type="paragraph" w:customStyle="1" w:styleId="StylArialNarrow9ptWyrwnanydosrodkaPrzed0pt1">
    <w:name w:val="Styl Arial Narrow 9 pt Wyrównany do srodka Przed:  0 pt1"/>
    <w:basedOn w:val="Normalny"/>
    <w:uiPriority w:val="99"/>
    <w:pPr>
      <w:suppressAutoHyphens/>
      <w:jc w:val="center"/>
    </w:pPr>
    <w:rPr>
      <w:rFonts w:ascii="Arial Narrow" w:hAnsi="Arial Narrow"/>
      <w:snapToGrid w:val="0"/>
      <w:color w:val="3366FF"/>
      <w:sz w:val="18"/>
      <w:szCs w:val="20"/>
    </w:rPr>
  </w:style>
  <w:style w:type="paragraph" w:customStyle="1" w:styleId="StylArialNarrow10ptIndygoPrzed2ptPo2ptInterli">
    <w:name w:val="Styl Arial Narrow 10 pt Indygo Przed:  2 pt Po:  2 pt Interli..."/>
    <w:basedOn w:val="Normalny"/>
    <w:uiPriority w:val="99"/>
    <w:pPr>
      <w:suppressAutoHyphens/>
      <w:spacing w:before="40" w:after="40" w:line="220" w:lineRule="atLeast"/>
    </w:pPr>
    <w:rPr>
      <w:rFonts w:ascii="Arial Narrow" w:hAnsi="Arial Narrow"/>
      <w:snapToGrid w:val="0"/>
      <w:color w:val="3366FF"/>
      <w:sz w:val="20"/>
      <w:szCs w:val="20"/>
    </w:rPr>
  </w:style>
  <w:style w:type="paragraph" w:customStyle="1" w:styleId="StylArialNarrow10ptIndygoZlewej039cmPrzed2pt">
    <w:name w:val="Styl Arial Narrow 10 pt Indygo Z lewej:  039 cm Przed:  2 pt..."/>
    <w:basedOn w:val="Normalny"/>
    <w:uiPriority w:val="99"/>
    <w:pPr>
      <w:suppressAutoHyphens/>
      <w:spacing w:before="40" w:after="40" w:line="220" w:lineRule="atLeast"/>
      <w:ind w:left="223"/>
    </w:pPr>
    <w:rPr>
      <w:rFonts w:ascii="Arial Narrow" w:hAnsi="Arial Narrow"/>
      <w:snapToGrid w:val="0"/>
      <w:color w:val="3366FF"/>
      <w:sz w:val="20"/>
      <w:szCs w:val="20"/>
    </w:rPr>
  </w:style>
  <w:style w:type="paragraph" w:customStyle="1" w:styleId="StylLegendaArialIndygoPierwszywiersz124cm">
    <w:name w:val="Styl Legenda + Arial Indygo Pierwszy wiersz:  124 cm"/>
    <w:basedOn w:val="Legenda1"/>
    <w:uiPriority w:val="99"/>
    <w:pPr>
      <w:ind w:firstLine="705"/>
    </w:pPr>
    <w:rPr>
      <w:rFonts w:ascii="Arial" w:hAnsi="Arial"/>
      <w:color w:val="3967C5"/>
    </w:rPr>
  </w:style>
  <w:style w:type="paragraph" w:customStyle="1" w:styleId="StylArial10ptPogrubienieIndygoWyjustowanyPierwszywier">
    <w:name w:val="Styl Arial 10 pt Pogrubienie Indygo Wyjustowany Pierwszy wier..."/>
    <w:basedOn w:val="Normalny"/>
    <w:uiPriority w:val="99"/>
    <w:pPr>
      <w:suppressAutoHyphens/>
      <w:spacing w:before="120"/>
      <w:ind w:firstLine="709"/>
      <w:jc w:val="both"/>
    </w:pPr>
    <w:rPr>
      <w:rFonts w:ascii="Arial" w:hAnsi="Arial"/>
      <w:b/>
      <w:bCs/>
      <w:snapToGrid w:val="0"/>
      <w:color w:val="4367C5"/>
      <w:sz w:val="20"/>
      <w:szCs w:val="20"/>
    </w:rPr>
  </w:style>
  <w:style w:type="paragraph" w:customStyle="1" w:styleId="StylLegendaArialIndygoPierwszywiersz125cm">
    <w:name w:val="Styl Legenda + Arial Indygo Pierwszy wiersz:  125 cm"/>
    <w:basedOn w:val="Legenda1"/>
    <w:uiPriority w:val="99"/>
    <w:pPr>
      <w:ind w:firstLine="709"/>
    </w:pPr>
    <w:rPr>
      <w:rFonts w:ascii="Arial" w:hAnsi="Arial"/>
      <w:color w:val="4367C5"/>
    </w:rPr>
  </w:style>
  <w:style w:type="paragraph" w:customStyle="1" w:styleId="anxcaptiontabela">
    <w:name w:val="anx caption tabela"/>
    <w:basedOn w:val="Legenda1"/>
    <w:uiPriority w:val="99"/>
    <w:pPr>
      <w:keepNext/>
      <w:tabs>
        <w:tab w:val="left" w:pos="720"/>
      </w:tabs>
      <w:spacing w:before="220" w:after="120"/>
      <w:ind w:left="1979" w:hanging="1077"/>
    </w:pPr>
    <w:rPr>
      <w:rFonts w:ascii="Arial" w:hAnsi="Arial" w:cs="Arial"/>
      <w:color w:val="333399"/>
    </w:rPr>
  </w:style>
  <w:style w:type="paragraph" w:customStyle="1" w:styleId="anxbuletted">
    <w:name w:val="anx buletted"/>
    <w:basedOn w:val="aa-tab"/>
    <w:uiPriority w:val="99"/>
  </w:style>
  <w:style w:type="paragraph" w:customStyle="1" w:styleId="ANXbulleted">
    <w:name w:val="ANX bulleted"/>
    <w:basedOn w:val="Listapunktowana31"/>
    <w:uiPriority w:val="99"/>
    <w:pPr>
      <w:tabs>
        <w:tab w:val="left" w:pos="1440"/>
      </w:tabs>
      <w:ind w:left="1440" w:hanging="360"/>
      <w:jc w:val="both"/>
    </w:pPr>
    <w:rPr>
      <w:rFonts w:ascii="Arial" w:hAnsi="Arial" w:cs="Arial"/>
    </w:rPr>
  </w:style>
  <w:style w:type="paragraph" w:customStyle="1" w:styleId="anxnormal">
    <w:name w:val="anx normal"/>
    <w:basedOn w:val="Tekstpodstawowy"/>
    <w:pPr>
      <w:suppressAutoHyphens/>
      <w:spacing w:before="120" w:after="0"/>
      <w:ind w:left="567"/>
      <w:jc w:val="both"/>
    </w:pPr>
    <w:rPr>
      <w:rFonts w:ascii="Arial" w:hAnsi="Arial" w:cs="Arial"/>
      <w:snapToGrid w:val="0"/>
      <w:sz w:val="20"/>
      <w:szCs w:val="20"/>
    </w:rPr>
  </w:style>
  <w:style w:type="paragraph" w:customStyle="1" w:styleId="Spistresci10">
    <w:name w:val="Spis tresci 10"/>
    <w:basedOn w:val="Indeks"/>
    <w:uiPriority w:val="99"/>
    <w:pPr>
      <w:tabs>
        <w:tab w:val="right" w:leader="dot" w:pos="9637"/>
      </w:tabs>
      <w:ind w:left="2547"/>
    </w:pPr>
  </w:style>
  <w:style w:type="paragraph" w:customStyle="1" w:styleId="Zawartosctabeli">
    <w:name w:val="Zawartosc tabeli"/>
    <w:basedOn w:val="Normalny"/>
    <w:uiPriority w:val="99"/>
    <w:pPr>
      <w:suppressLineNumbers/>
      <w:suppressAutoHyphens/>
      <w:spacing w:before="120"/>
    </w:pPr>
    <w:rPr>
      <w:snapToGrid w:val="0"/>
    </w:rPr>
  </w:style>
  <w:style w:type="paragraph" w:customStyle="1" w:styleId="Naglwektabeli">
    <w:name w:val="Naglówek tabeli"/>
    <w:basedOn w:val="Zawartosctabeli"/>
    <w:uiPriority w:val="99"/>
    <w:pPr>
      <w:jc w:val="center"/>
    </w:pPr>
    <w:rPr>
      <w:b/>
      <w:bCs/>
    </w:rPr>
  </w:style>
  <w:style w:type="paragraph" w:customStyle="1" w:styleId="Zawartoscramki">
    <w:name w:val="Zawartosc ramki"/>
    <w:basedOn w:val="Tekstpodstawowy"/>
    <w:uiPriority w:val="99"/>
    <w:pPr>
      <w:suppressAutoHyphens/>
      <w:spacing w:before="120" w:after="0"/>
      <w:jc w:val="both"/>
    </w:pPr>
    <w:rPr>
      <w:snapToGrid w:val="0"/>
    </w:rPr>
  </w:style>
  <w:style w:type="table" w:styleId="Tabela-Siatka">
    <w:name w:val="Table Grid"/>
    <w:aliases w:val="Davis Langdon Table grid"/>
    <w:basedOn w:val="Standardowy"/>
    <w:uiPriority w:val="59"/>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99"/>
    <w:qFormat/>
    <w:pPr>
      <w:suppressAutoHyphens/>
      <w:spacing w:before="120"/>
    </w:pPr>
    <w:rPr>
      <w:b/>
      <w:bCs/>
      <w:snapToGrid w:val="0"/>
      <w:sz w:val="20"/>
      <w:szCs w:val="20"/>
    </w:rPr>
  </w:style>
  <w:style w:type="paragraph" w:customStyle="1" w:styleId="Naglwek">
    <w:name w:val="Naglówek"/>
    <w:basedOn w:val="Normalny"/>
    <w:next w:val="Tekstpodstawowy"/>
    <w:uiPriority w:val="99"/>
    <w:pPr>
      <w:keepNext/>
      <w:suppressAutoHyphens/>
      <w:spacing w:before="240" w:after="120"/>
    </w:pPr>
    <w:rPr>
      <w:rFonts w:ascii="Arial" w:hAnsi="Arial"/>
      <w:snapToGrid w:val="0"/>
      <w:sz w:val="28"/>
      <w:szCs w:val="28"/>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customStyle="1" w:styleId="Legenda2">
    <w:name w:val="Legenda2"/>
    <w:basedOn w:val="Normalny"/>
    <w:next w:val="Normalny"/>
    <w:uiPriority w:val="99"/>
    <w:pPr>
      <w:suppressAutoHyphens/>
      <w:spacing w:before="120"/>
    </w:pPr>
    <w:rPr>
      <w:b/>
      <w:bCs/>
      <w:sz w:val="20"/>
      <w:szCs w:val="20"/>
    </w:rPr>
  </w:style>
  <w:style w:type="paragraph" w:styleId="Tekstdymka">
    <w:name w:val="Balloon Text"/>
    <w:basedOn w:val="Normalny"/>
    <w:link w:val="TekstdymkaZnak"/>
    <w:uiPriority w:val="99"/>
    <w:semiHidden/>
    <w:rPr>
      <w:rFonts w:ascii="Tahoma" w:hAnsi="Tahoma"/>
      <w:sz w:val="16"/>
      <w:szCs w:val="16"/>
    </w:rPr>
  </w:style>
  <w:style w:type="character" w:customStyle="1" w:styleId="TekstdymkaZnak">
    <w:name w:val="Tekst dymka Znak"/>
    <w:link w:val="Tekstdymka"/>
    <w:uiPriority w:val="99"/>
    <w:semiHidden/>
    <w:locked/>
    <w:rPr>
      <w:rFonts w:ascii="Tahoma" w:hAnsi="Tahoma"/>
      <w:snapToGrid w:val="0"/>
      <w:sz w:val="16"/>
      <w:lang w:val="pl-PL"/>
    </w:rPr>
  </w:style>
  <w:style w:type="paragraph" w:styleId="Tekstprzypisukocowego">
    <w:name w:val="endnote text"/>
    <w:basedOn w:val="Normalny"/>
    <w:link w:val="TekstprzypisukocowegoZnak"/>
    <w:uiPriority w:val="99"/>
    <w:rPr>
      <w:sz w:val="20"/>
      <w:szCs w:val="20"/>
    </w:rPr>
  </w:style>
  <w:style w:type="character" w:customStyle="1" w:styleId="TekstprzypisukocowegoZnak">
    <w:name w:val="Tekst przypisu końcowego Znak"/>
    <w:link w:val="Tekstprzypisukocowego"/>
    <w:uiPriority w:val="99"/>
    <w:locked/>
    <w:rPr>
      <w:snapToGrid w:val="0"/>
      <w:lang w:val="pl-PL"/>
    </w:rPr>
  </w:style>
  <w:style w:type="character" w:styleId="Odwoanieprzypisukocowego">
    <w:name w:val="endnote reference"/>
    <w:rPr>
      <w:vertAlign w:val="superscript"/>
    </w:rPr>
  </w:style>
  <w:style w:type="character" w:styleId="Odwoaniedokomentarza">
    <w:name w:val="annotation reference"/>
    <w:uiPriority w:val="99"/>
    <w:rPr>
      <w:sz w:val="16"/>
    </w:rPr>
  </w:style>
  <w:style w:type="paragraph" w:styleId="Tekstkomentarza">
    <w:name w:val="annotation text"/>
    <w:basedOn w:val="Normalny"/>
    <w:link w:val="TekstkomentarzaZnak"/>
    <w:uiPriority w:val="99"/>
    <w:rPr>
      <w:sz w:val="20"/>
      <w:szCs w:val="20"/>
      <w:lang w:val="en-GB"/>
    </w:rPr>
  </w:style>
  <w:style w:type="character" w:customStyle="1" w:styleId="TekstkomentarzaZnak">
    <w:name w:val="Tekst komentarza Znak"/>
    <w:link w:val="Tekstkomentarza"/>
    <w:uiPriority w:val="99"/>
    <w:locked/>
    <w:rPr>
      <w:snapToGrid w:val="0"/>
      <w:lang w:val="en-GB"/>
    </w:rPr>
  </w:style>
  <w:style w:type="paragraph" w:styleId="Tematkomentarza">
    <w:name w:val="annotation subject"/>
    <w:basedOn w:val="Tekstkomentarza"/>
    <w:next w:val="Tekstkomentarza"/>
    <w:link w:val="TematkomentarzaZnak"/>
    <w:uiPriority w:val="99"/>
    <w:rPr>
      <w:b/>
      <w:bCs/>
    </w:rPr>
  </w:style>
  <w:style w:type="character" w:customStyle="1" w:styleId="TematkomentarzaZnak">
    <w:name w:val="Temat komentarza Znak"/>
    <w:link w:val="Tematkomentarza"/>
    <w:uiPriority w:val="99"/>
    <w:locked/>
    <w:rPr>
      <w:b/>
      <w:snapToGrid w:val="0"/>
      <w:lang w:val="en-GB"/>
    </w:rPr>
  </w:style>
  <w:style w:type="paragraph" w:customStyle="1" w:styleId="Revize1">
    <w:name w:val="Revize1"/>
    <w:hidden/>
    <w:uiPriority w:val="99"/>
    <w:semiHidden/>
    <w:rPr>
      <w:lang w:eastAsia="ja-JP"/>
    </w:rPr>
  </w:style>
  <w:style w:type="paragraph" w:customStyle="1" w:styleId="Naglwek11">
    <w:name w:val="Naglówek11"/>
    <w:basedOn w:val="Normalny"/>
    <w:next w:val="Tekstpodstawowy"/>
    <w:uiPriority w:val="99"/>
    <w:pPr>
      <w:keepNext/>
      <w:suppressAutoHyphens/>
      <w:spacing w:before="240" w:after="120"/>
    </w:pPr>
    <w:rPr>
      <w:rFonts w:ascii="Arial" w:eastAsia="MS Mincho" w:hAnsi="Arial" w:cs="Tahoma"/>
      <w:snapToGrid w:val="0"/>
      <w:sz w:val="28"/>
      <w:szCs w:val="28"/>
    </w:rPr>
  </w:style>
  <w:style w:type="paragraph" w:customStyle="1" w:styleId="anxnormalznak0">
    <w:name w:val="anxnormalznak"/>
    <w:basedOn w:val="Normalny"/>
    <w:uiPriority w:val="99"/>
    <w:pPr>
      <w:spacing w:before="100" w:beforeAutospacing="1" w:after="100" w:afterAutospacing="1"/>
      <w:jc w:val="both"/>
    </w:pPr>
    <w:rPr>
      <w:snapToGrid w:val="0"/>
    </w:rPr>
  </w:style>
  <w:style w:type="paragraph" w:styleId="Lista2">
    <w:name w:val="List 2"/>
    <w:basedOn w:val="Normalny"/>
    <w:uiPriority w:val="99"/>
    <w:pPr>
      <w:ind w:left="566" w:hanging="283"/>
      <w:contextualSpacing/>
    </w:pPr>
  </w:style>
  <w:style w:type="paragraph" w:customStyle="1" w:styleId="Odstavecseseznamem1">
    <w:name w:val="Odstavec se seznamem1"/>
    <w:basedOn w:val="Normalny"/>
    <w:uiPriority w:val="34"/>
    <w:qFormat/>
    <w:pPr>
      <w:spacing w:after="200" w:line="276" w:lineRule="auto"/>
      <w:ind w:left="720"/>
      <w:contextualSpacing/>
    </w:pPr>
    <w:rPr>
      <w:rFonts w:ascii="Calibri" w:hAnsi="Calibri"/>
      <w:snapToGrid w:val="0"/>
      <w:sz w:val="22"/>
      <w:szCs w:val="22"/>
      <w:lang w:val="en-GB"/>
    </w:rPr>
  </w:style>
  <w:style w:type="table" w:customStyle="1" w:styleId="TableGrid1">
    <w:name w:val="Table Grid1"/>
    <w:basedOn w:val="Standardowy"/>
    <w:next w:val="Tabela-Siatka"/>
    <w:uiPriority w:val="59"/>
    <w:rPr>
      <w:rFonts w:ascii="Calibri" w:hAnsi="Calibri"/>
      <w:snapToGrid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4">
    <w:name w:val="toc 4"/>
    <w:basedOn w:val="Normalny"/>
    <w:next w:val="Normalny"/>
    <w:autoRedefine/>
    <w:uiPriority w:val="39"/>
    <w:rsid w:val="00E9193E"/>
    <w:pPr>
      <w:tabs>
        <w:tab w:val="left" w:pos="1760"/>
        <w:tab w:val="right" w:leader="dot" w:pos="8222"/>
      </w:tabs>
      <w:spacing w:before="40" w:after="40"/>
      <w:ind w:left="993"/>
    </w:pPr>
    <w:rPr>
      <w:rFonts w:ascii="Arial Narrow" w:hAnsi="Arial Narrow"/>
      <w:noProof/>
      <w:color w:val="333399"/>
      <w:sz w:val="20"/>
      <w:lang w:val="en-GB"/>
    </w:rPr>
  </w:style>
  <w:style w:type="table" w:customStyle="1" w:styleId="DavisLangdonTablegrid1">
    <w:name w:val="Davis Langdon Table grid1"/>
    <w:basedOn w:val="Standardowy"/>
    <w:next w:val="Tabela-Siatka"/>
    <w:uiPriority w:val="59"/>
    <w:rPr>
      <w:rFonts w:eastAsia="MS Mincho"/>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fPopup">
    <w:name w:val="WfPopup"/>
    <w:uiPriority w:val="99"/>
    <w:pPr>
      <w:pBdr>
        <w:top w:val="single" w:sz="4" w:space="0" w:color="C0C0C0" w:shadow="1"/>
        <w:left w:val="single" w:sz="4" w:space="0" w:color="C0C0C0" w:shadow="1"/>
        <w:bottom w:val="single" w:sz="4" w:space="0" w:color="C0C0C0" w:shadow="1"/>
        <w:right w:val="single" w:sz="4" w:space="0" w:color="C0C0C0" w:shadow="1"/>
      </w:pBdr>
      <w:shd w:val="clear" w:color="auto" w:fill="FFFFDD"/>
      <w:spacing w:after="20" w:line="180" w:lineRule="exact"/>
    </w:pPr>
    <w:rPr>
      <w:noProof/>
      <w:snapToGrid w:val="0"/>
      <w:sz w:val="18"/>
      <w:lang w:val="en-US" w:eastAsia="ja-JP"/>
    </w:rPr>
  </w:style>
  <w:style w:type="paragraph" w:styleId="NormalnyWeb">
    <w:name w:val="Normal (Web)"/>
    <w:basedOn w:val="Normalny"/>
    <w:uiPriority w:val="99"/>
    <w:rsid w:val="00DE09E3"/>
    <w:pPr>
      <w:spacing w:before="100" w:beforeAutospacing="1" w:after="100" w:afterAutospacing="1"/>
    </w:pPr>
    <w:rPr>
      <w:lang w:val="it-IT" w:eastAsia="it-IT"/>
    </w:rPr>
  </w:style>
  <w:style w:type="paragraph" w:styleId="Akapitzlist">
    <w:name w:val="List Paragraph"/>
    <w:aliases w:val="Obiekt,List Paragraph1"/>
    <w:basedOn w:val="Normalny"/>
    <w:link w:val="AkapitzlistZnak"/>
    <w:uiPriority w:val="34"/>
    <w:qFormat/>
    <w:rsid w:val="008827EA"/>
    <w:pPr>
      <w:ind w:left="720"/>
      <w:contextualSpacing/>
    </w:pPr>
  </w:style>
  <w:style w:type="paragraph" w:styleId="Poprawka">
    <w:name w:val="Revision"/>
    <w:hidden/>
    <w:uiPriority w:val="99"/>
    <w:semiHidden/>
    <w:rsid w:val="00AF202D"/>
    <w:rPr>
      <w:lang w:eastAsia="ja-JP"/>
    </w:rPr>
  </w:style>
  <w:style w:type="table" w:customStyle="1" w:styleId="BBstyle">
    <w:name w:val="BB style"/>
    <w:basedOn w:val="Standardowy"/>
    <w:uiPriority w:val="99"/>
    <w:rsid w:val="004E6AF3"/>
    <w:pPr>
      <w:spacing w:before="40" w:after="40"/>
    </w:pPr>
    <w:rPr>
      <w:rFonts w:ascii="Arial Narrow" w:hAnsi="Arial Narrow"/>
      <w:sz w:val="18"/>
    </w:rPr>
    <w:tblPr>
      <w:tblStyleRowBandSize w:val="1"/>
      <w:tblStyleColBandSize w:val="1"/>
      <w:tblCellSpacing w:w="20"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Pr>
    <w:trPr>
      <w:tblCellSpacing w:w="20" w:type="dxa"/>
    </w:trPr>
    <w:tblStylePr w:type="firstRow">
      <w:pPr>
        <w:jc w:val="center"/>
      </w:pPr>
      <w:rPr>
        <w:rFonts w:ascii="Arial Black" w:hAnsi="Arial Black"/>
        <w:color w:val="FFFFFF" w:themeColor="background1"/>
        <w:sz w:val="18"/>
      </w:rPr>
      <w:tblPr/>
      <w:tcPr>
        <w:tcBorders>
          <w:top w:val="nil"/>
          <w:left w:val="nil"/>
          <w:bottom w:val="nil"/>
          <w:right w:val="nil"/>
          <w:insideH w:val="nil"/>
          <w:insideV w:val="nil"/>
          <w:tl2br w:val="nil"/>
          <w:tr2bl w:val="nil"/>
        </w:tcBorders>
        <w:shd w:val="clear" w:color="auto" w:fill="3399FF"/>
      </w:tcPr>
    </w:tblStylePr>
    <w:tblStylePr w:type="band2Vert">
      <w:pPr>
        <w:wordWrap/>
        <w:spacing w:beforeLines="0" w:before="40" w:beforeAutospacing="0" w:afterLines="0" w:after="40" w:afterAutospacing="0"/>
      </w:pPr>
      <w:rPr>
        <w:rFonts w:ascii="Arial Black" w:hAnsi="Arial Black"/>
        <w:sz w:val="18"/>
      </w:rPr>
    </w:tblStylePr>
    <w:tblStylePr w:type="band1Horz">
      <w:pPr>
        <w:jc w:val="left"/>
      </w:pPr>
      <w:rPr>
        <w:rFonts w:ascii="Arial Black" w:hAnsi="Arial Black"/>
        <w:color w:val="333399"/>
        <w:sz w:val="18"/>
      </w:rPr>
      <w:tblPr/>
      <w:tcPr>
        <w:tcBorders>
          <w:top w:val="nil"/>
          <w:left w:val="nil"/>
          <w:bottom w:val="nil"/>
          <w:right w:val="nil"/>
          <w:insideH w:val="nil"/>
          <w:insideV w:val="nil"/>
          <w:tl2br w:val="nil"/>
          <w:tr2bl w:val="nil"/>
        </w:tcBorders>
        <w:shd w:val="clear" w:color="auto" w:fill="DBE5F1" w:themeFill="accent1" w:themeFillTint="33"/>
      </w:tcPr>
    </w:tblStylePr>
    <w:tblStylePr w:type="band2Horz">
      <w:pPr>
        <w:wordWrap/>
        <w:spacing w:beforeLines="0" w:before="40" w:beforeAutospacing="0" w:afterLines="0" w:after="40" w:afterAutospacing="0"/>
      </w:pPr>
      <w:rPr>
        <w:rFonts w:ascii="Arial Black" w:hAnsi="Arial Black"/>
        <w:color w:val="333399"/>
        <w:sz w:val="18"/>
      </w:rPr>
      <w:tblPr/>
      <w:tcPr>
        <w:shd w:val="clear" w:color="auto" w:fill="DBE5F1" w:themeFill="accent1" w:themeFillTint="33"/>
      </w:tcPr>
    </w:tblStylePr>
  </w:style>
  <w:style w:type="paragraph" w:customStyle="1" w:styleId="StylArialNarrow9ptWyrwnanydorodkaPrzed0pt">
    <w:name w:val="Styl Arial Narrow 9 pt Wyrównany do środka Przed:  0 pt"/>
    <w:basedOn w:val="Normalny"/>
    <w:uiPriority w:val="99"/>
    <w:rsid w:val="00601CFC"/>
    <w:pPr>
      <w:suppressAutoHyphens/>
      <w:spacing w:before="120" w:after="120"/>
      <w:jc w:val="center"/>
    </w:pPr>
    <w:rPr>
      <w:rFonts w:ascii="Arial Narrow" w:hAnsi="Arial Narrow"/>
      <w:color w:val="3366FF"/>
      <w:sz w:val="18"/>
      <w:szCs w:val="20"/>
      <w:lang w:eastAsia="ar-SA"/>
    </w:rPr>
  </w:style>
  <w:style w:type="paragraph" w:customStyle="1" w:styleId="Nagwek10">
    <w:name w:val="Nagłówek1"/>
    <w:basedOn w:val="Normalny"/>
    <w:next w:val="Tekstpodstawowy"/>
    <w:uiPriority w:val="99"/>
    <w:rsid w:val="00601CFC"/>
    <w:pPr>
      <w:keepNext/>
      <w:suppressAutoHyphens/>
      <w:spacing w:before="240" w:after="120"/>
      <w:jc w:val="both"/>
    </w:pPr>
    <w:rPr>
      <w:rFonts w:ascii="Arial" w:eastAsia="MS Mincho" w:hAnsi="Arial" w:cs="Tahoma"/>
      <w:sz w:val="28"/>
      <w:szCs w:val="28"/>
      <w:lang w:eastAsia="ar-SA"/>
    </w:rPr>
  </w:style>
  <w:style w:type="paragraph" w:customStyle="1" w:styleId="redniasiatka1akcent21">
    <w:name w:val="Średnia siatka 1 — akcent 21"/>
    <w:basedOn w:val="Normalny"/>
    <w:uiPriority w:val="34"/>
    <w:qFormat/>
    <w:rsid w:val="0074172C"/>
    <w:pPr>
      <w:ind w:left="720"/>
    </w:pPr>
    <w:rPr>
      <w:lang w:val="en-GB" w:eastAsia="en-GB"/>
    </w:rPr>
  </w:style>
  <w:style w:type="character" w:customStyle="1" w:styleId="hps">
    <w:name w:val="hps"/>
    <w:rsid w:val="0004230C"/>
  </w:style>
  <w:style w:type="paragraph" w:styleId="Podtytu">
    <w:name w:val="Subtitle"/>
    <w:basedOn w:val="Normalny"/>
    <w:next w:val="Normalny"/>
    <w:link w:val="PodtytuZnak"/>
    <w:uiPriority w:val="99"/>
    <w:qFormat/>
    <w:pPr>
      <w:spacing w:after="60"/>
      <w:jc w:val="center"/>
    </w:pPr>
    <w:rPr>
      <w:rFonts w:ascii="Arial" w:eastAsia="Arial" w:hAnsi="Arial" w:cs="Arial"/>
      <w:sz w:val="20"/>
      <w:szCs w:val="20"/>
    </w:rPr>
  </w:style>
  <w:style w:type="character" w:customStyle="1" w:styleId="PodtytuZnak">
    <w:name w:val="Podtytuł Znak"/>
    <w:basedOn w:val="Domylnaczcionkaakapitu"/>
    <w:link w:val="Podtytu"/>
    <w:uiPriority w:val="99"/>
    <w:rsid w:val="0077731B"/>
    <w:rPr>
      <w:rFonts w:ascii="Arial" w:hAnsi="Arial"/>
      <w:lang w:val="pl-PL" w:eastAsia="en-US"/>
    </w:rPr>
  </w:style>
  <w:style w:type="character" w:styleId="Pogrubienie">
    <w:name w:val="Strong"/>
    <w:qFormat/>
    <w:rsid w:val="0077731B"/>
    <w:rPr>
      <w:b/>
      <w:bCs/>
    </w:rPr>
  </w:style>
  <w:style w:type="paragraph" w:customStyle="1" w:styleId="CM81">
    <w:name w:val="CM81"/>
    <w:basedOn w:val="Normalny"/>
    <w:next w:val="Normalny"/>
    <w:uiPriority w:val="99"/>
    <w:rsid w:val="0077731B"/>
    <w:pPr>
      <w:widowControl w:val="0"/>
      <w:autoSpaceDE w:val="0"/>
      <w:autoSpaceDN w:val="0"/>
      <w:adjustRightInd w:val="0"/>
    </w:pPr>
    <w:rPr>
      <w:rFonts w:ascii="Arial-Narrow,Bold" w:hAnsi="Arial-Narrow,Bold"/>
      <w:lang w:val="en-GB" w:eastAsia="en-GB"/>
    </w:rPr>
  </w:style>
  <w:style w:type="paragraph" w:styleId="Zwykytekst">
    <w:name w:val="Plain Text"/>
    <w:basedOn w:val="Normalny"/>
    <w:link w:val="ZwykytekstZnak"/>
    <w:uiPriority w:val="99"/>
    <w:unhideWhenUsed/>
    <w:rsid w:val="0077731B"/>
    <w:rPr>
      <w:rFonts w:ascii="Calibri" w:eastAsia="Calibri" w:hAnsi="Calibri"/>
      <w:sz w:val="22"/>
      <w:szCs w:val="21"/>
      <w:lang w:val="x-none" w:eastAsia="en-US"/>
    </w:rPr>
  </w:style>
  <w:style w:type="character" w:customStyle="1" w:styleId="ZwykytekstZnak">
    <w:name w:val="Zwykły tekst Znak"/>
    <w:basedOn w:val="Domylnaczcionkaakapitu"/>
    <w:link w:val="Zwykytekst"/>
    <w:uiPriority w:val="99"/>
    <w:rsid w:val="0077731B"/>
    <w:rPr>
      <w:rFonts w:ascii="Calibri" w:eastAsia="Calibri" w:hAnsi="Calibri"/>
      <w:sz w:val="22"/>
      <w:szCs w:val="21"/>
      <w:lang w:val="x-none" w:eastAsia="en-US"/>
    </w:rPr>
  </w:style>
  <w:style w:type="paragraph" w:styleId="Tekstpodstawowyzwciciem2">
    <w:name w:val="Body Text First Indent 2"/>
    <w:basedOn w:val="Tekstpodstawowywcity"/>
    <w:link w:val="Tekstpodstawowyzwciciem2Znak"/>
    <w:uiPriority w:val="99"/>
    <w:rsid w:val="0077731B"/>
    <w:pPr>
      <w:suppressAutoHyphens w:val="0"/>
      <w:spacing w:before="0"/>
      <w:ind w:firstLine="210"/>
    </w:pPr>
    <w:rPr>
      <w:snapToGrid/>
      <w:lang w:val="x-none" w:eastAsia="x-none"/>
    </w:rPr>
  </w:style>
  <w:style w:type="character" w:customStyle="1" w:styleId="Tekstpodstawowyzwciciem2Znak">
    <w:name w:val="Tekst podstawowy z wcięciem 2 Znak"/>
    <w:basedOn w:val="TekstpodstawowywcityZnak"/>
    <w:link w:val="Tekstpodstawowyzwciciem2"/>
    <w:uiPriority w:val="99"/>
    <w:rsid w:val="0077731B"/>
    <w:rPr>
      <w:rFonts w:ascii="Times New Roman" w:hAnsi="Times New Roman" w:cs="Times New Roman"/>
      <w:sz w:val="24"/>
      <w:szCs w:val="24"/>
      <w:lang w:val="x-none" w:eastAsia="x-none"/>
    </w:rPr>
  </w:style>
  <w:style w:type="paragraph" w:customStyle="1" w:styleId="rednialista2akcent21">
    <w:name w:val="Średnia lista 2 — akcent 21"/>
    <w:hidden/>
    <w:uiPriority w:val="99"/>
    <w:semiHidden/>
    <w:rsid w:val="0077731B"/>
  </w:style>
  <w:style w:type="paragraph" w:customStyle="1" w:styleId="ReportText0">
    <w:name w:val="Report Text"/>
    <w:link w:val="ReportTextChar"/>
    <w:rsid w:val="0077731B"/>
    <w:pPr>
      <w:spacing w:after="120" w:line="260" w:lineRule="atLeast"/>
      <w:ind w:left="1253"/>
    </w:pPr>
    <w:rPr>
      <w:rFonts w:ascii="Arial" w:hAnsi="Arial"/>
      <w:lang w:eastAsia="en-US"/>
    </w:rPr>
  </w:style>
  <w:style w:type="character" w:customStyle="1" w:styleId="ReportTextChar">
    <w:name w:val="Report Text Char"/>
    <w:link w:val="ReportText0"/>
    <w:rsid w:val="0077731B"/>
    <w:rPr>
      <w:rFonts w:ascii="Arial" w:hAnsi="Arial"/>
      <w:lang w:eastAsia="en-US"/>
    </w:rPr>
  </w:style>
  <w:style w:type="paragraph" w:customStyle="1" w:styleId="SubText">
    <w:name w:val="Sub Text"/>
    <w:basedOn w:val="Normalny"/>
    <w:link w:val="SubTextCar"/>
    <w:rsid w:val="0077731B"/>
    <w:pPr>
      <w:spacing w:after="120" w:line="260" w:lineRule="atLeast"/>
      <w:ind w:left="1253"/>
    </w:pPr>
    <w:rPr>
      <w:rFonts w:ascii="Arial" w:eastAsia="MS Mincho" w:hAnsi="Arial"/>
      <w:sz w:val="20"/>
      <w:szCs w:val="20"/>
      <w:lang w:val="x-none" w:eastAsia="en-US"/>
    </w:rPr>
  </w:style>
  <w:style w:type="paragraph" w:customStyle="1" w:styleId="NormalTable-Centred">
    <w:name w:val="Normal Table - Centred"/>
    <w:basedOn w:val="Normalny"/>
    <w:link w:val="NormalTable-CentredCharChar"/>
    <w:rsid w:val="0077731B"/>
    <w:pPr>
      <w:keepNext/>
      <w:spacing w:line="240" w:lineRule="atLeast"/>
      <w:jc w:val="center"/>
    </w:pPr>
    <w:rPr>
      <w:rFonts w:ascii="Polo" w:hAnsi="Polo"/>
      <w:sz w:val="20"/>
      <w:szCs w:val="20"/>
      <w:lang w:val="x-none" w:eastAsia="x-none"/>
    </w:rPr>
  </w:style>
  <w:style w:type="character" w:customStyle="1" w:styleId="NormalTable-CentredCharChar">
    <w:name w:val="Normal Table - Centred Char Char"/>
    <w:link w:val="NormalTable-Centred"/>
    <w:rsid w:val="0077731B"/>
    <w:rPr>
      <w:rFonts w:ascii="Polo" w:hAnsi="Polo"/>
      <w:lang w:val="x-none" w:eastAsia="x-none"/>
    </w:rPr>
  </w:style>
  <w:style w:type="paragraph" w:customStyle="1" w:styleId="NormalTable-Leftjustified">
    <w:name w:val="Normal Table - Left justified"/>
    <w:basedOn w:val="NormalTable-Centred"/>
    <w:link w:val="NormalTable-LeftjustifiedChar"/>
    <w:rsid w:val="0077731B"/>
    <w:pPr>
      <w:jc w:val="left"/>
    </w:pPr>
  </w:style>
  <w:style w:type="character" w:customStyle="1" w:styleId="NormalTable-LeftjustifiedChar">
    <w:name w:val="Normal Table - Left justified Char"/>
    <w:link w:val="NormalTable-Leftjustified"/>
    <w:rsid w:val="0077731B"/>
    <w:rPr>
      <w:rFonts w:ascii="Polo" w:hAnsi="Polo"/>
      <w:lang w:val="x-none" w:eastAsia="x-none"/>
    </w:rPr>
  </w:style>
  <w:style w:type="paragraph" w:customStyle="1" w:styleId="TableHeadingRow">
    <w:name w:val="Table Heading Row"/>
    <w:basedOn w:val="Normalny"/>
    <w:uiPriority w:val="99"/>
    <w:rsid w:val="0077731B"/>
    <w:pPr>
      <w:spacing w:before="60" w:after="60" w:line="240" w:lineRule="atLeast"/>
      <w:jc w:val="center"/>
    </w:pPr>
    <w:rPr>
      <w:rFonts w:ascii="Polo" w:hAnsi="Polo"/>
      <w:b/>
      <w:color w:val="FFFFFF"/>
      <w:szCs w:val="20"/>
      <w:lang w:val="en-GB" w:eastAsia="en-GB"/>
    </w:rPr>
  </w:style>
  <w:style w:type="character" w:customStyle="1" w:styleId="SubTextCar">
    <w:name w:val="Sub Text Car"/>
    <w:link w:val="SubText"/>
    <w:rsid w:val="0077731B"/>
    <w:rPr>
      <w:rFonts w:ascii="Arial" w:eastAsia="MS Mincho" w:hAnsi="Arial"/>
      <w:lang w:val="x-none" w:eastAsia="en-US"/>
    </w:rPr>
  </w:style>
  <w:style w:type="numbering" w:customStyle="1" w:styleId="Artykusekcja4">
    <w:name w:val="Artykuł / sekcja4"/>
    <w:rsid w:val="0077731B"/>
    <w:pPr>
      <w:numPr>
        <w:numId w:val="87"/>
      </w:numPr>
    </w:pPr>
  </w:style>
  <w:style w:type="paragraph" w:styleId="Listapunktowana">
    <w:name w:val="List Bullet"/>
    <w:basedOn w:val="Normalny"/>
    <w:uiPriority w:val="99"/>
    <w:rsid w:val="0077731B"/>
    <w:pPr>
      <w:numPr>
        <w:numId w:val="24"/>
      </w:numPr>
      <w:spacing w:before="120" w:after="120"/>
      <w:jc w:val="both"/>
    </w:pPr>
    <w:rPr>
      <w:rFonts w:ascii="Cambria" w:hAnsi="Cambria"/>
      <w:sz w:val="22"/>
      <w:szCs w:val="22"/>
      <w:lang w:val="it-IT" w:eastAsia="en-US"/>
    </w:rPr>
  </w:style>
  <w:style w:type="character" w:customStyle="1" w:styleId="shorttext">
    <w:name w:val="short_text"/>
    <w:rsid w:val="0077731B"/>
  </w:style>
  <w:style w:type="character" w:customStyle="1" w:styleId="atn">
    <w:name w:val="atn"/>
    <w:rsid w:val="0077731B"/>
  </w:style>
  <w:style w:type="paragraph" w:customStyle="1" w:styleId="Kolorowalistaakcent11">
    <w:name w:val="Kolorowa lista — akcent 11"/>
    <w:basedOn w:val="Normalny"/>
    <w:uiPriority w:val="34"/>
    <w:qFormat/>
    <w:rsid w:val="0077731B"/>
    <w:pPr>
      <w:spacing w:after="200" w:line="276" w:lineRule="auto"/>
      <w:ind w:left="720"/>
      <w:contextualSpacing/>
    </w:pPr>
    <w:rPr>
      <w:rFonts w:ascii="Calibri" w:eastAsia="Calibri" w:hAnsi="Calibri"/>
      <w:sz w:val="22"/>
      <w:szCs w:val="22"/>
      <w:lang w:val="en-GB" w:eastAsia="en-US"/>
    </w:rPr>
  </w:style>
  <w:style w:type="character" w:styleId="Uwydatnienie">
    <w:name w:val="Emphasis"/>
    <w:uiPriority w:val="20"/>
    <w:qFormat/>
    <w:rsid w:val="0077731B"/>
    <w:rPr>
      <w:b/>
      <w:bCs/>
      <w:i w:val="0"/>
      <w:iCs w:val="0"/>
    </w:rPr>
  </w:style>
  <w:style w:type="paragraph" w:styleId="Listapunktowana3">
    <w:name w:val="List Bullet 3"/>
    <w:basedOn w:val="Normalny"/>
    <w:uiPriority w:val="99"/>
    <w:rsid w:val="0077731B"/>
    <w:pPr>
      <w:numPr>
        <w:numId w:val="25"/>
      </w:numPr>
      <w:contextualSpacing/>
    </w:pPr>
    <w:rPr>
      <w:lang w:val="en-GB" w:eastAsia="en-GB"/>
    </w:rPr>
  </w:style>
  <w:style w:type="character" w:customStyle="1" w:styleId="FootnoteTextChar1">
    <w:name w:val="Footnote Text Char1"/>
    <w:aliases w:val="Tekst przypisu Char1,Podrozdział Char1"/>
    <w:basedOn w:val="Domylnaczcionkaakapitu"/>
    <w:uiPriority w:val="99"/>
    <w:semiHidden/>
    <w:rsid w:val="00EF10DA"/>
    <w:rPr>
      <w:lang w:val="pl-PL" w:eastAsia="ja-JP"/>
    </w:rPr>
  </w:style>
  <w:style w:type="paragraph" w:styleId="Nagwekspisutreci">
    <w:name w:val="TOC Heading"/>
    <w:basedOn w:val="Nagwek1"/>
    <w:next w:val="Normalny"/>
    <w:uiPriority w:val="39"/>
    <w:unhideWhenUsed/>
    <w:qFormat/>
    <w:rsid w:val="00E41942"/>
    <w:pPr>
      <w:keepLines/>
      <w:pageBreakBefore w:val="0"/>
      <w:numPr>
        <w:numId w:val="0"/>
      </w:numPr>
      <w:suppressAutoHyphens w:val="0"/>
      <w:spacing w:after="0" w:line="259" w:lineRule="auto"/>
      <w:outlineLvl w:val="9"/>
    </w:pPr>
    <w:rPr>
      <w:rFonts w:asciiTheme="majorHAnsi" w:eastAsiaTheme="majorEastAsia" w:hAnsiTheme="majorHAnsi" w:cstheme="majorBidi"/>
      <w:b w:val="0"/>
      <w:bCs w:val="0"/>
      <w:snapToGrid/>
      <w:color w:val="365F91" w:themeColor="accent1" w:themeShade="BF"/>
      <w:sz w:val="32"/>
      <w:lang w:val="pl-PL" w:eastAsia="pl-PL"/>
    </w:rPr>
  </w:style>
  <w:style w:type="character" w:styleId="Numerwiersza">
    <w:name w:val="line number"/>
    <w:basedOn w:val="Domylnaczcionkaakapitu"/>
    <w:semiHidden/>
    <w:unhideWhenUsed/>
    <w:rsid w:val="00A62E39"/>
  </w:style>
  <w:style w:type="character" w:customStyle="1" w:styleId="jlqj4b">
    <w:name w:val="jlqj4b"/>
    <w:basedOn w:val="Domylnaczcionkaakapitu"/>
    <w:rsid w:val="00F85437"/>
  </w:style>
  <w:style w:type="character" w:customStyle="1" w:styleId="viiyi">
    <w:name w:val="viiyi"/>
    <w:basedOn w:val="Domylnaczcionkaakapitu"/>
    <w:rsid w:val="005F42CC"/>
  </w:style>
  <w:style w:type="character" w:styleId="Tekstzastpczy">
    <w:name w:val="Placeholder Text"/>
    <w:basedOn w:val="Domylnaczcionkaakapitu"/>
    <w:uiPriority w:val="99"/>
    <w:semiHidden/>
    <w:rsid w:val="00266002"/>
    <w:rPr>
      <w:color w:val="808080"/>
    </w:rPr>
  </w:style>
  <w:style w:type="character" w:customStyle="1" w:styleId="AkapitzlistZnak">
    <w:name w:val="Akapit z listą Znak"/>
    <w:aliases w:val="Obiekt Znak,List Paragraph1 Znak"/>
    <w:link w:val="Akapitzlist"/>
    <w:uiPriority w:val="34"/>
    <w:locked/>
    <w:rsid w:val="00C15562"/>
    <w:rPr>
      <w:sz w:val="24"/>
      <w:szCs w:val="24"/>
      <w:lang w:val="pl-PL" w:eastAsia="ja-JP"/>
    </w:rPr>
  </w:style>
  <w:style w:type="character" w:customStyle="1" w:styleId="Nierozpoznanawzmianka1">
    <w:name w:val="Nierozpoznana wzmianka1"/>
    <w:basedOn w:val="Domylnaczcionkaakapitu"/>
    <w:uiPriority w:val="99"/>
    <w:semiHidden/>
    <w:unhideWhenUsed/>
    <w:rsid w:val="008B44B0"/>
    <w:rPr>
      <w:color w:val="605E5C"/>
      <w:shd w:val="clear" w:color="auto" w:fill="E1DFDD"/>
    </w:rPr>
  </w:style>
  <w:style w:type="table" w:customStyle="1" w:styleId="a">
    <w:basedOn w:val="Standardowy"/>
    <w:tblPr>
      <w:tblStyleRowBandSize w:val="1"/>
      <w:tblStyleColBandSize w:val="1"/>
      <w:tblCellMar>
        <w:left w:w="115" w:type="dxa"/>
        <w:right w:w="115" w:type="dxa"/>
      </w:tblCellMar>
    </w:tblPr>
  </w:style>
  <w:style w:type="table" w:customStyle="1" w:styleId="a0">
    <w:basedOn w:val="Standardowy"/>
    <w:tblPr>
      <w:tblStyleRowBandSize w:val="1"/>
      <w:tblStyleColBandSize w:val="1"/>
      <w:tblCellMar>
        <w:left w:w="115" w:type="dxa"/>
        <w:right w:w="115" w:type="dxa"/>
      </w:tblCellMar>
    </w:tblPr>
  </w:style>
  <w:style w:type="table" w:customStyle="1" w:styleId="a1">
    <w:basedOn w:val="Standardowy"/>
    <w:tblPr>
      <w:tblStyleRowBandSize w:val="1"/>
      <w:tblStyleColBandSize w:val="1"/>
      <w:tblCellMar>
        <w:left w:w="115" w:type="dxa"/>
        <w:right w:w="115" w:type="dxa"/>
      </w:tblCellMar>
    </w:tblPr>
  </w:style>
  <w:style w:type="table" w:customStyle="1" w:styleId="a2">
    <w:basedOn w:val="Standardowy"/>
    <w:tblPr>
      <w:tblStyleRowBandSize w:val="1"/>
      <w:tblStyleColBandSize w:val="1"/>
      <w:tblCellMar>
        <w:left w:w="115" w:type="dxa"/>
        <w:right w:w="115" w:type="dxa"/>
      </w:tblCellMar>
    </w:tblPr>
  </w:style>
  <w:style w:type="table" w:customStyle="1" w:styleId="a3">
    <w:basedOn w:val="Standardowy"/>
    <w:tblPr>
      <w:tblStyleRowBandSize w:val="1"/>
      <w:tblStyleColBandSize w:val="1"/>
      <w:tblCellMar>
        <w:left w:w="115" w:type="dxa"/>
        <w:right w:w="115" w:type="dxa"/>
      </w:tblCellMar>
    </w:tblPr>
  </w:style>
  <w:style w:type="table" w:customStyle="1" w:styleId="a4">
    <w:basedOn w:val="Standardowy"/>
    <w:tblPr>
      <w:tblStyleRowBandSize w:val="1"/>
      <w:tblStyleColBandSize w:val="1"/>
      <w:tblCellMar>
        <w:left w:w="115" w:type="dxa"/>
        <w:right w:w="115" w:type="dxa"/>
      </w:tblCellMar>
    </w:tblPr>
  </w:style>
  <w:style w:type="table" w:customStyle="1" w:styleId="a5">
    <w:basedOn w:val="Standardowy"/>
    <w:tblPr>
      <w:tblStyleRowBandSize w:val="1"/>
      <w:tblStyleColBandSize w:val="1"/>
      <w:tblCellMar>
        <w:left w:w="115" w:type="dxa"/>
        <w:right w:w="115" w:type="dxa"/>
      </w:tblCellMar>
    </w:tblPr>
  </w:style>
  <w:style w:type="table" w:customStyle="1" w:styleId="a6">
    <w:basedOn w:val="Standardowy"/>
    <w:tblPr>
      <w:tblStyleRowBandSize w:val="1"/>
      <w:tblStyleColBandSize w:val="1"/>
      <w:tblCellMar>
        <w:left w:w="115" w:type="dxa"/>
        <w:right w:w="115" w:type="dxa"/>
      </w:tblCellMar>
    </w:tblPr>
  </w:style>
  <w:style w:type="table" w:customStyle="1" w:styleId="a7">
    <w:basedOn w:val="Standardowy"/>
    <w:tblPr>
      <w:tblStyleRowBandSize w:val="1"/>
      <w:tblStyleColBandSize w:val="1"/>
      <w:tblCellMar>
        <w:left w:w="115" w:type="dxa"/>
        <w:right w:w="115" w:type="dxa"/>
      </w:tblCellMar>
    </w:tblPr>
  </w:style>
  <w:style w:type="table" w:customStyle="1" w:styleId="a8">
    <w:basedOn w:val="Standardowy"/>
    <w:tblPr>
      <w:tblStyleRowBandSize w:val="1"/>
      <w:tblStyleColBandSize w:val="1"/>
      <w:tblCellMar>
        <w:left w:w="115" w:type="dxa"/>
        <w:right w:w="115" w:type="dxa"/>
      </w:tblCellMar>
    </w:tblPr>
  </w:style>
  <w:style w:type="table" w:customStyle="1" w:styleId="a9">
    <w:basedOn w:val="Standardowy"/>
    <w:tblPr>
      <w:tblStyleRowBandSize w:val="1"/>
      <w:tblStyleColBandSize w:val="1"/>
      <w:tblCellMar>
        <w:left w:w="115" w:type="dxa"/>
        <w:right w:w="115" w:type="dxa"/>
      </w:tblCellMar>
    </w:tblPr>
  </w:style>
  <w:style w:type="table" w:customStyle="1" w:styleId="aa">
    <w:basedOn w:val="Standardowy"/>
    <w:tblPr>
      <w:tblStyleRowBandSize w:val="1"/>
      <w:tblStyleColBandSize w:val="1"/>
      <w:tblCellMar>
        <w:left w:w="115" w:type="dxa"/>
        <w:right w:w="115" w:type="dxa"/>
      </w:tblCellMar>
    </w:tblPr>
  </w:style>
  <w:style w:type="table" w:customStyle="1" w:styleId="ab">
    <w:basedOn w:val="Standardowy"/>
    <w:tblPr>
      <w:tblStyleRowBandSize w:val="1"/>
      <w:tblStyleColBandSize w:val="1"/>
      <w:tblCellMar>
        <w:left w:w="115" w:type="dxa"/>
        <w:right w:w="115" w:type="dxa"/>
      </w:tblCellMar>
    </w:tblPr>
  </w:style>
  <w:style w:type="table" w:customStyle="1" w:styleId="ac">
    <w:basedOn w:val="Standardowy"/>
    <w:tblPr>
      <w:tblStyleRowBandSize w:val="1"/>
      <w:tblStyleColBandSize w:val="1"/>
      <w:tblCellMar>
        <w:left w:w="115" w:type="dxa"/>
        <w:right w:w="115" w:type="dxa"/>
      </w:tblCellMar>
    </w:tblPr>
  </w:style>
  <w:style w:type="table" w:customStyle="1" w:styleId="ad">
    <w:basedOn w:val="Standardowy"/>
    <w:tblPr>
      <w:tblStyleRowBandSize w:val="1"/>
      <w:tblStyleColBandSize w:val="1"/>
      <w:tblCellMar>
        <w:left w:w="115" w:type="dxa"/>
        <w:right w:w="115" w:type="dxa"/>
      </w:tblCellMar>
    </w:tblPr>
  </w:style>
  <w:style w:type="table" w:customStyle="1" w:styleId="ae">
    <w:basedOn w:val="Standardowy"/>
    <w:tblPr>
      <w:tblStyleRowBandSize w:val="1"/>
      <w:tblStyleColBandSize w:val="1"/>
      <w:tblCellMar>
        <w:left w:w="115" w:type="dxa"/>
        <w:right w:w="115" w:type="dxa"/>
      </w:tblCellMar>
    </w:tblPr>
  </w:style>
  <w:style w:type="table" w:customStyle="1" w:styleId="af">
    <w:basedOn w:val="Standardowy"/>
    <w:tblPr>
      <w:tblStyleRowBandSize w:val="1"/>
      <w:tblStyleColBandSize w:val="1"/>
      <w:tblCellMar>
        <w:left w:w="115" w:type="dxa"/>
        <w:right w:w="115" w:type="dxa"/>
      </w:tblCellMar>
    </w:tblPr>
  </w:style>
  <w:style w:type="table" w:customStyle="1" w:styleId="af0">
    <w:basedOn w:val="Standardowy"/>
    <w:tblPr>
      <w:tblStyleRowBandSize w:val="1"/>
      <w:tblStyleColBandSize w:val="1"/>
      <w:tblCellMar>
        <w:left w:w="115" w:type="dxa"/>
        <w:right w:w="115" w:type="dxa"/>
      </w:tblCellMar>
    </w:tblPr>
  </w:style>
  <w:style w:type="table" w:customStyle="1" w:styleId="af1">
    <w:basedOn w:val="Standardowy"/>
    <w:tblPr>
      <w:tblStyleRowBandSize w:val="1"/>
      <w:tblStyleColBandSize w:val="1"/>
      <w:tblCellMar>
        <w:left w:w="115" w:type="dxa"/>
        <w:right w:w="115" w:type="dxa"/>
      </w:tblCellMar>
    </w:tblPr>
  </w:style>
  <w:style w:type="table" w:customStyle="1" w:styleId="af2">
    <w:basedOn w:val="Standardowy"/>
    <w:tblPr>
      <w:tblStyleRowBandSize w:val="1"/>
      <w:tblStyleColBandSize w:val="1"/>
      <w:tblCellMar>
        <w:left w:w="115" w:type="dxa"/>
        <w:right w:w="115" w:type="dxa"/>
      </w:tblCellMar>
    </w:tblPr>
  </w:style>
  <w:style w:type="table" w:customStyle="1" w:styleId="af3">
    <w:basedOn w:val="Standardowy"/>
    <w:tblPr>
      <w:tblStyleRowBandSize w:val="1"/>
      <w:tblStyleColBandSize w:val="1"/>
      <w:tblCellMar>
        <w:left w:w="115" w:type="dxa"/>
        <w:right w:w="115" w:type="dxa"/>
      </w:tblCellMar>
    </w:tblPr>
  </w:style>
  <w:style w:type="table" w:customStyle="1" w:styleId="af4">
    <w:basedOn w:val="Standardowy"/>
    <w:tblPr>
      <w:tblStyleRowBandSize w:val="1"/>
      <w:tblStyleColBandSize w:val="1"/>
      <w:tblCellMar>
        <w:left w:w="115" w:type="dxa"/>
        <w:right w:w="115" w:type="dxa"/>
      </w:tblCellMar>
    </w:tblPr>
  </w:style>
  <w:style w:type="table" w:customStyle="1" w:styleId="af5">
    <w:basedOn w:val="Standardowy"/>
    <w:tblPr>
      <w:tblStyleRowBandSize w:val="1"/>
      <w:tblStyleColBandSize w:val="1"/>
      <w:tblCellMar>
        <w:left w:w="115" w:type="dxa"/>
        <w:right w:w="115" w:type="dxa"/>
      </w:tblCellMar>
    </w:tblPr>
  </w:style>
  <w:style w:type="table" w:customStyle="1" w:styleId="af6">
    <w:basedOn w:val="Standardowy"/>
    <w:tblPr>
      <w:tblStyleRowBandSize w:val="1"/>
      <w:tblStyleColBandSize w:val="1"/>
      <w:tblCellMar>
        <w:left w:w="115" w:type="dxa"/>
        <w:right w:w="115" w:type="dxa"/>
      </w:tblCellMar>
    </w:tblPr>
  </w:style>
  <w:style w:type="table" w:customStyle="1" w:styleId="af7">
    <w:basedOn w:val="Standardowy"/>
    <w:tblPr>
      <w:tblStyleRowBandSize w:val="1"/>
      <w:tblStyleColBandSize w:val="1"/>
      <w:tblCellMar>
        <w:left w:w="115" w:type="dxa"/>
        <w:right w:w="115" w:type="dxa"/>
      </w:tblCellMar>
    </w:tblPr>
  </w:style>
  <w:style w:type="table" w:customStyle="1" w:styleId="af8">
    <w:basedOn w:val="Standardowy"/>
    <w:tblPr>
      <w:tblStyleRowBandSize w:val="1"/>
      <w:tblStyleColBandSize w:val="1"/>
      <w:tblCellMar>
        <w:left w:w="115" w:type="dxa"/>
        <w:right w:w="115" w:type="dxa"/>
      </w:tblCellMar>
    </w:tblPr>
  </w:style>
  <w:style w:type="table" w:customStyle="1" w:styleId="af9">
    <w:basedOn w:val="Standardowy"/>
    <w:tblPr>
      <w:tblStyleRowBandSize w:val="1"/>
      <w:tblStyleColBandSize w:val="1"/>
      <w:tblCellMar>
        <w:left w:w="115" w:type="dxa"/>
        <w:right w:w="115" w:type="dxa"/>
      </w:tblCellMar>
    </w:tblPr>
  </w:style>
  <w:style w:type="table" w:customStyle="1" w:styleId="afa">
    <w:basedOn w:val="Standardowy"/>
    <w:tblPr>
      <w:tblStyleRowBandSize w:val="1"/>
      <w:tblStyleColBandSize w:val="1"/>
      <w:tblCellMar>
        <w:left w:w="115" w:type="dxa"/>
        <w:right w:w="115" w:type="dxa"/>
      </w:tblCellMar>
    </w:tblPr>
  </w:style>
  <w:style w:type="table" w:customStyle="1" w:styleId="afb">
    <w:basedOn w:val="Standardowy"/>
    <w:tblPr>
      <w:tblStyleRowBandSize w:val="1"/>
      <w:tblStyleColBandSize w:val="1"/>
      <w:tblCellMar>
        <w:left w:w="115" w:type="dxa"/>
        <w:right w:w="115" w:type="dxa"/>
      </w:tblCellMar>
    </w:tblPr>
  </w:style>
  <w:style w:type="table" w:customStyle="1" w:styleId="afc">
    <w:basedOn w:val="Standardowy"/>
    <w:tblPr>
      <w:tblStyleRowBandSize w:val="1"/>
      <w:tblStyleColBandSize w:val="1"/>
      <w:tblCellMar>
        <w:left w:w="115" w:type="dxa"/>
        <w:right w:w="115" w:type="dxa"/>
      </w:tblCellMar>
    </w:tblPr>
  </w:style>
  <w:style w:type="table" w:customStyle="1" w:styleId="afd">
    <w:basedOn w:val="Standardowy"/>
    <w:tblPr>
      <w:tblStyleRowBandSize w:val="1"/>
      <w:tblStyleColBandSize w:val="1"/>
      <w:tblCellMar>
        <w:left w:w="115" w:type="dxa"/>
        <w:right w:w="115" w:type="dxa"/>
      </w:tblCellMar>
    </w:tblPr>
  </w:style>
  <w:style w:type="table" w:customStyle="1" w:styleId="afe">
    <w:basedOn w:val="Standardowy"/>
    <w:tblPr>
      <w:tblStyleRowBandSize w:val="1"/>
      <w:tblStyleColBandSize w:val="1"/>
      <w:tblCellMar>
        <w:left w:w="115" w:type="dxa"/>
        <w:right w:w="115" w:type="dxa"/>
      </w:tblCellMar>
    </w:tblPr>
  </w:style>
  <w:style w:type="table" w:customStyle="1" w:styleId="aff">
    <w:basedOn w:val="Standardowy"/>
    <w:tblPr>
      <w:tblStyleRowBandSize w:val="1"/>
      <w:tblStyleColBandSize w:val="1"/>
      <w:tblCellMar>
        <w:left w:w="115" w:type="dxa"/>
        <w:right w:w="115" w:type="dxa"/>
      </w:tblCellMar>
    </w:tblPr>
  </w:style>
  <w:style w:type="table" w:customStyle="1" w:styleId="aff0">
    <w:basedOn w:val="Standardowy"/>
    <w:tblPr>
      <w:tblStyleRowBandSize w:val="1"/>
      <w:tblStyleColBandSize w:val="1"/>
      <w:tblCellMar>
        <w:left w:w="115" w:type="dxa"/>
        <w:right w:w="115" w:type="dxa"/>
      </w:tblCellMar>
    </w:tblPr>
  </w:style>
  <w:style w:type="table" w:customStyle="1" w:styleId="aff1">
    <w:basedOn w:val="Standardowy"/>
    <w:tblPr>
      <w:tblStyleRowBandSize w:val="1"/>
      <w:tblStyleColBandSize w:val="1"/>
      <w:tblCellMar>
        <w:left w:w="115" w:type="dxa"/>
        <w:right w:w="115" w:type="dxa"/>
      </w:tblCellMar>
    </w:tblPr>
  </w:style>
  <w:style w:type="table" w:customStyle="1" w:styleId="aff2">
    <w:basedOn w:val="Standardowy"/>
    <w:tblPr>
      <w:tblStyleRowBandSize w:val="1"/>
      <w:tblStyleColBandSize w:val="1"/>
      <w:tblCellMar>
        <w:left w:w="115" w:type="dxa"/>
        <w:right w:w="115" w:type="dxa"/>
      </w:tblCellMar>
    </w:tblPr>
  </w:style>
  <w:style w:type="table" w:customStyle="1" w:styleId="aff3">
    <w:basedOn w:val="Standardowy"/>
    <w:tblPr>
      <w:tblStyleRowBandSize w:val="1"/>
      <w:tblStyleColBandSize w:val="1"/>
      <w:tblCellMar>
        <w:left w:w="115" w:type="dxa"/>
        <w:right w:w="115" w:type="dxa"/>
      </w:tblCellMar>
    </w:tblPr>
  </w:style>
  <w:style w:type="table" w:customStyle="1" w:styleId="aff4">
    <w:basedOn w:val="Standardowy"/>
    <w:tblPr>
      <w:tblStyleRowBandSize w:val="1"/>
      <w:tblStyleColBandSize w:val="1"/>
      <w:tblCellMar>
        <w:left w:w="115" w:type="dxa"/>
        <w:right w:w="115" w:type="dxa"/>
      </w:tblCellMar>
    </w:tblPr>
  </w:style>
  <w:style w:type="table" w:customStyle="1" w:styleId="aff5">
    <w:basedOn w:val="Standardowy"/>
    <w:tblPr>
      <w:tblStyleRowBandSize w:val="1"/>
      <w:tblStyleColBandSize w:val="1"/>
      <w:tblCellMar>
        <w:left w:w="115" w:type="dxa"/>
        <w:right w:w="115" w:type="dxa"/>
      </w:tblCellMar>
    </w:tblPr>
  </w:style>
  <w:style w:type="table" w:customStyle="1" w:styleId="aff6">
    <w:basedOn w:val="Standardowy"/>
    <w:tblPr>
      <w:tblStyleRowBandSize w:val="1"/>
      <w:tblStyleColBandSize w:val="1"/>
      <w:tblCellMar>
        <w:left w:w="115" w:type="dxa"/>
        <w:right w:w="115" w:type="dxa"/>
      </w:tblCellMar>
    </w:tblPr>
  </w:style>
  <w:style w:type="table" w:customStyle="1" w:styleId="aff7">
    <w:basedOn w:val="Standardowy"/>
    <w:tblPr>
      <w:tblStyleRowBandSize w:val="1"/>
      <w:tblStyleColBandSize w:val="1"/>
      <w:tblCellMar>
        <w:left w:w="115" w:type="dxa"/>
        <w:right w:w="115" w:type="dxa"/>
      </w:tblCellMar>
    </w:tblPr>
  </w:style>
  <w:style w:type="table" w:customStyle="1" w:styleId="aff8">
    <w:basedOn w:val="Standardowy"/>
    <w:tblPr>
      <w:tblStyleRowBandSize w:val="1"/>
      <w:tblStyleColBandSize w:val="1"/>
      <w:tblCellMar>
        <w:left w:w="115" w:type="dxa"/>
        <w:right w:w="115" w:type="dxa"/>
      </w:tblCellMar>
    </w:tblPr>
  </w:style>
  <w:style w:type="table" w:customStyle="1" w:styleId="aff9">
    <w:basedOn w:val="Standardowy"/>
    <w:tblPr>
      <w:tblStyleRowBandSize w:val="1"/>
      <w:tblStyleColBandSize w:val="1"/>
      <w:tblCellMar>
        <w:left w:w="115" w:type="dxa"/>
        <w:right w:w="115" w:type="dxa"/>
      </w:tblCellMar>
    </w:tblPr>
  </w:style>
  <w:style w:type="table" w:customStyle="1" w:styleId="affa">
    <w:basedOn w:val="Standardowy"/>
    <w:tblPr>
      <w:tblStyleRowBandSize w:val="1"/>
      <w:tblStyleColBandSize w:val="1"/>
      <w:tblCellMar>
        <w:left w:w="115" w:type="dxa"/>
        <w:right w:w="115" w:type="dxa"/>
      </w:tblCellMar>
    </w:tblPr>
  </w:style>
  <w:style w:type="table" w:customStyle="1" w:styleId="affb">
    <w:basedOn w:val="Standardowy"/>
    <w:tblPr>
      <w:tblStyleRowBandSize w:val="1"/>
      <w:tblStyleColBandSize w:val="1"/>
      <w:tblCellMar>
        <w:left w:w="115" w:type="dxa"/>
        <w:right w:w="115" w:type="dxa"/>
      </w:tblCellMar>
    </w:tblPr>
  </w:style>
  <w:style w:type="table" w:customStyle="1" w:styleId="affc">
    <w:basedOn w:val="Standardowy"/>
    <w:pPr>
      <w:spacing w:before="40" w:after="40"/>
    </w:pPr>
    <w:rPr>
      <w:rFonts w:ascii="Arial Narrow" w:eastAsia="Arial Narrow" w:hAnsi="Arial Narrow" w:cs="Arial Narrow"/>
      <w:sz w:val="18"/>
      <w:szCs w:val="18"/>
    </w:rPr>
    <w:tblPr>
      <w:tblStyleRowBandSize w:val="1"/>
      <w:tblStyleColBandSize w:val="1"/>
    </w:tblPr>
  </w:style>
  <w:style w:type="table" w:customStyle="1" w:styleId="affd">
    <w:basedOn w:val="Standardowy"/>
    <w:tblPr>
      <w:tblStyleRowBandSize w:val="1"/>
      <w:tblStyleColBandSize w:val="1"/>
      <w:tblCellMar>
        <w:left w:w="115" w:type="dxa"/>
        <w:right w:w="115" w:type="dxa"/>
      </w:tblCellMar>
    </w:tblPr>
  </w:style>
  <w:style w:type="table" w:customStyle="1" w:styleId="affe">
    <w:basedOn w:val="Standardowy"/>
    <w:tblPr>
      <w:tblStyleRowBandSize w:val="1"/>
      <w:tblStyleColBandSize w:val="1"/>
      <w:tblCellMar>
        <w:left w:w="115" w:type="dxa"/>
        <w:right w:w="115" w:type="dxa"/>
      </w:tblCellMar>
    </w:tblPr>
  </w:style>
  <w:style w:type="table" w:customStyle="1" w:styleId="afff">
    <w:basedOn w:val="Standardowy"/>
    <w:tblPr>
      <w:tblStyleRowBandSize w:val="1"/>
      <w:tblStyleColBandSize w:val="1"/>
      <w:tblCellMar>
        <w:left w:w="115" w:type="dxa"/>
        <w:right w:w="115" w:type="dxa"/>
      </w:tblCellMar>
    </w:tblPr>
  </w:style>
  <w:style w:type="table" w:customStyle="1" w:styleId="afff0">
    <w:basedOn w:val="Standardowy"/>
    <w:tblPr>
      <w:tblStyleRowBandSize w:val="1"/>
      <w:tblStyleColBandSize w:val="1"/>
      <w:tblCellMar>
        <w:left w:w="115" w:type="dxa"/>
        <w:right w:w="115" w:type="dxa"/>
      </w:tblCellMar>
    </w:tblPr>
  </w:style>
  <w:style w:type="table" w:customStyle="1" w:styleId="afff1">
    <w:basedOn w:val="Standardowy"/>
    <w:tblPr>
      <w:tblStyleRowBandSize w:val="1"/>
      <w:tblStyleColBandSize w:val="1"/>
      <w:tblCellMar>
        <w:left w:w="115" w:type="dxa"/>
        <w:right w:w="115" w:type="dxa"/>
      </w:tblCellMar>
    </w:tblPr>
  </w:style>
  <w:style w:type="table" w:customStyle="1" w:styleId="afff2">
    <w:basedOn w:val="Standardowy"/>
    <w:tblPr>
      <w:tblStyleRowBandSize w:val="1"/>
      <w:tblStyleColBandSize w:val="1"/>
      <w:tblCellMar>
        <w:left w:w="115" w:type="dxa"/>
        <w:right w:w="115" w:type="dxa"/>
      </w:tblCellMar>
    </w:tblPr>
  </w:style>
  <w:style w:type="table" w:customStyle="1" w:styleId="afff3">
    <w:basedOn w:val="Standardowy"/>
    <w:tblPr>
      <w:tblStyleRowBandSize w:val="1"/>
      <w:tblStyleColBandSize w:val="1"/>
      <w:tblCellMar>
        <w:left w:w="115" w:type="dxa"/>
        <w:right w:w="115" w:type="dxa"/>
      </w:tblCellMar>
    </w:tblPr>
  </w:style>
  <w:style w:type="table" w:customStyle="1" w:styleId="afff4">
    <w:basedOn w:val="Standardowy"/>
    <w:tblPr>
      <w:tblStyleRowBandSize w:val="1"/>
      <w:tblStyleColBandSize w:val="1"/>
      <w:tblCellMar>
        <w:left w:w="115" w:type="dxa"/>
        <w:right w:w="115" w:type="dxa"/>
      </w:tblCellMar>
    </w:tblPr>
  </w:style>
  <w:style w:type="table" w:customStyle="1" w:styleId="afff5">
    <w:basedOn w:val="Standardowy"/>
    <w:tblPr>
      <w:tblStyleRowBandSize w:val="1"/>
      <w:tblStyleColBandSize w:val="1"/>
      <w:tblCellMar>
        <w:left w:w="115" w:type="dxa"/>
        <w:right w:w="115" w:type="dxa"/>
      </w:tblCellMar>
    </w:tblPr>
  </w:style>
  <w:style w:type="table" w:customStyle="1" w:styleId="afff6">
    <w:basedOn w:val="Standardowy"/>
    <w:tblPr>
      <w:tblStyleRowBandSize w:val="1"/>
      <w:tblStyleColBandSize w:val="1"/>
      <w:tblCellMar>
        <w:left w:w="115" w:type="dxa"/>
        <w:right w:w="115" w:type="dxa"/>
      </w:tblCellMar>
    </w:tblPr>
  </w:style>
  <w:style w:type="table" w:customStyle="1" w:styleId="afff7">
    <w:basedOn w:val="Standardowy"/>
    <w:tblPr>
      <w:tblStyleRowBandSize w:val="1"/>
      <w:tblStyleColBandSize w:val="1"/>
      <w:tblCellMar>
        <w:left w:w="115" w:type="dxa"/>
        <w:right w:w="115" w:type="dxa"/>
      </w:tblCellMar>
    </w:tblPr>
  </w:style>
  <w:style w:type="table" w:customStyle="1" w:styleId="afff8">
    <w:basedOn w:val="Standardowy"/>
    <w:tblPr>
      <w:tblStyleRowBandSize w:val="1"/>
      <w:tblStyleColBandSize w:val="1"/>
      <w:tblCellMar>
        <w:left w:w="115" w:type="dxa"/>
        <w:right w:w="115" w:type="dxa"/>
      </w:tblCellMar>
    </w:tblPr>
  </w:style>
  <w:style w:type="table" w:customStyle="1" w:styleId="afff9">
    <w:basedOn w:val="Standardowy"/>
    <w:tblPr>
      <w:tblStyleRowBandSize w:val="1"/>
      <w:tblStyleColBandSize w:val="1"/>
      <w:tblCellMar>
        <w:left w:w="115" w:type="dxa"/>
        <w:right w:w="115" w:type="dxa"/>
      </w:tblCellMar>
    </w:tblPr>
  </w:style>
  <w:style w:type="table" w:customStyle="1" w:styleId="afffa">
    <w:basedOn w:val="Standardowy"/>
    <w:tblPr>
      <w:tblStyleRowBandSize w:val="1"/>
      <w:tblStyleColBandSize w:val="1"/>
      <w:tblCellMar>
        <w:left w:w="115" w:type="dxa"/>
        <w:right w:w="115" w:type="dxa"/>
      </w:tblCellMar>
    </w:tblPr>
  </w:style>
  <w:style w:type="table" w:customStyle="1" w:styleId="afffb">
    <w:basedOn w:val="Standardowy"/>
    <w:tblPr>
      <w:tblStyleRowBandSize w:val="1"/>
      <w:tblStyleColBandSize w:val="1"/>
      <w:tblCellMar>
        <w:left w:w="115" w:type="dxa"/>
        <w:right w:w="115" w:type="dxa"/>
      </w:tblCellMar>
    </w:tblPr>
  </w:style>
  <w:style w:type="table" w:customStyle="1" w:styleId="afffc">
    <w:basedOn w:val="Standardowy"/>
    <w:tblPr>
      <w:tblStyleRowBandSize w:val="1"/>
      <w:tblStyleColBandSize w:val="1"/>
      <w:tblCellMar>
        <w:left w:w="115" w:type="dxa"/>
        <w:right w:w="115" w:type="dxa"/>
      </w:tblCellMar>
    </w:tblPr>
  </w:style>
  <w:style w:type="table" w:customStyle="1" w:styleId="afffd">
    <w:basedOn w:val="Standardowy"/>
    <w:tblPr>
      <w:tblStyleRowBandSize w:val="1"/>
      <w:tblStyleColBandSize w:val="1"/>
      <w:tblCellMar>
        <w:left w:w="115" w:type="dxa"/>
        <w:right w:w="115" w:type="dxa"/>
      </w:tblCellMar>
    </w:tblPr>
  </w:style>
  <w:style w:type="table" w:customStyle="1" w:styleId="afffe">
    <w:basedOn w:val="Standardowy"/>
    <w:tblPr>
      <w:tblStyleRowBandSize w:val="1"/>
      <w:tblStyleColBandSize w:val="1"/>
      <w:tblCellMar>
        <w:left w:w="115" w:type="dxa"/>
        <w:right w:w="115" w:type="dxa"/>
      </w:tblCellMar>
    </w:tblPr>
  </w:style>
  <w:style w:type="table" w:customStyle="1" w:styleId="affff">
    <w:basedOn w:val="Standardowy"/>
    <w:tblPr>
      <w:tblStyleRowBandSize w:val="1"/>
      <w:tblStyleColBandSize w:val="1"/>
      <w:tblCellMar>
        <w:left w:w="115" w:type="dxa"/>
        <w:right w:w="115" w:type="dxa"/>
      </w:tblCellMar>
    </w:tblPr>
  </w:style>
  <w:style w:type="table" w:customStyle="1" w:styleId="affff0">
    <w:basedOn w:val="Standardowy"/>
    <w:tblPr>
      <w:tblStyleRowBandSize w:val="1"/>
      <w:tblStyleColBandSize w:val="1"/>
      <w:tblCellMar>
        <w:left w:w="115" w:type="dxa"/>
        <w:right w:w="115" w:type="dxa"/>
      </w:tblCellMar>
    </w:tblPr>
  </w:style>
  <w:style w:type="table" w:customStyle="1" w:styleId="affff1">
    <w:basedOn w:val="Standardowy"/>
    <w:tblPr>
      <w:tblStyleRowBandSize w:val="1"/>
      <w:tblStyleColBandSize w:val="1"/>
      <w:tblCellMar>
        <w:left w:w="115" w:type="dxa"/>
        <w:right w:w="115" w:type="dxa"/>
      </w:tblCellMar>
    </w:tblPr>
  </w:style>
  <w:style w:type="table" w:customStyle="1" w:styleId="affff2">
    <w:basedOn w:val="Standardowy"/>
    <w:tblPr>
      <w:tblStyleRowBandSize w:val="1"/>
      <w:tblStyleColBandSize w:val="1"/>
      <w:tblCellMar>
        <w:left w:w="115" w:type="dxa"/>
        <w:right w:w="115" w:type="dxa"/>
      </w:tblCellMar>
    </w:tblPr>
  </w:style>
  <w:style w:type="table" w:customStyle="1" w:styleId="affff3">
    <w:basedOn w:val="Standardowy"/>
    <w:tblPr>
      <w:tblStyleRowBandSize w:val="1"/>
      <w:tblStyleColBandSize w:val="1"/>
      <w:tblCellMar>
        <w:left w:w="115" w:type="dxa"/>
        <w:right w:w="115" w:type="dxa"/>
      </w:tblCellMar>
    </w:tblPr>
  </w:style>
  <w:style w:type="table" w:customStyle="1" w:styleId="affff4">
    <w:basedOn w:val="Standardowy"/>
    <w:tblPr>
      <w:tblStyleRowBandSize w:val="1"/>
      <w:tblStyleColBandSize w:val="1"/>
      <w:tblCellMar>
        <w:left w:w="115" w:type="dxa"/>
        <w:right w:w="115" w:type="dxa"/>
      </w:tblCellMar>
    </w:tblPr>
  </w:style>
  <w:style w:type="table" w:customStyle="1" w:styleId="affff5">
    <w:basedOn w:val="Standardowy"/>
    <w:tblPr>
      <w:tblStyleRowBandSize w:val="1"/>
      <w:tblStyleColBandSize w:val="1"/>
      <w:tblCellMar>
        <w:left w:w="115" w:type="dxa"/>
        <w:right w:w="115" w:type="dxa"/>
      </w:tblCellMar>
    </w:tblPr>
  </w:style>
  <w:style w:type="table" w:customStyle="1" w:styleId="affff6">
    <w:basedOn w:val="Standardowy"/>
    <w:tblPr>
      <w:tblStyleRowBandSize w:val="1"/>
      <w:tblStyleColBandSize w:val="1"/>
      <w:tblCellMar>
        <w:left w:w="115" w:type="dxa"/>
        <w:right w:w="115" w:type="dxa"/>
      </w:tblCellMar>
    </w:tblPr>
  </w:style>
  <w:style w:type="table" w:customStyle="1" w:styleId="affff7">
    <w:basedOn w:val="Standardowy"/>
    <w:tblPr>
      <w:tblStyleRowBandSize w:val="1"/>
      <w:tblStyleColBandSize w:val="1"/>
      <w:tblCellMar>
        <w:left w:w="115" w:type="dxa"/>
        <w:right w:w="115" w:type="dxa"/>
      </w:tblCellMar>
    </w:tblPr>
  </w:style>
  <w:style w:type="table" w:customStyle="1" w:styleId="affff8">
    <w:basedOn w:val="Standardowy"/>
    <w:tblPr>
      <w:tblStyleRowBandSize w:val="1"/>
      <w:tblStyleColBandSize w:val="1"/>
      <w:tblCellMar>
        <w:left w:w="115" w:type="dxa"/>
        <w:right w:w="115" w:type="dxa"/>
      </w:tblCellMar>
    </w:tblPr>
  </w:style>
  <w:style w:type="table" w:customStyle="1" w:styleId="affff9">
    <w:basedOn w:val="Standardowy"/>
    <w:tblPr>
      <w:tblStyleRowBandSize w:val="1"/>
      <w:tblStyleColBandSize w:val="1"/>
      <w:tblCellMar>
        <w:left w:w="115" w:type="dxa"/>
        <w:right w:w="115" w:type="dxa"/>
      </w:tblCellMar>
    </w:tblPr>
  </w:style>
  <w:style w:type="table" w:customStyle="1" w:styleId="affffa">
    <w:basedOn w:val="Standardowy"/>
    <w:tblPr>
      <w:tblStyleRowBandSize w:val="1"/>
      <w:tblStyleColBandSize w:val="1"/>
      <w:tblCellMar>
        <w:left w:w="115" w:type="dxa"/>
        <w:right w:w="115" w:type="dxa"/>
      </w:tblCellMar>
    </w:tblPr>
  </w:style>
  <w:style w:type="table" w:customStyle="1" w:styleId="affffb">
    <w:basedOn w:val="Standardowy"/>
    <w:tblPr>
      <w:tblStyleRowBandSize w:val="1"/>
      <w:tblStyleColBandSize w:val="1"/>
      <w:tblCellMar>
        <w:left w:w="115" w:type="dxa"/>
        <w:right w:w="115" w:type="dxa"/>
      </w:tblCellMar>
    </w:tblPr>
  </w:style>
  <w:style w:type="table" w:customStyle="1" w:styleId="affffc">
    <w:basedOn w:val="Standardowy"/>
    <w:tblPr>
      <w:tblStyleRowBandSize w:val="1"/>
      <w:tblStyleColBandSize w:val="1"/>
      <w:tblCellMar>
        <w:left w:w="115" w:type="dxa"/>
        <w:right w:w="115" w:type="dxa"/>
      </w:tblCellMar>
    </w:tblPr>
  </w:style>
  <w:style w:type="table" w:customStyle="1" w:styleId="affffd">
    <w:basedOn w:val="Standardowy"/>
    <w:tblPr>
      <w:tblStyleRowBandSize w:val="1"/>
      <w:tblStyleColBandSize w:val="1"/>
      <w:tblCellMar>
        <w:left w:w="115" w:type="dxa"/>
        <w:right w:w="115" w:type="dxa"/>
      </w:tblCellMar>
    </w:tblPr>
  </w:style>
  <w:style w:type="table" w:customStyle="1" w:styleId="affffe">
    <w:basedOn w:val="Standardowy"/>
    <w:tblPr>
      <w:tblStyleRowBandSize w:val="1"/>
      <w:tblStyleColBandSize w:val="1"/>
      <w:tblCellMar>
        <w:left w:w="115" w:type="dxa"/>
        <w:right w:w="115" w:type="dxa"/>
      </w:tblCellMar>
    </w:tblPr>
  </w:style>
  <w:style w:type="table" w:customStyle="1" w:styleId="afffff">
    <w:basedOn w:val="Standardowy"/>
    <w:tblPr>
      <w:tblStyleRowBandSize w:val="1"/>
      <w:tblStyleColBandSize w:val="1"/>
      <w:tblCellMar>
        <w:left w:w="115" w:type="dxa"/>
        <w:right w:w="115" w:type="dxa"/>
      </w:tblCellMar>
    </w:tblPr>
  </w:style>
  <w:style w:type="table" w:customStyle="1" w:styleId="afffff0">
    <w:basedOn w:val="Standardowy"/>
    <w:tblPr>
      <w:tblStyleRowBandSize w:val="1"/>
      <w:tblStyleColBandSize w:val="1"/>
      <w:tblCellMar>
        <w:left w:w="115" w:type="dxa"/>
        <w:right w:w="115" w:type="dxa"/>
      </w:tblCellMar>
    </w:tblPr>
  </w:style>
  <w:style w:type="table" w:customStyle="1" w:styleId="afffff1">
    <w:basedOn w:val="Standardowy"/>
    <w:tblPr>
      <w:tblStyleRowBandSize w:val="1"/>
      <w:tblStyleColBandSize w:val="1"/>
      <w:tblCellMar>
        <w:left w:w="115" w:type="dxa"/>
        <w:right w:w="115" w:type="dxa"/>
      </w:tblCellMar>
    </w:tblPr>
  </w:style>
  <w:style w:type="table" w:customStyle="1" w:styleId="afffff2">
    <w:basedOn w:val="Standardowy"/>
    <w:tblPr>
      <w:tblStyleRowBandSize w:val="1"/>
      <w:tblStyleColBandSize w:val="1"/>
      <w:tblCellMar>
        <w:left w:w="115" w:type="dxa"/>
        <w:right w:w="115" w:type="dxa"/>
      </w:tblCellMar>
    </w:tblPr>
  </w:style>
  <w:style w:type="table" w:customStyle="1" w:styleId="afffff3">
    <w:basedOn w:val="Standardowy"/>
    <w:tblPr>
      <w:tblStyleRowBandSize w:val="1"/>
      <w:tblStyleColBandSize w:val="1"/>
      <w:tblCellMar>
        <w:left w:w="115" w:type="dxa"/>
        <w:right w:w="115" w:type="dxa"/>
      </w:tblCellMar>
    </w:tblPr>
  </w:style>
  <w:style w:type="table" w:customStyle="1" w:styleId="afffff4">
    <w:basedOn w:val="Standardowy"/>
    <w:tblPr>
      <w:tblStyleRowBandSize w:val="1"/>
      <w:tblStyleColBandSize w:val="1"/>
      <w:tblCellMar>
        <w:left w:w="115" w:type="dxa"/>
        <w:right w:w="115" w:type="dxa"/>
      </w:tblCellMar>
    </w:tblPr>
  </w:style>
  <w:style w:type="table" w:customStyle="1" w:styleId="afffff5">
    <w:basedOn w:val="Standardowy"/>
    <w:tblPr>
      <w:tblStyleRowBandSize w:val="1"/>
      <w:tblStyleColBandSize w:val="1"/>
      <w:tblCellMar>
        <w:left w:w="115" w:type="dxa"/>
        <w:right w:w="115" w:type="dxa"/>
      </w:tblCellMar>
    </w:tblPr>
  </w:style>
  <w:style w:type="table" w:customStyle="1" w:styleId="afffff6">
    <w:basedOn w:val="Standardowy"/>
    <w:tblPr>
      <w:tblStyleRowBandSize w:val="1"/>
      <w:tblStyleColBandSize w:val="1"/>
      <w:tblCellMar>
        <w:left w:w="115" w:type="dxa"/>
        <w:right w:w="115" w:type="dxa"/>
      </w:tblCellMar>
    </w:tblPr>
  </w:style>
  <w:style w:type="table" w:customStyle="1" w:styleId="afffff7">
    <w:basedOn w:val="Standardowy"/>
    <w:tblPr>
      <w:tblStyleRowBandSize w:val="1"/>
      <w:tblStyleColBandSize w:val="1"/>
      <w:tblCellMar>
        <w:left w:w="115" w:type="dxa"/>
        <w:right w:w="115" w:type="dxa"/>
      </w:tblCellMar>
    </w:tblPr>
  </w:style>
  <w:style w:type="table" w:customStyle="1" w:styleId="afffff8">
    <w:basedOn w:val="Standardowy"/>
    <w:tblPr>
      <w:tblStyleRowBandSize w:val="1"/>
      <w:tblStyleColBandSize w:val="1"/>
      <w:tblCellMar>
        <w:left w:w="115" w:type="dxa"/>
        <w:right w:w="115" w:type="dxa"/>
      </w:tblCellMar>
    </w:tblPr>
  </w:style>
  <w:style w:type="table" w:customStyle="1" w:styleId="afffff9">
    <w:basedOn w:val="Standardowy"/>
    <w:tblPr>
      <w:tblStyleRowBandSize w:val="1"/>
      <w:tblStyleColBandSize w:val="1"/>
      <w:tblCellMar>
        <w:left w:w="115" w:type="dxa"/>
        <w:right w:w="115" w:type="dxa"/>
      </w:tblCellMar>
    </w:tblPr>
  </w:style>
  <w:style w:type="table" w:customStyle="1" w:styleId="afffffa">
    <w:basedOn w:val="Standardowy"/>
    <w:tblPr>
      <w:tblStyleRowBandSize w:val="1"/>
      <w:tblStyleColBandSize w:val="1"/>
      <w:tblCellMar>
        <w:left w:w="115" w:type="dxa"/>
        <w:right w:w="115" w:type="dxa"/>
      </w:tblCellMar>
    </w:tblPr>
  </w:style>
  <w:style w:type="table" w:customStyle="1" w:styleId="afffffb">
    <w:basedOn w:val="Standardowy"/>
    <w:tblPr>
      <w:tblStyleRowBandSize w:val="1"/>
      <w:tblStyleColBandSize w:val="1"/>
      <w:tblCellMar>
        <w:left w:w="115" w:type="dxa"/>
        <w:right w:w="115" w:type="dxa"/>
      </w:tblCellMar>
    </w:tblPr>
  </w:style>
  <w:style w:type="table" w:customStyle="1" w:styleId="afffffc">
    <w:basedOn w:val="Standardowy"/>
    <w:tblPr>
      <w:tblStyleRowBandSize w:val="1"/>
      <w:tblStyleColBandSize w:val="1"/>
      <w:tblCellMar>
        <w:left w:w="115" w:type="dxa"/>
        <w:right w:w="115" w:type="dxa"/>
      </w:tblCellMar>
    </w:tblPr>
  </w:style>
  <w:style w:type="table" w:customStyle="1" w:styleId="afffffd">
    <w:basedOn w:val="Standardowy"/>
    <w:tblPr>
      <w:tblStyleRowBandSize w:val="1"/>
      <w:tblStyleColBandSize w:val="1"/>
      <w:tblCellMar>
        <w:left w:w="115" w:type="dxa"/>
        <w:right w:w="115" w:type="dxa"/>
      </w:tblCellMar>
    </w:tblPr>
  </w:style>
  <w:style w:type="table" w:customStyle="1" w:styleId="afffffe">
    <w:basedOn w:val="Standardowy"/>
    <w:tblPr>
      <w:tblStyleRowBandSize w:val="1"/>
      <w:tblStyleColBandSize w:val="1"/>
      <w:tblCellMar>
        <w:left w:w="115" w:type="dxa"/>
        <w:right w:w="115" w:type="dxa"/>
      </w:tblCellMar>
    </w:tblPr>
  </w:style>
  <w:style w:type="table" w:customStyle="1" w:styleId="affffff">
    <w:basedOn w:val="Standardowy"/>
    <w:tblPr>
      <w:tblStyleRowBandSize w:val="1"/>
      <w:tblStyleColBandSize w:val="1"/>
      <w:tblCellMar>
        <w:left w:w="115" w:type="dxa"/>
        <w:right w:w="115" w:type="dxa"/>
      </w:tblCellMar>
    </w:tblPr>
  </w:style>
  <w:style w:type="table" w:customStyle="1" w:styleId="affffff0">
    <w:basedOn w:val="Standardowy"/>
    <w:tblPr>
      <w:tblStyleRowBandSize w:val="1"/>
      <w:tblStyleColBandSize w:val="1"/>
      <w:tblCellMar>
        <w:left w:w="115" w:type="dxa"/>
        <w:right w:w="115" w:type="dxa"/>
      </w:tblCellMar>
    </w:tblPr>
  </w:style>
  <w:style w:type="table" w:customStyle="1" w:styleId="affffff1">
    <w:basedOn w:val="Standardowy"/>
    <w:tblPr>
      <w:tblStyleRowBandSize w:val="1"/>
      <w:tblStyleColBandSize w:val="1"/>
      <w:tblCellMar>
        <w:left w:w="115" w:type="dxa"/>
        <w:right w:w="115" w:type="dxa"/>
      </w:tblCellMar>
    </w:tblPr>
  </w:style>
  <w:style w:type="table" w:customStyle="1" w:styleId="affffff2">
    <w:basedOn w:val="Standardowy"/>
    <w:tblPr>
      <w:tblStyleRowBandSize w:val="1"/>
      <w:tblStyleColBandSize w:val="1"/>
      <w:tblCellMar>
        <w:left w:w="115" w:type="dxa"/>
        <w:right w:w="115" w:type="dxa"/>
      </w:tblCellMar>
    </w:tblPr>
  </w:style>
  <w:style w:type="table" w:customStyle="1" w:styleId="affffff3">
    <w:basedOn w:val="Standardowy"/>
    <w:tblPr>
      <w:tblStyleRowBandSize w:val="1"/>
      <w:tblStyleColBandSize w:val="1"/>
      <w:tblCellMar>
        <w:left w:w="115" w:type="dxa"/>
        <w:right w:w="115" w:type="dxa"/>
      </w:tblCellMar>
    </w:tblPr>
  </w:style>
  <w:style w:type="table" w:customStyle="1" w:styleId="affffff4">
    <w:basedOn w:val="Standardowy"/>
    <w:tblPr>
      <w:tblStyleRowBandSize w:val="1"/>
      <w:tblStyleColBandSize w:val="1"/>
      <w:tblCellMar>
        <w:left w:w="115" w:type="dxa"/>
        <w:right w:w="115" w:type="dxa"/>
      </w:tblCellMar>
    </w:tblPr>
  </w:style>
  <w:style w:type="table" w:customStyle="1" w:styleId="affffff5">
    <w:basedOn w:val="Standardowy"/>
    <w:tblPr>
      <w:tblStyleRowBandSize w:val="1"/>
      <w:tblStyleColBandSize w:val="1"/>
      <w:tblCellMar>
        <w:left w:w="115" w:type="dxa"/>
        <w:right w:w="115" w:type="dxa"/>
      </w:tblCellMar>
    </w:tblPr>
  </w:style>
  <w:style w:type="table" w:customStyle="1" w:styleId="affffff6">
    <w:basedOn w:val="Standardowy"/>
    <w:tblPr>
      <w:tblStyleRowBandSize w:val="1"/>
      <w:tblStyleColBandSize w:val="1"/>
      <w:tblCellMar>
        <w:left w:w="115" w:type="dxa"/>
        <w:right w:w="115" w:type="dxa"/>
      </w:tblCellMar>
    </w:tblPr>
  </w:style>
  <w:style w:type="table" w:customStyle="1" w:styleId="affffff7">
    <w:basedOn w:val="Standardowy"/>
    <w:tblPr>
      <w:tblStyleRowBandSize w:val="1"/>
      <w:tblStyleColBandSize w:val="1"/>
      <w:tblCellMar>
        <w:left w:w="115" w:type="dxa"/>
        <w:right w:w="115" w:type="dxa"/>
      </w:tblCellMar>
    </w:tblPr>
  </w:style>
  <w:style w:type="table" w:customStyle="1" w:styleId="affffff8">
    <w:basedOn w:val="Standardowy"/>
    <w:tblPr>
      <w:tblStyleRowBandSize w:val="1"/>
      <w:tblStyleColBandSize w:val="1"/>
      <w:tblCellMar>
        <w:left w:w="115" w:type="dxa"/>
        <w:right w:w="115" w:type="dxa"/>
      </w:tblCellMar>
    </w:tblPr>
  </w:style>
  <w:style w:type="table" w:customStyle="1" w:styleId="affffff9">
    <w:basedOn w:val="Standardowy"/>
    <w:tblPr>
      <w:tblStyleRowBandSize w:val="1"/>
      <w:tblStyleColBandSize w:val="1"/>
      <w:tblCellMar>
        <w:left w:w="115" w:type="dxa"/>
        <w:right w:w="115" w:type="dxa"/>
      </w:tblCellMar>
    </w:tblPr>
  </w:style>
  <w:style w:type="table" w:customStyle="1" w:styleId="affffffa">
    <w:basedOn w:val="Standardowy"/>
    <w:tblPr>
      <w:tblStyleRowBandSize w:val="1"/>
      <w:tblStyleColBandSize w:val="1"/>
      <w:tblCellMar>
        <w:left w:w="115" w:type="dxa"/>
        <w:right w:w="115" w:type="dxa"/>
      </w:tblCellMar>
    </w:tblPr>
  </w:style>
  <w:style w:type="table" w:customStyle="1" w:styleId="affffffb">
    <w:basedOn w:val="Standardowy"/>
    <w:tblPr>
      <w:tblStyleRowBandSize w:val="1"/>
      <w:tblStyleColBandSize w:val="1"/>
      <w:tblCellMar>
        <w:left w:w="115" w:type="dxa"/>
        <w:right w:w="115" w:type="dxa"/>
      </w:tblCellMar>
    </w:tblPr>
  </w:style>
  <w:style w:type="table" w:customStyle="1" w:styleId="affffffc">
    <w:basedOn w:val="Standardowy"/>
    <w:tblPr>
      <w:tblStyleRowBandSize w:val="1"/>
      <w:tblStyleColBandSize w:val="1"/>
      <w:tblCellMar>
        <w:left w:w="115" w:type="dxa"/>
        <w:right w:w="115" w:type="dxa"/>
      </w:tblCellMar>
    </w:tblPr>
  </w:style>
  <w:style w:type="table" w:customStyle="1" w:styleId="affffffd">
    <w:basedOn w:val="Standardowy"/>
    <w:tblPr>
      <w:tblStyleRowBandSize w:val="1"/>
      <w:tblStyleColBandSize w:val="1"/>
      <w:tblCellMar>
        <w:left w:w="115" w:type="dxa"/>
        <w:right w:w="115" w:type="dxa"/>
      </w:tblCellMar>
    </w:tblPr>
  </w:style>
  <w:style w:type="table" w:customStyle="1" w:styleId="affffffe">
    <w:basedOn w:val="Standardowy"/>
    <w:tblPr>
      <w:tblStyleRowBandSize w:val="1"/>
      <w:tblStyleColBandSize w:val="1"/>
      <w:tblCellMar>
        <w:left w:w="115" w:type="dxa"/>
        <w:right w:w="115" w:type="dxa"/>
      </w:tblCellMar>
    </w:tblPr>
  </w:style>
  <w:style w:type="table" w:customStyle="1" w:styleId="afffffff">
    <w:basedOn w:val="Standardowy"/>
    <w:tblPr>
      <w:tblStyleRowBandSize w:val="1"/>
      <w:tblStyleColBandSize w:val="1"/>
      <w:tblCellMar>
        <w:left w:w="115" w:type="dxa"/>
        <w:right w:w="115" w:type="dxa"/>
      </w:tblCellMar>
    </w:tblPr>
  </w:style>
  <w:style w:type="table" w:customStyle="1" w:styleId="afffffff0">
    <w:basedOn w:val="Standardowy"/>
    <w:tblPr>
      <w:tblStyleRowBandSize w:val="1"/>
      <w:tblStyleColBandSize w:val="1"/>
      <w:tblCellMar>
        <w:left w:w="115" w:type="dxa"/>
        <w:right w:w="115" w:type="dxa"/>
      </w:tblCellMar>
    </w:tblPr>
  </w:style>
  <w:style w:type="table" w:customStyle="1" w:styleId="afffffff1">
    <w:basedOn w:val="Standardowy"/>
    <w:tblPr>
      <w:tblStyleRowBandSize w:val="1"/>
      <w:tblStyleColBandSize w:val="1"/>
      <w:tblCellMar>
        <w:left w:w="115" w:type="dxa"/>
        <w:right w:w="115" w:type="dxa"/>
      </w:tblCellMar>
    </w:tblPr>
  </w:style>
  <w:style w:type="table" w:customStyle="1" w:styleId="afffffff2">
    <w:basedOn w:val="Standardowy"/>
    <w:tblPr>
      <w:tblStyleRowBandSize w:val="1"/>
      <w:tblStyleColBandSize w:val="1"/>
      <w:tblCellMar>
        <w:left w:w="115" w:type="dxa"/>
        <w:right w:w="115" w:type="dxa"/>
      </w:tblCellMar>
    </w:tblPr>
  </w:style>
  <w:style w:type="table" w:customStyle="1" w:styleId="afffffff3">
    <w:basedOn w:val="Standardowy"/>
    <w:tblPr>
      <w:tblStyleRowBandSize w:val="1"/>
      <w:tblStyleColBandSize w:val="1"/>
      <w:tblCellMar>
        <w:left w:w="115" w:type="dxa"/>
        <w:right w:w="115" w:type="dxa"/>
      </w:tblCellMar>
    </w:tblPr>
  </w:style>
  <w:style w:type="table" w:customStyle="1" w:styleId="afffffff4">
    <w:basedOn w:val="Standardowy"/>
    <w:tblPr>
      <w:tblStyleRowBandSize w:val="1"/>
      <w:tblStyleColBandSize w:val="1"/>
      <w:tblCellMar>
        <w:left w:w="115" w:type="dxa"/>
        <w:right w:w="115" w:type="dxa"/>
      </w:tblCellMar>
    </w:tblPr>
  </w:style>
  <w:style w:type="table" w:customStyle="1" w:styleId="afffffff5">
    <w:basedOn w:val="Standardowy"/>
    <w:tblPr>
      <w:tblStyleRowBandSize w:val="1"/>
      <w:tblStyleColBandSize w:val="1"/>
      <w:tblCellMar>
        <w:left w:w="115" w:type="dxa"/>
        <w:right w:w="115" w:type="dxa"/>
      </w:tblCellMar>
    </w:tblPr>
  </w:style>
  <w:style w:type="table" w:customStyle="1" w:styleId="afffffff6">
    <w:basedOn w:val="Standardowy"/>
    <w:tblPr>
      <w:tblStyleRowBandSize w:val="1"/>
      <w:tblStyleColBandSize w:val="1"/>
      <w:tblCellMar>
        <w:left w:w="115" w:type="dxa"/>
        <w:right w:w="115" w:type="dxa"/>
      </w:tblCellMar>
    </w:tblPr>
  </w:style>
  <w:style w:type="table" w:customStyle="1" w:styleId="afffffff7">
    <w:basedOn w:val="Standardowy"/>
    <w:tblPr>
      <w:tblStyleRowBandSize w:val="1"/>
      <w:tblStyleColBandSize w:val="1"/>
      <w:tblCellMar>
        <w:left w:w="115" w:type="dxa"/>
        <w:right w:w="115" w:type="dxa"/>
      </w:tblCellMar>
    </w:tblPr>
  </w:style>
  <w:style w:type="table" w:customStyle="1" w:styleId="afffffff8">
    <w:basedOn w:val="Standardowy"/>
    <w:tblPr>
      <w:tblStyleRowBandSize w:val="1"/>
      <w:tblStyleColBandSize w:val="1"/>
      <w:tblCellMar>
        <w:left w:w="115" w:type="dxa"/>
        <w:right w:w="115" w:type="dxa"/>
      </w:tblCellMar>
    </w:tblPr>
  </w:style>
  <w:style w:type="table" w:customStyle="1" w:styleId="afffffff9">
    <w:basedOn w:val="Standardowy"/>
    <w:tblPr>
      <w:tblStyleRowBandSize w:val="1"/>
      <w:tblStyleColBandSize w:val="1"/>
      <w:tblCellMar>
        <w:left w:w="115" w:type="dxa"/>
        <w:right w:w="115" w:type="dxa"/>
      </w:tblCellMar>
    </w:tblPr>
  </w:style>
  <w:style w:type="table" w:customStyle="1" w:styleId="afffffffa">
    <w:basedOn w:val="Standardowy"/>
    <w:tblPr>
      <w:tblStyleRowBandSize w:val="1"/>
      <w:tblStyleColBandSize w:val="1"/>
      <w:tblCellMar>
        <w:left w:w="115" w:type="dxa"/>
        <w:right w:w="115" w:type="dxa"/>
      </w:tblCellMar>
    </w:tblPr>
  </w:style>
  <w:style w:type="table" w:customStyle="1" w:styleId="afffffffb">
    <w:basedOn w:val="Standardowy"/>
    <w:tblPr>
      <w:tblStyleRowBandSize w:val="1"/>
      <w:tblStyleColBandSize w:val="1"/>
      <w:tblCellMar>
        <w:left w:w="70" w:type="dxa"/>
        <w:right w:w="70" w:type="dxa"/>
      </w:tblCellMar>
    </w:tblPr>
  </w:style>
  <w:style w:type="table" w:customStyle="1" w:styleId="afffffffc">
    <w:basedOn w:val="Standardowy"/>
    <w:tblPr>
      <w:tblStyleRowBandSize w:val="1"/>
      <w:tblStyleColBandSize w:val="1"/>
      <w:tblCellMar>
        <w:left w:w="115" w:type="dxa"/>
        <w:right w:w="115" w:type="dxa"/>
      </w:tblCellMar>
    </w:tblPr>
  </w:style>
  <w:style w:type="table" w:customStyle="1" w:styleId="afffffffd">
    <w:basedOn w:val="Standardowy"/>
    <w:tblPr>
      <w:tblStyleRowBandSize w:val="1"/>
      <w:tblStyleColBandSize w:val="1"/>
      <w:tblCellMar>
        <w:left w:w="115" w:type="dxa"/>
        <w:right w:w="115" w:type="dxa"/>
      </w:tblCellMar>
    </w:tblPr>
  </w:style>
  <w:style w:type="table" w:customStyle="1" w:styleId="afffffffe">
    <w:basedOn w:val="Standardowy"/>
    <w:tblPr>
      <w:tblStyleRowBandSize w:val="1"/>
      <w:tblStyleColBandSize w:val="1"/>
      <w:tblCellMar>
        <w:left w:w="115" w:type="dxa"/>
        <w:right w:w="115" w:type="dxa"/>
      </w:tblCellMar>
    </w:tblPr>
  </w:style>
  <w:style w:type="table" w:customStyle="1" w:styleId="affffffff">
    <w:basedOn w:val="Standardowy"/>
    <w:tblPr>
      <w:tblStyleRowBandSize w:val="1"/>
      <w:tblStyleColBandSize w:val="1"/>
      <w:tblCellMar>
        <w:left w:w="115" w:type="dxa"/>
        <w:right w:w="115" w:type="dxa"/>
      </w:tblCellMar>
    </w:tblPr>
  </w:style>
  <w:style w:type="table" w:customStyle="1" w:styleId="affffffff0">
    <w:basedOn w:val="Standardowy"/>
    <w:tblPr>
      <w:tblStyleRowBandSize w:val="1"/>
      <w:tblStyleColBandSize w:val="1"/>
      <w:tblCellMar>
        <w:left w:w="70" w:type="dxa"/>
        <w:right w:w="70" w:type="dxa"/>
      </w:tblCellMar>
    </w:tblPr>
  </w:style>
  <w:style w:type="table" w:customStyle="1" w:styleId="affffffff1">
    <w:basedOn w:val="Standardowy"/>
    <w:tblPr>
      <w:tblStyleRowBandSize w:val="1"/>
      <w:tblStyleColBandSize w:val="1"/>
      <w:tblCellMar>
        <w:left w:w="115" w:type="dxa"/>
        <w:right w:w="115" w:type="dxa"/>
      </w:tblCellMar>
    </w:tblPr>
  </w:style>
  <w:style w:type="table" w:customStyle="1" w:styleId="affffffff2">
    <w:basedOn w:val="Standardowy"/>
    <w:tblPr>
      <w:tblStyleRowBandSize w:val="1"/>
      <w:tblStyleColBandSize w:val="1"/>
      <w:tblCellMar>
        <w:left w:w="115" w:type="dxa"/>
        <w:right w:w="115" w:type="dxa"/>
      </w:tblCellMar>
    </w:tblPr>
  </w:style>
  <w:style w:type="table" w:customStyle="1" w:styleId="affffffff3">
    <w:basedOn w:val="Standardowy"/>
    <w:tblPr>
      <w:tblStyleRowBandSize w:val="1"/>
      <w:tblStyleColBandSize w:val="1"/>
      <w:tblCellMar>
        <w:left w:w="115" w:type="dxa"/>
        <w:right w:w="115" w:type="dxa"/>
      </w:tblCellMar>
    </w:tblPr>
  </w:style>
  <w:style w:type="table" w:customStyle="1" w:styleId="affffffff4">
    <w:basedOn w:val="Standardowy"/>
    <w:tblPr>
      <w:tblStyleRowBandSize w:val="1"/>
      <w:tblStyleColBandSize w:val="1"/>
      <w:tblCellMar>
        <w:left w:w="115" w:type="dxa"/>
        <w:right w:w="115" w:type="dxa"/>
      </w:tblCellMar>
    </w:tblPr>
  </w:style>
  <w:style w:type="table" w:customStyle="1" w:styleId="affffffff5">
    <w:basedOn w:val="Standardowy"/>
    <w:tblPr>
      <w:tblStyleRowBandSize w:val="1"/>
      <w:tblStyleColBandSize w:val="1"/>
      <w:tblCellMar>
        <w:left w:w="115" w:type="dxa"/>
        <w:right w:w="115" w:type="dxa"/>
      </w:tblCellMar>
    </w:tblPr>
  </w:style>
  <w:style w:type="table" w:customStyle="1" w:styleId="affffffff6">
    <w:basedOn w:val="Standardowy"/>
    <w:tblPr>
      <w:tblStyleRowBandSize w:val="1"/>
      <w:tblStyleColBandSize w:val="1"/>
      <w:tblCellMar>
        <w:left w:w="115" w:type="dxa"/>
        <w:right w:w="115" w:type="dxa"/>
      </w:tblCellMar>
    </w:tblPr>
  </w:style>
  <w:style w:type="table" w:customStyle="1" w:styleId="affffffff7">
    <w:basedOn w:val="Standardowy"/>
    <w:tblPr>
      <w:tblStyleRowBandSize w:val="1"/>
      <w:tblStyleColBandSize w:val="1"/>
      <w:tblCellMar>
        <w:left w:w="115" w:type="dxa"/>
        <w:right w:w="115" w:type="dxa"/>
      </w:tblCellMar>
    </w:tblPr>
  </w:style>
  <w:style w:type="table" w:customStyle="1" w:styleId="affffffff8">
    <w:basedOn w:val="Standardowy"/>
    <w:tblPr>
      <w:tblStyleRowBandSize w:val="1"/>
      <w:tblStyleColBandSize w:val="1"/>
      <w:tblCellMar>
        <w:left w:w="284" w:type="dxa"/>
        <w:right w:w="284" w:type="dxa"/>
      </w:tblCellMar>
    </w:tblPr>
  </w:style>
  <w:style w:type="table" w:customStyle="1" w:styleId="affffffff9">
    <w:basedOn w:val="Standardowy"/>
    <w:tblPr>
      <w:tblStyleRowBandSize w:val="1"/>
      <w:tblStyleColBandSize w:val="1"/>
      <w:tblCellMar>
        <w:left w:w="115" w:type="dxa"/>
        <w:right w:w="115" w:type="dxa"/>
      </w:tblCellMar>
    </w:tblPr>
  </w:style>
  <w:style w:type="table" w:customStyle="1" w:styleId="affffffffa">
    <w:basedOn w:val="Standardowy"/>
    <w:tblPr>
      <w:tblStyleRowBandSize w:val="1"/>
      <w:tblStyleColBandSize w:val="1"/>
      <w:tblCellMar>
        <w:left w:w="115" w:type="dxa"/>
        <w:right w:w="115" w:type="dxa"/>
      </w:tblCellMar>
    </w:tblPr>
  </w:style>
  <w:style w:type="table" w:customStyle="1" w:styleId="affffffffb">
    <w:basedOn w:val="Standardowy"/>
    <w:tblPr>
      <w:tblStyleRowBandSize w:val="1"/>
      <w:tblStyleColBandSize w:val="1"/>
      <w:tblCellMar>
        <w:left w:w="115" w:type="dxa"/>
        <w:right w:w="115" w:type="dxa"/>
      </w:tblCellMar>
    </w:tblPr>
  </w:style>
  <w:style w:type="table" w:customStyle="1" w:styleId="affffffffc">
    <w:basedOn w:val="Standardowy"/>
    <w:tblPr>
      <w:tblStyleRowBandSize w:val="1"/>
      <w:tblStyleColBandSize w:val="1"/>
      <w:tblCellMar>
        <w:left w:w="115" w:type="dxa"/>
        <w:right w:w="115" w:type="dxa"/>
      </w:tblCellMar>
    </w:tblPr>
  </w:style>
  <w:style w:type="table" w:customStyle="1" w:styleId="affffffffd">
    <w:basedOn w:val="Standardowy"/>
    <w:tblPr>
      <w:tblStyleRowBandSize w:val="1"/>
      <w:tblStyleColBandSize w:val="1"/>
      <w:tblCellMar>
        <w:left w:w="115" w:type="dxa"/>
        <w:right w:w="115" w:type="dxa"/>
      </w:tblCellMar>
    </w:tblPr>
  </w:style>
  <w:style w:type="table" w:customStyle="1" w:styleId="affffffffe">
    <w:basedOn w:val="Standardowy"/>
    <w:tblPr>
      <w:tblStyleRowBandSize w:val="1"/>
      <w:tblStyleColBandSize w:val="1"/>
      <w:tblCellMar>
        <w:left w:w="115" w:type="dxa"/>
        <w:right w:w="115" w:type="dxa"/>
      </w:tblCellMar>
    </w:tblPr>
  </w:style>
  <w:style w:type="table" w:customStyle="1" w:styleId="afffffffff">
    <w:basedOn w:val="Standardowy"/>
    <w:tblPr>
      <w:tblStyleRowBandSize w:val="1"/>
      <w:tblStyleColBandSize w:val="1"/>
      <w:tblCellMar>
        <w:left w:w="115" w:type="dxa"/>
        <w:right w:w="115" w:type="dxa"/>
      </w:tblCellMar>
    </w:tblPr>
  </w:style>
  <w:style w:type="table" w:customStyle="1" w:styleId="afffffffff0">
    <w:basedOn w:val="Standardowy"/>
    <w:tblPr>
      <w:tblStyleRowBandSize w:val="1"/>
      <w:tblStyleColBandSize w:val="1"/>
      <w:tblCellMar>
        <w:left w:w="115" w:type="dxa"/>
        <w:right w:w="115" w:type="dxa"/>
      </w:tblCellMar>
    </w:tblPr>
  </w:style>
  <w:style w:type="table" w:customStyle="1" w:styleId="afffffffff1">
    <w:basedOn w:val="Standardowy"/>
    <w:tblPr>
      <w:tblStyleRowBandSize w:val="1"/>
      <w:tblStyleColBandSize w:val="1"/>
      <w:tblCellMar>
        <w:left w:w="115" w:type="dxa"/>
        <w:right w:w="115" w:type="dxa"/>
      </w:tblCellMar>
    </w:tblPr>
  </w:style>
  <w:style w:type="table" w:customStyle="1" w:styleId="afffffffff2">
    <w:basedOn w:val="Standardowy"/>
    <w:tblPr>
      <w:tblStyleRowBandSize w:val="1"/>
      <w:tblStyleColBandSize w:val="1"/>
      <w:tblCellMar>
        <w:left w:w="115" w:type="dxa"/>
        <w:right w:w="115" w:type="dxa"/>
      </w:tblCellMar>
    </w:tblPr>
  </w:style>
  <w:style w:type="table" w:customStyle="1" w:styleId="afffffffff3">
    <w:basedOn w:val="Standardowy"/>
    <w:tblPr>
      <w:tblStyleRowBandSize w:val="1"/>
      <w:tblStyleColBandSize w:val="1"/>
      <w:tblCellMar>
        <w:left w:w="115" w:type="dxa"/>
        <w:right w:w="115" w:type="dxa"/>
      </w:tblCellMar>
    </w:tblPr>
  </w:style>
  <w:style w:type="table" w:customStyle="1" w:styleId="afffffffff4">
    <w:basedOn w:val="Standardowy"/>
    <w:tblPr>
      <w:tblStyleRowBandSize w:val="1"/>
      <w:tblStyleColBandSize w:val="1"/>
      <w:tblCellMar>
        <w:left w:w="115" w:type="dxa"/>
        <w:right w:w="115" w:type="dxa"/>
      </w:tblCellMar>
    </w:tblPr>
  </w:style>
  <w:style w:type="table" w:customStyle="1" w:styleId="afffffffff5">
    <w:basedOn w:val="Standardowy"/>
    <w:tblPr>
      <w:tblStyleRowBandSize w:val="1"/>
      <w:tblStyleColBandSize w:val="1"/>
      <w:tblCellMar>
        <w:left w:w="115" w:type="dxa"/>
        <w:right w:w="115" w:type="dxa"/>
      </w:tblCellMar>
    </w:tblPr>
  </w:style>
  <w:style w:type="table" w:customStyle="1" w:styleId="afffffffff6">
    <w:basedOn w:val="Standardowy"/>
    <w:tblPr>
      <w:tblStyleRowBandSize w:val="1"/>
      <w:tblStyleColBandSize w:val="1"/>
      <w:tblCellMar>
        <w:left w:w="115" w:type="dxa"/>
        <w:right w:w="115" w:type="dxa"/>
      </w:tblCellMar>
    </w:tblPr>
  </w:style>
  <w:style w:type="table" w:customStyle="1" w:styleId="afffffffff7">
    <w:basedOn w:val="Standardowy"/>
    <w:tblPr>
      <w:tblStyleRowBandSize w:val="1"/>
      <w:tblStyleColBandSize w:val="1"/>
      <w:tblCellMar>
        <w:left w:w="115" w:type="dxa"/>
        <w:right w:w="115" w:type="dxa"/>
      </w:tblCellMar>
    </w:tblPr>
  </w:style>
  <w:style w:type="table" w:customStyle="1" w:styleId="afffffffff8">
    <w:basedOn w:val="Standardowy"/>
    <w:tblPr>
      <w:tblStyleRowBandSize w:val="1"/>
      <w:tblStyleColBandSize w:val="1"/>
      <w:tblCellMar>
        <w:left w:w="115" w:type="dxa"/>
        <w:right w:w="115" w:type="dxa"/>
      </w:tblCellMar>
    </w:tblPr>
  </w:style>
  <w:style w:type="table" w:customStyle="1" w:styleId="afffffffff9">
    <w:basedOn w:val="Standardowy"/>
    <w:tblPr>
      <w:tblStyleRowBandSize w:val="1"/>
      <w:tblStyleColBandSize w:val="1"/>
      <w:tblCellMar>
        <w:left w:w="115" w:type="dxa"/>
        <w:right w:w="115" w:type="dxa"/>
      </w:tblCellMar>
    </w:tblPr>
  </w:style>
  <w:style w:type="table" w:customStyle="1" w:styleId="afffffffffa">
    <w:basedOn w:val="Standardowy"/>
    <w:tblPr>
      <w:tblStyleRowBandSize w:val="1"/>
      <w:tblStyleColBandSize w:val="1"/>
      <w:tblCellMar>
        <w:left w:w="115" w:type="dxa"/>
        <w:right w:w="115" w:type="dxa"/>
      </w:tblCellMar>
    </w:tblPr>
  </w:style>
  <w:style w:type="table" w:customStyle="1" w:styleId="afffffffffb">
    <w:basedOn w:val="Standardowy"/>
    <w:tblPr>
      <w:tblStyleRowBandSize w:val="1"/>
      <w:tblStyleColBandSize w:val="1"/>
      <w:tblCellMar>
        <w:left w:w="115" w:type="dxa"/>
        <w:right w:w="115" w:type="dxa"/>
      </w:tblCellMar>
    </w:tblPr>
  </w:style>
  <w:style w:type="table" w:customStyle="1" w:styleId="afffffffffc">
    <w:basedOn w:val="Standardowy"/>
    <w:tblPr>
      <w:tblStyleRowBandSize w:val="1"/>
      <w:tblStyleColBandSize w:val="1"/>
      <w:tblCellMar>
        <w:left w:w="115" w:type="dxa"/>
        <w:right w:w="115" w:type="dxa"/>
      </w:tblCellMar>
    </w:tblPr>
  </w:style>
  <w:style w:type="table" w:customStyle="1" w:styleId="afffffffffd">
    <w:basedOn w:val="Standardowy"/>
    <w:tblPr>
      <w:tblStyleRowBandSize w:val="1"/>
      <w:tblStyleColBandSize w:val="1"/>
      <w:tblCellMar>
        <w:left w:w="115" w:type="dxa"/>
        <w:right w:w="115" w:type="dxa"/>
      </w:tblCellMar>
    </w:tblPr>
  </w:style>
  <w:style w:type="table" w:customStyle="1" w:styleId="afffffffffe">
    <w:basedOn w:val="Standardowy"/>
    <w:tblPr>
      <w:tblStyleRowBandSize w:val="1"/>
      <w:tblStyleColBandSize w:val="1"/>
      <w:tblCellMar>
        <w:left w:w="115" w:type="dxa"/>
        <w:right w:w="115" w:type="dxa"/>
      </w:tblCellMar>
    </w:tblPr>
  </w:style>
  <w:style w:type="table" w:customStyle="1" w:styleId="affffffffff">
    <w:basedOn w:val="Standardowy"/>
    <w:tblPr>
      <w:tblStyleRowBandSize w:val="1"/>
      <w:tblStyleColBandSize w:val="1"/>
      <w:tblCellMar>
        <w:left w:w="115" w:type="dxa"/>
        <w:right w:w="115" w:type="dxa"/>
      </w:tblCellMar>
    </w:tblPr>
  </w:style>
  <w:style w:type="table" w:customStyle="1" w:styleId="affffffffff0">
    <w:basedOn w:val="Standardowy"/>
    <w:tblPr>
      <w:tblStyleRowBandSize w:val="1"/>
      <w:tblStyleColBandSize w:val="1"/>
      <w:tblCellMar>
        <w:left w:w="115" w:type="dxa"/>
        <w:right w:w="115" w:type="dxa"/>
      </w:tblCellMar>
    </w:tblPr>
  </w:style>
  <w:style w:type="table" w:customStyle="1" w:styleId="affffffffff1">
    <w:basedOn w:val="Standardowy"/>
    <w:tblPr>
      <w:tblStyleRowBandSize w:val="1"/>
      <w:tblStyleColBandSize w:val="1"/>
      <w:tblCellMar>
        <w:left w:w="115" w:type="dxa"/>
        <w:right w:w="115" w:type="dxa"/>
      </w:tblCellMar>
    </w:tblPr>
  </w:style>
  <w:style w:type="table" w:customStyle="1" w:styleId="affffffffff2">
    <w:basedOn w:val="Standardowy"/>
    <w:tblPr>
      <w:tblStyleRowBandSize w:val="1"/>
      <w:tblStyleColBandSize w:val="1"/>
      <w:tblCellMar>
        <w:left w:w="115" w:type="dxa"/>
        <w:right w:w="115" w:type="dxa"/>
      </w:tblCellMar>
    </w:tblPr>
  </w:style>
  <w:style w:type="table" w:customStyle="1" w:styleId="affffffffff3">
    <w:basedOn w:val="Standardowy"/>
    <w:tblPr>
      <w:tblStyleRowBandSize w:val="1"/>
      <w:tblStyleColBandSize w:val="1"/>
      <w:tblCellMar>
        <w:left w:w="115" w:type="dxa"/>
        <w:right w:w="115" w:type="dxa"/>
      </w:tblCellMar>
    </w:tblPr>
  </w:style>
  <w:style w:type="table" w:customStyle="1" w:styleId="affffffffff4">
    <w:basedOn w:val="Standardowy"/>
    <w:tblPr>
      <w:tblStyleRowBandSize w:val="1"/>
      <w:tblStyleColBandSize w:val="1"/>
      <w:tblCellMar>
        <w:left w:w="115" w:type="dxa"/>
        <w:right w:w="115" w:type="dxa"/>
      </w:tblCellMar>
    </w:tblPr>
  </w:style>
  <w:style w:type="table" w:customStyle="1" w:styleId="affffffffff5">
    <w:basedOn w:val="Standardowy"/>
    <w:tblPr>
      <w:tblStyleRowBandSize w:val="1"/>
      <w:tblStyleColBandSize w:val="1"/>
      <w:tblCellMar>
        <w:left w:w="115" w:type="dxa"/>
        <w:right w:w="115" w:type="dxa"/>
      </w:tblCellMar>
    </w:tblPr>
  </w:style>
  <w:style w:type="table" w:customStyle="1" w:styleId="affffffffff6">
    <w:basedOn w:val="Standardowy"/>
    <w:tblPr>
      <w:tblStyleRowBandSize w:val="1"/>
      <w:tblStyleColBandSize w:val="1"/>
      <w:tblCellMar>
        <w:left w:w="115" w:type="dxa"/>
        <w:right w:w="115" w:type="dxa"/>
      </w:tblCellMar>
    </w:tblPr>
  </w:style>
  <w:style w:type="table" w:customStyle="1" w:styleId="affffffffff7">
    <w:basedOn w:val="Standardowy"/>
    <w:tblPr>
      <w:tblStyleRowBandSize w:val="1"/>
      <w:tblStyleColBandSize w:val="1"/>
      <w:tblCellMar>
        <w:left w:w="115" w:type="dxa"/>
        <w:right w:w="115" w:type="dxa"/>
      </w:tblCellMar>
    </w:tblPr>
  </w:style>
  <w:style w:type="table" w:customStyle="1" w:styleId="affffffffff8">
    <w:basedOn w:val="Standardowy"/>
    <w:tblPr>
      <w:tblStyleRowBandSize w:val="1"/>
      <w:tblStyleColBandSize w:val="1"/>
      <w:tblCellMar>
        <w:left w:w="115" w:type="dxa"/>
        <w:right w:w="115" w:type="dxa"/>
      </w:tblCellMar>
    </w:tblPr>
  </w:style>
  <w:style w:type="table" w:customStyle="1" w:styleId="affffffffff9">
    <w:basedOn w:val="Standardowy"/>
    <w:tblPr>
      <w:tblStyleRowBandSize w:val="1"/>
      <w:tblStyleColBandSize w:val="1"/>
      <w:tblCellMar>
        <w:left w:w="115" w:type="dxa"/>
        <w:right w:w="115" w:type="dxa"/>
      </w:tblCellMar>
    </w:tblPr>
  </w:style>
  <w:style w:type="table" w:customStyle="1" w:styleId="affffffffffa">
    <w:basedOn w:val="Standardowy"/>
    <w:tblPr>
      <w:tblStyleRowBandSize w:val="1"/>
      <w:tblStyleColBandSize w:val="1"/>
      <w:tblCellMar>
        <w:left w:w="115" w:type="dxa"/>
        <w:right w:w="115" w:type="dxa"/>
      </w:tblCellMar>
    </w:tblPr>
  </w:style>
  <w:style w:type="table" w:customStyle="1" w:styleId="affffffffffb">
    <w:basedOn w:val="Standardowy"/>
    <w:tblPr>
      <w:tblStyleRowBandSize w:val="1"/>
      <w:tblStyleColBandSize w:val="1"/>
      <w:tblCellMar>
        <w:left w:w="115" w:type="dxa"/>
        <w:right w:w="115" w:type="dxa"/>
      </w:tblCellMar>
    </w:tblPr>
  </w:style>
  <w:style w:type="table" w:customStyle="1" w:styleId="affffffffffc">
    <w:basedOn w:val="Standardowy"/>
    <w:tblPr>
      <w:tblStyleRowBandSize w:val="1"/>
      <w:tblStyleColBandSize w:val="1"/>
      <w:tblCellMar>
        <w:left w:w="115" w:type="dxa"/>
        <w:right w:w="115" w:type="dxa"/>
      </w:tblCellMar>
    </w:tblPr>
  </w:style>
  <w:style w:type="table" w:customStyle="1" w:styleId="affffffffffd">
    <w:basedOn w:val="Standardowy"/>
    <w:tblPr>
      <w:tblStyleRowBandSize w:val="1"/>
      <w:tblStyleColBandSize w:val="1"/>
      <w:tblCellMar>
        <w:left w:w="115" w:type="dxa"/>
        <w:right w:w="115" w:type="dxa"/>
      </w:tblCellMar>
    </w:tblPr>
  </w:style>
  <w:style w:type="table" w:customStyle="1" w:styleId="affffffffffe">
    <w:basedOn w:val="Standardowy"/>
    <w:tblPr>
      <w:tblStyleRowBandSize w:val="1"/>
      <w:tblStyleColBandSize w:val="1"/>
      <w:tblCellMar>
        <w:left w:w="115" w:type="dxa"/>
        <w:right w:w="115" w:type="dxa"/>
      </w:tblCellMar>
    </w:tblPr>
  </w:style>
  <w:style w:type="table" w:customStyle="1" w:styleId="afffffffffff">
    <w:basedOn w:val="Standardowy"/>
    <w:tblPr>
      <w:tblStyleRowBandSize w:val="1"/>
      <w:tblStyleColBandSize w:val="1"/>
      <w:tblCellMar>
        <w:left w:w="115" w:type="dxa"/>
        <w:right w:w="115" w:type="dxa"/>
      </w:tblCellMar>
    </w:tblPr>
  </w:style>
  <w:style w:type="table" w:customStyle="1" w:styleId="afffffffffff0">
    <w:basedOn w:val="Standardowy"/>
    <w:tblPr>
      <w:tblStyleRowBandSize w:val="1"/>
      <w:tblStyleColBandSize w:val="1"/>
      <w:tblCellMar>
        <w:left w:w="115" w:type="dxa"/>
        <w:right w:w="115" w:type="dxa"/>
      </w:tblCellMar>
    </w:tblPr>
  </w:style>
  <w:style w:type="table" w:customStyle="1" w:styleId="afffffffffff1">
    <w:basedOn w:val="Standardowy"/>
    <w:tblPr>
      <w:tblStyleRowBandSize w:val="1"/>
      <w:tblStyleColBandSize w:val="1"/>
      <w:tblCellMar>
        <w:left w:w="115" w:type="dxa"/>
        <w:right w:w="115" w:type="dxa"/>
      </w:tblCellMar>
    </w:tblPr>
  </w:style>
  <w:style w:type="table" w:customStyle="1" w:styleId="afffffffffff2">
    <w:basedOn w:val="Standardowy"/>
    <w:tblPr>
      <w:tblStyleRowBandSize w:val="1"/>
      <w:tblStyleColBandSize w:val="1"/>
      <w:tblCellMar>
        <w:left w:w="115" w:type="dxa"/>
        <w:right w:w="115" w:type="dxa"/>
      </w:tblCellMar>
    </w:tblPr>
  </w:style>
  <w:style w:type="table" w:customStyle="1" w:styleId="afffffffffff3">
    <w:basedOn w:val="Standardowy"/>
    <w:tblPr>
      <w:tblStyleRowBandSize w:val="1"/>
      <w:tblStyleColBandSize w:val="1"/>
      <w:tblCellMar>
        <w:left w:w="115" w:type="dxa"/>
        <w:right w:w="115" w:type="dxa"/>
      </w:tblCellMar>
    </w:tblPr>
  </w:style>
  <w:style w:type="table" w:customStyle="1" w:styleId="afffffffffff4">
    <w:basedOn w:val="Standardowy"/>
    <w:tblPr>
      <w:tblStyleRowBandSize w:val="1"/>
      <w:tblStyleColBandSize w:val="1"/>
      <w:tblCellMar>
        <w:left w:w="115" w:type="dxa"/>
        <w:right w:w="115" w:type="dxa"/>
      </w:tblCellMar>
    </w:tblPr>
  </w:style>
  <w:style w:type="table" w:customStyle="1" w:styleId="afffffffffff5">
    <w:basedOn w:val="Standardowy"/>
    <w:tblPr>
      <w:tblStyleRowBandSize w:val="1"/>
      <w:tblStyleColBandSize w:val="1"/>
      <w:tblCellMar>
        <w:left w:w="115" w:type="dxa"/>
        <w:right w:w="115" w:type="dxa"/>
      </w:tblCellMar>
    </w:tblPr>
  </w:style>
  <w:style w:type="table" w:customStyle="1" w:styleId="afffffffffff6">
    <w:basedOn w:val="Standardowy"/>
    <w:tblPr>
      <w:tblStyleRowBandSize w:val="1"/>
      <w:tblStyleColBandSize w:val="1"/>
      <w:tblCellMar>
        <w:left w:w="115" w:type="dxa"/>
        <w:right w:w="115" w:type="dxa"/>
      </w:tblCellMar>
    </w:tblPr>
  </w:style>
  <w:style w:type="table" w:customStyle="1" w:styleId="afffffffffff7">
    <w:basedOn w:val="Standardowy"/>
    <w:tblPr>
      <w:tblStyleRowBandSize w:val="1"/>
      <w:tblStyleColBandSize w:val="1"/>
      <w:tblCellMar>
        <w:left w:w="115" w:type="dxa"/>
        <w:right w:w="115" w:type="dxa"/>
      </w:tblCellMar>
    </w:tblPr>
  </w:style>
  <w:style w:type="table" w:customStyle="1" w:styleId="afffffffffff8">
    <w:basedOn w:val="Standardowy"/>
    <w:tblPr>
      <w:tblStyleRowBandSize w:val="1"/>
      <w:tblStyleColBandSize w:val="1"/>
      <w:tblCellMar>
        <w:left w:w="115" w:type="dxa"/>
        <w:right w:w="115" w:type="dxa"/>
      </w:tblCellMar>
    </w:tblPr>
  </w:style>
  <w:style w:type="table" w:customStyle="1" w:styleId="afffffffffff9">
    <w:basedOn w:val="Standardowy"/>
    <w:tblPr>
      <w:tblStyleRowBandSize w:val="1"/>
      <w:tblStyleColBandSize w:val="1"/>
      <w:tblCellMar>
        <w:left w:w="115" w:type="dxa"/>
        <w:right w:w="115" w:type="dxa"/>
      </w:tblCellMar>
    </w:tblPr>
  </w:style>
  <w:style w:type="table" w:customStyle="1" w:styleId="afffffffffffa">
    <w:basedOn w:val="Standardowy"/>
    <w:tblPr>
      <w:tblStyleRowBandSize w:val="1"/>
      <w:tblStyleColBandSize w:val="1"/>
      <w:tblCellMar>
        <w:left w:w="115" w:type="dxa"/>
        <w:right w:w="115" w:type="dxa"/>
      </w:tblCellMar>
    </w:tblPr>
  </w:style>
  <w:style w:type="table" w:customStyle="1" w:styleId="afffffffffffb">
    <w:basedOn w:val="Standardowy"/>
    <w:tblPr>
      <w:tblStyleRowBandSize w:val="1"/>
      <w:tblStyleColBandSize w:val="1"/>
      <w:tblCellMar>
        <w:left w:w="115" w:type="dxa"/>
        <w:right w:w="115" w:type="dxa"/>
      </w:tblCellMar>
    </w:tblPr>
  </w:style>
  <w:style w:type="table" w:customStyle="1" w:styleId="afffffffffffc">
    <w:basedOn w:val="Standardowy"/>
    <w:tblPr>
      <w:tblStyleRowBandSize w:val="1"/>
      <w:tblStyleColBandSize w:val="1"/>
      <w:tblCellMar>
        <w:left w:w="115" w:type="dxa"/>
        <w:right w:w="115" w:type="dxa"/>
      </w:tblCellMar>
    </w:tblPr>
  </w:style>
  <w:style w:type="table" w:customStyle="1" w:styleId="afffffffffffd">
    <w:basedOn w:val="Standardowy"/>
    <w:tblPr>
      <w:tblStyleRowBandSize w:val="1"/>
      <w:tblStyleColBandSize w:val="1"/>
      <w:tblCellMar>
        <w:left w:w="115" w:type="dxa"/>
        <w:right w:w="115" w:type="dxa"/>
      </w:tblCellMar>
    </w:tblPr>
  </w:style>
  <w:style w:type="table" w:customStyle="1" w:styleId="afffffffffffe">
    <w:basedOn w:val="Standardowy"/>
    <w:tblPr>
      <w:tblStyleRowBandSize w:val="1"/>
      <w:tblStyleColBandSize w:val="1"/>
      <w:tblCellMar>
        <w:left w:w="115" w:type="dxa"/>
        <w:right w:w="115" w:type="dxa"/>
      </w:tblCellMar>
    </w:tblPr>
  </w:style>
  <w:style w:type="table" w:customStyle="1" w:styleId="affffffffffff">
    <w:basedOn w:val="Standardowy"/>
    <w:tblPr>
      <w:tblStyleRowBandSize w:val="1"/>
      <w:tblStyleColBandSize w:val="1"/>
      <w:tblCellMar>
        <w:left w:w="115" w:type="dxa"/>
        <w:right w:w="115" w:type="dxa"/>
      </w:tblCellMar>
    </w:tblPr>
  </w:style>
  <w:style w:type="table" w:customStyle="1" w:styleId="affffffffffff0">
    <w:basedOn w:val="Standardowy"/>
    <w:tblPr>
      <w:tblStyleRowBandSize w:val="1"/>
      <w:tblStyleColBandSize w:val="1"/>
      <w:tblCellMar>
        <w:left w:w="115" w:type="dxa"/>
        <w:right w:w="115" w:type="dxa"/>
      </w:tblCellMar>
    </w:tblPr>
  </w:style>
  <w:style w:type="table" w:customStyle="1" w:styleId="affffffffffff1">
    <w:basedOn w:val="Standardowy"/>
    <w:tblPr>
      <w:tblStyleRowBandSize w:val="1"/>
      <w:tblStyleColBandSize w:val="1"/>
      <w:tblCellMar>
        <w:left w:w="115" w:type="dxa"/>
        <w:right w:w="115" w:type="dxa"/>
      </w:tblCellMar>
    </w:tblPr>
  </w:style>
  <w:style w:type="table" w:customStyle="1" w:styleId="affffffffffff2">
    <w:basedOn w:val="Standardowy"/>
    <w:tblPr>
      <w:tblStyleRowBandSize w:val="1"/>
      <w:tblStyleColBandSize w:val="1"/>
      <w:tblCellMar>
        <w:left w:w="115" w:type="dxa"/>
        <w:right w:w="115" w:type="dxa"/>
      </w:tblCellMar>
    </w:tblPr>
  </w:style>
  <w:style w:type="table" w:customStyle="1" w:styleId="affffffffffff3">
    <w:basedOn w:val="Standardowy"/>
    <w:tblPr>
      <w:tblStyleRowBandSize w:val="1"/>
      <w:tblStyleColBandSize w:val="1"/>
      <w:tblCellMar>
        <w:left w:w="115" w:type="dxa"/>
        <w:right w:w="115" w:type="dxa"/>
      </w:tblCellMar>
    </w:tblPr>
  </w:style>
  <w:style w:type="table" w:customStyle="1" w:styleId="affffffffffff4">
    <w:basedOn w:val="Standardowy"/>
    <w:tblPr>
      <w:tblStyleRowBandSize w:val="1"/>
      <w:tblStyleColBandSize w:val="1"/>
      <w:tblCellMar>
        <w:left w:w="115" w:type="dxa"/>
        <w:right w:w="115" w:type="dxa"/>
      </w:tblCellMar>
    </w:tblPr>
  </w:style>
  <w:style w:type="table" w:customStyle="1" w:styleId="affffffffffff5">
    <w:basedOn w:val="Standardowy"/>
    <w:tblPr>
      <w:tblStyleRowBandSize w:val="1"/>
      <w:tblStyleColBandSize w:val="1"/>
      <w:tblCellMar>
        <w:left w:w="115" w:type="dxa"/>
        <w:right w:w="115" w:type="dxa"/>
      </w:tblCellMar>
    </w:tblPr>
  </w:style>
  <w:style w:type="table" w:customStyle="1" w:styleId="affffffffffff6">
    <w:basedOn w:val="Standardowy"/>
    <w:tblPr>
      <w:tblStyleRowBandSize w:val="1"/>
      <w:tblStyleColBandSize w:val="1"/>
      <w:tblCellMar>
        <w:left w:w="115" w:type="dxa"/>
        <w:right w:w="115" w:type="dxa"/>
      </w:tblCellMar>
    </w:tblPr>
  </w:style>
  <w:style w:type="table" w:customStyle="1" w:styleId="affffffffffff7">
    <w:basedOn w:val="Standardowy"/>
    <w:tblPr>
      <w:tblStyleRowBandSize w:val="1"/>
      <w:tblStyleColBandSize w:val="1"/>
      <w:tblCellMar>
        <w:left w:w="115" w:type="dxa"/>
        <w:right w:w="115" w:type="dxa"/>
      </w:tblCellMar>
    </w:tblPr>
  </w:style>
  <w:style w:type="table" w:customStyle="1" w:styleId="affffffffffff8">
    <w:basedOn w:val="Standardowy"/>
    <w:tblPr>
      <w:tblStyleRowBandSize w:val="1"/>
      <w:tblStyleColBandSize w:val="1"/>
      <w:tblCellMar>
        <w:left w:w="115" w:type="dxa"/>
        <w:right w:w="115" w:type="dxa"/>
      </w:tblCellMar>
    </w:tblPr>
  </w:style>
  <w:style w:type="table" w:customStyle="1" w:styleId="affffffffffff9">
    <w:basedOn w:val="Standardowy"/>
    <w:tblPr>
      <w:tblStyleRowBandSize w:val="1"/>
      <w:tblStyleColBandSize w:val="1"/>
      <w:tblCellMar>
        <w:left w:w="115" w:type="dxa"/>
        <w:right w:w="115" w:type="dxa"/>
      </w:tblCellMar>
    </w:tblPr>
  </w:style>
  <w:style w:type="table" w:customStyle="1" w:styleId="affffffffffffa">
    <w:basedOn w:val="Standardowy"/>
    <w:tblPr>
      <w:tblStyleRowBandSize w:val="1"/>
      <w:tblStyleColBandSize w:val="1"/>
      <w:tblCellMar>
        <w:left w:w="115" w:type="dxa"/>
        <w:right w:w="115" w:type="dxa"/>
      </w:tblCellMar>
    </w:tblPr>
  </w:style>
  <w:style w:type="table" w:customStyle="1" w:styleId="affffffffffffb">
    <w:basedOn w:val="Standardowy"/>
    <w:tblPr>
      <w:tblStyleRowBandSize w:val="1"/>
      <w:tblStyleColBandSize w:val="1"/>
      <w:tblCellMar>
        <w:left w:w="115" w:type="dxa"/>
        <w:right w:w="115" w:type="dxa"/>
      </w:tblCellMar>
    </w:tblPr>
  </w:style>
  <w:style w:type="table" w:customStyle="1" w:styleId="affffffffffffc">
    <w:basedOn w:val="Standardowy"/>
    <w:tblPr>
      <w:tblStyleRowBandSize w:val="1"/>
      <w:tblStyleColBandSize w:val="1"/>
      <w:tblCellMar>
        <w:left w:w="115" w:type="dxa"/>
        <w:right w:w="115" w:type="dxa"/>
      </w:tblCellMar>
    </w:tblPr>
  </w:style>
  <w:style w:type="table" w:customStyle="1" w:styleId="affffffffffffd">
    <w:basedOn w:val="Standardowy"/>
    <w:tblPr>
      <w:tblStyleRowBandSize w:val="1"/>
      <w:tblStyleColBandSize w:val="1"/>
      <w:tblCellMar>
        <w:left w:w="115" w:type="dxa"/>
        <w:right w:w="115" w:type="dxa"/>
      </w:tblCellMar>
    </w:tblPr>
  </w:style>
  <w:style w:type="table" w:customStyle="1" w:styleId="affffffffffffe">
    <w:basedOn w:val="Standardowy"/>
    <w:tblPr>
      <w:tblStyleRowBandSize w:val="1"/>
      <w:tblStyleColBandSize w:val="1"/>
      <w:tblCellMar>
        <w:left w:w="115" w:type="dxa"/>
        <w:right w:w="115" w:type="dxa"/>
      </w:tblCellMar>
    </w:tblPr>
  </w:style>
  <w:style w:type="table" w:customStyle="1" w:styleId="afffffffffffff">
    <w:basedOn w:val="Standardowy"/>
    <w:tblPr>
      <w:tblStyleRowBandSize w:val="1"/>
      <w:tblStyleColBandSize w:val="1"/>
      <w:tblCellMar>
        <w:left w:w="115" w:type="dxa"/>
        <w:right w:w="115" w:type="dxa"/>
      </w:tblCellMar>
    </w:tblPr>
  </w:style>
  <w:style w:type="table" w:customStyle="1" w:styleId="afffffffffffff0">
    <w:basedOn w:val="Standardowy"/>
    <w:tblPr>
      <w:tblStyleRowBandSize w:val="1"/>
      <w:tblStyleColBandSize w:val="1"/>
      <w:tblCellMar>
        <w:left w:w="115" w:type="dxa"/>
        <w:right w:w="115" w:type="dxa"/>
      </w:tblCellMar>
    </w:tblPr>
  </w:style>
  <w:style w:type="table" w:customStyle="1" w:styleId="afffffffffffff1">
    <w:basedOn w:val="Standardowy"/>
    <w:tblPr>
      <w:tblStyleRowBandSize w:val="1"/>
      <w:tblStyleColBandSize w:val="1"/>
      <w:tblCellMar>
        <w:left w:w="115" w:type="dxa"/>
        <w:right w:w="115" w:type="dxa"/>
      </w:tblCellMar>
    </w:tblPr>
  </w:style>
  <w:style w:type="table" w:customStyle="1" w:styleId="afffffffffffff2">
    <w:basedOn w:val="Standardowy"/>
    <w:tblPr>
      <w:tblStyleRowBandSize w:val="1"/>
      <w:tblStyleColBandSize w:val="1"/>
      <w:tblCellMar>
        <w:left w:w="115" w:type="dxa"/>
        <w:right w:w="115" w:type="dxa"/>
      </w:tblCellMar>
    </w:tblPr>
  </w:style>
  <w:style w:type="table" w:customStyle="1" w:styleId="afffffffffffff3">
    <w:basedOn w:val="Standardowy"/>
    <w:tblPr>
      <w:tblStyleRowBandSize w:val="1"/>
      <w:tblStyleColBandSize w:val="1"/>
      <w:tblCellMar>
        <w:left w:w="115" w:type="dxa"/>
        <w:right w:w="115" w:type="dxa"/>
      </w:tblCellMar>
    </w:tblPr>
  </w:style>
  <w:style w:type="table" w:customStyle="1" w:styleId="afffffffffffff4">
    <w:basedOn w:val="Standardowy"/>
    <w:tblPr>
      <w:tblStyleRowBandSize w:val="1"/>
      <w:tblStyleColBandSize w:val="1"/>
      <w:tblCellMar>
        <w:left w:w="115" w:type="dxa"/>
        <w:right w:w="115" w:type="dxa"/>
      </w:tblCellMar>
    </w:tblPr>
  </w:style>
  <w:style w:type="table" w:customStyle="1" w:styleId="afffffffffffff5">
    <w:basedOn w:val="Standardowy"/>
    <w:tblPr>
      <w:tblStyleRowBandSize w:val="1"/>
      <w:tblStyleColBandSize w:val="1"/>
      <w:tblCellMar>
        <w:left w:w="115" w:type="dxa"/>
        <w:right w:w="115" w:type="dxa"/>
      </w:tblCellMar>
    </w:tblPr>
  </w:style>
  <w:style w:type="table" w:customStyle="1" w:styleId="afffffffffffff6">
    <w:basedOn w:val="Standardowy"/>
    <w:tblPr>
      <w:tblStyleRowBandSize w:val="1"/>
      <w:tblStyleColBandSize w:val="1"/>
      <w:tblCellMar>
        <w:left w:w="115" w:type="dxa"/>
        <w:right w:w="115" w:type="dxa"/>
      </w:tblCellMar>
    </w:tblPr>
  </w:style>
  <w:style w:type="table" w:customStyle="1" w:styleId="afffffffffffff7">
    <w:basedOn w:val="Standardowy"/>
    <w:tblPr>
      <w:tblStyleRowBandSize w:val="1"/>
      <w:tblStyleColBandSize w:val="1"/>
      <w:tblCellMar>
        <w:left w:w="115" w:type="dxa"/>
        <w:right w:w="115" w:type="dxa"/>
      </w:tblCellMar>
    </w:tblPr>
  </w:style>
  <w:style w:type="table" w:customStyle="1" w:styleId="afffffffffffff8">
    <w:basedOn w:val="Standardowy"/>
    <w:tblPr>
      <w:tblStyleRowBandSize w:val="1"/>
      <w:tblStyleColBandSize w:val="1"/>
      <w:tblCellMar>
        <w:left w:w="115" w:type="dxa"/>
        <w:right w:w="115" w:type="dxa"/>
      </w:tblCellMar>
    </w:tblPr>
  </w:style>
  <w:style w:type="table" w:customStyle="1" w:styleId="afffffffffffff9">
    <w:basedOn w:val="Standardowy"/>
    <w:tblPr>
      <w:tblStyleRowBandSize w:val="1"/>
      <w:tblStyleColBandSize w:val="1"/>
      <w:tblCellMar>
        <w:left w:w="115" w:type="dxa"/>
        <w:right w:w="115" w:type="dxa"/>
      </w:tblCellMar>
    </w:tblPr>
  </w:style>
  <w:style w:type="table" w:customStyle="1" w:styleId="afffffffffffffa">
    <w:basedOn w:val="Standardowy"/>
    <w:tblPr>
      <w:tblStyleRowBandSize w:val="1"/>
      <w:tblStyleColBandSize w:val="1"/>
      <w:tblCellMar>
        <w:left w:w="115" w:type="dxa"/>
        <w:right w:w="115" w:type="dxa"/>
      </w:tblCellMar>
    </w:tblPr>
  </w:style>
  <w:style w:type="table" w:customStyle="1" w:styleId="afffffffffffffb">
    <w:basedOn w:val="Standardowy"/>
    <w:tblPr>
      <w:tblStyleRowBandSize w:val="1"/>
      <w:tblStyleColBandSize w:val="1"/>
      <w:tblCellMar>
        <w:left w:w="115" w:type="dxa"/>
        <w:right w:w="115" w:type="dxa"/>
      </w:tblCellMar>
    </w:tblPr>
  </w:style>
  <w:style w:type="table" w:customStyle="1" w:styleId="afffffffffffffc">
    <w:basedOn w:val="Standardowy"/>
    <w:tblPr>
      <w:tblStyleRowBandSize w:val="1"/>
      <w:tblStyleColBandSize w:val="1"/>
      <w:tblCellMar>
        <w:left w:w="115" w:type="dxa"/>
        <w:right w:w="115" w:type="dxa"/>
      </w:tblCellMar>
    </w:tblPr>
  </w:style>
  <w:style w:type="table" w:customStyle="1" w:styleId="afffffffffffffd">
    <w:basedOn w:val="Standardowy"/>
    <w:tblPr>
      <w:tblStyleRowBandSize w:val="1"/>
      <w:tblStyleColBandSize w:val="1"/>
      <w:tblCellMar>
        <w:left w:w="115" w:type="dxa"/>
        <w:right w:w="115" w:type="dxa"/>
      </w:tblCellMar>
    </w:tblPr>
  </w:style>
  <w:style w:type="table" w:customStyle="1" w:styleId="afffffffffffffe">
    <w:basedOn w:val="Standardowy"/>
    <w:tblPr>
      <w:tblStyleRowBandSize w:val="1"/>
      <w:tblStyleColBandSize w:val="1"/>
      <w:tblCellMar>
        <w:left w:w="115" w:type="dxa"/>
        <w:right w:w="115" w:type="dxa"/>
      </w:tblCellMar>
    </w:tblPr>
  </w:style>
  <w:style w:type="table" w:customStyle="1" w:styleId="affffffffffffff">
    <w:basedOn w:val="Standardowy"/>
    <w:tblPr>
      <w:tblStyleRowBandSize w:val="1"/>
      <w:tblStyleColBandSize w:val="1"/>
      <w:tblCellMar>
        <w:left w:w="115" w:type="dxa"/>
        <w:right w:w="115" w:type="dxa"/>
      </w:tblCellMar>
    </w:tblPr>
  </w:style>
  <w:style w:type="table" w:customStyle="1" w:styleId="affffffffffffff0">
    <w:basedOn w:val="Standardowy"/>
    <w:tblPr>
      <w:tblStyleRowBandSize w:val="1"/>
      <w:tblStyleColBandSize w:val="1"/>
      <w:tblCellMar>
        <w:left w:w="115" w:type="dxa"/>
        <w:right w:w="115" w:type="dxa"/>
      </w:tblCellMar>
    </w:tblPr>
  </w:style>
  <w:style w:type="table" w:customStyle="1" w:styleId="affffffffffffff1">
    <w:basedOn w:val="Standardowy"/>
    <w:tblPr>
      <w:tblStyleRowBandSize w:val="1"/>
      <w:tblStyleColBandSize w:val="1"/>
      <w:tblCellMar>
        <w:left w:w="115" w:type="dxa"/>
        <w:right w:w="115" w:type="dxa"/>
      </w:tblCellMar>
    </w:tblPr>
  </w:style>
  <w:style w:type="table" w:customStyle="1" w:styleId="affffffffffffff2">
    <w:basedOn w:val="Standardowy"/>
    <w:tblPr>
      <w:tblStyleRowBandSize w:val="1"/>
      <w:tblStyleColBandSize w:val="1"/>
      <w:tblCellMar>
        <w:left w:w="115" w:type="dxa"/>
        <w:right w:w="115" w:type="dxa"/>
      </w:tblCellMar>
    </w:tblPr>
  </w:style>
  <w:style w:type="table" w:customStyle="1" w:styleId="affffffffffffff3">
    <w:basedOn w:val="Standardowy"/>
    <w:tblPr>
      <w:tblStyleRowBandSize w:val="1"/>
      <w:tblStyleColBandSize w:val="1"/>
      <w:tblCellMar>
        <w:left w:w="115" w:type="dxa"/>
        <w:right w:w="115" w:type="dxa"/>
      </w:tblCellMar>
    </w:tblPr>
  </w:style>
  <w:style w:type="table" w:customStyle="1" w:styleId="affffffffffffff4">
    <w:basedOn w:val="Standardowy"/>
    <w:tblPr>
      <w:tblStyleRowBandSize w:val="1"/>
      <w:tblStyleColBandSize w:val="1"/>
      <w:tblCellMar>
        <w:left w:w="115" w:type="dxa"/>
        <w:right w:w="115" w:type="dxa"/>
      </w:tblCellMar>
    </w:tblPr>
  </w:style>
  <w:style w:type="table" w:customStyle="1" w:styleId="affffffffffffff5">
    <w:basedOn w:val="Standardowy"/>
    <w:tblPr>
      <w:tblStyleRowBandSize w:val="1"/>
      <w:tblStyleColBandSize w:val="1"/>
      <w:tblCellMar>
        <w:left w:w="115" w:type="dxa"/>
        <w:right w:w="115" w:type="dxa"/>
      </w:tblCellMar>
    </w:tblPr>
  </w:style>
  <w:style w:type="table" w:customStyle="1" w:styleId="affffffffffffff6">
    <w:basedOn w:val="Standardowy"/>
    <w:tblPr>
      <w:tblStyleRowBandSize w:val="1"/>
      <w:tblStyleColBandSize w:val="1"/>
      <w:tblCellMar>
        <w:left w:w="115" w:type="dxa"/>
        <w:right w:w="115" w:type="dxa"/>
      </w:tblCellMar>
    </w:tblPr>
  </w:style>
  <w:style w:type="table" w:customStyle="1" w:styleId="affffffffffffff7">
    <w:basedOn w:val="Standardowy"/>
    <w:tblPr>
      <w:tblStyleRowBandSize w:val="1"/>
      <w:tblStyleColBandSize w:val="1"/>
      <w:tblCellMar>
        <w:left w:w="115" w:type="dxa"/>
        <w:right w:w="115" w:type="dxa"/>
      </w:tblCellMar>
    </w:tblPr>
  </w:style>
  <w:style w:type="table" w:customStyle="1" w:styleId="affffffffffffff8">
    <w:basedOn w:val="Standardowy"/>
    <w:tblPr>
      <w:tblStyleRowBandSize w:val="1"/>
      <w:tblStyleColBandSize w:val="1"/>
      <w:tblCellMar>
        <w:left w:w="115" w:type="dxa"/>
        <w:right w:w="115" w:type="dxa"/>
      </w:tblCellMar>
    </w:tblPr>
  </w:style>
  <w:style w:type="table" w:customStyle="1" w:styleId="affffffffffffff9">
    <w:basedOn w:val="Standardowy"/>
    <w:tblPr>
      <w:tblStyleRowBandSize w:val="1"/>
      <w:tblStyleColBandSize w:val="1"/>
      <w:tblCellMar>
        <w:left w:w="115" w:type="dxa"/>
        <w:right w:w="115" w:type="dxa"/>
      </w:tblCellMar>
    </w:tblPr>
  </w:style>
  <w:style w:type="table" w:customStyle="1" w:styleId="affffffffffffffa">
    <w:basedOn w:val="Standardowy"/>
    <w:tblPr>
      <w:tblStyleRowBandSize w:val="1"/>
      <w:tblStyleColBandSize w:val="1"/>
      <w:tblCellMar>
        <w:left w:w="115" w:type="dxa"/>
        <w:right w:w="115" w:type="dxa"/>
      </w:tblCellMar>
    </w:tblPr>
  </w:style>
  <w:style w:type="table" w:customStyle="1" w:styleId="affffffffffffffb">
    <w:basedOn w:val="Standardowy"/>
    <w:tblPr>
      <w:tblStyleRowBandSize w:val="1"/>
      <w:tblStyleColBandSize w:val="1"/>
      <w:tblCellMar>
        <w:left w:w="115" w:type="dxa"/>
        <w:right w:w="115" w:type="dxa"/>
      </w:tblCellMar>
    </w:tblPr>
  </w:style>
  <w:style w:type="table" w:customStyle="1" w:styleId="affffffffffffffc">
    <w:basedOn w:val="Standardowy"/>
    <w:tblPr>
      <w:tblStyleRowBandSize w:val="1"/>
      <w:tblStyleColBandSize w:val="1"/>
      <w:tblCellMar>
        <w:left w:w="115" w:type="dxa"/>
        <w:right w:w="115" w:type="dxa"/>
      </w:tblCellMar>
    </w:tblPr>
  </w:style>
  <w:style w:type="table" w:customStyle="1" w:styleId="affffffffffffffd">
    <w:basedOn w:val="Standardowy"/>
    <w:tblPr>
      <w:tblStyleRowBandSize w:val="1"/>
      <w:tblStyleColBandSize w:val="1"/>
      <w:tblCellMar>
        <w:left w:w="115" w:type="dxa"/>
        <w:right w:w="115" w:type="dxa"/>
      </w:tblCellMar>
    </w:tblPr>
  </w:style>
  <w:style w:type="table" w:customStyle="1" w:styleId="affffffffffffffe">
    <w:basedOn w:val="Standardowy"/>
    <w:tblPr>
      <w:tblStyleRowBandSize w:val="1"/>
      <w:tblStyleColBandSize w:val="1"/>
      <w:tblCellMar>
        <w:left w:w="115" w:type="dxa"/>
        <w:right w:w="115" w:type="dxa"/>
      </w:tblCellMar>
    </w:tblPr>
  </w:style>
  <w:style w:type="table" w:customStyle="1" w:styleId="afffffffffffffff">
    <w:basedOn w:val="Standardowy"/>
    <w:tblPr>
      <w:tblStyleRowBandSize w:val="1"/>
      <w:tblStyleColBandSize w:val="1"/>
      <w:tblCellMar>
        <w:left w:w="115" w:type="dxa"/>
        <w:right w:w="115" w:type="dxa"/>
      </w:tblCellMar>
    </w:tblPr>
  </w:style>
  <w:style w:type="table" w:customStyle="1" w:styleId="afffffffffffffff0">
    <w:basedOn w:val="Standardowy"/>
    <w:tblPr>
      <w:tblStyleRowBandSize w:val="1"/>
      <w:tblStyleColBandSize w:val="1"/>
      <w:tblCellMar>
        <w:left w:w="115" w:type="dxa"/>
        <w:right w:w="115" w:type="dxa"/>
      </w:tblCellMar>
    </w:tblPr>
  </w:style>
  <w:style w:type="table" w:customStyle="1" w:styleId="afffffffffffffff1">
    <w:basedOn w:val="Standardowy"/>
    <w:tblPr>
      <w:tblStyleRowBandSize w:val="1"/>
      <w:tblStyleColBandSize w:val="1"/>
      <w:tblCellMar>
        <w:left w:w="115" w:type="dxa"/>
        <w:right w:w="115" w:type="dxa"/>
      </w:tblCellMar>
    </w:tblPr>
  </w:style>
  <w:style w:type="table" w:customStyle="1" w:styleId="afffffffffffffff2">
    <w:basedOn w:val="Standardowy"/>
    <w:tblPr>
      <w:tblStyleRowBandSize w:val="1"/>
      <w:tblStyleColBandSize w:val="1"/>
      <w:tblCellMar>
        <w:left w:w="115" w:type="dxa"/>
        <w:right w:w="115" w:type="dxa"/>
      </w:tblCellMar>
    </w:tblPr>
  </w:style>
  <w:style w:type="table" w:customStyle="1" w:styleId="afffffffffffffff3">
    <w:basedOn w:val="Standardowy"/>
    <w:tblPr>
      <w:tblStyleRowBandSize w:val="1"/>
      <w:tblStyleColBandSize w:val="1"/>
      <w:tblCellMar>
        <w:left w:w="115" w:type="dxa"/>
        <w:right w:w="115" w:type="dxa"/>
      </w:tblCellMar>
    </w:tblPr>
  </w:style>
  <w:style w:type="table" w:customStyle="1" w:styleId="afffffffffffffff4">
    <w:basedOn w:val="Standardowy"/>
    <w:tblPr>
      <w:tblStyleRowBandSize w:val="1"/>
      <w:tblStyleColBandSize w:val="1"/>
      <w:tblCellMar>
        <w:left w:w="115" w:type="dxa"/>
        <w:right w:w="115" w:type="dxa"/>
      </w:tblCellMar>
    </w:tblPr>
  </w:style>
  <w:style w:type="table" w:customStyle="1" w:styleId="afffffffffffffff5">
    <w:basedOn w:val="Standardowy"/>
    <w:tblPr>
      <w:tblStyleRowBandSize w:val="1"/>
      <w:tblStyleColBandSize w:val="1"/>
      <w:tblCellMar>
        <w:left w:w="115" w:type="dxa"/>
        <w:right w:w="115" w:type="dxa"/>
      </w:tblCellMar>
    </w:tblPr>
  </w:style>
  <w:style w:type="table" w:customStyle="1" w:styleId="afffffffffffffff6">
    <w:basedOn w:val="Standardowy"/>
    <w:tblPr>
      <w:tblStyleRowBandSize w:val="1"/>
      <w:tblStyleColBandSize w:val="1"/>
      <w:tblCellMar>
        <w:left w:w="115" w:type="dxa"/>
        <w:right w:w="115" w:type="dxa"/>
      </w:tblCellMar>
    </w:tblPr>
  </w:style>
  <w:style w:type="table" w:customStyle="1" w:styleId="afffffffffffffff7">
    <w:basedOn w:val="Standardowy"/>
    <w:tblPr>
      <w:tblStyleRowBandSize w:val="1"/>
      <w:tblStyleColBandSize w:val="1"/>
      <w:tblCellMar>
        <w:left w:w="115" w:type="dxa"/>
        <w:right w:w="115" w:type="dxa"/>
      </w:tblCellMar>
    </w:tblPr>
  </w:style>
  <w:style w:type="table" w:customStyle="1" w:styleId="afffffffffffffff8">
    <w:basedOn w:val="Standardowy"/>
    <w:tblPr>
      <w:tblStyleRowBandSize w:val="1"/>
      <w:tblStyleColBandSize w:val="1"/>
      <w:tblCellMar>
        <w:left w:w="115" w:type="dxa"/>
        <w:right w:w="115" w:type="dxa"/>
      </w:tblCellMar>
    </w:tblPr>
  </w:style>
  <w:style w:type="table" w:customStyle="1" w:styleId="afffffffffffffff9">
    <w:basedOn w:val="Standardowy"/>
    <w:tblPr>
      <w:tblStyleRowBandSize w:val="1"/>
      <w:tblStyleColBandSize w:val="1"/>
      <w:tblCellMar>
        <w:left w:w="115" w:type="dxa"/>
        <w:right w:w="115" w:type="dxa"/>
      </w:tblCellMar>
    </w:tblPr>
  </w:style>
  <w:style w:type="table" w:customStyle="1" w:styleId="afffffffffffffffa">
    <w:basedOn w:val="Standardowy"/>
    <w:tblPr>
      <w:tblStyleRowBandSize w:val="1"/>
      <w:tblStyleColBandSize w:val="1"/>
      <w:tblCellMar>
        <w:left w:w="115" w:type="dxa"/>
        <w:right w:w="115" w:type="dxa"/>
      </w:tblCellMar>
    </w:tblPr>
  </w:style>
  <w:style w:type="table" w:customStyle="1" w:styleId="afffffffffffffffb">
    <w:basedOn w:val="Standardowy"/>
    <w:tblPr>
      <w:tblStyleRowBandSize w:val="1"/>
      <w:tblStyleColBandSize w:val="1"/>
      <w:tblCellMar>
        <w:left w:w="115" w:type="dxa"/>
        <w:right w:w="115" w:type="dxa"/>
      </w:tblCellMar>
    </w:tblPr>
  </w:style>
  <w:style w:type="table" w:customStyle="1" w:styleId="afffffffffffffffc">
    <w:basedOn w:val="Standardowy"/>
    <w:tblPr>
      <w:tblStyleRowBandSize w:val="1"/>
      <w:tblStyleColBandSize w:val="1"/>
      <w:tblCellMar>
        <w:left w:w="115" w:type="dxa"/>
        <w:right w:w="115" w:type="dxa"/>
      </w:tblCellMar>
    </w:tblPr>
  </w:style>
  <w:style w:type="table" w:customStyle="1" w:styleId="afffffffffffffffd">
    <w:basedOn w:val="Standardowy"/>
    <w:tblPr>
      <w:tblStyleRowBandSize w:val="1"/>
      <w:tblStyleColBandSize w:val="1"/>
      <w:tblCellMar>
        <w:left w:w="115" w:type="dxa"/>
        <w:right w:w="115" w:type="dxa"/>
      </w:tblCellMar>
    </w:tblPr>
  </w:style>
  <w:style w:type="table" w:customStyle="1" w:styleId="afffffffffffffffe">
    <w:basedOn w:val="Standardowy"/>
    <w:tblPr>
      <w:tblStyleRowBandSize w:val="1"/>
      <w:tblStyleColBandSize w:val="1"/>
      <w:tblCellMar>
        <w:left w:w="115" w:type="dxa"/>
        <w:right w:w="115" w:type="dxa"/>
      </w:tblCellMar>
    </w:tblPr>
  </w:style>
  <w:style w:type="table" w:customStyle="1" w:styleId="affffffffffffffff">
    <w:basedOn w:val="Standardowy"/>
    <w:tblPr>
      <w:tblStyleRowBandSize w:val="1"/>
      <w:tblStyleColBandSize w:val="1"/>
      <w:tblCellMar>
        <w:left w:w="115" w:type="dxa"/>
        <w:right w:w="115" w:type="dxa"/>
      </w:tblCellMar>
    </w:tblPr>
  </w:style>
  <w:style w:type="table" w:customStyle="1" w:styleId="affffffffffffffff0">
    <w:basedOn w:val="Standardowy"/>
    <w:tblPr>
      <w:tblStyleRowBandSize w:val="1"/>
      <w:tblStyleColBandSize w:val="1"/>
      <w:tblCellMar>
        <w:left w:w="115" w:type="dxa"/>
        <w:right w:w="115" w:type="dxa"/>
      </w:tblCellMar>
    </w:tblPr>
  </w:style>
  <w:style w:type="table" w:customStyle="1" w:styleId="affffffffffffffff1">
    <w:basedOn w:val="Standardowy"/>
    <w:tblPr>
      <w:tblStyleRowBandSize w:val="1"/>
      <w:tblStyleColBandSize w:val="1"/>
      <w:tblCellMar>
        <w:left w:w="115" w:type="dxa"/>
        <w:right w:w="115" w:type="dxa"/>
      </w:tblCellMar>
    </w:tblPr>
  </w:style>
  <w:style w:type="table" w:customStyle="1" w:styleId="affffffffffffffff2">
    <w:basedOn w:val="Standardowy"/>
    <w:tblPr>
      <w:tblStyleRowBandSize w:val="1"/>
      <w:tblStyleColBandSize w:val="1"/>
      <w:tblCellMar>
        <w:left w:w="115" w:type="dxa"/>
        <w:right w:w="115" w:type="dxa"/>
      </w:tblCellMar>
    </w:tblPr>
  </w:style>
  <w:style w:type="table" w:customStyle="1" w:styleId="affffffffffffffff3">
    <w:basedOn w:val="Standardowy"/>
    <w:tblPr>
      <w:tblStyleRowBandSize w:val="1"/>
      <w:tblStyleColBandSize w:val="1"/>
      <w:tblCellMar>
        <w:left w:w="115" w:type="dxa"/>
        <w:right w:w="115" w:type="dxa"/>
      </w:tblCellMar>
    </w:tblPr>
  </w:style>
  <w:style w:type="table" w:customStyle="1" w:styleId="affffffffffffffff4">
    <w:basedOn w:val="Standardowy"/>
    <w:tblPr>
      <w:tblStyleRowBandSize w:val="1"/>
      <w:tblStyleColBandSize w:val="1"/>
      <w:tblCellMar>
        <w:left w:w="115" w:type="dxa"/>
        <w:right w:w="115" w:type="dxa"/>
      </w:tblCellMar>
    </w:tblPr>
  </w:style>
  <w:style w:type="table" w:customStyle="1" w:styleId="affffffffffffffff5">
    <w:basedOn w:val="Standardowy"/>
    <w:tblPr>
      <w:tblStyleRowBandSize w:val="1"/>
      <w:tblStyleColBandSize w:val="1"/>
      <w:tblCellMar>
        <w:left w:w="115" w:type="dxa"/>
        <w:right w:w="115" w:type="dxa"/>
      </w:tblCellMar>
    </w:tblPr>
  </w:style>
  <w:style w:type="table" w:customStyle="1" w:styleId="affffffffffffffff6">
    <w:basedOn w:val="Standardowy"/>
    <w:tblPr>
      <w:tblStyleRowBandSize w:val="1"/>
      <w:tblStyleColBandSize w:val="1"/>
      <w:tblCellMar>
        <w:left w:w="115" w:type="dxa"/>
        <w:right w:w="115" w:type="dxa"/>
      </w:tblCellMar>
    </w:tblPr>
  </w:style>
  <w:style w:type="table" w:customStyle="1" w:styleId="affffffffffffffff7">
    <w:basedOn w:val="Standardowy"/>
    <w:tblPr>
      <w:tblStyleRowBandSize w:val="1"/>
      <w:tblStyleColBandSize w:val="1"/>
      <w:tblCellMar>
        <w:left w:w="115" w:type="dxa"/>
        <w:right w:w="115" w:type="dxa"/>
      </w:tblCellMar>
    </w:tblPr>
  </w:style>
  <w:style w:type="table" w:customStyle="1" w:styleId="affffffffffffffff8">
    <w:basedOn w:val="Standardowy"/>
    <w:tblPr>
      <w:tblStyleRowBandSize w:val="1"/>
      <w:tblStyleColBandSize w:val="1"/>
      <w:tblCellMar>
        <w:left w:w="115" w:type="dxa"/>
        <w:right w:w="115" w:type="dxa"/>
      </w:tblCellMar>
    </w:tblPr>
  </w:style>
  <w:style w:type="table" w:customStyle="1" w:styleId="affffffffffffffff9">
    <w:basedOn w:val="Standardowy"/>
    <w:tblPr>
      <w:tblStyleRowBandSize w:val="1"/>
      <w:tblStyleColBandSize w:val="1"/>
      <w:tblCellMar>
        <w:left w:w="115" w:type="dxa"/>
        <w:right w:w="115" w:type="dxa"/>
      </w:tblCellMar>
    </w:tblPr>
  </w:style>
  <w:style w:type="table" w:customStyle="1" w:styleId="affffffffffffffffa">
    <w:basedOn w:val="Standardowy"/>
    <w:tblPr>
      <w:tblStyleRowBandSize w:val="1"/>
      <w:tblStyleColBandSize w:val="1"/>
      <w:tblCellMar>
        <w:left w:w="115" w:type="dxa"/>
        <w:right w:w="115" w:type="dxa"/>
      </w:tblCellMar>
    </w:tblPr>
  </w:style>
  <w:style w:type="table" w:customStyle="1" w:styleId="affffffffffffffffb">
    <w:basedOn w:val="Standardowy"/>
    <w:tblPr>
      <w:tblStyleRowBandSize w:val="1"/>
      <w:tblStyleColBandSize w:val="1"/>
      <w:tblCellMar>
        <w:left w:w="115" w:type="dxa"/>
        <w:right w:w="115" w:type="dxa"/>
      </w:tblCellMar>
    </w:tblPr>
  </w:style>
  <w:style w:type="table" w:customStyle="1" w:styleId="affffffffffffffffc">
    <w:basedOn w:val="Standardowy"/>
    <w:tblPr>
      <w:tblStyleRowBandSize w:val="1"/>
      <w:tblStyleColBandSize w:val="1"/>
      <w:tblCellMar>
        <w:left w:w="115" w:type="dxa"/>
        <w:right w:w="115" w:type="dxa"/>
      </w:tblCellMar>
    </w:tblPr>
  </w:style>
  <w:style w:type="table" w:customStyle="1" w:styleId="affffffffffffffffd">
    <w:basedOn w:val="Standardowy"/>
    <w:tblPr>
      <w:tblStyleRowBandSize w:val="1"/>
      <w:tblStyleColBandSize w:val="1"/>
      <w:tblCellMar>
        <w:left w:w="115" w:type="dxa"/>
        <w:right w:w="115" w:type="dxa"/>
      </w:tblCellMar>
    </w:tblPr>
  </w:style>
  <w:style w:type="table" w:customStyle="1" w:styleId="affffffffffffffffe">
    <w:basedOn w:val="Standardowy"/>
    <w:tblPr>
      <w:tblStyleRowBandSize w:val="1"/>
      <w:tblStyleColBandSize w:val="1"/>
      <w:tblCellMar>
        <w:left w:w="115" w:type="dxa"/>
        <w:right w:w="115" w:type="dxa"/>
      </w:tblCellMar>
    </w:tblPr>
  </w:style>
  <w:style w:type="table" w:customStyle="1" w:styleId="afffffffffffffffff">
    <w:basedOn w:val="Standardowy"/>
    <w:tblPr>
      <w:tblStyleRowBandSize w:val="1"/>
      <w:tblStyleColBandSize w:val="1"/>
      <w:tblCellMar>
        <w:left w:w="115" w:type="dxa"/>
        <w:right w:w="115" w:type="dxa"/>
      </w:tblCellMar>
    </w:tblPr>
  </w:style>
  <w:style w:type="table" w:customStyle="1" w:styleId="afffffffffffffffff0">
    <w:basedOn w:val="Standardowy"/>
    <w:tblPr>
      <w:tblStyleRowBandSize w:val="1"/>
      <w:tblStyleColBandSize w:val="1"/>
      <w:tblCellMar>
        <w:left w:w="115" w:type="dxa"/>
        <w:right w:w="115" w:type="dxa"/>
      </w:tblCellMar>
    </w:tblPr>
  </w:style>
  <w:style w:type="table" w:customStyle="1" w:styleId="afffffffffffffffff1">
    <w:basedOn w:val="Standardowy"/>
    <w:tblPr>
      <w:tblStyleRowBandSize w:val="1"/>
      <w:tblStyleColBandSize w:val="1"/>
      <w:tblCellMar>
        <w:left w:w="115" w:type="dxa"/>
        <w:right w:w="115" w:type="dxa"/>
      </w:tblCellMar>
    </w:tblPr>
  </w:style>
  <w:style w:type="table" w:customStyle="1" w:styleId="afffffffffffffffff2">
    <w:basedOn w:val="Standardowy"/>
    <w:tblPr>
      <w:tblStyleRowBandSize w:val="1"/>
      <w:tblStyleColBandSize w:val="1"/>
      <w:tblCellMar>
        <w:left w:w="115" w:type="dxa"/>
        <w:right w:w="115" w:type="dxa"/>
      </w:tblCellMar>
    </w:tblPr>
  </w:style>
  <w:style w:type="table" w:customStyle="1" w:styleId="afffffffffffffffff3">
    <w:basedOn w:val="Standardowy"/>
    <w:tblPr>
      <w:tblStyleRowBandSize w:val="1"/>
      <w:tblStyleColBandSize w:val="1"/>
      <w:tblCellMar>
        <w:left w:w="115" w:type="dxa"/>
        <w:right w:w="115" w:type="dxa"/>
      </w:tblCellMar>
    </w:tblPr>
  </w:style>
  <w:style w:type="table" w:customStyle="1" w:styleId="afffffffffffffffff4">
    <w:basedOn w:val="Standardowy"/>
    <w:tblPr>
      <w:tblStyleRowBandSize w:val="1"/>
      <w:tblStyleColBandSize w:val="1"/>
      <w:tblCellMar>
        <w:left w:w="115" w:type="dxa"/>
        <w:right w:w="115" w:type="dxa"/>
      </w:tblCellMar>
    </w:tblPr>
  </w:style>
  <w:style w:type="table" w:customStyle="1" w:styleId="afffffffffffffffff5">
    <w:basedOn w:val="Standardowy"/>
    <w:tblPr>
      <w:tblStyleRowBandSize w:val="1"/>
      <w:tblStyleColBandSize w:val="1"/>
      <w:tblCellMar>
        <w:left w:w="115" w:type="dxa"/>
        <w:right w:w="115" w:type="dxa"/>
      </w:tblCellMar>
    </w:tblPr>
  </w:style>
  <w:style w:type="table" w:customStyle="1" w:styleId="afffffffffffffffff6">
    <w:basedOn w:val="Standardowy"/>
    <w:tblPr>
      <w:tblStyleRowBandSize w:val="1"/>
      <w:tblStyleColBandSize w:val="1"/>
      <w:tblCellMar>
        <w:left w:w="115" w:type="dxa"/>
        <w:right w:w="115" w:type="dxa"/>
      </w:tblCellMar>
    </w:tblPr>
  </w:style>
  <w:style w:type="table" w:customStyle="1" w:styleId="afffffffffffffffff7">
    <w:basedOn w:val="Standardowy"/>
    <w:tblPr>
      <w:tblStyleRowBandSize w:val="1"/>
      <w:tblStyleColBandSize w:val="1"/>
      <w:tblCellMar>
        <w:left w:w="115" w:type="dxa"/>
        <w:right w:w="115" w:type="dxa"/>
      </w:tblCellMar>
    </w:tblPr>
  </w:style>
  <w:style w:type="table" w:customStyle="1" w:styleId="afffffffffffffffff8">
    <w:basedOn w:val="Standardowy"/>
    <w:tblPr>
      <w:tblStyleRowBandSize w:val="1"/>
      <w:tblStyleColBandSize w:val="1"/>
      <w:tblCellMar>
        <w:left w:w="115" w:type="dxa"/>
        <w:right w:w="115" w:type="dxa"/>
      </w:tblCellMar>
    </w:tblPr>
  </w:style>
  <w:style w:type="table" w:customStyle="1" w:styleId="afffffffffffffffff9">
    <w:basedOn w:val="Standardowy"/>
    <w:tblPr>
      <w:tblStyleRowBandSize w:val="1"/>
      <w:tblStyleColBandSize w:val="1"/>
      <w:tblCellMar>
        <w:left w:w="115" w:type="dxa"/>
        <w:right w:w="115" w:type="dxa"/>
      </w:tblCellMar>
    </w:tblPr>
  </w:style>
  <w:style w:type="table" w:customStyle="1" w:styleId="afffffffffffffffffa">
    <w:basedOn w:val="Standardowy"/>
    <w:tblPr>
      <w:tblStyleRowBandSize w:val="1"/>
      <w:tblStyleColBandSize w:val="1"/>
      <w:tblCellMar>
        <w:left w:w="115" w:type="dxa"/>
        <w:right w:w="115" w:type="dxa"/>
      </w:tblCellMar>
    </w:tblPr>
  </w:style>
  <w:style w:type="table" w:customStyle="1" w:styleId="afffffffffffffffffb">
    <w:basedOn w:val="Standardowy"/>
    <w:tblPr>
      <w:tblStyleRowBandSize w:val="1"/>
      <w:tblStyleColBandSize w:val="1"/>
      <w:tblCellMar>
        <w:left w:w="115" w:type="dxa"/>
        <w:right w:w="115" w:type="dxa"/>
      </w:tblCellMar>
    </w:tblPr>
  </w:style>
  <w:style w:type="table" w:customStyle="1" w:styleId="afffffffffffffffffc">
    <w:basedOn w:val="Standardowy"/>
    <w:tblPr>
      <w:tblStyleRowBandSize w:val="1"/>
      <w:tblStyleColBandSize w:val="1"/>
      <w:tblCellMar>
        <w:left w:w="115" w:type="dxa"/>
        <w:right w:w="115" w:type="dxa"/>
      </w:tblCellMar>
    </w:tblPr>
  </w:style>
  <w:style w:type="table" w:customStyle="1" w:styleId="afffffffffffffffffd">
    <w:basedOn w:val="Standardowy"/>
    <w:tblPr>
      <w:tblStyleRowBandSize w:val="1"/>
      <w:tblStyleColBandSize w:val="1"/>
      <w:tblCellMar>
        <w:left w:w="115" w:type="dxa"/>
        <w:right w:w="115" w:type="dxa"/>
      </w:tblCellMar>
    </w:tblPr>
  </w:style>
  <w:style w:type="table" w:customStyle="1" w:styleId="afffffffffffffffffe">
    <w:basedOn w:val="Standardowy"/>
    <w:tblPr>
      <w:tblStyleRowBandSize w:val="1"/>
      <w:tblStyleColBandSize w:val="1"/>
      <w:tblCellMar>
        <w:left w:w="115" w:type="dxa"/>
        <w:right w:w="115" w:type="dxa"/>
      </w:tblCellMar>
    </w:tblPr>
  </w:style>
  <w:style w:type="table" w:customStyle="1" w:styleId="affffffffffffffffff">
    <w:basedOn w:val="Standardowy"/>
    <w:tblPr>
      <w:tblStyleRowBandSize w:val="1"/>
      <w:tblStyleColBandSize w:val="1"/>
      <w:tblCellMar>
        <w:left w:w="115" w:type="dxa"/>
        <w:right w:w="115" w:type="dxa"/>
      </w:tblCellMar>
    </w:tblPr>
  </w:style>
  <w:style w:type="character" w:customStyle="1" w:styleId="Nierozpoznanawzmianka2">
    <w:name w:val="Nierozpoznana wzmianka2"/>
    <w:basedOn w:val="Domylnaczcionkaakapitu"/>
    <w:uiPriority w:val="99"/>
    <w:semiHidden/>
    <w:unhideWhenUsed/>
    <w:rsid w:val="009322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44351">
      <w:bodyDiv w:val="1"/>
      <w:marLeft w:val="0"/>
      <w:marRight w:val="0"/>
      <w:marTop w:val="0"/>
      <w:marBottom w:val="0"/>
      <w:divBdr>
        <w:top w:val="none" w:sz="0" w:space="0" w:color="auto"/>
        <w:left w:val="none" w:sz="0" w:space="0" w:color="auto"/>
        <w:bottom w:val="none" w:sz="0" w:space="0" w:color="auto"/>
        <w:right w:val="none" w:sz="0" w:space="0" w:color="auto"/>
      </w:divBdr>
    </w:div>
    <w:div w:id="485707947">
      <w:bodyDiv w:val="1"/>
      <w:marLeft w:val="0"/>
      <w:marRight w:val="0"/>
      <w:marTop w:val="0"/>
      <w:marBottom w:val="0"/>
      <w:divBdr>
        <w:top w:val="none" w:sz="0" w:space="0" w:color="auto"/>
        <w:left w:val="none" w:sz="0" w:space="0" w:color="auto"/>
        <w:bottom w:val="none" w:sz="0" w:space="0" w:color="auto"/>
        <w:right w:val="none" w:sz="0" w:space="0" w:color="auto"/>
      </w:divBdr>
    </w:div>
    <w:div w:id="185434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7.bin"/><Relationship Id="rId63" Type="http://schemas.openxmlformats.org/officeDocument/2006/relationships/image" Target="media/image54.png"/><Relationship Id="rId68" Type="http://schemas.openxmlformats.org/officeDocument/2006/relationships/image" Target="media/image40.png"/><Relationship Id="rId112" Type="http://schemas.openxmlformats.org/officeDocument/2006/relationships/image" Target="media/image8.wmf"/><Relationship Id="rId133" Type="http://schemas.openxmlformats.org/officeDocument/2006/relationships/oleObject" Target="embeddings/oleObject14.bin"/><Relationship Id="rId138" Type="http://schemas.openxmlformats.org/officeDocument/2006/relationships/image" Target="media/image18.wmf"/><Relationship Id="rId154" Type="http://schemas.openxmlformats.org/officeDocument/2006/relationships/hyperlink" Target="https://www.oponeo.pl/artykul/ile-kosztuje-wymiana-opon" TargetMode="External"/><Relationship Id="rId159" Type="http://schemas.openxmlformats.org/officeDocument/2006/relationships/hyperlink" Target="https://firetms.com/pl/blog/jak-wyznaczyc-stawke-za-km-zlecenia-transportowego/" TargetMode="External"/><Relationship Id="rId170" Type="http://schemas.openxmlformats.org/officeDocument/2006/relationships/header" Target="header6.xml"/><Relationship Id="rId107" Type="http://schemas.openxmlformats.org/officeDocument/2006/relationships/image" Target="media/image6.wmf"/><Relationship Id="rId11" Type="http://schemas.openxmlformats.org/officeDocument/2006/relationships/header" Target="header2.xml"/><Relationship Id="rId58" Type="http://schemas.openxmlformats.org/officeDocument/2006/relationships/image" Target="media/image32.png"/><Relationship Id="rId79" Type="http://schemas.openxmlformats.org/officeDocument/2006/relationships/image" Target="media/image31.png"/><Relationship Id="rId102" Type="http://schemas.openxmlformats.org/officeDocument/2006/relationships/image" Target="media/image4.png"/><Relationship Id="rId123" Type="http://schemas.openxmlformats.org/officeDocument/2006/relationships/image" Target="media/image13.wmf"/><Relationship Id="rId128" Type="http://schemas.openxmlformats.org/officeDocument/2006/relationships/image" Target="media/image15.wmf"/><Relationship Id="rId144" Type="http://schemas.openxmlformats.org/officeDocument/2006/relationships/hyperlink" Target="http://www.gddkia.gov.pl/pl/992/zalozenia-do-prognoz-ruchu" TargetMode="External"/><Relationship Id="rId149" Type="http://schemas.openxmlformats.org/officeDocument/2006/relationships/hyperlink" Target="http://www.gddkia.gov.pl" TargetMode="External"/><Relationship Id="rId5" Type="http://schemas.openxmlformats.org/officeDocument/2006/relationships/settings" Target="settings.xml"/><Relationship Id="rId160" Type="http://schemas.openxmlformats.org/officeDocument/2006/relationships/hyperlink" Target="https://rankomat.pl/samochod/ile-kosztuje-ubezpieczenie-samochodu-1" TargetMode="External"/><Relationship Id="rId165" Type="http://schemas.openxmlformats.org/officeDocument/2006/relationships/hyperlink" Target="https://www.acea.be/statistics/article/average-vehicleage" TargetMode="External"/><Relationship Id="rId64" Type="http://schemas.openxmlformats.org/officeDocument/2006/relationships/image" Target="media/image81.png"/><Relationship Id="rId113" Type="http://schemas.openxmlformats.org/officeDocument/2006/relationships/oleObject" Target="embeddings/oleObject5.bin"/><Relationship Id="rId118" Type="http://schemas.openxmlformats.org/officeDocument/2006/relationships/image" Target="media/image11.wmf"/><Relationship Id="rId134" Type="http://schemas.openxmlformats.org/officeDocument/2006/relationships/hyperlink" Target="https://op.europa.eu/en/publication-detail/-/publication/23a24b21-16d0-11ec-b4fe-01aa75ed71a1/language-en" TargetMode="External"/><Relationship Id="rId139" Type="http://schemas.openxmlformats.org/officeDocument/2006/relationships/oleObject" Target="embeddings/oleObject15.bin"/><Relationship Id="rId80" Type="http://schemas.openxmlformats.org/officeDocument/2006/relationships/image" Target="media/image49.png"/><Relationship Id="rId150" Type="http://schemas.openxmlformats.org/officeDocument/2006/relationships/image" Target="media/image20.png"/><Relationship Id="rId155" Type="http://schemas.openxmlformats.org/officeDocument/2006/relationships/hyperlink" Target="https://kb.pl/porady/ile-kosztuje-przeglad-samochodu-sprawdz-aktualne-ceny-_mot/" TargetMode="External"/><Relationship Id="rId171" Type="http://schemas.openxmlformats.org/officeDocument/2006/relationships/fontTable" Target="fontTable.xml"/><Relationship Id="rId12" Type="http://schemas.openxmlformats.org/officeDocument/2006/relationships/footer" Target="footer1.xml"/><Relationship Id="rId103" Type="http://schemas.openxmlformats.org/officeDocument/2006/relationships/hyperlink" Target="https://www.eib.org/en/publications/the-eib-group-climate-bank-roadmap" TargetMode="External"/><Relationship Id="rId108" Type="http://schemas.openxmlformats.org/officeDocument/2006/relationships/oleObject" Target="embeddings/oleObject2.bin"/><Relationship Id="rId124" Type="http://schemas.openxmlformats.org/officeDocument/2006/relationships/oleObject" Target="embeddings/oleObject10.bin"/><Relationship Id="rId129" Type="http://schemas.openxmlformats.org/officeDocument/2006/relationships/oleObject" Target="embeddings/oleObject12.bin"/><Relationship Id="rId54" Type="http://schemas.openxmlformats.org/officeDocument/2006/relationships/image" Target="media/image56.png"/><Relationship Id="rId91" Type="http://schemas.openxmlformats.org/officeDocument/2006/relationships/image" Target="media/image62.png"/><Relationship Id="rId96" Type="http://schemas.openxmlformats.org/officeDocument/2006/relationships/image" Target="media/image27.png"/><Relationship Id="rId140" Type="http://schemas.openxmlformats.org/officeDocument/2006/relationships/oleObject" Target="embeddings/oleObject16.bin"/><Relationship Id="rId145" Type="http://schemas.openxmlformats.org/officeDocument/2006/relationships/image" Target="media/image19.wmf"/><Relationship Id="rId161" Type="http://schemas.openxmlformats.org/officeDocument/2006/relationships/hyperlink" Target="https://www.oponeo.pl/artykul/ile-kosztuje-wymiana-opon" TargetMode="External"/><Relationship Id="rId166" Type="http://schemas.openxmlformats.org/officeDocument/2006/relationships/hyperlink" Target="https://firetms.com/pl/blog/jak-wyznaczyc-stawke-za-km-zlecenia-transportowego/"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57" Type="http://schemas.openxmlformats.org/officeDocument/2006/relationships/image" Target="media/image93.png"/><Relationship Id="rId106" Type="http://schemas.openxmlformats.org/officeDocument/2006/relationships/oleObject" Target="embeddings/oleObject1.bin"/><Relationship Id="rId114" Type="http://schemas.openxmlformats.org/officeDocument/2006/relationships/image" Target="media/image9.wmf"/><Relationship Id="rId119" Type="http://schemas.openxmlformats.org/officeDocument/2006/relationships/oleObject" Target="embeddings/oleObject8.bin"/><Relationship Id="rId127" Type="http://schemas.openxmlformats.org/officeDocument/2006/relationships/oleObject" Target="embeddings/oleObject11.bin"/><Relationship Id="rId10" Type="http://schemas.openxmlformats.org/officeDocument/2006/relationships/header" Target="header1.xml"/><Relationship Id="rId52" Type="http://schemas.openxmlformats.org/officeDocument/2006/relationships/image" Target="media/image37.png"/><Relationship Id="rId60" Type="http://schemas.openxmlformats.org/officeDocument/2006/relationships/image" Target="media/image42.png"/><Relationship Id="rId78" Type="http://schemas.openxmlformats.org/officeDocument/2006/relationships/image" Target="media/image59.png"/><Relationship Id="rId99" Type="http://schemas.openxmlformats.org/officeDocument/2006/relationships/image" Target="media/image41.png"/><Relationship Id="rId101" Type="http://schemas.openxmlformats.org/officeDocument/2006/relationships/image" Target="media/image3.png"/><Relationship Id="rId122" Type="http://schemas.openxmlformats.org/officeDocument/2006/relationships/hyperlink" Target="https://www.krbrd.gov.pl/baza-wiedzy/raporty-o-stanie-brd/" TargetMode="External"/><Relationship Id="rId130" Type="http://schemas.openxmlformats.org/officeDocument/2006/relationships/image" Target="media/image16.wmf"/><Relationship Id="rId135" Type="http://schemas.openxmlformats.org/officeDocument/2006/relationships/hyperlink" Target="https://op.europa.eu/en/publication-detail/-/publication/23a24b21-16d0-11ec-b4fe-01aa75ed71a1/language-en" TargetMode="External"/><Relationship Id="rId143" Type="http://schemas.openxmlformats.org/officeDocument/2006/relationships/hyperlink" Target="http://www.gddkia.gov.pl/pl/992/zalozenia-do-prognoz-ruchu" TargetMode="External"/><Relationship Id="rId148" Type="http://schemas.openxmlformats.org/officeDocument/2006/relationships/oleObject" Target="embeddings/oleObject18.bin"/><Relationship Id="rId151" Type="http://schemas.openxmlformats.org/officeDocument/2006/relationships/image" Target="media/image21.png"/><Relationship Id="rId156" Type="http://schemas.openxmlformats.org/officeDocument/2006/relationships/hyperlink" Target="https://www.motofakty.pl/artykul/ile-kosztuje-wymiana-oleju-w-samochodzie.html" TargetMode="External"/><Relationship Id="rId164" Type="http://schemas.openxmlformats.org/officeDocument/2006/relationships/hyperlink" Target="https://www.motofakty.pl/artykul/ceny-aut-w-2019-r-nowe-samochody-w-polsce-byly-drozsze-niz-w-2018.html" TargetMode="External"/><Relationship Id="rId16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72" Type="http://schemas.openxmlformats.org/officeDocument/2006/relationships/theme" Target="theme/theme1.xml"/><Relationship Id="rId13" Type="http://schemas.openxmlformats.org/officeDocument/2006/relationships/footer" Target="footer2.xml"/><Relationship Id="rId109" Type="http://schemas.openxmlformats.org/officeDocument/2006/relationships/image" Target="media/image7.wmf"/><Relationship Id="rId76" Type="http://schemas.openxmlformats.org/officeDocument/2006/relationships/image" Target="media/image63.png"/><Relationship Id="rId104" Type="http://schemas.openxmlformats.org/officeDocument/2006/relationships/hyperlink" Target="https://www.eib.org/en/publications/the-eib-group-climate-bank-roadmap" TargetMode="External"/><Relationship Id="rId120" Type="http://schemas.openxmlformats.org/officeDocument/2006/relationships/image" Target="media/image12.wmf"/><Relationship Id="rId125" Type="http://schemas.openxmlformats.org/officeDocument/2006/relationships/hyperlink" Target="https://www.krbrd.gov.pl/baza-wiedzy/raporty-o-stanie-brd/" TargetMode="External"/><Relationship Id="rId141" Type="http://schemas.openxmlformats.org/officeDocument/2006/relationships/hyperlink" Target="http://www.gddkia.gov.pl/pl/992/zalozenia-do-prognoz-ruchu" TargetMode="External"/><Relationship Id="rId146" Type="http://schemas.openxmlformats.org/officeDocument/2006/relationships/oleObject" Target="embeddings/oleObject17.bin"/><Relationship Id="rId167" Type="http://schemas.openxmlformats.org/officeDocument/2006/relationships/hyperlink" Target="https://journals.sagepub.com/doi/full/10.1177/1687814017694116" TargetMode="External"/><Relationship Id="rId7" Type="http://schemas.openxmlformats.org/officeDocument/2006/relationships/footnotes" Target="footnotes.xml"/><Relationship Id="rId71" Type="http://schemas.openxmlformats.org/officeDocument/2006/relationships/image" Target="media/image84.png"/><Relationship Id="rId162" Type="http://schemas.openxmlformats.org/officeDocument/2006/relationships/hyperlink" Target="https://kb.pl/porady/ile-kosztuje-przeglad-samochodu-sprawdz-aktualne-ceny-_mot/" TargetMode="External"/><Relationship Id="rId2" Type="http://schemas.openxmlformats.org/officeDocument/2006/relationships/customXml" Target="../customXml/item2.xml"/><Relationship Id="rId66" Type="http://schemas.openxmlformats.org/officeDocument/2006/relationships/image" Target="media/image36.png"/><Relationship Id="rId110" Type="http://schemas.openxmlformats.org/officeDocument/2006/relationships/oleObject" Target="embeddings/oleObject3.bin"/><Relationship Id="rId115" Type="http://schemas.openxmlformats.org/officeDocument/2006/relationships/oleObject" Target="embeddings/oleObject6.bin"/><Relationship Id="rId131" Type="http://schemas.openxmlformats.org/officeDocument/2006/relationships/oleObject" Target="embeddings/oleObject13.bin"/><Relationship Id="rId136" Type="http://schemas.openxmlformats.org/officeDocument/2006/relationships/hyperlink" Target="https://op.europa.eu/en/publication-detail/-/publication/23a24b21-16d0-11ec-b4fe-01aa75ed71a1/language-en" TargetMode="External"/><Relationship Id="rId157" Type="http://schemas.openxmlformats.org/officeDocument/2006/relationships/hyperlink" Target="https://www.motofakty.pl/artykul/ceny-aut-w-2019-r-nowe-samochody-w-polsce-byly-drozsze-niz-w-2018.html" TargetMode="External"/><Relationship Id="rId61" Type="http://schemas.openxmlformats.org/officeDocument/2006/relationships/image" Target="media/image66.png"/><Relationship Id="rId152" Type="http://schemas.openxmlformats.org/officeDocument/2006/relationships/image" Target="media/image22.png"/><Relationship Id="rId14" Type="http://schemas.openxmlformats.org/officeDocument/2006/relationships/header" Target="header3.xml"/><Relationship Id="rId77" Type="http://schemas.openxmlformats.org/officeDocument/2006/relationships/image" Target="media/image88.png"/><Relationship Id="rId100" Type="http://schemas.openxmlformats.org/officeDocument/2006/relationships/image" Target="media/image24.png"/><Relationship Id="rId105" Type="http://schemas.openxmlformats.org/officeDocument/2006/relationships/image" Target="media/image5.wmf"/><Relationship Id="rId126" Type="http://schemas.openxmlformats.org/officeDocument/2006/relationships/image" Target="media/image14.wmf"/><Relationship Id="rId147" Type="http://schemas.openxmlformats.org/officeDocument/2006/relationships/hyperlink" Target="http://www.gddkia.gov.pl" TargetMode="External"/><Relationship Id="rId168" Type="http://schemas.openxmlformats.org/officeDocument/2006/relationships/header" Target="header4.xml"/><Relationship Id="rId8" Type="http://schemas.openxmlformats.org/officeDocument/2006/relationships/endnotes" Target="endnotes.xml"/><Relationship Id="rId72" Type="http://schemas.openxmlformats.org/officeDocument/2006/relationships/image" Target="media/image55.png"/><Relationship Id="rId121" Type="http://schemas.openxmlformats.org/officeDocument/2006/relationships/oleObject" Target="embeddings/oleObject9.bin"/><Relationship Id="rId142" Type="http://schemas.openxmlformats.org/officeDocument/2006/relationships/hyperlink" Target="http://www.gddkia.gov.pl/pl/992/zalozenia-do-prognoz-ruchu" TargetMode="External"/><Relationship Id="rId163" Type="http://schemas.openxmlformats.org/officeDocument/2006/relationships/hyperlink" Target="https://www.motofakty.pl/artykul/ile-kosztuje-wymiana-oleju-w-samochodzie.html" TargetMode="External"/><Relationship Id="rId3" Type="http://schemas.openxmlformats.org/officeDocument/2006/relationships/numbering" Target="numbering.xml"/><Relationship Id="rId116" Type="http://schemas.openxmlformats.org/officeDocument/2006/relationships/image" Target="media/image10.wmf"/><Relationship Id="rId137" Type="http://schemas.openxmlformats.org/officeDocument/2006/relationships/hyperlink" Target="https://op.europa.eu/en/publication-detail/-/publication/23a24b21-16d0-11ec-b4fe-01aa75ed71a1/language-en" TargetMode="External"/><Relationship Id="rId158" Type="http://schemas.openxmlformats.org/officeDocument/2006/relationships/hyperlink" Target="https://www.acea.be/statistics/article/average-vehicleage" TargetMode="External"/><Relationship Id="rId62" Type="http://schemas.openxmlformats.org/officeDocument/2006/relationships/image" Target="media/image38.png"/><Relationship Id="rId88" Type="http://schemas.openxmlformats.org/officeDocument/2006/relationships/image" Target="media/image47.png"/><Relationship Id="rId111" Type="http://schemas.openxmlformats.org/officeDocument/2006/relationships/oleObject" Target="embeddings/oleObject4.bin"/><Relationship Id="rId132" Type="http://schemas.openxmlformats.org/officeDocument/2006/relationships/image" Target="media/image17.wmf"/><Relationship Id="rId153" Type="http://schemas.openxmlformats.org/officeDocument/2006/relationships/hyperlink" Target="https://rankomat.pl/samochod/ile-kosztuje-ubezpieczenie-samochodu-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kobize.pl/uploads/materialy/materialy_do_pobrania/wskazniki_emisyjnosci/Wskazniki_emisyjnosci_grudzien_2020.pdf" TargetMode="External"/><Relationship Id="rId3" Type="http://schemas.openxmlformats.org/officeDocument/2006/relationships/hyperlink" Target="http://www.mir.gov.pl/fundusze/wytyczne_mrr/Wytyczne_2014_2020/Obowiazujace/Documents/Wytyczne_PGD_PH_2014_2020_podpisane_032015.pdf" TargetMode="External"/><Relationship Id="rId7" Type="http://schemas.openxmlformats.org/officeDocument/2006/relationships/hyperlink" Target="https://op.europa.eu/en/publication-detail/-/publication/23a24b21-16d0-11ec-b4fe-01aa75ed71a1/language-en" TargetMode="External"/><Relationship Id="rId2" Type="http://schemas.openxmlformats.org/officeDocument/2006/relationships/hyperlink" Target="http://ec.europa.eu/regional_policy/sources/docgener/studies/pdf/cba_guide.pdf" TargetMode="External"/><Relationship Id="rId1" Type="http://schemas.openxmlformats.org/officeDocument/2006/relationships/hyperlink" Target="https://ec.europa.eu/regional_policy/en/information/publications/guides/2021/economic-appraisal-vademecum-2021-2027-general-principles-and-sector-applications" TargetMode="External"/><Relationship Id="rId6" Type="http://schemas.openxmlformats.org/officeDocument/2006/relationships/hyperlink" Target="http://www.pois.gov.pl/strony/wiadomosci/opublikowano-niebieska-ksiege-dla-projektow-infrastruktury-drogowej/" TargetMode="External"/><Relationship Id="rId5" Type="http://schemas.openxmlformats.org/officeDocument/2006/relationships/hyperlink" Target="http://www.pois.gov.pl/strony/wiadomosci/opublikowano-niebieska-ksiege-dla-projektow-infrastruktury-drogowej/" TargetMode="External"/><Relationship Id="rId4" Type="http://schemas.openxmlformats.org/officeDocument/2006/relationships/hyperlink" Target="http://www.pois.gov.pl/WstepDoFunduszyEuropejskich/Strony/Inicjatywa_JASPERS.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3.jpg"/></Relationships>
</file>

<file path=word/_rels/header6.xml.rels><?xml version="1.0" encoding="UTF-8" standalone="yes"?>
<Relationships xmlns="http://schemas.openxmlformats.org/package/2006/relationships"><Relationship Id="rId1" Type="http://schemas.openxmlformats.org/officeDocument/2006/relationships/image" Target="media/image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zz1Ckbcqf23dnM+qqCU0aqb4/Q==">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24581D-A00B-4601-A1F6-60C1C0C2E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80989</Words>
  <Characters>485935</Characters>
  <Application>Microsoft Office Word</Application>
  <DocSecurity>0</DocSecurity>
  <Lines>4049</Lines>
  <Paragraphs>1131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POPLAWSKA Aneta</dc:creator>
  <cp:lastModifiedBy>Kantecka Natalia</cp:lastModifiedBy>
  <cp:revision>2</cp:revision>
  <dcterms:created xsi:type="dcterms:W3CDTF">2023-06-06T13:00:00Z</dcterms:created>
  <dcterms:modified xsi:type="dcterms:W3CDTF">2023-06-06T13:00:00Z</dcterms:modified>
</cp:coreProperties>
</file>